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0"/>
        <w:gridCol w:w="399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tcBorders>
              <w:tl2br w:val="nil"/>
            </w:tcBorders>
            <w:shd w:val="clear" w:color="auto" w:fill="FFFFFF"/>
            <w:tcMar>
              <w:top w:w="50" w:type="dxa"/>
              <w:left w:w="70" w:type="dxa"/>
              <w:bottom w:w="50" w:type="dxa"/>
              <w:right w:w="70" w:type="dxa"/>
            </w:tcMar>
            <w:vAlign w:val="center"/>
          </w:tcPr>
          <w:p w14:paraId="4620B388">
            <w:pPr>
              <w:pStyle w:val="19"/>
              <w:bidi w:val="0"/>
              <w:jc w:val="both"/>
              <w:rPr>
                <w:rFonts w:hint="eastAsia"/>
                <w:sz w:val="24"/>
                <w:szCs w:val="24"/>
                <w:lang w:eastAsia="zh-CN"/>
              </w:rPr>
            </w:pPr>
            <w:r>
              <w:rPr>
                <w:rFonts w:hint="eastAsia"/>
                <w:sz w:val="24"/>
                <w:szCs w:val="24"/>
              </w:rPr>
              <w:t>受控编号</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E5D4408">
            <w:pPr>
              <w:pStyle w:val="19"/>
              <w:bidi w:val="0"/>
              <w:ind w:left="0" w:leftChars="0" w:firstLine="0" w:firstLineChars="0"/>
              <w:jc w:val="both"/>
              <w:rPr>
                <w:rFonts w:hint="eastAsia"/>
                <w:sz w:val="24"/>
                <w:szCs w:val="24"/>
                <w:lang w:eastAsia="zh-CN"/>
              </w:rPr>
            </w:pPr>
            <w:r>
              <w:rPr>
                <w:rFonts w:hint="eastAsia"/>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384FFEA4">
            <w:pPr>
              <w:pStyle w:val="19"/>
              <w:bidi w:val="0"/>
              <w:jc w:val="both"/>
              <w:rPr>
                <w:rFonts w:hint="eastAsia"/>
                <w:sz w:val="24"/>
                <w:szCs w:val="24"/>
                <w:lang w:eastAsia="zh-CN"/>
              </w:rPr>
            </w:pPr>
            <w:r>
              <w:rPr>
                <w:rFonts w:hint="eastAsia"/>
                <w:sz w:val="24"/>
                <w:szCs w:val="24"/>
              </w:rPr>
              <w:t>文档版本</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0C140582">
            <w:pPr>
              <w:pStyle w:val="19"/>
              <w:bidi w:val="0"/>
              <w:ind w:left="0" w:leftChars="0" w:firstLine="0" w:firstLineChars="0"/>
              <w:jc w:val="both"/>
              <w:rPr>
                <w:rFonts w:hint="eastAsia"/>
                <w:sz w:val="24"/>
                <w:szCs w:val="24"/>
              </w:rPr>
            </w:pPr>
            <w:r>
              <w:rPr>
                <w:rFonts w:hint="eastAsia"/>
                <w:sz w:val="24"/>
                <w:szCs w:val="24"/>
              </w:rPr>
              <w:t>V1.</w:t>
            </w:r>
            <w:r>
              <w:rPr>
                <w:rFonts w:hint="eastAsia"/>
                <w:sz w:val="24"/>
                <w:szCs w:val="24"/>
                <w:lang w:val="en-US" w:eastAsia="zh-CN"/>
              </w:rPr>
              <w:t>5</w:t>
            </w:r>
            <w:r>
              <w:rPr>
                <w:rFonts w:hint="eastAsia"/>
                <w:sz w:val="24"/>
                <w:szCs w:val="24"/>
              </w:rPr>
              <w:t>.0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21DD9299">
            <w:pPr>
              <w:pStyle w:val="19"/>
              <w:bidi w:val="0"/>
              <w:jc w:val="both"/>
              <w:rPr>
                <w:rFonts w:hint="eastAsia"/>
                <w:sz w:val="24"/>
                <w:szCs w:val="24"/>
                <w:lang w:eastAsia="zh-CN"/>
              </w:rPr>
            </w:pPr>
            <w:r>
              <w:rPr>
                <w:rFonts w:hint="eastAsia"/>
                <w:sz w:val="24"/>
                <w:szCs w:val="24"/>
              </w:rPr>
              <w:t>归属工程</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7E4E139">
            <w:pPr>
              <w:pStyle w:val="19"/>
              <w:bidi w:val="0"/>
              <w:ind w:left="0" w:leftChars="0" w:firstLine="0" w:firstLineChars="0"/>
              <w:jc w:val="both"/>
              <w:rPr>
                <w:rFonts w:hint="eastAsia"/>
                <w:sz w:val="24"/>
                <w:szCs w:val="24"/>
              </w:rPr>
            </w:pPr>
            <w:r>
              <w:rPr>
                <w:rFonts w:hint="eastAsia"/>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4324044B">
            <w:pPr>
              <w:pStyle w:val="19"/>
              <w:bidi w:val="0"/>
              <w:jc w:val="both"/>
              <w:rPr>
                <w:rFonts w:hint="eastAsia"/>
                <w:sz w:val="24"/>
                <w:szCs w:val="24"/>
                <w:lang w:eastAsia="zh-CN"/>
              </w:rPr>
            </w:pPr>
            <w:r>
              <w:rPr>
                <w:rFonts w:hint="eastAsia"/>
                <w:sz w:val="24"/>
                <w:szCs w:val="24"/>
              </w:rPr>
              <w:t>发布日期</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3C31F347">
            <w:pPr>
              <w:pStyle w:val="19"/>
              <w:bidi w:val="0"/>
              <w:ind w:left="0" w:leftChars="0" w:firstLine="0" w:firstLineChars="0"/>
              <w:jc w:val="both"/>
              <w:rPr>
                <w:rFonts w:hint="eastAsia"/>
                <w:sz w:val="24"/>
                <w:szCs w:val="24"/>
                <w:lang w:eastAsia="zh-CN"/>
              </w:rPr>
            </w:pPr>
            <w:r>
              <w:rPr>
                <w:rFonts w:hint="eastAsia"/>
                <w:sz w:val="24"/>
                <w:szCs w:val="24"/>
              </w:rPr>
              <w:t>2026-09-27</w:t>
            </w:r>
          </w:p>
        </w:tc>
      </w:tr>
    </w:tbl>
    <w:p w14:paraId="0D66CF77">
      <w:pPr>
        <w:spacing w:after="800"/>
        <w:jc w:val="both"/>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922"/>
        <w:gridCol w:w="1396"/>
        <w:gridCol w:w="5109"/>
        <w:gridCol w:w="980"/>
        <w:gridCol w:w="1123"/>
      </w:tblGrid>
      <w:tr w14:paraId="5976494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1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1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9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11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2026-09-23</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v1.5.0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补齐更新后的项目图片和修改后需求文档</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6C2E3293">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B11F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19B2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3C3BF2">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57C32B">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3878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73365"/>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7FB51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031A891">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_Toc29160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顶层业务架构与标准规范</w:t>
          </w:r>
          <w:r>
            <w:tab/>
          </w:r>
          <w:r>
            <w:fldChar w:fldCharType="begin"/>
          </w:r>
          <w:r>
            <w:instrText xml:space="preserve"> PAGEREF _Toc29160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0C124F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_Toc4659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项目背景与建设目标</w:t>
          </w:r>
          <w:r>
            <w:tab/>
          </w:r>
          <w:r>
            <w:fldChar w:fldCharType="begin"/>
          </w:r>
          <w:r>
            <w:instrText xml:space="preserve"> PAGEREF _Toc4659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402F3E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项目建设背景</w:t>
          </w:r>
          <w:r>
            <w:tab/>
          </w:r>
          <w:r>
            <w:fldChar w:fldCharType="begin"/>
          </w:r>
          <w:r>
            <w:instrText xml:space="preserve"> PAGEREF _Toc11275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97A363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_Toc27405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建设目标</w:t>
          </w:r>
          <w:r>
            <w:tab/>
          </w:r>
          <w:r>
            <w:fldChar w:fldCharType="begin"/>
          </w:r>
          <w:r>
            <w:instrText xml:space="preserve"> PAGEREF _Toc27405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3E237C8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_Toc21080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建设范围</w:t>
          </w:r>
          <w:r>
            <w:tab/>
          </w:r>
          <w:r>
            <w:fldChar w:fldCharType="begin"/>
          </w:r>
          <w:r>
            <w:instrText xml:space="preserve"> PAGEREF _Toc21080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7B5E030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_Toc4526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双中心总体架构与协同机制</w:t>
          </w:r>
          <w:r>
            <w:tab/>
          </w:r>
          <w:r>
            <w:fldChar w:fldCharType="begin"/>
          </w:r>
          <w:r>
            <w:instrText xml:space="preserve"> PAGEREF _Toc4526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11F250D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_Toc3446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端—边—云三层物联网架构</w:t>
          </w:r>
          <w:r>
            <w:tab/>
          </w:r>
          <w:r>
            <w:fldChar w:fldCharType="begin"/>
          </w:r>
          <w:r>
            <w:instrText xml:space="preserve"> PAGEREF _Toc3446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0E96D86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_Toc24690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双中心定位与协同</w:t>
          </w:r>
          <w:r>
            <w:tab/>
          </w:r>
          <w:r>
            <w:fldChar w:fldCharType="begin"/>
          </w:r>
          <w:r>
            <w:instrText xml:space="preserve"> PAGEREF _Toc24690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6FF1F6C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_Toc31089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角色画像与权限边界</w:t>
          </w:r>
          <w:r>
            <w:tab/>
          </w:r>
          <w:r>
            <w:fldChar w:fldCharType="begin"/>
          </w:r>
          <w:r>
            <w:instrText xml:space="preserve"> PAGEREF _Toc31089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09BB7C3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文档编制范式：统一八段式模块模板</w:t>
          </w:r>
          <w:r>
            <w:tab/>
          </w:r>
          <w:r>
            <w:fldChar w:fldCharType="begin"/>
          </w:r>
          <w:r>
            <w:instrText xml:space="preserve"> PAGEREF _Toc2509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5339DD1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_Toc21281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零碳园区集控中心功能需求规格</w:t>
          </w:r>
          <w:r>
            <w:tab/>
          </w:r>
          <w:r>
            <w:fldChar w:fldCharType="begin"/>
          </w:r>
          <w:r>
            <w:instrText xml:space="preserve"> PAGEREF _Toc21281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6E462C1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_Toc8864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集控中心大屏</w:t>
          </w:r>
          <w:r>
            <w:tab/>
          </w:r>
          <w:r>
            <w:fldChar w:fldCharType="begin"/>
          </w:r>
          <w:r>
            <w:instrText xml:space="preserve"> PAGEREF _Toc8864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50F0971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_Toc8607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_Toc8607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1CFAD83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_Toc19544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_Toc19544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3BDAF0A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_Toc17535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_Toc17535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14A8E5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_Toc25800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指标管控</w:t>
          </w:r>
          <w:r>
            <w:tab/>
          </w:r>
          <w:r>
            <w:fldChar w:fldCharType="begin"/>
          </w:r>
          <w:r>
            <w:instrText xml:space="preserve"> PAGEREF _Toc25800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794CFFA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_Toc21665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数据变化详情</w:t>
          </w:r>
          <w:r>
            <w:tab/>
          </w:r>
          <w:r>
            <w:fldChar w:fldCharType="begin"/>
          </w:r>
          <w:r>
            <w:instrText xml:space="preserve"> PAGEREF _Toc21665 \h </w:instrText>
          </w:r>
          <w:r>
            <w:fldChar w:fldCharType="separate"/>
          </w:r>
          <w:r>
            <w:t>28</w:t>
          </w:r>
          <w:r>
            <w:fldChar w:fldCharType="end"/>
          </w:r>
          <w:r>
            <w:rPr>
              <w:rFonts w:asciiTheme="minorHAnsi" w:hAnsiTheme="minorHAnsi" w:eastAsiaTheme="minorEastAsia" w:cstheme="minorBidi"/>
              <w:szCs w:val="22"/>
              <w:lang w:val="en-US" w:eastAsia="en-US" w:bidi="ar-SA"/>
            </w:rPr>
            <w:fldChar w:fldCharType="end"/>
          </w:r>
        </w:p>
        <w:p w14:paraId="10EE3EF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_Toc4645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用能监测</w:t>
          </w:r>
          <w:r>
            <w:tab/>
          </w:r>
          <w:r>
            <w:fldChar w:fldCharType="begin"/>
          </w:r>
          <w:r>
            <w:instrText xml:space="preserve"> PAGEREF _Toc4645 \h </w:instrText>
          </w:r>
          <w:r>
            <w:fldChar w:fldCharType="separate"/>
          </w:r>
          <w:r>
            <w:t>32</w:t>
          </w:r>
          <w:r>
            <w:fldChar w:fldCharType="end"/>
          </w:r>
          <w:r>
            <w:rPr>
              <w:rFonts w:asciiTheme="minorHAnsi" w:hAnsiTheme="minorHAnsi" w:eastAsiaTheme="minorEastAsia" w:cstheme="minorBidi"/>
              <w:szCs w:val="22"/>
              <w:lang w:val="en-US" w:eastAsia="en-US" w:bidi="ar-SA"/>
            </w:rPr>
            <w:fldChar w:fldCharType="end"/>
          </w:r>
        </w:p>
        <w:p w14:paraId="4459AD8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重点</w:t>
          </w:r>
          <w:r>
            <w:rPr>
              <w:rFonts w:hint="eastAsia" w:cs="Times New Roman"/>
              <w:bCs w:val="0"/>
              <w:szCs w:val="24"/>
              <w:lang w:val="en-US" w:eastAsia="zh-CN"/>
            </w:rPr>
            <w:t>用能设备</w:t>
          </w:r>
          <w:r>
            <w:tab/>
          </w:r>
          <w:r>
            <w:fldChar w:fldCharType="begin"/>
          </w:r>
          <w:r>
            <w:instrText xml:space="preserve"> PAGEREF _Toc29921 \h </w:instrText>
          </w:r>
          <w:r>
            <w:fldChar w:fldCharType="separate"/>
          </w:r>
          <w:r>
            <w:t>37</w:t>
          </w:r>
          <w:r>
            <w:fldChar w:fldCharType="end"/>
          </w:r>
          <w:r>
            <w:rPr>
              <w:rFonts w:asciiTheme="minorHAnsi" w:hAnsiTheme="minorHAnsi" w:eastAsiaTheme="minorEastAsia" w:cstheme="minorBidi"/>
              <w:szCs w:val="22"/>
              <w:lang w:val="en-US" w:eastAsia="en-US" w:bidi="ar-SA"/>
            </w:rPr>
            <w:fldChar w:fldCharType="end"/>
          </w:r>
        </w:p>
        <w:p w14:paraId="048A24A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_Toc29577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工业微电网监测</w:t>
          </w:r>
          <w:r>
            <w:tab/>
          </w:r>
          <w:r>
            <w:fldChar w:fldCharType="begin"/>
          </w:r>
          <w:r>
            <w:instrText xml:space="preserve"> PAGEREF _Toc29577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34827DE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_Toc22762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能源碳排放监测</w:t>
          </w:r>
          <w:r>
            <w:tab/>
          </w:r>
          <w:r>
            <w:fldChar w:fldCharType="begin"/>
          </w:r>
          <w:r>
            <w:instrText xml:space="preserve"> PAGEREF _Toc22762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38D853B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_Toc17128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7. </w:t>
          </w:r>
          <w:r>
            <w:rPr>
              <w:rFonts w:hint="eastAsia" w:ascii="Times New Roman" w:hAnsi="Times New Roman" w:eastAsia="黑体" w:cs="Times New Roman"/>
              <w:bCs w:val="0"/>
              <w:szCs w:val="24"/>
              <w:lang w:val="en-US" w:eastAsia="zh-CN"/>
            </w:rPr>
            <w:t>自定义指标监测</w:t>
          </w:r>
          <w:r>
            <w:tab/>
          </w:r>
          <w:r>
            <w:fldChar w:fldCharType="begin"/>
          </w:r>
          <w:r>
            <w:instrText xml:space="preserve"> PAGEREF _Toc17128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78AF274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_Toc15351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_Toc15351 \h </w:instrText>
          </w:r>
          <w:r>
            <w:fldChar w:fldCharType="separate"/>
          </w:r>
          <w:r>
            <w:t>59</w:t>
          </w:r>
          <w:r>
            <w:fldChar w:fldCharType="end"/>
          </w:r>
          <w:r>
            <w:rPr>
              <w:rFonts w:asciiTheme="minorHAnsi" w:hAnsiTheme="minorHAnsi" w:eastAsiaTheme="minorEastAsia" w:cstheme="minorBidi"/>
              <w:szCs w:val="22"/>
              <w:lang w:val="en-US" w:eastAsia="en-US" w:bidi="ar-SA"/>
            </w:rPr>
            <w:fldChar w:fldCharType="end"/>
          </w:r>
        </w:p>
        <w:p w14:paraId="04FBCD6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_Toc23395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用能结构分析</w:t>
          </w:r>
          <w:r>
            <w:tab/>
          </w:r>
          <w:r>
            <w:fldChar w:fldCharType="begin"/>
          </w:r>
          <w:r>
            <w:instrText xml:space="preserve"> PAGEREF _Toc23395 \h </w:instrText>
          </w:r>
          <w:r>
            <w:fldChar w:fldCharType="separate"/>
          </w:r>
          <w:r>
            <w:t>59</w:t>
          </w:r>
          <w:r>
            <w:fldChar w:fldCharType="end"/>
          </w:r>
          <w:r>
            <w:rPr>
              <w:rFonts w:asciiTheme="minorHAnsi" w:hAnsiTheme="minorHAnsi" w:eastAsiaTheme="minorEastAsia" w:cstheme="minorBidi"/>
              <w:szCs w:val="22"/>
              <w:lang w:val="en-US" w:eastAsia="en-US" w:bidi="ar-SA"/>
            </w:rPr>
            <w:fldChar w:fldCharType="end"/>
          </w:r>
        </w:p>
        <w:p w14:paraId="1E081A9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_Toc3656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单位产品能耗</w:t>
          </w:r>
          <w:r>
            <w:tab/>
          </w:r>
          <w:r>
            <w:fldChar w:fldCharType="begin"/>
          </w:r>
          <w:r>
            <w:instrText xml:space="preserve"> PAGEREF _Toc3656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2B63F81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_Toc28493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单位产值能耗</w:t>
          </w:r>
          <w:r>
            <w:tab/>
          </w:r>
          <w:r>
            <w:fldChar w:fldCharType="begin"/>
          </w:r>
          <w:r>
            <w:instrText xml:space="preserve"> PAGEREF _Toc28493 \h </w:instrText>
          </w:r>
          <w:r>
            <w:fldChar w:fldCharType="separate"/>
          </w:r>
          <w:r>
            <w:t>68</w:t>
          </w:r>
          <w:r>
            <w:fldChar w:fldCharType="end"/>
          </w:r>
          <w:r>
            <w:rPr>
              <w:rFonts w:asciiTheme="minorHAnsi" w:hAnsiTheme="minorHAnsi" w:eastAsiaTheme="minorEastAsia" w:cstheme="minorBidi"/>
              <w:szCs w:val="22"/>
              <w:lang w:val="en-US" w:eastAsia="en-US" w:bidi="ar-SA"/>
            </w:rPr>
            <w:fldChar w:fldCharType="end"/>
          </w:r>
        </w:p>
        <w:p w14:paraId="5D200AC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_Toc6035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对标管理</w:t>
          </w:r>
          <w:r>
            <w:tab/>
          </w:r>
          <w:r>
            <w:fldChar w:fldCharType="begin"/>
          </w:r>
          <w:r>
            <w:instrText xml:space="preserve"> PAGEREF _Toc6035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5F10C11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_Toc21358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_Toc21358 \h </w:instrText>
          </w:r>
          <w:r>
            <w:fldChar w:fldCharType="separate"/>
          </w:r>
          <w:r>
            <w:t>81</w:t>
          </w:r>
          <w:r>
            <w:fldChar w:fldCharType="end"/>
          </w:r>
          <w:r>
            <w:rPr>
              <w:rFonts w:asciiTheme="minorHAnsi" w:hAnsiTheme="minorHAnsi" w:eastAsiaTheme="minorEastAsia" w:cstheme="minorBidi"/>
              <w:szCs w:val="22"/>
              <w:lang w:val="en-US" w:eastAsia="en-US" w:bidi="ar-SA"/>
            </w:rPr>
            <w:fldChar w:fldCharType="end"/>
          </w:r>
        </w:p>
        <w:p w14:paraId="33C73C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_Toc32195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_Toc32195 \h </w:instrText>
          </w:r>
          <w:r>
            <w:fldChar w:fldCharType="separate"/>
          </w:r>
          <w:r>
            <w:t>81</w:t>
          </w:r>
          <w:r>
            <w:fldChar w:fldCharType="end"/>
          </w:r>
          <w:r>
            <w:rPr>
              <w:rFonts w:asciiTheme="minorHAnsi" w:hAnsiTheme="minorHAnsi" w:eastAsiaTheme="minorEastAsia" w:cstheme="minorBidi"/>
              <w:szCs w:val="22"/>
              <w:lang w:val="en-US" w:eastAsia="en-US" w:bidi="ar-SA"/>
            </w:rPr>
            <w:fldChar w:fldCharType="end"/>
          </w:r>
        </w:p>
        <w:p w14:paraId="2F7AEAA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_Toc12612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_Toc12612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7032EBC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_Toc23217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_Toc23217 \h </w:instrText>
          </w:r>
          <w:r>
            <w:fldChar w:fldCharType="separate"/>
          </w:r>
          <w:r>
            <w:t>91</w:t>
          </w:r>
          <w:r>
            <w:fldChar w:fldCharType="end"/>
          </w:r>
          <w:r>
            <w:rPr>
              <w:rFonts w:asciiTheme="minorHAnsi" w:hAnsiTheme="minorHAnsi" w:eastAsiaTheme="minorEastAsia" w:cstheme="minorBidi"/>
              <w:szCs w:val="22"/>
              <w:lang w:val="en-US" w:eastAsia="en-US" w:bidi="ar-SA"/>
            </w:rPr>
            <w:fldChar w:fldCharType="end"/>
          </w:r>
        </w:p>
        <w:p w14:paraId="030FF99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_Toc16460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_Toc16460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2FDE198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_Toc8392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_Toc8392 \h </w:instrText>
          </w:r>
          <w:r>
            <w:fldChar w:fldCharType="separate"/>
          </w:r>
          <w:r>
            <w:t>99</w:t>
          </w:r>
          <w:r>
            <w:fldChar w:fldCharType="end"/>
          </w:r>
          <w:r>
            <w:rPr>
              <w:rFonts w:asciiTheme="minorHAnsi" w:hAnsiTheme="minorHAnsi" w:eastAsiaTheme="minorEastAsia" w:cstheme="minorBidi"/>
              <w:szCs w:val="22"/>
              <w:lang w:val="en-US" w:eastAsia="en-US" w:bidi="ar-SA"/>
            </w:rPr>
            <w:fldChar w:fldCharType="end"/>
          </w:r>
        </w:p>
        <w:p w14:paraId="00EA5CD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_Toc26268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_Toc26268 \h </w:instrText>
          </w:r>
          <w:r>
            <w:fldChar w:fldCharType="separate"/>
          </w:r>
          <w:r>
            <w:t>99</w:t>
          </w:r>
          <w:r>
            <w:fldChar w:fldCharType="end"/>
          </w:r>
          <w:r>
            <w:rPr>
              <w:rFonts w:asciiTheme="minorHAnsi" w:hAnsiTheme="minorHAnsi" w:eastAsiaTheme="minorEastAsia" w:cstheme="minorBidi"/>
              <w:szCs w:val="22"/>
              <w:lang w:val="en-US" w:eastAsia="en-US" w:bidi="ar-SA"/>
            </w:rPr>
            <w:fldChar w:fldCharType="end"/>
          </w:r>
        </w:p>
        <w:p w14:paraId="19E93D1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_Toc19893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_Toc19893 \h </w:instrText>
          </w:r>
          <w:r>
            <w:fldChar w:fldCharType="separate"/>
          </w:r>
          <w:r>
            <w:t>102</w:t>
          </w:r>
          <w:r>
            <w:fldChar w:fldCharType="end"/>
          </w:r>
          <w:r>
            <w:rPr>
              <w:rFonts w:asciiTheme="minorHAnsi" w:hAnsiTheme="minorHAnsi" w:eastAsiaTheme="minorEastAsia" w:cstheme="minorBidi"/>
              <w:szCs w:val="22"/>
              <w:lang w:val="en-US" w:eastAsia="en-US" w:bidi="ar-SA"/>
            </w:rPr>
            <w:fldChar w:fldCharType="end"/>
          </w:r>
        </w:p>
        <w:p w14:paraId="3E6F777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_Toc25436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_Toc25436 \h </w:instrText>
          </w:r>
          <w:r>
            <w:fldChar w:fldCharType="separate"/>
          </w:r>
          <w:r>
            <w:t>105</w:t>
          </w:r>
          <w:r>
            <w:fldChar w:fldCharType="end"/>
          </w:r>
          <w:r>
            <w:rPr>
              <w:rFonts w:asciiTheme="minorHAnsi" w:hAnsiTheme="minorHAnsi" w:eastAsiaTheme="minorEastAsia" w:cstheme="minorBidi"/>
              <w:szCs w:val="22"/>
              <w:lang w:val="en-US" w:eastAsia="en-US" w:bidi="ar-SA"/>
            </w:rPr>
            <w:fldChar w:fldCharType="end"/>
          </w:r>
        </w:p>
        <w:p w14:paraId="04A7409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_Toc9095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hint="eastAsia" w:cs="Times New Roman"/>
              <w:bCs w:val="0"/>
              <w:szCs w:val="32"/>
              <w:lang w:val="en-US" w:eastAsia="zh-CN"/>
            </w:rPr>
            <w:t>企业基础信息</w:t>
          </w:r>
          <w:r>
            <w:tab/>
          </w:r>
          <w:r>
            <w:fldChar w:fldCharType="begin"/>
          </w:r>
          <w:r>
            <w:instrText xml:space="preserve"> PAGEREF _Toc9095 \h </w:instrText>
          </w:r>
          <w:r>
            <w:fldChar w:fldCharType="separate"/>
          </w:r>
          <w:r>
            <w:t>108</w:t>
          </w:r>
          <w:r>
            <w:fldChar w:fldCharType="end"/>
          </w:r>
          <w:r>
            <w:rPr>
              <w:rFonts w:asciiTheme="minorHAnsi" w:hAnsiTheme="minorHAnsi" w:eastAsiaTheme="minorEastAsia" w:cstheme="minorBidi"/>
              <w:szCs w:val="22"/>
              <w:lang w:val="en-US" w:eastAsia="en-US" w:bidi="ar-SA"/>
            </w:rPr>
            <w:fldChar w:fldCharType="end"/>
          </w:r>
        </w:p>
        <w:p w14:paraId="1569743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_Toc31188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hint="eastAsia" w:cs="Times New Roman"/>
              <w:bCs w:val="0"/>
              <w:szCs w:val="24"/>
              <w:lang w:val="en-US" w:eastAsia="zh-CN"/>
            </w:rPr>
            <w:t>企业基础信息</w:t>
          </w:r>
          <w:r>
            <w:tab/>
          </w:r>
          <w:r>
            <w:fldChar w:fldCharType="begin"/>
          </w:r>
          <w:r>
            <w:instrText xml:space="preserve"> PAGEREF _Toc31188 \h </w:instrText>
          </w:r>
          <w:r>
            <w:fldChar w:fldCharType="separate"/>
          </w:r>
          <w:r>
            <w:t>109</w:t>
          </w:r>
          <w:r>
            <w:fldChar w:fldCharType="end"/>
          </w:r>
          <w:r>
            <w:rPr>
              <w:rFonts w:asciiTheme="minorHAnsi" w:hAnsiTheme="minorHAnsi" w:eastAsiaTheme="minorEastAsia" w:cstheme="minorBidi"/>
              <w:szCs w:val="22"/>
              <w:lang w:val="en-US" w:eastAsia="en-US" w:bidi="ar-SA"/>
            </w:rPr>
            <w:fldChar w:fldCharType="end"/>
          </w:r>
        </w:p>
        <w:p w14:paraId="53D984E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_Toc9203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hint="eastAsia"/>
              <w:bCs w:val="0"/>
              <w:szCs w:val="24"/>
              <w:lang w:val="en-US" w:eastAsia="zh-CN"/>
            </w:rPr>
            <w:t>零碳工厂信息</w:t>
          </w:r>
          <w:r>
            <w:tab/>
          </w:r>
          <w:r>
            <w:fldChar w:fldCharType="begin"/>
          </w:r>
          <w:r>
            <w:instrText xml:space="preserve"> PAGEREF _Toc9203 \h </w:instrText>
          </w:r>
          <w:r>
            <w:fldChar w:fldCharType="separate"/>
          </w:r>
          <w:r>
            <w:t>114</w:t>
          </w:r>
          <w:r>
            <w:fldChar w:fldCharType="end"/>
          </w:r>
          <w:r>
            <w:rPr>
              <w:rFonts w:asciiTheme="minorHAnsi" w:hAnsiTheme="minorHAnsi" w:eastAsiaTheme="minorEastAsia" w:cstheme="minorBidi"/>
              <w:szCs w:val="22"/>
              <w:lang w:val="en-US" w:eastAsia="en-US" w:bidi="ar-SA"/>
            </w:rPr>
            <w:fldChar w:fldCharType="end"/>
          </w:r>
        </w:p>
        <w:p w14:paraId="2A15B5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_Toc2608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产品碳足迹集采中心功能需求规格</w:t>
          </w:r>
          <w:r>
            <w:tab/>
          </w:r>
          <w:r>
            <w:fldChar w:fldCharType="begin"/>
          </w:r>
          <w:r>
            <w:instrText xml:space="preserve"> PAGEREF _Toc2608 \h </w:instrText>
          </w:r>
          <w:r>
            <w:fldChar w:fldCharType="separate"/>
          </w:r>
          <w:r>
            <w:t>118</w:t>
          </w:r>
          <w:r>
            <w:fldChar w:fldCharType="end"/>
          </w:r>
          <w:r>
            <w:rPr>
              <w:rFonts w:asciiTheme="minorHAnsi" w:hAnsiTheme="minorHAnsi" w:eastAsiaTheme="minorEastAsia" w:cstheme="minorBidi"/>
              <w:szCs w:val="22"/>
              <w:lang w:val="en-US" w:eastAsia="en-US" w:bidi="ar-SA"/>
            </w:rPr>
            <w:fldChar w:fldCharType="end"/>
          </w:r>
        </w:p>
        <w:p w14:paraId="2D96BA6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_Toc9881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_Toc9881 \h </w:instrText>
          </w:r>
          <w:r>
            <w:fldChar w:fldCharType="separate"/>
          </w:r>
          <w:r>
            <w:t>118</w:t>
          </w:r>
          <w:r>
            <w:fldChar w:fldCharType="end"/>
          </w:r>
          <w:r>
            <w:rPr>
              <w:rFonts w:asciiTheme="minorHAnsi" w:hAnsiTheme="minorHAnsi" w:eastAsiaTheme="minorEastAsia" w:cstheme="minorBidi"/>
              <w:szCs w:val="22"/>
              <w:lang w:val="en-US" w:eastAsia="en-US" w:bidi="ar-SA"/>
            </w:rPr>
            <w:fldChar w:fldCharType="end"/>
          </w:r>
        </w:p>
        <w:p w14:paraId="5A92CF4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_Toc11566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_Toc11566 \h </w:instrText>
          </w:r>
          <w:r>
            <w:fldChar w:fldCharType="separate"/>
          </w:r>
          <w:r>
            <w:t>119</w:t>
          </w:r>
          <w:r>
            <w:fldChar w:fldCharType="end"/>
          </w:r>
          <w:r>
            <w:rPr>
              <w:rFonts w:asciiTheme="minorHAnsi" w:hAnsiTheme="minorHAnsi" w:eastAsiaTheme="minorEastAsia" w:cstheme="minorBidi"/>
              <w:szCs w:val="22"/>
              <w:lang w:val="en-US" w:eastAsia="en-US" w:bidi="ar-SA"/>
            </w:rPr>
            <w:fldChar w:fldCharType="end"/>
          </w:r>
        </w:p>
        <w:p w14:paraId="5763AC7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_Toc27252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_Toc27252 \h </w:instrText>
          </w:r>
          <w:r>
            <w:fldChar w:fldCharType="separate"/>
          </w:r>
          <w:r>
            <w:t>124</w:t>
          </w:r>
          <w:r>
            <w:fldChar w:fldCharType="end"/>
          </w:r>
          <w:r>
            <w:rPr>
              <w:rFonts w:asciiTheme="minorHAnsi" w:hAnsiTheme="minorHAnsi" w:eastAsiaTheme="minorEastAsia" w:cstheme="minorBidi"/>
              <w:szCs w:val="22"/>
              <w:lang w:val="en-US" w:eastAsia="en-US" w:bidi="ar-SA"/>
            </w:rPr>
            <w:fldChar w:fldCharType="end"/>
          </w:r>
        </w:p>
        <w:p w14:paraId="16F78A8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_Toc21058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横向对比</w:t>
          </w:r>
          <w:r>
            <w:tab/>
          </w:r>
          <w:r>
            <w:fldChar w:fldCharType="begin"/>
          </w:r>
          <w:r>
            <w:instrText xml:space="preserve"> PAGEREF _Toc21058 \h </w:instrText>
          </w:r>
          <w:r>
            <w:fldChar w:fldCharType="separate"/>
          </w:r>
          <w:r>
            <w:t>124</w:t>
          </w:r>
          <w:r>
            <w:fldChar w:fldCharType="end"/>
          </w:r>
          <w:r>
            <w:rPr>
              <w:rFonts w:asciiTheme="minorHAnsi" w:hAnsiTheme="minorHAnsi" w:eastAsiaTheme="minorEastAsia" w:cstheme="minorBidi"/>
              <w:szCs w:val="22"/>
              <w:lang w:val="en-US" w:eastAsia="en-US" w:bidi="ar-SA"/>
            </w:rPr>
            <w:fldChar w:fldCharType="end"/>
          </w:r>
        </w:p>
        <w:p w14:paraId="39A9897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_Toc17382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纵向对比</w:t>
          </w:r>
          <w:r>
            <w:tab/>
          </w:r>
          <w:r>
            <w:fldChar w:fldCharType="begin"/>
          </w:r>
          <w:r>
            <w:instrText xml:space="preserve"> PAGEREF _Toc17382 \h </w:instrText>
          </w:r>
          <w:r>
            <w:fldChar w:fldCharType="separate"/>
          </w:r>
          <w:r>
            <w:t>129</w:t>
          </w:r>
          <w:r>
            <w:fldChar w:fldCharType="end"/>
          </w:r>
          <w:r>
            <w:rPr>
              <w:rFonts w:asciiTheme="minorHAnsi" w:hAnsiTheme="minorHAnsi" w:eastAsiaTheme="minorEastAsia" w:cstheme="minorBidi"/>
              <w:szCs w:val="22"/>
              <w:lang w:val="en-US" w:eastAsia="en-US" w:bidi="ar-SA"/>
            </w:rPr>
            <w:fldChar w:fldCharType="end"/>
          </w:r>
        </w:p>
        <w:p w14:paraId="123CBDF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_Toc7172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_Toc7172 \h </w:instrText>
          </w:r>
          <w:r>
            <w:fldChar w:fldCharType="separate"/>
          </w:r>
          <w:r>
            <w:t>133</w:t>
          </w:r>
          <w:r>
            <w:fldChar w:fldCharType="end"/>
          </w:r>
          <w:r>
            <w:rPr>
              <w:rFonts w:asciiTheme="minorHAnsi" w:hAnsiTheme="minorHAnsi" w:eastAsiaTheme="minorEastAsia" w:cstheme="minorBidi"/>
              <w:szCs w:val="22"/>
              <w:lang w:val="en-US" w:eastAsia="en-US" w:bidi="ar-SA"/>
            </w:rPr>
            <w:fldChar w:fldCharType="end"/>
          </w:r>
        </w:p>
        <w:p w14:paraId="3567E28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_Toc21495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_Toc21495 \h </w:instrText>
          </w:r>
          <w:r>
            <w:fldChar w:fldCharType="separate"/>
          </w:r>
          <w:r>
            <w:t>134</w:t>
          </w:r>
          <w:r>
            <w:fldChar w:fldCharType="end"/>
          </w:r>
          <w:r>
            <w:rPr>
              <w:rFonts w:asciiTheme="minorHAnsi" w:hAnsiTheme="minorHAnsi" w:eastAsiaTheme="minorEastAsia" w:cstheme="minorBidi"/>
              <w:szCs w:val="22"/>
              <w:lang w:val="en-US" w:eastAsia="en-US" w:bidi="ar-SA"/>
            </w:rPr>
            <w:fldChar w:fldCharType="end"/>
          </w:r>
        </w:p>
        <w:p w14:paraId="459AD12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_Toc21730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_Toc21730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00FD9F1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_Toc23238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_Toc23238 \h </w:instrText>
          </w:r>
          <w:r>
            <w:fldChar w:fldCharType="separate"/>
          </w:r>
          <w:r>
            <w:t>144</w:t>
          </w:r>
          <w:r>
            <w:fldChar w:fldCharType="end"/>
          </w:r>
          <w:r>
            <w:rPr>
              <w:rFonts w:asciiTheme="minorHAnsi" w:hAnsiTheme="minorHAnsi" w:eastAsiaTheme="minorEastAsia" w:cstheme="minorBidi"/>
              <w:szCs w:val="22"/>
              <w:lang w:val="en-US" w:eastAsia="en-US" w:bidi="ar-SA"/>
            </w:rPr>
            <w:fldChar w:fldCharType="end"/>
          </w:r>
        </w:p>
        <w:p w14:paraId="0E7269B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_Toc26207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_Toc26207 \h </w:instrText>
          </w:r>
          <w:r>
            <w:fldChar w:fldCharType="separate"/>
          </w:r>
          <w:r>
            <w:t>147</w:t>
          </w:r>
          <w:r>
            <w:fldChar w:fldCharType="end"/>
          </w:r>
          <w:r>
            <w:rPr>
              <w:rFonts w:asciiTheme="minorHAnsi" w:hAnsiTheme="minorHAnsi" w:eastAsiaTheme="minorEastAsia" w:cstheme="minorBidi"/>
              <w:szCs w:val="22"/>
              <w:lang w:val="en-US" w:eastAsia="en-US" w:bidi="ar-SA"/>
            </w:rPr>
            <w:fldChar w:fldCharType="end"/>
          </w:r>
        </w:p>
        <w:p w14:paraId="5894F8D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台账管理</w:t>
          </w:r>
          <w:r>
            <w:tab/>
          </w:r>
          <w:r>
            <w:fldChar w:fldCharType="begin"/>
          </w:r>
          <w:r>
            <w:instrText xml:space="preserve"> PAGEREF _Toc1591 \h </w:instrText>
          </w:r>
          <w:r>
            <w:fldChar w:fldCharType="separate"/>
          </w:r>
          <w:r>
            <w:t>148</w:t>
          </w:r>
          <w:r>
            <w:fldChar w:fldCharType="end"/>
          </w:r>
          <w:r>
            <w:rPr>
              <w:rFonts w:asciiTheme="minorHAnsi" w:hAnsiTheme="minorHAnsi" w:eastAsiaTheme="minorEastAsia" w:cstheme="minorBidi"/>
              <w:szCs w:val="22"/>
              <w:lang w:val="en-US" w:eastAsia="en-US" w:bidi="ar-SA"/>
            </w:rPr>
            <w:fldChar w:fldCharType="end"/>
          </w:r>
        </w:p>
        <w:p w14:paraId="6024190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_Toc20339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_Toc20339 \h </w:instrText>
          </w:r>
          <w:r>
            <w:fldChar w:fldCharType="separate"/>
          </w:r>
          <w:r>
            <w:t>153</w:t>
          </w:r>
          <w:r>
            <w:fldChar w:fldCharType="end"/>
          </w:r>
          <w:r>
            <w:rPr>
              <w:rFonts w:asciiTheme="minorHAnsi" w:hAnsiTheme="minorHAnsi" w:eastAsiaTheme="minorEastAsia" w:cstheme="minorBidi"/>
              <w:szCs w:val="22"/>
              <w:lang w:val="en-US" w:eastAsia="en-US" w:bidi="ar-SA"/>
            </w:rPr>
            <w:fldChar w:fldCharType="end"/>
          </w:r>
        </w:p>
        <w:p w14:paraId="2928F5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_Toc26470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_Toc26470 \h </w:instrText>
          </w:r>
          <w:r>
            <w:fldChar w:fldCharType="separate"/>
          </w:r>
          <w:r>
            <w:t>158</w:t>
          </w:r>
          <w:r>
            <w:fldChar w:fldCharType="end"/>
          </w:r>
          <w:r>
            <w:rPr>
              <w:rFonts w:asciiTheme="minorHAnsi" w:hAnsiTheme="minorHAnsi" w:eastAsiaTheme="minorEastAsia" w:cstheme="minorBidi"/>
              <w:szCs w:val="22"/>
              <w:lang w:val="en-US" w:eastAsia="en-US" w:bidi="ar-SA"/>
            </w:rPr>
            <w:fldChar w:fldCharType="end"/>
          </w:r>
        </w:p>
        <w:p w14:paraId="52412B7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_Toc15046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_Toc15046 \h </w:instrText>
          </w:r>
          <w:r>
            <w:fldChar w:fldCharType="separate"/>
          </w:r>
          <w:r>
            <w:t>162</w:t>
          </w:r>
          <w:r>
            <w:fldChar w:fldCharType="end"/>
          </w:r>
          <w:r>
            <w:rPr>
              <w:rFonts w:asciiTheme="minorHAnsi" w:hAnsiTheme="minorHAnsi" w:eastAsiaTheme="minorEastAsia" w:cstheme="minorBidi"/>
              <w:szCs w:val="22"/>
              <w:lang w:val="en-US" w:eastAsia="en-US" w:bidi="ar-SA"/>
            </w:rPr>
            <w:fldChar w:fldCharType="end"/>
          </w:r>
        </w:p>
        <w:p w14:paraId="63A5775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_Toc19564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_Toc19564 \h </w:instrText>
          </w:r>
          <w:r>
            <w:fldChar w:fldCharType="separate"/>
          </w:r>
          <w:r>
            <w:t>162</w:t>
          </w:r>
          <w:r>
            <w:fldChar w:fldCharType="end"/>
          </w:r>
          <w:r>
            <w:rPr>
              <w:rFonts w:asciiTheme="minorHAnsi" w:hAnsiTheme="minorHAnsi" w:eastAsiaTheme="minorEastAsia" w:cstheme="minorBidi"/>
              <w:szCs w:val="22"/>
              <w:lang w:val="en-US" w:eastAsia="en-US" w:bidi="ar-SA"/>
            </w:rPr>
            <w:fldChar w:fldCharType="end"/>
          </w:r>
        </w:p>
        <w:p w14:paraId="1B1DC92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_Toc7127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2. </w:t>
          </w:r>
          <w:r>
            <w:rPr>
              <w:rFonts w:hint="eastAsia" w:cs="Times New Roman"/>
              <w:bCs w:val="0"/>
              <w:szCs w:val="24"/>
              <w:lang w:val="en-US" w:eastAsia="zh-CN"/>
            </w:rPr>
            <w:t>认证申请</w:t>
          </w:r>
          <w:r>
            <w:tab/>
          </w:r>
          <w:r>
            <w:fldChar w:fldCharType="begin"/>
          </w:r>
          <w:r>
            <w:instrText xml:space="preserve"> PAGEREF _Toc7127 \h </w:instrText>
          </w:r>
          <w:r>
            <w:fldChar w:fldCharType="separate"/>
          </w:r>
          <w:r>
            <w:t>167</w:t>
          </w:r>
          <w:r>
            <w:fldChar w:fldCharType="end"/>
          </w:r>
          <w:r>
            <w:rPr>
              <w:rFonts w:asciiTheme="minorHAnsi" w:hAnsiTheme="minorHAnsi" w:eastAsiaTheme="minorEastAsia" w:cstheme="minorBidi"/>
              <w:szCs w:val="22"/>
              <w:lang w:val="en-US" w:eastAsia="en-US" w:bidi="ar-SA"/>
            </w:rPr>
            <w:fldChar w:fldCharType="end"/>
          </w:r>
        </w:p>
        <w:p w14:paraId="7746743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_Toc26990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3. </w:t>
          </w:r>
          <w:r>
            <w:rPr>
              <w:rFonts w:hint="eastAsia" w:cs="Times New Roman"/>
              <w:bCs w:val="0"/>
              <w:szCs w:val="24"/>
              <w:lang w:val="en-US" w:eastAsia="zh-CN"/>
            </w:rPr>
            <w:t>认证结果管理</w:t>
          </w:r>
          <w:r>
            <w:tab/>
          </w:r>
          <w:r>
            <w:fldChar w:fldCharType="begin"/>
          </w:r>
          <w:r>
            <w:instrText xml:space="preserve"> PAGEREF _Toc26990 \h </w:instrText>
          </w:r>
          <w:r>
            <w:fldChar w:fldCharType="separate"/>
          </w:r>
          <w:r>
            <w:t>171</w:t>
          </w:r>
          <w:r>
            <w:fldChar w:fldCharType="end"/>
          </w:r>
          <w:r>
            <w:rPr>
              <w:rFonts w:asciiTheme="minorHAnsi" w:hAnsiTheme="minorHAnsi" w:eastAsiaTheme="minorEastAsia" w:cstheme="minorBidi"/>
              <w:szCs w:val="22"/>
              <w:lang w:val="en-US" w:eastAsia="en-US" w:bidi="ar-SA"/>
            </w:rPr>
            <w:fldChar w:fldCharType="end"/>
          </w:r>
        </w:p>
        <w:p w14:paraId="375E406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_Toc12884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_Toc12884 \h </w:instrText>
          </w:r>
          <w:r>
            <w:fldChar w:fldCharType="separate"/>
          </w:r>
          <w:r>
            <w:t>176</w:t>
          </w:r>
          <w:r>
            <w:fldChar w:fldCharType="end"/>
          </w:r>
          <w:r>
            <w:rPr>
              <w:rFonts w:asciiTheme="minorHAnsi" w:hAnsiTheme="minorHAnsi" w:eastAsiaTheme="minorEastAsia" w:cstheme="minorBidi"/>
              <w:szCs w:val="22"/>
              <w:lang w:val="en-US" w:eastAsia="en-US" w:bidi="ar-SA"/>
            </w:rPr>
            <w:fldChar w:fldCharType="end"/>
          </w:r>
        </w:p>
        <w:p w14:paraId="38F671A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_Toc21268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_Toc21268 \h </w:instrText>
          </w:r>
          <w:r>
            <w:fldChar w:fldCharType="separate"/>
          </w:r>
          <w:r>
            <w:t>177</w:t>
          </w:r>
          <w:r>
            <w:fldChar w:fldCharType="end"/>
          </w:r>
          <w:r>
            <w:rPr>
              <w:rFonts w:asciiTheme="minorHAnsi" w:hAnsiTheme="minorHAnsi" w:eastAsiaTheme="minorEastAsia" w:cstheme="minorBidi"/>
              <w:szCs w:val="22"/>
              <w:lang w:val="en-US" w:eastAsia="en-US" w:bidi="ar-SA"/>
            </w:rPr>
            <w:fldChar w:fldCharType="end"/>
          </w:r>
        </w:p>
        <w:p w14:paraId="1D71278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_Toc3368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hint="eastAsia" w:cs="Times New Roman"/>
              <w:bCs w:val="0"/>
              <w:szCs w:val="24"/>
              <w:lang w:val="en-US" w:eastAsia="zh-CN"/>
            </w:rPr>
            <w:t>电力碳排因子</w:t>
          </w:r>
          <w:r>
            <w:tab/>
          </w:r>
          <w:r>
            <w:fldChar w:fldCharType="begin"/>
          </w:r>
          <w:r>
            <w:instrText xml:space="preserve"> PAGEREF _Toc3368 \h </w:instrText>
          </w:r>
          <w:r>
            <w:fldChar w:fldCharType="separate"/>
          </w:r>
          <w:r>
            <w:t>182</w:t>
          </w:r>
          <w:r>
            <w:fldChar w:fldCharType="end"/>
          </w:r>
          <w:r>
            <w:rPr>
              <w:rFonts w:asciiTheme="minorHAnsi" w:hAnsiTheme="minorHAnsi" w:eastAsiaTheme="minorEastAsia" w:cstheme="minorBidi"/>
              <w:szCs w:val="22"/>
              <w:lang w:val="en-US" w:eastAsia="en-US" w:bidi="ar-SA"/>
            </w:rPr>
            <w:fldChar w:fldCharType="end"/>
          </w:r>
        </w:p>
        <w:p w14:paraId="0E5D6E6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_Toc7648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hint="eastAsia" w:cs="Times New Roman"/>
              <w:bCs w:val="0"/>
              <w:szCs w:val="24"/>
              <w:lang w:val="en-US" w:eastAsia="zh-CN"/>
            </w:rPr>
            <w:t>能源活动碳排因子</w:t>
          </w:r>
          <w:r>
            <w:tab/>
          </w:r>
          <w:r>
            <w:fldChar w:fldCharType="begin"/>
          </w:r>
          <w:r>
            <w:instrText xml:space="preserve"> PAGEREF _Toc7648 \h </w:instrText>
          </w:r>
          <w:r>
            <w:fldChar w:fldCharType="separate"/>
          </w:r>
          <w:r>
            <w:t>188</w:t>
          </w:r>
          <w:r>
            <w:fldChar w:fldCharType="end"/>
          </w:r>
          <w:r>
            <w:rPr>
              <w:rFonts w:asciiTheme="minorHAnsi" w:hAnsiTheme="minorHAnsi" w:eastAsiaTheme="minorEastAsia" w:cstheme="minorBidi"/>
              <w:szCs w:val="22"/>
              <w:lang w:val="en-US" w:eastAsia="en-US" w:bidi="ar-SA"/>
            </w:rPr>
            <w:fldChar w:fldCharType="end"/>
          </w:r>
        </w:p>
        <w:p w14:paraId="0FD4C6C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_Toc13070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4. </w:t>
          </w:r>
          <w:r>
            <w:rPr>
              <w:rFonts w:hint="eastAsia" w:cs="Times New Roman"/>
              <w:bCs w:val="0"/>
              <w:szCs w:val="24"/>
              <w:lang w:val="en-US" w:eastAsia="zh-CN"/>
            </w:rPr>
            <w:t>折标煤系数库</w:t>
          </w:r>
          <w:r>
            <w:tab/>
          </w:r>
          <w:r>
            <w:fldChar w:fldCharType="begin"/>
          </w:r>
          <w:r>
            <w:instrText xml:space="preserve"> PAGEREF _Toc13070 \h </w:instrText>
          </w:r>
          <w:r>
            <w:fldChar w:fldCharType="separate"/>
          </w:r>
          <w:r>
            <w:t>193</w:t>
          </w:r>
          <w:r>
            <w:fldChar w:fldCharType="end"/>
          </w:r>
          <w:r>
            <w:rPr>
              <w:rFonts w:asciiTheme="minorHAnsi" w:hAnsiTheme="minorHAnsi" w:eastAsiaTheme="minorEastAsia" w:cstheme="minorBidi"/>
              <w:szCs w:val="22"/>
              <w:lang w:val="en-US" w:eastAsia="en-US" w:bidi="ar-SA"/>
            </w:rPr>
            <w:fldChar w:fldCharType="end"/>
          </w:r>
        </w:p>
        <w:p w14:paraId="418962E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hint="eastAsia"/>
              <w:bCs w:val="0"/>
              <w:szCs w:val="44"/>
              <w:lang w:val="en-US" w:eastAsia="zh-CN"/>
            </w:rPr>
            <w:t>系统管理、基础参数设置</w:t>
          </w:r>
          <w:r>
            <w:tab/>
          </w:r>
          <w:r>
            <w:fldChar w:fldCharType="begin"/>
          </w:r>
          <w:r>
            <w:instrText xml:space="preserve"> PAGEREF _Toc20723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484FD8D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一、 权限管控</w:t>
          </w:r>
          <w:r>
            <w:tab/>
          </w:r>
          <w:r>
            <w:fldChar w:fldCharType="begin"/>
          </w:r>
          <w:r>
            <w:instrText xml:space="preserve"> PAGEREF _Toc1193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04E096D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_Toc4163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组织管理</w:t>
          </w:r>
          <w:r>
            <w:tab/>
          </w:r>
          <w:r>
            <w:fldChar w:fldCharType="begin"/>
          </w:r>
          <w:r>
            <w:instrText xml:space="preserve"> PAGEREF _Toc4163 \h </w:instrText>
          </w:r>
          <w:r>
            <w:fldChar w:fldCharType="separate"/>
          </w:r>
          <w:r>
            <w:t>199</w:t>
          </w:r>
          <w:r>
            <w:fldChar w:fldCharType="end"/>
          </w:r>
          <w:r>
            <w:rPr>
              <w:rFonts w:asciiTheme="minorHAnsi" w:hAnsiTheme="minorHAnsi" w:eastAsiaTheme="minorEastAsia" w:cstheme="minorBidi"/>
              <w:szCs w:val="22"/>
              <w:lang w:val="en-US" w:eastAsia="en-US" w:bidi="ar-SA"/>
            </w:rPr>
            <w:fldChar w:fldCharType="end"/>
          </w:r>
        </w:p>
        <w:p w14:paraId="11195ED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_Toc19571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用户管理</w:t>
          </w:r>
          <w:r>
            <w:tab/>
          </w:r>
          <w:r>
            <w:fldChar w:fldCharType="begin"/>
          </w:r>
          <w:r>
            <w:instrText xml:space="preserve"> PAGEREF _Toc19571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783BFB1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_Toc16729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角色与权限</w:t>
          </w:r>
          <w:r>
            <w:tab/>
          </w:r>
          <w:r>
            <w:fldChar w:fldCharType="begin"/>
          </w:r>
          <w:r>
            <w:instrText xml:space="preserve"> PAGEREF _Toc16729 \h </w:instrText>
          </w:r>
          <w:r>
            <w:fldChar w:fldCharType="separate"/>
          </w:r>
          <w:r>
            <w:t>212</w:t>
          </w:r>
          <w:r>
            <w:fldChar w:fldCharType="end"/>
          </w:r>
          <w:r>
            <w:rPr>
              <w:rFonts w:asciiTheme="minorHAnsi" w:hAnsiTheme="minorHAnsi" w:eastAsiaTheme="minorEastAsia" w:cstheme="minorBidi"/>
              <w:szCs w:val="22"/>
              <w:lang w:val="en-US" w:eastAsia="en-US" w:bidi="ar-SA"/>
            </w:rPr>
            <w:fldChar w:fldCharType="end"/>
          </w:r>
        </w:p>
        <w:p w14:paraId="270022A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_Toc21244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4. </w:t>
          </w:r>
          <w:r>
            <w:rPr>
              <w:rFonts w:hint="eastAsia" w:cs="Times New Roman"/>
              <w:bCs w:val="0"/>
              <w:szCs w:val="24"/>
              <w:lang w:val="en-US" w:eastAsia="zh-CN"/>
            </w:rPr>
            <w:t>菜单与功能</w:t>
          </w:r>
          <w:r>
            <w:tab/>
          </w:r>
          <w:r>
            <w:fldChar w:fldCharType="begin"/>
          </w:r>
          <w:r>
            <w:instrText xml:space="preserve"> PAGEREF _Toc21244 \h </w:instrText>
          </w:r>
          <w:r>
            <w:fldChar w:fldCharType="separate"/>
          </w:r>
          <w:r>
            <w:t>218</w:t>
          </w:r>
          <w:r>
            <w:fldChar w:fldCharType="end"/>
          </w:r>
          <w:r>
            <w:rPr>
              <w:rFonts w:asciiTheme="minorHAnsi" w:hAnsiTheme="minorHAnsi" w:eastAsiaTheme="minorEastAsia" w:cstheme="minorBidi"/>
              <w:szCs w:val="22"/>
              <w:lang w:val="en-US" w:eastAsia="en-US" w:bidi="ar-SA"/>
            </w:rPr>
            <w:fldChar w:fldCharType="end"/>
          </w:r>
        </w:p>
        <w:p w14:paraId="1048FA2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_Toc18178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二、 能碳基础因子管理</w:t>
          </w:r>
          <w:r>
            <w:tab/>
          </w:r>
          <w:r>
            <w:fldChar w:fldCharType="begin"/>
          </w:r>
          <w:r>
            <w:instrText xml:space="preserve"> PAGEREF _Toc18178 \h </w:instrText>
          </w:r>
          <w:r>
            <w:fldChar w:fldCharType="separate"/>
          </w:r>
          <w:r>
            <w:t>224</w:t>
          </w:r>
          <w:r>
            <w:fldChar w:fldCharType="end"/>
          </w:r>
          <w:r>
            <w:rPr>
              <w:rFonts w:asciiTheme="minorHAnsi" w:hAnsiTheme="minorHAnsi" w:eastAsiaTheme="minorEastAsia" w:cstheme="minorBidi"/>
              <w:szCs w:val="22"/>
              <w:lang w:val="en-US" w:eastAsia="en-US" w:bidi="ar-SA"/>
            </w:rPr>
            <w:fldChar w:fldCharType="end"/>
          </w:r>
        </w:p>
        <w:p w14:paraId="114B80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_Toc16980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bCs w:val="0"/>
              <w:lang w:val="en-US" w:eastAsia="zh-CN"/>
            </w:rPr>
            <w:t>电力碳排因子</w:t>
          </w:r>
          <w:r>
            <w:tab/>
          </w:r>
          <w:r>
            <w:fldChar w:fldCharType="begin"/>
          </w:r>
          <w:r>
            <w:instrText xml:space="preserve"> PAGEREF _Toc16980 \h </w:instrText>
          </w:r>
          <w:r>
            <w:fldChar w:fldCharType="separate"/>
          </w:r>
          <w:r>
            <w:t>225</w:t>
          </w:r>
          <w:r>
            <w:fldChar w:fldCharType="end"/>
          </w:r>
          <w:r>
            <w:rPr>
              <w:rFonts w:asciiTheme="minorHAnsi" w:hAnsiTheme="minorHAnsi" w:eastAsiaTheme="minorEastAsia" w:cstheme="minorBidi"/>
              <w:szCs w:val="22"/>
              <w:lang w:val="en-US" w:eastAsia="en-US" w:bidi="ar-SA"/>
            </w:rPr>
            <w:fldChar w:fldCharType="end"/>
          </w:r>
        </w:p>
        <w:p w14:paraId="366C4DC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_Toc5027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能源活动碳排因子</w:t>
          </w:r>
          <w:r>
            <w:tab/>
          </w:r>
          <w:r>
            <w:fldChar w:fldCharType="begin"/>
          </w:r>
          <w:r>
            <w:instrText xml:space="preserve"> PAGEREF _Toc5027 \h </w:instrText>
          </w:r>
          <w:r>
            <w:fldChar w:fldCharType="separate"/>
          </w:r>
          <w:r>
            <w:t>232</w:t>
          </w:r>
          <w:r>
            <w:fldChar w:fldCharType="end"/>
          </w:r>
          <w:r>
            <w:rPr>
              <w:rFonts w:asciiTheme="minorHAnsi" w:hAnsiTheme="minorHAnsi" w:eastAsiaTheme="minorEastAsia" w:cstheme="minorBidi"/>
              <w:szCs w:val="22"/>
              <w:lang w:val="en-US" w:eastAsia="en-US" w:bidi="ar-SA"/>
            </w:rPr>
            <w:fldChar w:fldCharType="end"/>
          </w:r>
        </w:p>
        <w:p w14:paraId="67656A2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_Toc14741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折标煤系数库</w:t>
          </w:r>
          <w:r>
            <w:tab/>
          </w:r>
          <w:r>
            <w:fldChar w:fldCharType="begin"/>
          </w:r>
          <w:r>
            <w:instrText xml:space="preserve"> PAGEREF _Toc14741 \h </w:instrText>
          </w:r>
          <w:r>
            <w:fldChar w:fldCharType="separate"/>
          </w:r>
          <w:r>
            <w:t>238</w:t>
          </w:r>
          <w:r>
            <w:fldChar w:fldCharType="end"/>
          </w:r>
          <w:r>
            <w:rPr>
              <w:rFonts w:asciiTheme="minorHAnsi" w:hAnsiTheme="minorHAnsi" w:eastAsiaTheme="minorEastAsia" w:cstheme="minorBidi"/>
              <w:szCs w:val="22"/>
              <w:lang w:val="en-US" w:eastAsia="en-US" w:bidi="ar-SA"/>
            </w:rPr>
            <w:fldChar w:fldCharType="end"/>
          </w:r>
        </w:p>
        <w:p w14:paraId="6B5EE7F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_Toc3855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三、 费价模型</w:t>
          </w:r>
          <w:r>
            <w:tab/>
          </w:r>
          <w:r>
            <w:fldChar w:fldCharType="begin"/>
          </w:r>
          <w:r>
            <w:instrText xml:space="preserve"> PAGEREF _Toc3855 \h </w:instrText>
          </w:r>
          <w:r>
            <w:fldChar w:fldCharType="separate"/>
          </w:r>
          <w:r>
            <w:t>243</w:t>
          </w:r>
          <w:r>
            <w:fldChar w:fldCharType="end"/>
          </w:r>
          <w:r>
            <w:rPr>
              <w:rFonts w:asciiTheme="minorHAnsi" w:hAnsiTheme="minorHAnsi" w:eastAsiaTheme="minorEastAsia" w:cstheme="minorBidi"/>
              <w:szCs w:val="22"/>
              <w:lang w:val="en-US" w:eastAsia="en-US" w:bidi="ar-SA"/>
            </w:rPr>
            <w:fldChar w:fldCharType="end"/>
          </w:r>
        </w:p>
        <w:p w14:paraId="707FE9D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_Toc14821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费价模型</w:t>
          </w:r>
          <w:r>
            <w:tab/>
          </w:r>
          <w:r>
            <w:fldChar w:fldCharType="begin"/>
          </w:r>
          <w:r>
            <w:instrText xml:space="preserve"> PAGEREF _Toc14821 \h </w:instrText>
          </w:r>
          <w:r>
            <w:fldChar w:fldCharType="separate"/>
          </w:r>
          <w:r>
            <w:t>244</w:t>
          </w:r>
          <w:r>
            <w:fldChar w:fldCharType="end"/>
          </w:r>
          <w:r>
            <w:rPr>
              <w:rFonts w:asciiTheme="minorHAnsi" w:hAnsiTheme="minorHAnsi" w:eastAsiaTheme="minorEastAsia" w:cstheme="minorBidi"/>
              <w:szCs w:val="22"/>
              <w:lang w:val="en-US" w:eastAsia="en-US" w:bidi="ar-SA"/>
            </w:rPr>
            <w:fldChar w:fldCharType="end"/>
          </w:r>
        </w:p>
        <w:p w14:paraId="3916F1F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_Toc29700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四、 生产设备维护</w:t>
          </w:r>
          <w:r>
            <w:tab/>
          </w:r>
          <w:r>
            <w:fldChar w:fldCharType="begin"/>
          </w:r>
          <w:r>
            <w:instrText xml:space="preserve"> PAGEREF _Toc29700 \h </w:instrText>
          </w:r>
          <w:r>
            <w:fldChar w:fldCharType="separate"/>
          </w:r>
          <w:r>
            <w:t>252</w:t>
          </w:r>
          <w:r>
            <w:fldChar w:fldCharType="end"/>
          </w:r>
          <w:r>
            <w:rPr>
              <w:rFonts w:asciiTheme="minorHAnsi" w:hAnsiTheme="minorHAnsi" w:eastAsiaTheme="minorEastAsia" w:cstheme="minorBidi"/>
              <w:szCs w:val="22"/>
              <w:lang w:val="en-US" w:eastAsia="en-US" w:bidi="ar-SA"/>
            </w:rPr>
            <w:fldChar w:fldCharType="end"/>
          </w:r>
        </w:p>
        <w:p w14:paraId="2FD1031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_Toc8302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重点用能设备</w:t>
          </w:r>
          <w:r>
            <w:tab/>
          </w:r>
          <w:r>
            <w:fldChar w:fldCharType="begin"/>
          </w:r>
          <w:r>
            <w:instrText xml:space="preserve"> PAGEREF _Toc8302 \h </w:instrText>
          </w:r>
          <w:r>
            <w:fldChar w:fldCharType="separate"/>
          </w:r>
          <w:r>
            <w:t>252</w:t>
          </w:r>
          <w:r>
            <w:fldChar w:fldCharType="end"/>
          </w:r>
          <w:r>
            <w:rPr>
              <w:rFonts w:asciiTheme="minorHAnsi" w:hAnsiTheme="minorHAnsi" w:eastAsiaTheme="minorEastAsia" w:cstheme="minorBidi"/>
              <w:szCs w:val="22"/>
              <w:lang w:val="en-US" w:eastAsia="en-US" w:bidi="ar-SA"/>
            </w:rPr>
            <w:fldChar w:fldCharType="end"/>
          </w:r>
        </w:p>
        <w:p w14:paraId="3AB48CD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_Toc10955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光伏设备管理</w:t>
          </w:r>
          <w:r>
            <w:tab/>
          </w:r>
          <w:r>
            <w:fldChar w:fldCharType="begin"/>
          </w:r>
          <w:r>
            <w:instrText xml:space="preserve"> PAGEREF _Toc10955 \h </w:instrText>
          </w:r>
          <w:r>
            <w:fldChar w:fldCharType="separate"/>
          </w:r>
          <w:r>
            <w:t>259</w:t>
          </w:r>
          <w:r>
            <w:fldChar w:fldCharType="end"/>
          </w:r>
          <w:r>
            <w:rPr>
              <w:rFonts w:asciiTheme="minorHAnsi" w:hAnsiTheme="minorHAnsi" w:eastAsiaTheme="minorEastAsia" w:cstheme="minorBidi"/>
              <w:szCs w:val="22"/>
              <w:lang w:val="en-US" w:eastAsia="en-US" w:bidi="ar-SA"/>
            </w:rPr>
            <w:fldChar w:fldCharType="end"/>
          </w:r>
        </w:p>
        <w:p w14:paraId="7C310EE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_Toc15637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五、 生产数据维护</w:t>
          </w:r>
          <w:r>
            <w:tab/>
          </w:r>
          <w:r>
            <w:fldChar w:fldCharType="begin"/>
          </w:r>
          <w:r>
            <w:instrText xml:space="preserve"> PAGEREF _Toc15637 \h </w:instrText>
          </w:r>
          <w:r>
            <w:fldChar w:fldCharType="separate"/>
          </w:r>
          <w:r>
            <w:t>265</w:t>
          </w:r>
          <w:r>
            <w:fldChar w:fldCharType="end"/>
          </w:r>
          <w:r>
            <w:rPr>
              <w:rFonts w:asciiTheme="minorHAnsi" w:hAnsiTheme="minorHAnsi" w:eastAsiaTheme="minorEastAsia" w:cstheme="minorBidi"/>
              <w:szCs w:val="22"/>
              <w:lang w:val="en-US" w:eastAsia="en-US" w:bidi="ar-SA"/>
            </w:rPr>
            <w:fldChar w:fldCharType="end"/>
          </w:r>
        </w:p>
        <w:p w14:paraId="58309DC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_Toc4486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产品类型管理</w:t>
          </w:r>
          <w:r>
            <w:tab/>
          </w:r>
          <w:r>
            <w:fldChar w:fldCharType="begin"/>
          </w:r>
          <w:r>
            <w:instrText xml:space="preserve"> PAGEREF _Toc4486 \h </w:instrText>
          </w:r>
          <w:r>
            <w:fldChar w:fldCharType="separate"/>
          </w:r>
          <w:r>
            <w:t>265</w:t>
          </w:r>
          <w:r>
            <w:fldChar w:fldCharType="end"/>
          </w:r>
          <w:r>
            <w:rPr>
              <w:rFonts w:asciiTheme="minorHAnsi" w:hAnsiTheme="minorHAnsi" w:eastAsiaTheme="minorEastAsia" w:cstheme="minorBidi"/>
              <w:szCs w:val="22"/>
              <w:lang w:val="en-US" w:eastAsia="en-US" w:bidi="ar-SA"/>
            </w:rPr>
            <w:fldChar w:fldCharType="end"/>
          </w:r>
        </w:p>
        <w:p w14:paraId="7E76E4A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_Toc21500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产品型号管理</w:t>
          </w:r>
          <w:r>
            <w:tab/>
          </w:r>
          <w:r>
            <w:fldChar w:fldCharType="begin"/>
          </w:r>
          <w:r>
            <w:instrText xml:space="preserve"> PAGEREF _Toc21500 \h </w:instrText>
          </w:r>
          <w:r>
            <w:fldChar w:fldCharType="separate"/>
          </w:r>
          <w:r>
            <w:t>271</w:t>
          </w:r>
          <w:r>
            <w:fldChar w:fldCharType="end"/>
          </w:r>
          <w:r>
            <w:rPr>
              <w:rFonts w:asciiTheme="minorHAnsi" w:hAnsiTheme="minorHAnsi" w:eastAsiaTheme="minorEastAsia" w:cstheme="minorBidi"/>
              <w:szCs w:val="22"/>
              <w:lang w:val="en-US" w:eastAsia="en-US" w:bidi="ar-SA"/>
            </w:rPr>
            <w:fldChar w:fldCharType="end"/>
          </w:r>
        </w:p>
        <w:p w14:paraId="7CFCA3A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_Toc26666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3. </w:t>
          </w:r>
          <w:r>
            <w:rPr>
              <w:rFonts w:hint="eastAsia"/>
              <w:bCs w:val="0"/>
              <w:lang w:val="en-US" w:eastAsia="zh-CN"/>
            </w:rPr>
            <w:t>基础数据管理</w:t>
          </w:r>
          <w:r>
            <w:tab/>
          </w:r>
          <w:r>
            <w:fldChar w:fldCharType="begin"/>
          </w:r>
          <w:r>
            <w:instrText xml:space="preserve"> PAGEREF _Toc26666 \h </w:instrText>
          </w:r>
          <w:r>
            <w:fldChar w:fldCharType="separate"/>
          </w:r>
          <w:r>
            <w:t>278</w:t>
          </w:r>
          <w:r>
            <w:fldChar w:fldCharType="end"/>
          </w:r>
          <w:r>
            <w:rPr>
              <w:rFonts w:asciiTheme="minorHAnsi" w:hAnsiTheme="minorHAnsi" w:eastAsiaTheme="minorEastAsia" w:cstheme="minorBidi"/>
              <w:szCs w:val="22"/>
              <w:lang w:val="en-US" w:eastAsia="en-US" w:bidi="ar-SA"/>
            </w:rPr>
            <w:fldChar w:fldCharType="end"/>
          </w:r>
        </w:p>
        <w:p w14:paraId="4E568E3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_Toc2075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4. </w:t>
          </w:r>
          <w:r>
            <w:rPr>
              <w:rFonts w:hint="eastAsia"/>
              <w:bCs w:val="0"/>
              <w:lang w:val="en-US" w:eastAsia="zh-CN"/>
            </w:rPr>
            <w:t>生产工序管理</w:t>
          </w:r>
          <w:r>
            <w:tab/>
          </w:r>
          <w:r>
            <w:fldChar w:fldCharType="begin"/>
          </w:r>
          <w:r>
            <w:instrText xml:space="preserve"> PAGEREF _Toc2075 \h </w:instrText>
          </w:r>
          <w:r>
            <w:fldChar w:fldCharType="separate"/>
          </w:r>
          <w:r>
            <w:t>284</w:t>
          </w:r>
          <w:r>
            <w:fldChar w:fldCharType="end"/>
          </w:r>
          <w:r>
            <w:rPr>
              <w:rFonts w:asciiTheme="minorHAnsi" w:hAnsiTheme="minorHAnsi" w:eastAsiaTheme="minorEastAsia" w:cstheme="minorBidi"/>
              <w:szCs w:val="22"/>
              <w:lang w:val="en-US" w:eastAsia="en-US" w:bidi="ar-SA"/>
            </w:rPr>
            <w:fldChar w:fldCharType="end"/>
          </w:r>
        </w:p>
        <w:p w14:paraId="270BDEC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_Toc1355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六、 日志管理</w:t>
          </w:r>
          <w:r>
            <w:tab/>
          </w:r>
          <w:r>
            <w:fldChar w:fldCharType="begin"/>
          </w:r>
          <w:r>
            <w:instrText xml:space="preserve"> PAGEREF _Toc1355 \h </w:instrText>
          </w:r>
          <w:r>
            <w:fldChar w:fldCharType="separate"/>
          </w:r>
          <w:r>
            <w:t>290</w:t>
          </w:r>
          <w:r>
            <w:fldChar w:fldCharType="end"/>
          </w:r>
          <w:r>
            <w:rPr>
              <w:rFonts w:asciiTheme="minorHAnsi" w:hAnsiTheme="minorHAnsi" w:eastAsiaTheme="minorEastAsia" w:cstheme="minorBidi"/>
              <w:szCs w:val="22"/>
              <w:lang w:val="en-US" w:eastAsia="en-US" w:bidi="ar-SA"/>
            </w:rPr>
            <w:fldChar w:fldCharType="end"/>
          </w:r>
        </w:p>
        <w:p w14:paraId="2B49EF0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_Toc24419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日志管理</w:t>
          </w:r>
          <w:r>
            <w:tab/>
          </w:r>
          <w:r>
            <w:fldChar w:fldCharType="begin"/>
          </w:r>
          <w:r>
            <w:instrText xml:space="preserve"> PAGEREF _Toc24419 \h </w:instrText>
          </w:r>
          <w:r>
            <w:fldChar w:fldCharType="separate"/>
          </w:r>
          <w:r>
            <w:t>291</w:t>
          </w:r>
          <w:r>
            <w:fldChar w:fldCharType="end"/>
          </w:r>
          <w:r>
            <w:rPr>
              <w:rFonts w:asciiTheme="minorHAnsi" w:hAnsiTheme="minorHAnsi" w:eastAsiaTheme="minorEastAsia" w:cstheme="minorBidi"/>
              <w:szCs w:val="22"/>
              <w:lang w:val="en-US" w:eastAsia="en-US" w:bidi="ar-SA"/>
            </w:rPr>
            <w:fldChar w:fldCharType="end"/>
          </w:r>
        </w:p>
        <w:p w14:paraId="27EA838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_Toc25106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系统底座、接口契约与 QA 质量验收</w:t>
          </w:r>
          <w:r>
            <w:tab/>
          </w:r>
          <w:r>
            <w:fldChar w:fldCharType="begin"/>
          </w:r>
          <w:r>
            <w:instrText xml:space="preserve"> PAGEREF _Toc25106 \h </w:instrText>
          </w:r>
          <w:r>
            <w:fldChar w:fldCharType="separate"/>
          </w:r>
          <w:r>
            <w:t>297</w:t>
          </w:r>
          <w:r>
            <w:fldChar w:fldCharType="end"/>
          </w:r>
          <w:r>
            <w:rPr>
              <w:rFonts w:asciiTheme="minorHAnsi" w:hAnsiTheme="minorHAnsi" w:eastAsiaTheme="minorEastAsia" w:cstheme="minorBidi"/>
              <w:szCs w:val="22"/>
              <w:lang w:val="en-US" w:eastAsia="en-US" w:bidi="ar-SA"/>
            </w:rPr>
            <w:fldChar w:fldCharType="end"/>
          </w:r>
        </w:p>
        <w:p w14:paraId="1D641EB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_Toc21841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六级组织架构与穿透鉴权体系</w:t>
          </w:r>
          <w:r>
            <w:tab/>
          </w:r>
          <w:r>
            <w:fldChar w:fldCharType="begin"/>
          </w:r>
          <w:r>
            <w:instrText xml:space="preserve"> PAGEREF _Toc21841 \h </w:instrText>
          </w:r>
          <w:r>
            <w:fldChar w:fldCharType="separate"/>
          </w:r>
          <w:r>
            <w:t>297</w:t>
          </w:r>
          <w:r>
            <w:fldChar w:fldCharType="end"/>
          </w:r>
          <w:r>
            <w:rPr>
              <w:rFonts w:asciiTheme="minorHAnsi" w:hAnsiTheme="minorHAnsi" w:eastAsiaTheme="minorEastAsia" w:cstheme="minorBidi"/>
              <w:szCs w:val="22"/>
              <w:lang w:val="en-US" w:eastAsia="en-US" w:bidi="ar-SA"/>
            </w:rPr>
            <w:fldChar w:fldCharType="end"/>
          </w:r>
        </w:p>
        <w:p w14:paraId="3CED034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_Toc16153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外部系统集成与 API 契约</w:t>
          </w:r>
          <w:r>
            <w:tab/>
          </w:r>
          <w:r>
            <w:fldChar w:fldCharType="begin"/>
          </w:r>
          <w:r>
            <w:instrText xml:space="preserve"> PAGEREF _Toc16153 \h </w:instrText>
          </w:r>
          <w:r>
            <w:fldChar w:fldCharType="separate"/>
          </w:r>
          <w:r>
            <w:t>298</w:t>
          </w:r>
          <w:r>
            <w:fldChar w:fldCharType="end"/>
          </w:r>
          <w:r>
            <w:rPr>
              <w:rFonts w:asciiTheme="minorHAnsi" w:hAnsiTheme="minorHAnsi" w:eastAsiaTheme="minorEastAsia" w:cstheme="minorBidi"/>
              <w:szCs w:val="22"/>
              <w:lang w:val="en-US" w:eastAsia="en-US" w:bidi="ar-SA"/>
            </w:rPr>
            <w:fldChar w:fldCharType="end"/>
          </w:r>
        </w:p>
        <w:p w14:paraId="11024F3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_Toc22246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质量保障体系与全量验收测试用例矩阵</w:t>
          </w:r>
          <w:r>
            <w:tab/>
          </w:r>
          <w:r>
            <w:fldChar w:fldCharType="begin"/>
          </w:r>
          <w:r>
            <w:instrText xml:space="preserve"> PAGEREF _Toc22246 \h </w:instrText>
          </w:r>
          <w:r>
            <w:fldChar w:fldCharType="separate"/>
          </w:r>
          <w:r>
            <w:t>299</w:t>
          </w:r>
          <w:r>
            <w:fldChar w:fldCharType="end"/>
          </w:r>
          <w:r>
            <w:rPr>
              <w:rFonts w:asciiTheme="minorHAnsi" w:hAnsiTheme="minorHAnsi" w:eastAsiaTheme="minorEastAsia" w:cstheme="minorBidi"/>
              <w:szCs w:val="22"/>
              <w:lang w:val="en-US" w:eastAsia="en-US" w:bidi="ar-SA"/>
            </w:rPr>
            <w:fldChar w:fldCharType="end"/>
          </w:r>
        </w:p>
        <w:p w14:paraId="3F008D2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_Toc28933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工程治理、状态机与合规保障体系</w:t>
          </w:r>
          <w:r>
            <w:tab/>
          </w:r>
          <w:r>
            <w:fldChar w:fldCharType="begin"/>
          </w:r>
          <w:r>
            <w:instrText xml:space="preserve"> PAGEREF _Toc28933 \h </w:instrText>
          </w:r>
          <w:r>
            <w:fldChar w:fldCharType="separate"/>
          </w:r>
          <w:r>
            <w:t>301</w:t>
          </w:r>
          <w:r>
            <w:fldChar w:fldCharType="end"/>
          </w:r>
          <w:r>
            <w:rPr>
              <w:rFonts w:asciiTheme="minorHAnsi" w:hAnsiTheme="minorHAnsi" w:eastAsiaTheme="minorEastAsia" w:cstheme="minorBidi"/>
              <w:szCs w:val="22"/>
              <w:lang w:val="en-US" w:eastAsia="en-US" w:bidi="ar-SA"/>
            </w:rPr>
            <w:fldChar w:fldCharType="end"/>
          </w:r>
        </w:p>
        <w:p w14:paraId="61C7B03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_Toc6982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数据治理与商密合规</w:t>
          </w:r>
          <w:r>
            <w:tab/>
          </w:r>
          <w:r>
            <w:fldChar w:fldCharType="begin"/>
          </w:r>
          <w:r>
            <w:instrText xml:space="preserve"> PAGEREF _Toc6982 \h </w:instrText>
          </w:r>
          <w:r>
            <w:fldChar w:fldCharType="separate"/>
          </w:r>
          <w:r>
            <w:t>301</w:t>
          </w:r>
          <w:r>
            <w:fldChar w:fldCharType="end"/>
          </w:r>
          <w:r>
            <w:rPr>
              <w:rFonts w:asciiTheme="minorHAnsi" w:hAnsiTheme="minorHAnsi" w:eastAsiaTheme="minorEastAsia" w:cstheme="minorBidi"/>
              <w:szCs w:val="22"/>
              <w:lang w:val="en-US" w:eastAsia="en-US" w:bidi="ar-SA"/>
            </w:rPr>
            <w:fldChar w:fldCharType="end"/>
          </w:r>
        </w:p>
        <w:p w14:paraId="05B946A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_Toc6934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数据冲突仲裁与降级补传治理机制（Reconciliation）</w:t>
          </w:r>
          <w:r>
            <w:tab/>
          </w:r>
          <w:r>
            <w:fldChar w:fldCharType="begin"/>
          </w:r>
          <w:r>
            <w:instrText xml:space="preserve"> PAGEREF _Toc6934 \h </w:instrText>
          </w:r>
          <w:r>
            <w:fldChar w:fldCharType="separate"/>
          </w:r>
          <w:r>
            <w:t>301</w:t>
          </w:r>
          <w:r>
            <w:fldChar w:fldCharType="end"/>
          </w:r>
          <w:r>
            <w:rPr>
              <w:rFonts w:asciiTheme="minorHAnsi" w:hAnsiTheme="minorHAnsi" w:eastAsiaTheme="minorEastAsia" w:cstheme="minorBidi"/>
              <w:szCs w:val="22"/>
              <w:lang w:val="en-US" w:eastAsia="en-US" w:bidi="ar-SA"/>
            </w:rPr>
            <w:fldChar w:fldCharType="end"/>
          </w:r>
        </w:p>
        <w:p w14:paraId="77FF827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_Toc9889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时序补传冲突消解（断网恢复场景）</w:t>
          </w:r>
          <w:r>
            <w:tab/>
          </w:r>
          <w:r>
            <w:fldChar w:fldCharType="begin"/>
          </w:r>
          <w:r>
            <w:instrText xml:space="preserve"> PAGEREF _Toc9889 \h </w:instrText>
          </w:r>
          <w:r>
            <w:fldChar w:fldCharType="separate"/>
          </w:r>
          <w:r>
            <w:t>301</w:t>
          </w:r>
          <w:r>
            <w:fldChar w:fldCharType="end"/>
          </w:r>
          <w:r>
            <w:rPr>
              <w:rFonts w:asciiTheme="minorHAnsi" w:hAnsiTheme="minorHAnsi" w:eastAsiaTheme="minorEastAsia" w:cstheme="minorBidi"/>
              <w:szCs w:val="22"/>
              <w:lang w:val="en-US" w:eastAsia="en-US" w:bidi="ar-SA"/>
            </w:rPr>
            <w:fldChar w:fldCharType="end"/>
          </w:r>
        </w:p>
        <w:p w14:paraId="64519FA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_Toc3840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ascii="Times New Roman" w:hAnsi="Times New Roman" w:eastAsia="黑体" w:cs="Times New Roman"/>
              <w:bCs w:val="0"/>
              <w:szCs w:val="24"/>
            </w:rPr>
            <w:t>BOM 差异对账仲裁（ERP 恢复场景）</w:t>
          </w:r>
          <w:r>
            <w:tab/>
          </w:r>
          <w:r>
            <w:fldChar w:fldCharType="begin"/>
          </w:r>
          <w:r>
            <w:instrText xml:space="preserve"> PAGEREF _Toc3840 \h </w:instrText>
          </w:r>
          <w:r>
            <w:fldChar w:fldCharType="separate"/>
          </w:r>
          <w:r>
            <w:t>302</w:t>
          </w:r>
          <w:r>
            <w:fldChar w:fldCharType="end"/>
          </w:r>
          <w:r>
            <w:rPr>
              <w:rFonts w:asciiTheme="minorHAnsi" w:hAnsiTheme="minorHAnsi" w:eastAsiaTheme="minorEastAsia" w:cstheme="minorBidi"/>
              <w:szCs w:val="22"/>
              <w:lang w:val="en-US" w:eastAsia="en-US" w:bidi="ar-SA"/>
            </w:rPr>
            <w:fldChar w:fldCharType="end"/>
          </w:r>
        </w:p>
        <w:p w14:paraId="672E444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_Toc28942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关键业务长流程状态机图谱</w:t>
          </w:r>
          <w:r>
            <w:tab/>
          </w:r>
          <w:r>
            <w:fldChar w:fldCharType="begin"/>
          </w:r>
          <w:r>
            <w:instrText xml:space="preserve"> PAGEREF _Toc28942 \h </w:instrText>
          </w:r>
          <w:r>
            <w:fldChar w:fldCharType="separate"/>
          </w:r>
          <w:r>
            <w:t>303</w:t>
          </w:r>
          <w:r>
            <w:fldChar w:fldCharType="end"/>
          </w:r>
          <w:r>
            <w:rPr>
              <w:rFonts w:asciiTheme="minorHAnsi" w:hAnsiTheme="minorHAnsi" w:eastAsiaTheme="minorEastAsia" w:cstheme="minorBidi"/>
              <w:szCs w:val="22"/>
              <w:lang w:val="en-US" w:eastAsia="en-US" w:bidi="ar-SA"/>
            </w:rPr>
            <w:fldChar w:fldCharType="end"/>
          </w:r>
        </w:p>
        <w:p w14:paraId="0059D97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术语表与缩略语大全</w:t>
          </w:r>
          <w:r>
            <w:tab/>
          </w:r>
          <w:r>
            <w:fldChar w:fldCharType="begin"/>
          </w:r>
          <w:r>
            <w:instrText xml:space="preserve"> PAGEREF _Toc1231 \h </w:instrText>
          </w:r>
          <w:r>
            <w:fldChar w:fldCharType="separate"/>
          </w:r>
          <w:r>
            <w:t>304</w:t>
          </w:r>
          <w:r>
            <w:fldChar w:fldCharType="end"/>
          </w:r>
          <w:r>
            <w:rPr>
              <w:rFonts w:asciiTheme="minorHAnsi" w:hAnsiTheme="minorHAnsi" w:eastAsiaTheme="minorEastAsia" w:cstheme="minorBidi"/>
              <w:szCs w:val="22"/>
              <w:lang w:val="en-US" w:eastAsia="en-US" w:bidi="ar-SA"/>
            </w:rPr>
            <w:fldChar w:fldCharType="end"/>
          </w:r>
        </w:p>
        <w:p w14:paraId="45E2C84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_Toc14714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标准化错误码字典与异常分级</w:t>
          </w:r>
          <w:r>
            <w:tab/>
          </w:r>
          <w:r>
            <w:fldChar w:fldCharType="begin"/>
          </w:r>
          <w:r>
            <w:instrText xml:space="preserve"> PAGEREF _Toc14714 \h </w:instrText>
          </w:r>
          <w:r>
            <w:fldChar w:fldCharType="separate"/>
          </w:r>
          <w:r>
            <w:t>305</w:t>
          </w:r>
          <w:r>
            <w:fldChar w:fldCharType="end"/>
          </w:r>
          <w:r>
            <w:rPr>
              <w:rFonts w:asciiTheme="minorHAnsi" w:hAnsiTheme="minorHAnsi" w:eastAsiaTheme="minorEastAsia" w:cstheme="minorBidi"/>
              <w:szCs w:val="22"/>
              <w:lang w:val="en-US" w:eastAsia="en-US" w:bidi="ar-SA"/>
            </w:rPr>
            <w:fldChar w:fldCharType="end"/>
          </w:r>
        </w:p>
        <w:p w14:paraId="2905BC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_Toc12963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决策治理责任矩阵</w:t>
          </w:r>
          <w:r>
            <w:tab/>
          </w:r>
          <w:r>
            <w:fldChar w:fldCharType="begin"/>
          </w:r>
          <w:r>
            <w:instrText xml:space="preserve"> PAGEREF _Toc12963 \h </w:instrText>
          </w:r>
          <w:r>
            <w:fldChar w:fldCharType="separate"/>
          </w:r>
          <w:r>
            <w:t>315</w:t>
          </w:r>
          <w:r>
            <w:fldChar w:fldCharType="end"/>
          </w:r>
          <w:r>
            <w:rPr>
              <w:rFonts w:asciiTheme="minorHAnsi" w:hAnsiTheme="minorHAnsi" w:eastAsiaTheme="minorEastAsia" w:cstheme="minorBidi"/>
              <w:szCs w:val="22"/>
              <w:lang w:val="en-US" w:eastAsia="en-US" w:bidi="ar-SA"/>
            </w:rPr>
            <w:fldChar w:fldCharType="end"/>
          </w:r>
        </w:p>
        <w:p w14:paraId="5F54FCC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_Toc3293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第七章 </w:t>
          </w:r>
          <w:r>
            <w:rPr>
              <w:rFonts w:ascii="Times New Roman" w:hAnsi="Times New Roman" w:eastAsia="黑体" w:cs="Times New Roman"/>
              <w:bCs w:val="0"/>
              <w:szCs w:val="44"/>
            </w:rPr>
            <w:t>非功能需求与性能指标</w:t>
          </w:r>
          <w:r>
            <w:tab/>
          </w:r>
          <w:r>
            <w:fldChar w:fldCharType="begin"/>
          </w:r>
          <w:r>
            <w:instrText xml:space="preserve"> PAGEREF _Toc3293 \h </w:instrText>
          </w:r>
          <w:r>
            <w:fldChar w:fldCharType="separate"/>
          </w:r>
          <w:r>
            <w:t>316</w:t>
          </w:r>
          <w:r>
            <w:fldChar w:fldCharType="end"/>
          </w:r>
          <w:r>
            <w:rPr>
              <w:rFonts w:asciiTheme="minorHAnsi" w:hAnsiTheme="minorHAnsi" w:eastAsiaTheme="minorEastAsia" w:cstheme="minorBidi"/>
              <w:szCs w:val="22"/>
              <w:lang w:val="en-US" w:eastAsia="en-US" w:bidi="ar-SA"/>
            </w:rPr>
            <w:fldChar w:fldCharType="end"/>
          </w:r>
        </w:p>
        <w:p w14:paraId="3DEB95F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_Toc19327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性能指标基线</w:t>
          </w:r>
          <w:r>
            <w:tab/>
          </w:r>
          <w:r>
            <w:fldChar w:fldCharType="begin"/>
          </w:r>
          <w:r>
            <w:instrText xml:space="preserve"> PAGEREF _Toc19327 \h </w:instrText>
          </w:r>
          <w:r>
            <w:fldChar w:fldCharType="separate"/>
          </w:r>
          <w:r>
            <w:t>316</w:t>
          </w:r>
          <w:r>
            <w:fldChar w:fldCharType="end"/>
          </w:r>
          <w:r>
            <w:rPr>
              <w:rFonts w:asciiTheme="minorHAnsi" w:hAnsiTheme="minorHAnsi" w:eastAsiaTheme="minorEastAsia" w:cstheme="minorBidi"/>
              <w:szCs w:val="22"/>
              <w:lang w:val="en-US" w:eastAsia="en-US" w:bidi="ar-SA"/>
            </w:rPr>
            <w:fldChar w:fldCharType="end"/>
          </w:r>
        </w:p>
        <w:p w14:paraId="5DB9DBB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可靠性与可观测性基线</w:t>
          </w:r>
          <w:r>
            <w:tab/>
          </w:r>
          <w:r>
            <w:fldChar w:fldCharType="begin"/>
          </w:r>
          <w:r>
            <w:instrText xml:space="preserve"> PAGEREF _Toc3157 \h </w:instrText>
          </w:r>
          <w:r>
            <w:fldChar w:fldCharType="separate"/>
          </w:r>
          <w:r>
            <w:t>316</w:t>
          </w:r>
          <w:r>
            <w:fldChar w:fldCharType="end"/>
          </w:r>
          <w:r>
            <w:rPr>
              <w:rFonts w:asciiTheme="minorHAnsi" w:hAnsiTheme="minorHAnsi" w:eastAsiaTheme="minorEastAsia" w:cstheme="minorBidi"/>
              <w:szCs w:val="22"/>
              <w:lang w:val="en-US" w:eastAsia="en-US" w:bidi="ar-SA"/>
            </w:rPr>
            <w:fldChar w:fldCharType="end"/>
          </w:r>
        </w:p>
        <w:p w14:paraId="235A33C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_Toc26001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第八章 </w:t>
          </w:r>
          <w:r>
            <w:rPr>
              <w:rFonts w:ascii="Times New Roman" w:hAnsi="Times New Roman" w:eastAsia="黑体" w:cs="Times New Roman"/>
              <w:bCs w:val="0"/>
              <w:szCs w:val="44"/>
            </w:rPr>
            <w:t>技术架构与系统选型</w:t>
          </w:r>
          <w:r>
            <w:tab/>
          </w:r>
          <w:r>
            <w:fldChar w:fldCharType="begin"/>
          </w:r>
          <w:r>
            <w:instrText xml:space="preserve"> PAGEREF _Toc26001 \h </w:instrText>
          </w:r>
          <w:r>
            <w:fldChar w:fldCharType="separate"/>
          </w:r>
          <w:r>
            <w:t>317</w:t>
          </w:r>
          <w:r>
            <w:fldChar w:fldCharType="end"/>
          </w:r>
          <w:r>
            <w:rPr>
              <w:rFonts w:asciiTheme="minorHAnsi" w:hAnsiTheme="minorHAnsi" w:eastAsiaTheme="minorEastAsia" w:cstheme="minorBidi"/>
              <w:szCs w:val="22"/>
              <w:lang w:val="en-US" w:eastAsia="en-US" w:bidi="ar-SA"/>
            </w:rPr>
            <w:fldChar w:fldCharType="end"/>
          </w:r>
        </w:p>
        <w:p w14:paraId="5BE301E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_Toc4309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原型实现技术栈</w:t>
          </w:r>
          <w:r>
            <w:tab/>
          </w:r>
          <w:r>
            <w:fldChar w:fldCharType="begin"/>
          </w:r>
          <w:r>
            <w:instrText xml:space="preserve"> PAGEREF _Toc4309 \h </w:instrText>
          </w:r>
          <w:r>
            <w:fldChar w:fldCharType="separate"/>
          </w:r>
          <w:r>
            <w:t>317</w:t>
          </w:r>
          <w:r>
            <w:fldChar w:fldCharType="end"/>
          </w:r>
          <w:r>
            <w:rPr>
              <w:rFonts w:asciiTheme="minorHAnsi" w:hAnsiTheme="minorHAnsi" w:eastAsiaTheme="minorEastAsia" w:cstheme="minorBidi"/>
              <w:szCs w:val="22"/>
              <w:lang w:val="en-US" w:eastAsia="en-US" w:bidi="ar-SA"/>
            </w:rPr>
            <w:fldChar w:fldCharType="end"/>
          </w:r>
        </w:p>
        <w:p w14:paraId="2D0CF15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关键架构决策（ADR）</w:t>
          </w:r>
          <w:r>
            <w:tab/>
          </w:r>
          <w:r>
            <w:fldChar w:fldCharType="begin"/>
          </w:r>
          <w:r>
            <w:instrText xml:space="preserve"> PAGEREF _Toc2959 \h </w:instrText>
          </w:r>
          <w:r>
            <w:fldChar w:fldCharType="separate"/>
          </w:r>
          <w:r>
            <w:t>317</w:t>
          </w:r>
          <w:r>
            <w:fldChar w:fldCharType="end"/>
          </w:r>
          <w:r>
            <w:rPr>
              <w:rFonts w:asciiTheme="minorHAnsi" w:hAnsiTheme="minorHAnsi" w:eastAsiaTheme="minorEastAsia" w:cstheme="minorBidi"/>
              <w:szCs w:val="22"/>
              <w:lang w:val="en-US" w:eastAsia="en-US" w:bidi="ar-SA"/>
            </w:rPr>
            <w:fldChar w:fldCharType="end"/>
          </w:r>
        </w:p>
        <w:p w14:paraId="79BBD14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技术决策裁决记录与残留待确认项</w:t>
          </w:r>
          <w:r>
            <w:tab/>
          </w:r>
          <w:r>
            <w:fldChar w:fldCharType="begin"/>
          </w:r>
          <w:r>
            <w:instrText xml:space="preserve"> PAGEREF _Toc391 \h </w:instrText>
          </w:r>
          <w:r>
            <w:fldChar w:fldCharType="separate"/>
          </w:r>
          <w:r>
            <w:t>318</w:t>
          </w:r>
          <w:r>
            <w:fldChar w:fldCharType="end"/>
          </w:r>
          <w:r>
            <w:rPr>
              <w:rFonts w:asciiTheme="minorHAnsi" w:hAnsiTheme="minorHAnsi" w:eastAsiaTheme="minorEastAsia" w:cstheme="minorBidi"/>
              <w:szCs w:val="22"/>
              <w:lang w:val="en-US" w:eastAsia="en-US" w:bidi="ar-SA"/>
            </w:rPr>
            <w:fldChar w:fldCharType="end"/>
          </w:r>
        </w:p>
        <w:p w14:paraId="66262F4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_Toc6682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第九章 </w:t>
          </w:r>
          <w:r>
            <w:rPr>
              <w:rFonts w:ascii="Times New Roman" w:hAnsi="Times New Roman" w:eastAsia="黑体" w:cs="Times New Roman"/>
              <w:bCs w:val="0"/>
              <w:szCs w:val="44"/>
            </w:rPr>
            <w:t>系统级公共模块需求</w:t>
          </w:r>
          <w:r>
            <w:tab/>
          </w:r>
          <w:r>
            <w:fldChar w:fldCharType="begin"/>
          </w:r>
          <w:r>
            <w:instrText xml:space="preserve"> PAGEREF _Toc6682 \h </w:instrText>
          </w:r>
          <w:r>
            <w:fldChar w:fldCharType="separate"/>
          </w:r>
          <w:r>
            <w:t>318</w:t>
          </w:r>
          <w:r>
            <w:fldChar w:fldCharType="end"/>
          </w:r>
          <w:r>
            <w:rPr>
              <w:rFonts w:asciiTheme="minorHAnsi" w:hAnsiTheme="minorHAnsi" w:eastAsiaTheme="minorEastAsia" w:cstheme="minorBidi"/>
              <w:szCs w:val="22"/>
              <w:lang w:val="en-US" w:eastAsia="en-US" w:bidi="ar-SA"/>
            </w:rPr>
            <w:fldChar w:fldCharType="end"/>
          </w:r>
        </w:p>
        <w:p w14:paraId="7482C82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_Toc6683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公共模块清单</w:t>
          </w:r>
          <w:r>
            <w:tab/>
          </w:r>
          <w:r>
            <w:fldChar w:fldCharType="begin"/>
          </w:r>
          <w:r>
            <w:instrText xml:space="preserve"> PAGEREF _Toc6683 \h </w:instrText>
          </w:r>
          <w:r>
            <w:fldChar w:fldCharType="separate"/>
          </w:r>
          <w:r>
            <w:t>318</w:t>
          </w:r>
          <w:r>
            <w:fldChar w:fldCharType="end"/>
          </w:r>
          <w:r>
            <w:rPr>
              <w:rFonts w:asciiTheme="minorHAnsi" w:hAnsiTheme="minorHAnsi" w:eastAsiaTheme="minorEastAsia" w:cstheme="minorBidi"/>
              <w:szCs w:val="22"/>
              <w:lang w:val="en-US" w:eastAsia="en-US" w:bidi="ar-SA"/>
            </w:rPr>
            <w:fldChar w:fldCharType="end"/>
          </w:r>
        </w:p>
        <w:p w14:paraId="0D3C407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_Toc20825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告警中枢分级与响应契约</w:t>
          </w:r>
          <w:r>
            <w:tab/>
          </w:r>
          <w:r>
            <w:fldChar w:fldCharType="begin"/>
          </w:r>
          <w:r>
            <w:instrText xml:space="preserve"> PAGEREF _Toc20825 \h </w:instrText>
          </w:r>
          <w:r>
            <w:fldChar w:fldCharType="separate"/>
          </w:r>
          <w:r>
            <w:t>319</w:t>
          </w:r>
          <w:r>
            <w:fldChar w:fldCharType="end"/>
          </w:r>
          <w:r>
            <w:rPr>
              <w:rFonts w:asciiTheme="minorHAnsi" w:hAnsiTheme="minorHAnsi" w:eastAsiaTheme="minorEastAsia" w:cstheme="minorBidi"/>
              <w:szCs w:val="22"/>
              <w:lang w:val="en-US" w:eastAsia="en-US" w:bidi="ar-SA"/>
            </w:rPr>
            <w:fldChar w:fldCharType="end"/>
          </w:r>
        </w:p>
        <w:p w14:paraId="2E651EA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_Toc2189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第十章 </w:t>
          </w:r>
          <w:r>
            <w:rPr>
              <w:rFonts w:ascii="Times New Roman" w:hAnsi="Times New Roman" w:eastAsia="黑体" w:cs="Times New Roman"/>
              <w:bCs w:val="0"/>
              <w:szCs w:val="44"/>
            </w:rPr>
            <w:t>安全与合规需求</w:t>
          </w:r>
          <w:r>
            <w:tab/>
          </w:r>
          <w:r>
            <w:fldChar w:fldCharType="begin"/>
          </w:r>
          <w:r>
            <w:instrText xml:space="preserve"> PAGEREF _Toc2189 \h </w:instrText>
          </w:r>
          <w:r>
            <w:fldChar w:fldCharType="separate"/>
          </w:r>
          <w:r>
            <w:t>320</w:t>
          </w:r>
          <w:r>
            <w:fldChar w:fldCharType="end"/>
          </w:r>
          <w:r>
            <w:rPr>
              <w:rFonts w:asciiTheme="minorHAnsi" w:hAnsiTheme="minorHAnsi" w:eastAsiaTheme="minorEastAsia" w:cstheme="minorBidi"/>
              <w:szCs w:val="22"/>
              <w:lang w:val="en-US" w:eastAsia="en-US" w:bidi="ar-SA"/>
            </w:rPr>
            <w:fldChar w:fldCharType="end"/>
          </w:r>
        </w:p>
        <w:p w14:paraId="2D5DD08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_Toc1048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网络安全防护体系</w:t>
          </w:r>
          <w:r>
            <w:tab/>
          </w:r>
          <w:r>
            <w:fldChar w:fldCharType="begin"/>
          </w:r>
          <w:r>
            <w:instrText xml:space="preserve"> PAGEREF _Toc1048 \h </w:instrText>
          </w:r>
          <w:r>
            <w:fldChar w:fldCharType="separate"/>
          </w:r>
          <w:r>
            <w:t>320</w:t>
          </w:r>
          <w:r>
            <w:fldChar w:fldCharType="end"/>
          </w:r>
          <w:r>
            <w:rPr>
              <w:rFonts w:asciiTheme="minorHAnsi" w:hAnsiTheme="minorHAnsi" w:eastAsiaTheme="minorEastAsia" w:cstheme="minorBidi"/>
              <w:szCs w:val="22"/>
              <w:lang w:val="en-US" w:eastAsia="en-US" w:bidi="ar-SA"/>
            </w:rPr>
            <w:fldChar w:fldCharType="end"/>
          </w:r>
        </w:p>
        <w:p w14:paraId="6F127D9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_Toc17968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数据出境与合规</w:t>
          </w:r>
          <w:r>
            <w:tab/>
          </w:r>
          <w:r>
            <w:fldChar w:fldCharType="begin"/>
          </w:r>
          <w:r>
            <w:instrText xml:space="preserve"> PAGEREF _Toc17968 \h </w:instrText>
          </w:r>
          <w:r>
            <w:fldChar w:fldCharType="separate"/>
          </w:r>
          <w:r>
            <w:t>320</w:t>
          </w:r>
          <w:r>
            <w:fldChar w:fldCharType="end"/>
          </w:r>
          <w:r>
            <w:rPr>
              <w:rFonts w:asciiTheme="minorHAnsi" w:hAnsiTheme="minorHAnsi" w:eastAsiaTheme="minorEastAsia" w:cstheme="minorBidi"/>
              <w:szCs w:val="22"/>
              <w:lang w:val="en-US" w:eastAsia="en-US" w:bidi="ar-SA"/>
            </w:rPr>
            <w:fldChar w:fldCharType="end"/>
          </w:r>
        </w:p>
        <w:p w14:paraId="2B3E0BA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_Toc22833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ascii="Times New Roman" w:hAnsi="Times New Roman" w:eastAsia="黑体" w:cs="Times New Roman"/>
              <w:bCs w:val="0"/>
              <w:szCs w:val="24"/>
            </w:rPr>
            <w:t>CBAM 数据出境安全合规前置方案</w:t>
          </w:r>
          <w:r>
            <w:tab/>
          </w:r>
          <w:r>
            <w:fldChar w:fldCharType="begin"/>
          </w:r>
          <w:r>
            <w:instrText xml:space="preserve"> PAGEREF _Toc22833 \h </w:instrText>
          </w:r>
          <w:r>
            <w:fldChar w:fldCharType="separate"/>
          </w:r>
          <w:r>
            <w:t>320</w:t>
          </w:r>
          <w:r>
            <w:fldChar w:fldCharType="end"/>
          </w:r>
          <w:r>
            <w:rPr>
              <w:rFonts w:asciiTheme="minorHAnsi" w:hAnsiTheme="minorHAnsi" w:eastAsiaTheme="minorEastAsia" w:cstheme="minorBidi"/>
              <w:szCs w:val="22"/>
              <w:lang w:val="en-US" w:eastAsia="en-US" w:bidi="ar-SA"/>
            </w:rPr>
            <w:fldChar w:fldCharType="end"/>
          </w:r>
        </w:p>
        <w:p w14:paraId="387333C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_Toc28159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安全合规遗留待确认项清单</w:t>
          </w:r>
          <w:r>
            <w:tab/>
          </w:r>
          <w:r>
            <w:fldChar w:fldCharType="begin"/>
          </w:r>
          <w:r>
            <w:instrText xml:space="preserve"> PAGEREF _Toc28159 \h </w:instrText>
          </w:r>
          <w:r>
            <w:fldChar w:fldCharType="separate"/>
          </w:r>
          <w:r>
            <w:t>321</w:t>
          </w:r>
          <w:r>
            <w:fldChar w:fldCharType="end"/>
          </w:r>
          <w:r>
            <w:rPr>
              <w:rFonts w:asciiTheme="minorHAnsi" w:hAnsiTheme="minorHAnsi" w:eastAsiaTheme="minorEastAsia" w:cstheme="minorBidi"/>
              <w:szCs w:val="22"/>
              <w:lang w:val="en-US" w:eastAsia="en-US" w:bidi="ar-SA"/>
            </w:rPr>
            <w:fldChar w:fldCharType="end"/>
          </w:r>
        </w:p>
        <w:p w14:paraId="5D6E308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_Toc30998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第十一章 </w:t>
          </w:r>
          <w:r>
            <w:rPr>
              <w:rFonts w:ascii="Times New Roman" w:hAnsi="Times New Roman" w:eastAsia="黑体" w:cs="Times New Roman"/>
              <w:bCs w:val="0"/>
              <w:szCs w:val="44"/>
            </w:rPr>
            <w:t>外部系统集成与数据采集点表</w:t>
          </w:r>
          <w:r>
            <w:tab/>
          </w:r>
          <w:r>
            <w:fldChar w:fldCharType="begin"/>
          </w:r>
          <w:r>
            <w:instrText xml:space="preserve"> PAGEREF _Toc30998 \h </w:instrText>
          </w:r>
          <w:r>
            <w:fldChar w:fldCharType="separate"/>
          </w:r>
          <w:r>
            <w:t>321</w:t>
          </w:r>
          <w:r>
            <w:fldChar w:fldCharType="end"/>
          </w:r>
          <w:r>
            <w:rPr>
              <w:rFonts w:asciiTheme="minorHAnsi" w:hAnsiTheme="minorHAnsi" w:eastAsiaTheme="minorEastAsia" w:cstheme="minorBidi"/>
              <w:szCs w:val="22"/>
              <w:lang w:val="en-US" w:eastAsia="en-US" w:bidi="ar-SA"/>
            </w:rPr>
            <w:fldChar w:fldCharType="end"/>
          </w:r>
        </w:p>
        <w:p w14:paraId="1482D2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_Toc8831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集成接口</w:t>
          </w:r>
          <w:r>
            <w:tab/>
          </w:r>
          <w:r>
            <w:fldChar w:fldCharType="begin"/>
          </w:r>
          <w:r>
            <w:instrText xml:space="preserve"> PAGEREF _Toc8831 \h </w:instrText>
          </w:r>
          <w:r>
            <w:fldChar w:fldCharType="separate"/>
          </w:r>
          <w:r>
            <w:t>322</w:t>
          </w:r>
          <w:r>
            <w:fldChar w:fldCharType="end"/>
          </w:r>
          <w:r>
            <w:rPr>
              <w:rFonts w:asciiTheme="minorHAnsi" w:hAnsiTheme="minorHAnsi" w:eastAsiaTheme="minorEastAsia" w:cstheme="minorBidi"/>
              <w:szCs w:val="22"/>
              <w:lang w:val="en-US" w:eastAsia="en-US" w:bidi="ar-SA"/>
            </w:rPr>
            <w:fldChar w:fldCharType="end"/>
          </w:r>
        </w:p>
        <w:p w14:paraId="0EB76FF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_Toc4262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采集点表（核心点位）</w:t>
          </w:r>
          <w:r>
            <w:tab/>
          </w:r>
          <w:r>
            <w:fldChar w:fldCharType="begin"/>
          </w:r>
          <w:r>
            <w:instrText xml:space="preserve"> PAGEREF _Toc4262 \h </w:instrText>
          </w:r>
          <w:r>
            <w:fldChar w:fldCharType="separate"/>
          </w:r>
          <w:r>
            <w:t>322</w:t>
          </w:r>
          <w:r>
            <w:fldChar w:fldCharType="end"/>
          </w:r>
          <w:r>
            <w:rPr>
              <w:rFonts w:asciiTheme="minorHAnsi" w:hAnsiTheme="minorHAnsi" w:eastAsiaTheme="minorEastAsia" w:cstheme="minorBidi"/>
              <w:szCs w:val="22"/>
              <w:lang w:val="en-US" w:eastAsia="en-US" w:bidi="ar-SA"/>
            </w:rPr>
            <w:fldChar w:fldCharType="end"/>
          </w:r>
        </w:p>
        <w:p w14:paraId="32F959C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_Toc26559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外部数据源与授权</w:t>
          </w:r>
          <w:r>
            <w:tab/>
          </w:r>
          <w:r>
            <w:fldChar w:fldCharType="begin"/>
          </w:r>
          <w:r>
            <w:instrText xml:space="preserve"> PAGEREF _Toc26559 \h </w:instrText>
          </w:r>
          <w:r>
            <w:fldChar w:fldCharType="separate"/>
          </w:r>
          <w:r>
            <w:t>323</w:t>
          </w:r>
          <w:r>
            <w:fldChar w:fldCharType="end"/>
          </w:r>
          <w:r>
            <w:rPr>
              <w:rFonts w:asciiTheme="minorHAnsi" w:hAnsiTheme="minorHAnsi" w:eastAsiaTheme="minorEastAsia" w:cstheme="minorBidi"/>
              <w:szCs w:val="22"/>
              <w:lang w:val="en-US" w:eastAsia="en-US" w:bidi="ar-SA"/>
            </w:rPr>
            <w:fldChar w:fldCharType="end"/>
          </w:r>
        </w:p>
        <w:p w14:paraId="4AF5904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_Toc7096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第十二章 </w:t>
          </w:r>
          <w:r>
            <w:rPr>
              <w:rFonts w:ascii="Times New Roman" w:hAnsi="Times New Roman" w:eastAsia="黑体" w:cs="Times New Roman"/>
              <w:bCs w:val="0"/>
              <w:szCs w:val="44"/>
            </w:rPr>
            <w:t>测试与验收基线</w:t>
          </w:r>
          <w:r>
            <w:tab/>
          </w:r>
          <w:r>
            <w:fldChar w:fldCharType="begin"/>
          </w:r>
          <w:r>
            <w:instrText xml:space="preserve"> PAGEREF _Toc7096 \h </w:instrText>
          </w:r>
          <w:r>
            <w:fldChar w:fldCharType="separate"/>
          </w:r>
          <w:r>
            <w:t>324</w:t>
          </w:r>
          <w:r>
            <w:fldChar w:fldCharType="end"/>
          </w:r>
          <w:r>
            <w:rPr>
              <w:rFonts w:asciiTheme="minorHAnsi" w:hAnsiTheme="minorHAnsi" w:eastAsiaTheme="minorEastAsia" w:cstheme="minorBidi"/>
              <w:szCs w:val="22"/>
              <w:lang w:val="en-US" w:eastAsia="en-US" w:bidi="ar-SA"/>
            </w:rPr>
            <w:fldChar w:fldCharType="end"/>
          </w:r>
        </w:p>
        <w:p w14:paraId="5E51281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_Toc14898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验收准则</w:t>
          </w:r>
          <w:r>
            <w:tab/>
          </w:r>
          <w:r>
            <w:fldChar w:fldCharType="begin"/>
          </w:r>
          <w:r>
            <w:instrText xml:space="preserve"> PAGEREF _Toc14898 \h </w:instrText>
          </w:r>
          <w:r>
            <w:fldChar w:fldCharType="separate"/>
          </w:r>
          <w:r>
            <w:t>324</w:t>
          </w:r>
          <w:r>
            <w:fldChar w:fldCharType="end"/>
          </w:r>
          <w:r>
            <w:rPr>
              <w:rFonts w:asciiTheme="minorHAnsi" w:hAnsiTheme="minorHAnsi" w:eastAsiaTheme="minorEastAsia" w:cstheme="minorBidi"/>
              <w:szCs w:val="22"/>
              <w:lang w:val="en-US" w:eastAsia="en-US" w:bidi="ar-SA"/>
            </w:rPr>
            <w:fldChar w:fldCharType="end"/>
          </w:r>
        </w:p>
        <w:p w14:paraId="6527288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_Toc15621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破坏性测试矩阵（EQP / BVA）</w:t>
          </w:r>
          <w:r>
            <w:tab/>
          </w:r>
          <w:r>
            <w:fldChar w:fldCharType="begin"/>
          </w:r>
          <w:r>
            <w:instrText xml:space="preserve"> PAGEREF _Toc15621 \h </w:instrText>
          </w:r>
          <w:r>
            <w:fldChar w:fldCharType="separate"/>
          </w:r>
          <w:r>
            <w:t>324</w:t>
          </w:r>
          <w:r>
            <w:fldChar w:fldCharType="end"/>
          </w:r>
          <w:r>
            <w:rPr>
              <w:rFonts w:asciiTheme="minorHAnsi" w:hAnsiTheme="minorHAnsi" w:eastAsiaTheme="minorEastAsia" w:cstheme="minorBidi"/>
              <w:szCs w:val="22"/>
              <w:lang w:val="en-US" w:eastAsia="en-US" w:bidi="ar-SA"/>
            </w:rPr>
            <w:fldChar w:fldCharType="end"/>
          </w:r>
        </w:p>
        <w:p w14:paraId="70287A5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_Toc12662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全系统验收基线</w:t>
          </w:r>
          <w:r>
            <w:tab/>
          </w:r>
          <w:r>
            <w:fldChar w:fldCharType="begin"/>
          </w:r>
          <w:r>
            <w:instrText xml:space="preserve"> PAGEREF _Toc12662 \h </w:instrText>
          </w:r>
          <w:r>
            <w:fldChar w:fldCharType="separate"/>
          </w:r>
          <w:r>
            <w:t>324</w:t>
          </w:r>
          <w:r>
            <w:fldChar w:fldCharType="end"/>
          </w:r>
          <w:r>
            <w:rPr>
              <w:rFonts w:asciiTheme="minorHAnsi" w:hAnsiTheme="minorHAnsi" w:eastAsiaTheme="minorEastAsia" w:cstheme="minorBidi"/>
              <w:szCs w:val="22"/>
              <w:lang w:val="en-US" w:eastAsia="en-US" w:bidi="ar-SA"/>
            </w:rPr>
            <w:fldChar w:fldCharType="end"/>
          </w:r>
        </w:p>
        <w:p w14:paraId="5A71342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_Toc22103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A：现行国标 / 行标 / 欧标 法规映射表</w:t>
          </w:r>
          <w:r>
            <w:tab/>
          </w:r>
          <w:r>
            <w:fldChar w:fldCharType="begin"/>
          </w:r>
          <w:r>
            <w:instrText xml:space="preserve"> PAGEREF _Toc22103 \h </w:instrText>
          </w:r>
          <w:r>
            <w:fldChar w:fldCharType="separate"/>
          </w:r>
          <w:r>
            <w:t>325</w:t>
          </w:r>
          <w:r>
            <w:fldChar w:fldCharType="end"/>
          </w:r>
          <w:r>
            <w:rPr>
              <w:rFonts w:asciiTheme="minorHAnsi" w:hAnsiTheme="minorHAnsi" w:eastAsiaTheme="minorEastAsia" w:cstheme="minorBidi"/>
              <w:szCs w:val="22"/>
              <w:lang w:val="en-US" w:eastAsia="en-US" w:bidi="ar-SA"/>
            </w:rPr>
            <w:fldChar w:fldCharType="end"/>
          </w:r>
        </w:p>
        <w:p w14:paraId="4043EDA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_Toc13898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B：反模式与反例对照治理清单</w:t>
          </w:r>
          <w:r>
            <w:tab/>
          </w:r>
          <w:r>
            <w:fldChar w:fldCharType="begin"/>
          </w:r>
          <w:r>
            <w:instrText xml:space="preserve"> PAGEREF _Toc13898 \h </w:instrText>
          </w:r>
          <w:r>
            <w:fldChar w:fldCharType="separate"/>
          </w:r>
          <w:r>
            <w:t>325</w:t>
          </w:r>
          <w:r>
            <w:fldChar w:fldCharType="end"/>
          </w:r>
          <w:r>
            <w:rPr>
              <w:rFonts w:asciiTheme="minorHAnsi" w:hAnsiTheme="minorHAnsi" w:eastAsiaTheme="minorEastAsia" w:cstheme="minorBidi"/>
              <w:szCs w:val="22"/>
              <w:lang w:val="en-US" w:eastAsia="en-US" w:bidi="ar-SA"/>
            </w:rPr>
            <w:fldChar w:fldCharType="end"/>
          </w:r>
        </w:p>
        <w:p w14:paraId="252F551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_Toc27423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C：企业组织结构树</w:t>
          </w:r>
          <w:r>
            <w:tab/>
          </w:r>
          <w:r>
            <w:fldChar w:fldCharType="begin"/>
          </w:r>
          <w:r>
            <w:instrText xml:space="preserve"> PAGEREF _Toc27423 \h </w:instrText>
          </w:r>
          <w:r>
            <w:fldChar w:fldCharType="separate"/>
          </w:r>
          <w:r>
            <w:t>326</w:t>
          </w:r>
          <w:r>
            <w:fldChar w:fldCharType="end"/>
          </w:r>
          <w:r>
            <w:rPr>
              <w:rFonts w:asciiTheme="minorHAnsi" w:hAnsiTheme="minorHAnsi" w:eastAsiaTheme="minorEastAsia" w:cstheme="minorBidi"/>
              <w:szCs w:val="22"/>
              <w:lang w:val="en-US" w:eastAsia="en-US" w:bidi="ar-SA"/>
            </w:rPr>
            <w:fldChar w:fldCharType="end"/>
          </w:r>
        </w:p>
        <w:p w14:paraId="7279725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_Toc19777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D：园区组织结构树</w:t>
          </w:r>
          <w:r>
            <w:tab/>
          </w:r>
          <w:r>
            <w:fldChar w:fldCharType="begin"/>
          </w:r>
          <w:r>
            <w:instrText xml:space="preserve"> PAGEREF _Toc19777 \h </w:instrText>
          </w:r>
          <w:r>
            <w:fldChar w:fldCharType="separate"/>
          </w:r>
          <w:r>
            <w:t>327</w:t>
          </w:r>
          <w:r>
            <w:fldChar w:fldCharType="end"/>
          </w:r>
          <w:r>
            <w:rPr>
              <w:rFonts w:asciiTheme="minorHAnsi" w:hAnsiTheme="minorHAnsi" w:eastAsiaTheme="minorEastAsia" w:cstheme="minorBidi"/>
              <w:szCs w:val="22"/>
              <w:lang w:val="en-US" w:eastAsia="en-US" w:bidi="ar-SA"/>
            </w:rPr>
            <w:fldChar w:fldCharType="end"/>
          </w:r>
        </w:p>
        <w:p w14:paraId="1EBC384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_Toc26859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E：角色与权限矩阵</w:t>
          </w:r>
          <w:r>
            <w:tab/>
          </w:r>
          <w:r>
            <w:fldChar w:fldCharType="begin"/>
          </w:r>
          <w:r>
            <w:instrText xml:space="preserve"> PAGEREF _Toc26859 \h </w:instrText>
          </w:r>
          <w:r>
            <w:fldChar w:fldCharType="separate"/>
          </w:r>
          <w:r>
            <w:t>328</w:t>
          </w:r>
          <w:r>
            <w:fldChar w:fldCharType="end"/>
          </w:r>
          <w:r>
            <w:rPr>
              <w:rFonts w:asciiTheme="minorHAnsi" w:hAnsiTheme="minorHAnsi" w:eastAsiaTheme="minorEastAsia" w:cstheme="minorBidi"/>
              <w:szCs w:val="22"/>
              <w:lang w:val="en-US" w:eastAsia="en-US" w:bidi="ar-SA"/>
            </w:rPr>
            <w:fldChar w:fldCharType="end"/>
          </w:r>
        </w:p>
        <w:p w14:paraId="48282ACD">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48E832F0">
      <w:pPr>
        <w:rPr>
          <w:rFonts w:asciiTheme="minorHAnsi" w:hAnsiTheme="minorHAnsi" w:eastAsiaTheme="minorEastAsia" w:cstheme="minorBidi"/>
          <w:sz w:val="22"/>
          <w:szCs w:val="22"/>
          <w:lang w:val="en-US" w:eastAsia="en-US" w:bidi="ar-SA"/>
        </w:rPr>
      </w:pPr>
    </w:p>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numPr>
          <w:ilvl w:val="0"/>
          <w:numId w:val="7"/>
        </w:numPr>
        <w:ind w:left="0" w:leftChars="0" w:firstLine="0" w:firstLineChars="0"/>
        <w:rPr>
          <w:rFonts w:eastAsia="黑体"/>
          <w:b w:val="0"/>
          <w:bCs w:val="0"/>
          <w:sz w:val="32"/>
          <w:szCs w:val="44"/>
        </w:rPr>
      </w:pPr>
      <w:bookmarkStart w:id="0" w:name="_Toc29160"/>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4659"/>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11275"/>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27405"/>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21080"/>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4526"/>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3446"/>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24690"/>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31089"/>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147"/>
        <w:gridCol w:w="2004"/>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工厂</w:t>
            </w:r>
            <w:r>
              <w:rPr>
                <w:rFonts w:hint="eastAsia" w:ascii="宋体" w:hAnsi="宋体" w:eastAsia="宋体" w:cs="宋体"/>
                <w:i w:val="0"/>
                <w:iCs w:val="0"/>
                <w:color w:val="1F2937"/>
                <w:sz w:val="24"/>
                <w:szCs w:val="24"/>
              </w:rPr>
              <w:t>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bidi="ar-SA"/>
              </w:rPr>
              <w:t>工厂</w:t>
            </w:r>
            <w:r>
              <w:rPr>
                <w:rFonts w:hint="eastAsia" w:ascii="宋体" w:hAnsi="宋体" w:eastAsia="宋体" w:cs="宋体"/>
                <w:i w:val="0"/>
                <w:iCs w:val="0"/>
                <w:color w:val="1F2937"/>
                <w:sz w:val="24"/>
                <w:szCs w:val="24"/>
              </w:rPr>
              <w:t>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2509"/>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21281"/>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6796871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本章严格匹配系统切换至【零碳园区集控中心】后的 6 大一级主导航分层展开，全面覆盖集控中心大屏、集中监管、能耗能效分析、零碳项目评估、统计报表与企业基础信息六大业务板块，功能权限矩阵收录于附录 E，验收用例放于各模块第八段，相关错误码可查阅第六章"标准化错误码字典"。</w:t>
      </w:r>
    </w:p>
    <w:p w14:paraId="4086CEC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本章共 6 大板块、22 个三级功能模块，依次为：集控中心大屏（全景环幕大屏 46:9 / 综合集控大屏 16:9）、集中监管（指标管控 / 数据变化详情 / 用能监测 / 重点用能设备 / 工业微电网监测 / 能源碳排放监测 / 自定义指标监测）、能耗能效分析（用能结构分析 / 单位产品能耗 / 单位产值能耗 / 对标管理）、零碳项目评估（项目档案管理 / 实时监控 / 项目运行评估 / 零碳工厂自评估）、统计报表（用能报表 / 成本报表 / 单耗报表）、企业基础信息（企业基础信息 / 零碳工厂信息）。各模块统一采用八段式描述范式。</w:t>
      </w:r>
    </w:p>
    <w:p w14:paraId="7FEFBD0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章定位】零碳园区集控中心是双中心体系的「运行侧中枢」，承担园区级能源与碳排放的实时采集、集中监视、能效分析与零碳成效评估，回答"园区当前用能多少、能效处在什么水平、降碳做到哪一步"三个运行态问题。</w:t>
      </w:r>
    </w:p>
    <w:p w14:paraId="30BB62F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【与第三章的职责边界】本章负责园区、工厂、产线、工序级的能耗 / 能效 / 碳排放监测分析，不对产品单体做生命周期核算；产品级 LCA 建模、ISO 14067 认证、碳标签与 CBAM 申报统一由第三章《产品碳足迹集采中心》承载。两章共用同一套折标煤系数与碳排因子基准（详见第四章《系统管理、基础参数设置》→「能碳基础因子管理」），同一介质在同期同口径下的数值必须逐位一致。</w:t>
      </w:r>
    </w:p>
    <w:p w14:paraId="7CEF8E3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【与第四章的职责边界】本章全部组织维度筛选、设备台账、产品类型 / 型号 / 工序、折标煤系数与分时电价版本均取自第四章的基础主数据；本章只读引用，不得在监测、分析、报表页面就地修改主数据。参数版本变更引发的历史口径问题，按第四章「生效时间切片锁定」策略处理，本章不追溯重算已锁账月度。</w:t>
      </w:r>
    </w:p>
    <w:p w14:paraId="4B7D7B3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权限总则】本章全量页面遵循组织维度的行级数据权限（RLS）：数据范围以组织树节点为单位授予，「（只读）」后缀表示该节点仅可查看不可写；集团决策层（P1）默认全集团只读，园区能碳专员（P2）限其所属数据范围子树。集控中心大屏为对外示范窗口，全局默认只读，不提供任何数据写入口，越权写请求由服务网关切断并记审计日志。</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8864"/>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8607"/>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集团高层决策者 (Persona P1)，</w:t>
      </w:r>
    </w:p>
    <w:p w14:paraId="689AD6AF">
      <w:pPr>
        <w:pStyle w:val="19"/>
        <w:widowControl/>
        <w:numPr>
          <w:ilvl w:val="0"/>
          <w:numId w:val="1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在集控中心环幕大屏上一屏穿透全集团实时能耗折标总量、万元产值能耗变动、微电网光储充实时出力与全国制造基地空间分布，</w:t>
      </w:r>
    </w:p>
    <w:p w14:paraId="51948574">
      <w:pPr>
        <w:pStyle w:val="19"/>
        <w:widowControl/>
        <w:numPr>
          <w:ilvl w:val="0"/>
          <w:numId w:val="1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我能掌握集团能碳战略执行进度，对外彰显特变电工世界级绿色智造硬实力。</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19544"/>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42DE52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分时四段电量之和与当日累计电量偏差超过 0.5%：象限 A 标注"分时数据待核对"，返回 E_VAL_TOU_SEGMENT_MISMATCH（软提示，不阻断大屏渲染）。</w:t>
            </w:r>
          </w:p>
          <w:p w14:paraId="383F67F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当期尖峰平谷电价版本未配置：移峰填谷理论节约金额不测算，象限 C 显示"待配置当期电价"，返回 E_VAL_TIER_PRICE_MISSING。</w:t>
            </w:r>
          </w:p>
          <w:p w14:paraId="6FDB47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PCS 通讯中断：保留末次 SOC 快照并打"数据延迟"徽标，返回 E_IO_STORAGE_PCS_OFFLINE（不阻断象限 A / B / D 渲染）。</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p w14:paraId="6A5D85B5">
            <w:pPr>
              <w:spacing w:before="0" w:after="20" w:line="264" w:lineRule="auto"/>
              <w:rPr>
                <w:rFonts w:hint="eastAsia" w:ascii="宋体" w:hAnsi="宋体" w:eastAsia="宋体" w:cs="宋体"/>
                <w:i w:val="0"/>
                <w:iCs w:val="0"/>
                <w:sz w:val="24"/>
                <w:szCs w:val="24"/>
              </w:rPr>
            </w:pPr>
          </w:p>
          <w:p w14:paraId="735891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储能通讯中断时的降级渲染</w:t>
            </w:r>
          </w:p>
          <w:p w14:paraId="180EB7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园区储能 PCS 与采集网关通讯中断</w:t>
            </w:r>
          </w:p>
          <w:p w14:paraId="6D25E68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大屏完成一次 15 分钟刷新</w:t>
            </w:r>
          </w:p>
          <w:p w14:paraId="1DE4DD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象限 C 保留末次 SOC 快照并显示"数据延迟"徽标</w:t>
            </w:r>
          </w:p>
          <w:p w14:paraId="20FAB3D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E_IO_STORAGE_PCS_OFFLINE</w:t>
            </w:r>
          </w:p>
          <w:p w14:paraId="145FF8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象限 A、B、D 正常渲染且页面不出现空白占位卡片</w:t>
            </w:r>
          </w:p>
          <w:p w14:paraId="37E4C353">
            <w:pPr>
              <w:spacing w:before="0" w:after="20" w:line="264" w:lineRule="auto"/>
              <w:rPr>
                <w:rFonts w:hint="eastAsia" w:ascii="宋体" w:hAnsi="宋体" w:eastAsia="宋体" w:cs="宋体"/>
                <w:i w:val="0"/>
                <w:iCs w:val="0"/>
                <w:sz w:val="24"/>
                <w:szCs w:val="24"/>
              </w:rPr>
            </w:pPr>
          </w:p>
          <w:p w14:paraId="495F74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分时电价版本缺失时的软提示</w:t>
            </w:r>
          </w:p>
          <w:p w14:paraId="59579E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当期尖峰平谷电价版本尚未在费价模型中配置</w:t>
            </w:r>
          </w:p>
          <w:p w14:paraId="6A46B1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大屏测算象限 C 的移峰填谷理论节约金额</w:t>
            </w:r>
          </w:p>
          <w:p w14:paraId="3EB5E0B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该金额不展示数值，象限 C 显示"待配置当期电价"</w:t>
            </w:r>
          </w:p>
          <w:p w14:paraId="3183263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E_VAL_TIER_PRICE_MISSING</w:t>
            </w:r>
          </w:p>
          <w:p w14:paraId="5C811DA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象限 A 的分时电量结构图仍正常渲染</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17535"/>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25800"/>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0420" cy="292544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31BD20F0">
      <w:pPr>
        <w:pStyle w:val="19"/>
        <w:widowControl/>
        <w:numPr>
          <w:ilvl w:val="0"/>
          <w:numId w:val="3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在指标卡片矩阵中按组织树与时间维度查看 10 项核心指标，并点击任意指标卡穿透查看其分子分母工程物理量、核算公式、仪表点位路径与近 12 个月趋势，</w:t>
      </w:r>
    </w:p>
    <w:p w14:paraId="05E3A3BE">
      <w:pPr>
        <w:pStyle w:val="19"/>
        <w:widowControl/>
        <w:numPr>
          <w:ilvl w:val="0"/>
          <w:numId w:val="3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我能精准定位某工厂某工序的能耗异常根因，形成可追溯的整改依据。</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13120" cy="1776730"/>
            <wp:effectExtent l="0" t="0" r="1143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13120" cy="1776730"/>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5500" cy="1956435"/>
            <wp:effectExtent l="0" t="0" r="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5905500" cy="195643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w:t>
      </w:r>
      <w:r>
        <w:rPr>
          <w:rFonts w:hint="eastAsia" w:cs="Times New Roman"/>
          <w:i w:val="0"/>
          <w:color w:val="1F2937"/>
          <w:sz w:val="24"/>
          <w:szCs w:val="24"/>
          <w:lang w:val="en-US" w:eastAsia="zh-CN"/>
        </w:rPr>
        <w:t xml:space="preserve"> 【综合能源消费量】【总碳排放量】【单位产值能耗】</w:t>
      </w:r>
      <w:r>
        <w:rPr>
          <w:rFonts w:ascii="Times New Roman" w:hAnsi="Times New Roman" w:eastAsia="宋体" w:cs="Times New Roman"/>
          <w:i w:val="0"/>
          <w:color w:val="1F2937"/>
          <w:sz w:val="24"/>
          <w:szCs w:val="24"/>
        </w:rPr>
        <w:t xml:space="preserve"> 核心指标时，下方</w:t>
      </w:r>
      <w:r>
        <w:rPr>
          <w:rFonts w:hint="eastAsia" w:cs="Times New Roman"/>
          <w:i w:val="0"/>
          <w:color w:val="1F2937"/>
          <w:sz w:val="24"/>
          <w:szCs w:val="24"/>
          <w:lang w:val="en-US" w:eastAsia="zh-CN"/>
        </w:rPr>
        <w:t>显示</w:t>
      </w:r>
      <w:r>
        <w:rPr>
          <w:rFonts w:ascii="Times New Roman" w:hAnsi="Times New Roman" w:eastAsia="宋体" w:cs="Times New Roman"/>
          <w:i w:val="0"/>
          <w:color w:val="1F2937"/>
          <w:sz w:val="24"/>
          <w:szCs w:val="24"/>
        </w:rPr>
        <w:t>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000163F5">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w:t>
      </w:r>
      <w:r>
        <w:rPr>
          <w:rFonts w:hint="eastAsia" w:cs="Times New Roman"/>
          <w:i w:val="0"/>
          <w:color w:val="1F2937"/>
          <w:sz w:val="24"/>
          <w:szCs w:val="24"/>
          <w:lang w:val="en-US" w:eastAsia="zh-CN"/>
        </w:rPr>
        <w:t xml:space="preserve"> 【单位能耗碳排放】【非化石能源占比】【非化石能源电力物理消费量】【单位工业增加值能耗】</w:t>
      </w:r>
      <w:r>
        <w:rPr>
          <w:rFonts w:ascii="Times New Roman" w:hAnsi="Times New Roman" w:eastAsia="宋体" w:cs="Times New Roman"/>
          <w:i w:val="0"/>
          <w:color w:val="1F2937"/>
          <w:sz w:val="24"/>
          <w:szCs w:val="24"/>
        </w:rPr>
        <w:t xml:space="preserve"> </w:t>
      </w:r>
      <w:r>
        <w:rPr>
          <w:rFonts w:hint="eastAsia" w:cs="Times New Roman"/>
          <w:i w:val="0"/>
          <w:color w:val="1F2937"/>
          <w:sz w:val="24"/>
          <w:szCs w:val="24"/>
          <w:lang w:eastAsia="zh-CN"/>
        </w:rPr>
        <w:t>【</w:t>
      </w:r>
      <w:r>
        <w:rPr>
          <w:rFonts w:hint="eastAsia" w:cs="Times New Roman"/>
          <w:i w:val="0"/>
          <w:color w:val="1F2937"/>
          <w:sz w:val="24"/>
          <w:szCs w:val="24"/>
          <w:lang w:val="en-US" w:eastAsia="zh-CN"/>
        </w:rPr>
        <w:t>水资源消耗量</w:t>
      </w:r>
      <w:r>
        <w:rPr>
          <w:rFonts w:hint="eastAsia" w:cs="Times New Roman"/>
          <w:i w:val="0"/>
          <w:color w:val="1F2937"/>
          <w:sz w:val="24"/>
          <w:szCs w:val="24"/>
          <w:lang w:eastAsia="zh-CN"/>
        </w:rPr>
        <w:t>】【</w:t>
      </w:r>
      <w:r>
        <w:rPr>
          <w:rFonts w:hint="eastAsia" w:cs="Times New Roman"/>
          <w:i w:val="0"/>
          <w:color w:val="1F2937"/>
          <w:sz w:val="24"/>
          <w:szCs w:val="24"/>
          <w:lang w:val="en-US" w:eastAsia="zh-CN"/>
        </w:rPr>
        <w:t>节能装备占比</w:t>
      </w:r>
      <w:r>
        <w:rPr>
          <w:rFonts w:hint="eastAsia" w:cs="Times New Roman"/>
          <w:i w:val="0"/>
          <w:color w:val="1F2937"/>
          <w:sz w:val="24"/>
          <w:szCs w:val="24"/>
          <w:lang w:eastAsia="zh-CN"/>
        </w:rPr>
        <w:t>】【</w:t>
      </w:r>
      <w:r>
        <w:rPr>
          <w:rFonts w:hint="eastAsia" w:cs="Times New Roman"/>
          <w:i w:val="0"/>
          <w:color w:val="1F2937"/>
          <w:sz w:val="24"/>
          <w:szCs w:val="24"/>
          <w:lang w:val="en-US" w:eastAsia="zh-CN"/>
        </w:rPr>
        <w:t>开展产品碳足迹分析占比</w:t>
      </w:r>
      <w:r>
        <w:rPr>
          <w:rFonts w:hint="eastAsia" w:cs="Times New Roman"/>
          <w:i w:val="0"/>
          <w:color w:val="1F2937"/>
          <w:sz w:val="24"/>
          <w:szCs w:val="24"/>
          <w:lang w:eastAsia="zh-CN"/>
        </w:rPr>
        <w:t>】</w:t>
      </w:r>
      <w:r>
        <w:rPr>
          <w:rFonts w:ascii="Times New Roman" w:hAnsi="Times New Roman" w:eastAsia="宋体" w:cs="Times New Roman"/>
          <w:i w:val="0"/>
          <w:color w:val="1F2937"/>
          <w:sz w:val="24"/>
          <w:szCs w:val="24"/>
        </w:rPr>
        <w:t>核心指标时，下方</w:t>
      </w:r>
      <w:r>
        <w:rPr>
          <w:rFonts w:hint="eastAsia" w:cs="Times New Roman"/>
          <w:i w:val="0"/>
          <w:color w:val="1F2937"/>
          <w:sz w:val="24"/>
          <w:szCs w:val="24"/>
          <w:lang w:val="en-US" w:eastAsia="zh-CN"/>
        </w:rPr>
        <w:t>柱状图</w:t>
      </w:r>
      <w:r>
        <w:rPr>
          <w:rFonts w:ascii="Times New Roman" w:hAnsi="Times New Roman" w:eastAsia="宋体" w:cs="Times New Roman"/>
          <w:i w:val="0"/>
          <w:color w:val="1F2937"/>
          <w:sz w:val="24"/>
          <w:szCs w:val="24"/>
        </w:rPr>
        <w:t>根据</w:t>
      </w:r>
      <w:r>
        <w:rPr>
          <w:rFonts w:hint="eastAsia" w:cs="Times New Roman"/>
          <w:i w:val="0"/>
          <w:color w:val="1F2937"/>
          <w:sz w:val="24"/>
          <w:szCs w:val="24"/>
          <w:lang w:val="en-US" w:eastAsia="zh-CN"/>
        </w:rPr>
        <w:t>工厂显示数据</w:t>
      </w:r>
      <w:r>
        <w:rPr>
          <w:rFonts w:ascii="Times New Roman" w:hAnsi="Times New Roman" w:eastAsia="宋体" w:cs="Times New Roman"/>
          <w:i w:val="0"/>
          <w:color w:val="1F2937"/>
          <w:sz w:val="24"/>
          <w:szCs w:val="24"/>
        </w:rPr>
        <w:t>。</w:t>
      </w:r>
    </w:p>
    <w:p w14:paraId="7FF77E47">
      <w:pPr>
        <w:spacing w:after="60"/>
        <w:rPr>
          <w:rFonts w:hint="eastAsia" w:ascii="宋体" w:hAnsi="宋体" w:eastAsia="宋体" w:cs="宋体"/>
          <w:i w:val="0"/>
          <w:iCs w:val="0"/>
          <w:sz w:val="24"/>
          <w:szCs w:val="24"/>
        </w:rPr>
      </w:pPr>
      <w:r>
        <w:drawing>
          <wp:inline distT="0" distB="0" distL="114300" distR="114300">
            <wp:extent cx="5909310" cy="2211705"/>
            <wp:effectExtent l="0" t="0" r="15240" b="1714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2"/>
                    <a:stretch>
                      <a:fillRect/>
                    </a:stretch>
                  </pic:blipFill>
                  <pic:spPr>
                    <a:xfrm>
                      <a:off x="0" y="0"/>
                      <a:ext cx="5909310" cy="2211705"/>
                    </a:xfrm>
                    <a:prstGeom prst="rect">
                      <a:avLst/>
                    </a:prstGeom>
                    <a:noFill/>
                    <a:ln>
                      <a:noFill/>
                    </a:ln>
                  </pic:spPr>
                </pic:pic>
              </a:graphicData>
            </a:graphic>
          </wp:inline>
        </w:drawing>
      </w: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4865" cy="2269490"/>
            <wp:effectExtent l="0" t="0" r="635" b="165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3"/>
                    <a:stretch>
                      <a:fillRect/>
                    </a:stretch>
                  </pic:blipFill>
                  <pic:spPr>
                    <a:xfrm>
                      <a:off x="0" y="0"/>
                      <a:ext cx="5904865" cy="226949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4"/>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5500" cy="164846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5"/>
                    <a:stretch>
                      <a:fillRect/>
                    </a:stretch>
                  </pic:blipFill>
                  <pic:spPr>
                    <a:xfrm>
                      <a:off x="0" y="0"/>
                      <a:ext cx="5905500" cy="1648460"/>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21665"/>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26"/>
                    <a:stretch>
                      <a:fillRect/>
                    </a:stretch>
                  </pic:blipFill>
                  <pic:spPr>
                    <a:xfrm>
                      <a:off x="0" y="0"/>
                      <a:ext cx="5900420" cy="292544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77A03457">
      <w:pPr>
        <w:pStyle w:val="19"/>
        <w:widowControl/>
        <w:numPr>
          <w:ilvl w:val="0"/>
          <w:numId w:val="4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在指标详情抽屉中查看数学核算模型、数仓链路与仪表点位、12 个月走势图与底层抄表台账，并一键导出明细，</w:t>
      </w:r>
    </w:p>
    <w:p w14:paraId="40C3365F">
      <w:pPr>
        <w:pStyle w:val="19"/>
        <w:widowControl/>
        <w:numPr>
          <w:ilvl w:val="0"/>
          <w:numId w:val="4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我能形成经得起审计追溯的能耗异常归因证据。</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DD0D4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趋势图口径：</w:t>
      </w:r>
      <w:r>
        <w:rPr>
          <w:rFonts w:ascii="Times New Roman" w:hAnsi="Times New Roman" w:eastAsia="宋体" w:cs="Times New Roman"/>
          <w:b w:val="0"/>
          <w:bCs/>
          <w:i w:val="0"/>
          <w:color w:val="auto"/>
          <w:sz w:val="24"/>
          <w:szCs w:val="24"/>
        </w:rPr>
        <w:t>数值轴起点固定为 0，禁止截断纵轴放大波动；同一时刻多序列对比时统一使用同一纵轴量纲，不启用双 Y 轴，避免视觉误导。</w:t>
      </w:r>
    </w:p>
    <w:p w14:paraId="32EC6E9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明细表口径</w:t>
      </w:r>
      <w:r>
        <w:rPr>
          <w:rFonts w:ascii="Times New Roman" w:hAnsi="Times New Roman" w:eastAsia="宋体" w:cs="Times New Roman"/>
          <w:b w:val="0"/>
          <w:bCs/>
          <w:i w:val="0"/>
          <w:color w:val="auto"/>
          <w:sz w:val="24"/>
          <w:szCs w:val="24"/>
        </w:rPr>
        <w:t>：支持按组织（集团 / 产业 / 二级公司 / 工厂 / 车间）与时间维度（月 / 年）自由切换，切换后榜单与趋势同步刷新；当前筛选上下文在穿透进入单指标详情内页后仍完整保留，返回时恢复原视图。</w:t>
      </w:r>
    </w:p>
    <w:p w14:paraId="3CC3769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归因口径</w:t>
      </w:r>
      <w:r>
        <w:rPr>
          <w:rFonts w:ascii="Times New Roman" w:hAnsi="Times New Roman" w:eastAsia="宋体" w:cs="Times New Roman"/>
          <w:b w:val="0"/>
          <w:bCs/>
          <w:i w:val="0"/>
          <w:color w:val="auto"/>
          <w:sz w:val="24"/>
          <w:szCs w:val="24"/>
        </w:rPr>
        <w:t>：桑基图各层节点宽度按分子 / 分母绝对量等比映射，同一层级节点之和恒等于上一层流入量；未归因差额单列"其他"并标注其占比，严禁隐去差额造成流量不配平。</w:t>
      </w:r>
    </w:p>
    <w:p w14:paraId="2AA2B5D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导出字段顺序固定为</w:t>
      </w:r>
      <w:r>
        <w:rPr>
          <w:rFonts w:ascii="Times New Roman" w:hAnsi="Times New Roman" w:eastAsia="宋体" w:cs="Times New Roman"/>
          <w:b w:val="0"/>
          <w:bCs/>
          <w:i w:val="0"/>
          <w:color w:val="auto"/>
          <w:sz w:val="24"/>
          <w:szCs w:val="24"/>
        </w:rPr>
        <w:t>：组织、统计周期、分子、分母、指标值、环比、同比、数据来源、采集时间戳；导出件与页面数值必须同源同版本，禁止导出时二次取数。</w:t>
      </w:r>
    </w:p>
    <w:p w14:paraId="5CA34B5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精度口径</w:t>
      </w:r>
      <w:r>
        <w:rPr>
          <w:rFonts w:ascii="Times New Roman" w:hAnsi="Times New Roman" w:eastAsia="宋体" w:cs="Times New Roman"/>
          <w:b w:val="0"/>
          <w:bCs/>
          <w:i w:val="0"/>
          <w:color w:val="auto"/>
          <w:sz w:val="24"/>
          <w:szCs w:val="24"/>
        </w:rPr>
        <w:t>：指标值与比率保留 2 位小数；分子、分母保留原始精度不做展示层舍入，避免出现"分子分母算不出指标值"的核对争议。</w:t>
      </w:r>
    </w:p>
    <w:p w14:paraId="65049D8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bCs w:val="0"/>
          <w:i w:val="0"/>
          <w:color w:val="auto"/>
          <w:sz w:val="24"/>
          <w:szCs w:val="24"/>
        </w:rPr>
        <w:t>缺失口径</w:t>
      </w:r>
      <w:r>
        <w:rPr>
          <w:rFonts w:ascii="Times New Roman" w:hAnsi="Times New Roman" w:eastAsia="宋体" w:cs="Times New Roman"/>
          <w:b w:val="0"/>
          <w:bCs/>
          <w:i w:val="0"/>
          <w:color w:val="auto"/>
          <w:sz w:val="24"/>
          <w:szCs w:val="24"/>
        </w:rPr>
        <w:t>：缺失月份保留真实断层，严禁插值、补 0 或跨期挪用；断层在趋势图上以断线表达，明细表对应行置灰并标注"无数据"。</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4645"/>
      <w:r>
        <w:rPr>
          <w:rFonts w:ascii="Times New Roman" w:hAnsi="Times New Roman" w:eastAsia="黑体" w:cs="Times New Roman"/>
          <w:b w:val="0"/>
          <w:bCs w:val="0"/>
          <w:sz w:val="30"/>
          <w:szCs w:val="24"/>
        </w:rPr>
        <w:t>用能监测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7"/>
                    <a:stretch>
                      <a:fillRect/>
                    </a:stretch>
                  </pic:blipFill>
                  <pic:spPr>
                    <a:xfrm>
                      <a:off x="0" y="0"/>
                      <a:ext cx="5900420" cy="2925445"/>
                    </a:xfrm>
                    <a:prstGeom prst="rect">
                      <a:avLst/>
                    </a:prstGeom>
                    <a:noFill/>
                    <a:ln>
                      <a:noFill/>
                    </a:ln>
                  </pic:spPr>
                </pic:pic>
              </a:graphicData>
            </a:graphic>
          </wp:inline>
        </w:drawing>
      </w:r>
    </w:p>
    <w:p w14:paraId="2DFAB928">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1C6A5EC2">
      <w:pPr>
        <w:pStyle w:val="19"/>
        <w:widowControl/>
        <w:numPr>
          <w:ilvl w:val="0"/>
          <w:numId w:val="4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按能源介质切换查看当日/当月总体峰平谷构成、逐时连续采样走势与额定工艺基准对比，并支持跨月区间查询，</w:t>
      </w:r>
    </w:p>
    <w:p w14:paraId="61263772">
      <w:pPr>
        <w:pStyle w:val="19"/>
        <w:widowControl/>
        <w:numPr>
          <w:ilvl w:val="0"/>
          <w:numId w:val="4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我能及时发现某介质的用能异常攀升并定位到具体工序或车间。</w:t>
      </w:r>
    </w:p>
    <w:p w14:paraId="17028CB4">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numPr>
          <w:ilvl w:val="0"/>
          <w:numId w:val="45"/>
        </w:numPr>
        <w:bidi w:val="0"/>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576FDC46">
      <w:pPr>
        <w:pStyle w:val="19"/>
        <w:widowControl/>
        <w:numPr>
          <w:ilvl w:val="0"/>
          <w:numId w:val="0"/>
        </w:numPr>
        <w:rPr>
          <w:rFonts w:eastAsia="宋体"/>
          <w:b/>
          <w:i w:val="0"/>
          <w:color w:val="0284C7"/>
          <w:sz w:val="24"/>
          <w:szCs w:val="24"/>
        </w:rPr>
      </w:pPr>
      <w:r>
        <w:drawing>
          <wp:inline distT="0" distB="0" distL="114300" distR="114300">
            <wp:extent cx="5913755" cy="3187700"/>
            <wp:effectExtent l="0" t="0" r="10795" b="12700"/>
            <wp:docPr id="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pic:cNvPicPr>
                      <a:picLocks noChangeAspect="1"/>
                    </pic:cNvPicPr>
                  </pic:nvPicPr>
                  <pic:blipFill>
                    <a:blip r:embed="rId28"/>
                    <a:stretch>
                      <a:fillRect/>
                    </a:stretch>
                  </pic:blipFill>
                  <pic:spPr>
                    <a:xfrm>
                      <a:off x="0" y="0"/>
                      <a:ext cx="5913755" cy="3187700"/>
                    </a:xfrm>
                    <a:prstGeom prst="rect">
                      <a:avLst/>
                    </a:prstGeom>
                    <a:noFill/>
                    <a:ln>
                      <a:noFill/>
                    </a:ln>
                  </pic:spPr>
                </pic:pic>
              </a:graphicData>
            </a:graphic>
          </wp:inline>
        </w:drawing>
      </w:r>
    </w:p>
    <w:p w14:paraId="13A9187D">
      <w:pPr>
        <w:pStyle w:val="19"/>
        <w:bidi w:val="0"/>
        <w:ind w:left="0" w:leftChars="0" w:firstLine="0" w:firstLineChars="0"/>
      </w:pPr>
      <w: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bidi w:val="0"/>
      </w:pPr>
      <w:r>
        <w:t>页面 TAB 结构与交互规则：</w:t>
      </w:r>
    </w:p>
    <w:p w14:paraId="1A5A7589">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4A70BD43">
      <w:pPr>
        <w:pStyle w:val="19"/>
        <w:widowControl/>
        <w:numPr>
          <w:ilvl w:val="0"/>
          <w:numId w:val="0"/>
        </w:numPr>
      </w:pPr>
      <w:r>
        <w:drawing>
          <wp:inline distT="0" distB="0" distL="114300" distR="114300">
            <wp:extent cx="5905500" cy="2032635"/>
            <wp:effectExtent l="0" t="0" r="0" b="571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29"/>
                    <a:stretch>
                      <a:fillRect/>
                    </a:stretch>
                  </pic:blipFill>
                  <pic:spPr>
                    <a:xfrm>
                      <a:off x="0" y="0"/>
                      <a:ext cx="5905500" cy="2032635"/>
                    </a:xfrm>
                    <a:prstGeom prst="rect">
                      <a:avLst/>
                    </a:prstGeom>
                    <a:noFill/>
                    <a:ln>
                      <a:noFill/>
                    </a:ln>
                  </pic:spPr>
                </pic:pic>
              </a:graphicData>
            </a:graphic>
          </wp:inline>
        </w:drawing>
      </w:r>
    </w:p>
    <w:p w14:paraId="30FFC747">
      <w:pPr>
        <w:pStyle w:val="19"/>
        <w:widowControl/>
        <w:numPr>
          <w:ilvl w:val="0"/>
          <w:numId w:val="0"/>
        </w:numPr>
        <w:rPr>
          <w:rFonts w:hint="eastAsia"/>
          <w:lang w:val="en-US" w:eastAsia="zh-CN"/>
        </w:rPr>
      </w:pPr>
      <w:r>
        <w:rPr>
          <w:rFonts w:hint="eastAsia"/>
          <w:lang w:val="en-US" w:eastAsia="zh-CN"/>
        </w:rPr>
        <w:t>市电峰平谷用电分析：</w:t>
      </w:r>
    </w:p>
    <w:p w14:paraId="579F3301">
      <w:pPr>
        <w:pStyle w:val="19"/>
        <w:widowControl/>
        <w:numPr>
          <w:ilvl w:val="0"/>
          <w:numId w:val="0"/>
        </w:numPr>
        <w:rPr>
          <w:rFonts w:hint="default"/>
          <w:lang w:val="en-US" w:eastAsia="zh-CN"/>
        </w:rPr>
      </w:pPr>
    </w:p>
    <w:p w14:paraId="739E685E">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29921"/>
      <w:r>
        <w:rPr>
          <w:rFonts w:ascii="Times New Roman" w:hAnsi="Times New Roman" w:eastAsia="黑体" w:cs="Times New Roman"/>
          <w:b w:val="0"/>
          <w:bCs w:val="0"/>
          <w:sz w:val="30"/>
          <w:szCs w:val="24"/>
        </w:rPr>
        <w:t>重点</w:t>
      </w:r>
      <w:r>
        <w:rPr>
          <w:rFonts w:hint="eastAsia" w:cs="Times New Roman"/>
          <w:b w:val="0"/>
          <w:bCs w:val="0"/>
          <w:sz w:val="30"/>
          <w:szCs w:val="24"/>
          <w:lang w:val="en-US" w:eastAsia="zh-CN"/>
        </w:rPr>
        <w:t>用能设备</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0"/>
                    <a:stretch>
                      <a:fillRect/>
                    </a:stretch>
                  </pic:blipFill>
                  <pic:spPr>
                    <a:xfrm>
                      <a:off x="0" y="0"/>
                      <a:ext cx="5900420" cy="2925445"/>
                    </a:xfrm>
                    <a:prstGeom prst="rect">
                      <a:avLst/>
                    </a:prstGeom>
                    <a:noFill/>
                    <a:ln>
                      <a:noFill/>
                    </a:ln>
                  </pic:spPr>
                </pic:pic>
              </a:graphicData>
            </a:graphic>
          </wp:inline>
        </w:drawing>
      </w:r>
    </w:p>
    <w:p w14:paraId="06F2D5DE">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设备保全工程师，</w:t>
      </w:r>
    </w:p>
    <w:p w14:paraId="0D189A98">
      <w:pPr>
        <w:pStyle w:val="19"/>
        <w:widowControl/>
        <w:numPr>
          <w:ilvl w:val="0"/>
          <w:numId w:val="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在设备监控看板中按电力驱动或热力驱动分类查看 32 台重点设备的运行负荷、功率因数或蒸汽流量，</w:t>
      </w:r>
    </w:p>
    <w:p w14:paraId="7950EACF">
      <w:pPr>
        <w:pStyle w:val="19"/>
        <w:widowControl/>
        <w:numPr>
          <w:ilvl w:val="0"/>
          <w:numId w:val="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我能预防高耗能设备待机空载浪费，实现设备级能效最优。</w:t>
      </w:r>
    </w:p>
    <w:p w14:paraId="4E95394B">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ind w:left="0" w:leftChars="0" w:firstLine="0" w:firstLineChars="0"/>
      </w:pPr>
      <w:r>
        <w:drawing>
          <wp:inline distT="0" distB="0" distL="114300" distR="114300">
            <wp:extent cx="5913755" cy="1678940"/>
            <wp:effectExtent l="0" t="0" r="10795" b="1651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31"/>
                    <a:stretch>
                      <a:fillRect/>
                    </a:stretch>
                  </pic:blipFill>
                  <pic:spPr>
                    <a:xfrm>
                      <a:off x="0" y="0"/>
                      <a:ext cx="5913755" cy="1678940"/>
                    </a:xfrm>
                    <a:prstGeom prst="rect">
                      <a:avLst/>
                    </a:prstGeom>
                    <a:noFill/>
                    <a:ln>
                      <a:noFill/>
                    </a:ln>
                  </pic:spPr>
                </pic:pic>
              </a:graphicData>
            </a:graphic>
          </wp:inline>
        </w:drawing>
      </w:r>
    </w:p>
    <w:p w14:paraId="6C246EC5">
      <w:pPr>
        <w:pStyle w:val="19"/>
        <w:widowControl/>
        <w:ind w:left="0" w:leftChars="0" w:firstLine="0" w:firstLineChars="0"/>
        <w:rPr>
          <w:rFonts w:hint="eastAsia"/>
          <w:lang w:val="en-US" w:eastAsia="zh-CN"/>
        </w:rPr>
      </w:pPr>
      <w:r>
        <w:rPr>
          <w:rFonts w:hint="eastAsia"/>
          <w:lang w:val="en-US" w:eastAsia="zh-CN"/>
        </w:rPr>
        <w:t>监测设备：</w:t>
      </w:r>
    </w:p>
    <w:p w14:paraId="21387C61">
      <w:pPr>
        <w:pStyle w:val="19"/>
        <w:widowControl/>
        <w:ind w:left="0" w:leftChars="0" w:firstLine="0" w:firstLineChars="0"/>
        <w:rPr>
          <w:rFonts w:hint="eastAsia"/>
          <w:lang w:val="en-US" w:eastAsia="zh-CN"/>
        </w:rPr>
      </w:pPr>
    </w:p>
    <w:p w14:paraId="2097ECE5">
      <w:pPr>
        <w:pStyle w:val="19"/>
        <w:widowControl/>
        <w:ind w:left="0" w:leftChars="0" w:firstLine="0" w:firstLineChars="0"/>
      </w:pPr>
      <w:r>
        <w:drawing>
          <wp:inline distT="0" distB="0" distL="114300" distR="114300">
            <wp:extent cx="5913755" cy="1893570"/>
            <wp:effectExtent l="0" t="0" r="10795" b="1143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32"/>
                    <a:stretch>
                      <a:fillRect/>
                    </a:stretch>
                  </pic:blipFill>
                  <pic:spPr>
                    <a:xfrm>
                      <a:off x="0" y="0"/>
                      <a:ext cx="5913755" cy="1893570"/>
                    </a:xfrm>
                    <a:prstGeom prst="rect">
                      <a:avLst/>
                    </a:prstGeom>
                    <a:noFill/>
                    <a:ln>
                      <a:noFill/>
                    </a:ln>
                  </pic:spPr>
                </pic:pic>
              </a:graphicData>
            </a:graphic>
          </wp:inline>
        </w:drawing>
      </w:r>
    </w:p>
    <w:p w14:paraId="57C8090A">
      <w:pPr>
        <w:pStyle w:val="19"/>
        <w:widowControl/>
        <w:ind w:left="0" w:leftChars="0" w:firstLine="0" w:firstLineChars="0"/>
        <w:rPr>
          <w:rFonts w:hint="eastAsia"/>
          <w:lang w:val="en-US" w:eastAsia="zh-CN"/>
        </w:rPr>
      </w:pPr>
      <w:r>
        <w:rPr>
          <w:rFonts w:hint="eastAsia"/>
          <w:lang w:val="en-US" w:eastAsia="zh-CN"/>
        </w:rPr>
        <w:t>数据图标：</w:t>
      </w:r>
    </w:p>
    <w:p w14:paraId="4AD1BD0B">
      <w:pPr>
        <w:pStyle w:val="19"/>
        <w:widowControl/>
        <w:ind w:left="0" w:leftChars="0" w:firstLine="0" w:firstLineChars="0"/>
        <w:rPr>
          <w:rFonts w:hint="eastAsia"/>
          <w:lang w:val="en-US" w:eastAsia="zh-CN"/>
        </w:rPr>
      </w:pPr>
    </w:p>
    <w:p w14:paraId="2709253A">
      <w:pPr>
        <w:pStyle w:val="19"/>
        <w:widowControl/>
        <w:ind w:left="0" w:leftChars="0" w:firstLine="0" w:firstLineChars="0"/>
      </w:pPr>
      <w:r>
        <w:drawing>
          <wp:inline distT="0" distB="0" distL="114300" distR="114300">
            <wp:extent cx="5913755" cy="1499870"/>
            <wp:effectExtent l="0" t="0" r="10795" b="508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33"/>
                    <a:stretch>
                      <a:fillRect/>
                    </a:stretch>
                  </pic:blipFill>
                  <pic:spPr>
                    <a:xfrm>
                      <a:off x="0" y="0"/>
                      <a:ext cx="5913755" cy="1499870"/>
                    </a:xfrm>
                    <a:prstGeom prst="rect">
                      <a:avLst/>
                    </a:prstGeom>
                    <a:noFill/>
                    <a:ln>
                      <a:noFill/>
                    </a:ln>
                  </pic:spPr>
                </pic:pic>
              </a:graphicData>
            </a:graphic>
          </wp:inline>
        </w:drawing>
      </w:r>
    </w:p>
    <w:p w14:paraId="363F5110">
      <w:pPr>
        <w:pStyle w:val="19"/>
        <w:widowControl/>
        <w:ind w:left="0" w:leftChars="0" w:firstLine="0" w:firstLineChars="0"/>
        <w:rPr>
          <w:rFonts w:hint="eastAsia"/>
          <w:lang w:val="en-US" w:eastAsia="zh-CN"/>
        </w:rPr>
      </w:pPr>
      <w:r>
        <w:rPr>
          <w:rFonts w:hint="eastAsia"/>
          <w:lang w:val="en-US" w:eastAsia="zh-CN"/>
        </w:rPr>
        <w:t>设备峰平谷分析：</w:t>
      </w:r>
    </w:p>
    <w:p w14:paraId="05CE69E2">
      <w:pPr>
        <w:pStyle w:val="19"/>
        <w:widowControl/>
        <w:ind w:left="0" w:leftChars="0" w:firstLine="0" w:firstLineChars="0"/>
        <w:rPr>
          <w:rFonts w:hint="default"/>
          <w:lang w:val="en-US" w:eastAsia="zh-CN"/>
        </w:rPr>
      </w:pPr>
    </w:p>
    <w:p w14:paraId="6B8782D5">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p w14:paraId="57A219F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设备未挂接监测点位（表计）：阻断能效核算，卡片标注"待挂接监测点位"，返回 E_SYS_DEV_METER_UNBOUND。</w:t>
            </w:r>
          </w:p>
          <w:p w14:paraId="41FED9B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设备表计遥测超时：保留末次有效读数并打"数据延迟"徽标，返回 E_IO_DEV_METER_TIMEOUT。</w:t>
            </w:r>
          </w:p>
          <w:p w14:paraId="4C6CB9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设备能效限额（对标基准值）未配置：越限判定不执行，卡片标注"待配置限额"，返回 E_VAL_DEV_LIMIT_MISSING（严禁以 0 代替基准线）。</w:t>
            </w:r>
          </w:p>
        </w:tc>
      </w:tr>
    </w:tbl>
    <w:p w14:paraId="578AB922">
      <w:pPr>
        <w:spacing w:after="40"/>
        <w:rPr>
          <w:rFonts w:hint="eastAsia" w:ascii="宋体" w:hAnsi="宋体" w:eastAsia="宋体" w:cs="宋体"/>
          <w:i w:val="0"/>
          <w:iCs w:val="0"/>
          <w:sz w:val="24"/>
          <w:szCs w:val="24"/>
        </w:rPr>
      </w:pPr>
    </w:p>
    <w:p w14:paraId="593ED9EF">
      <w:pPr>
        <w:pStyle w:val="6"/>
        <w:numPr>
          <w:ilvl w:val="0"/>
          <w:numId w:val="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p w14:paraId="35A129B1">
            <w:pPr>
              <w:spacing w:before="0" w:after="20" w:line="264" w:lineRule="auto"/>
              <w:rPr>
                <w:rFonts w:hint="eastAsia" w:ascii="宋体" w:hAnsi="宋体" w:eastAsia="宋体" w:cs="宋体"/>
                <w:i w:val="0"/>
                <w:iCs w:val="0"/>
                <w:sz w:val="24"/>
                <w:szCs w:val="24"/>
              </w:rPr>
            </w:pPr>
          </w:p>
          <w:p w14:paraId="70790E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设备未挂接监测点位时阻断能效核算</w:t>
            </w:r>
          </w:p>
          <w:p w14:paraId="5AD0F11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某重点用能设备已在设备树中建档但尚未挂接任何监测点位</w:t>
            </w:r>
          </w:p>
          <w:p w14:paraId="7369664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用户选中该设备查看能效指标</w:t>
            </w:r>
          </w:p>
          <w:p w14:paraId="61F2DAA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能效核算区显示"待挂接监测点位"并返回 E_SYS_DEV_METER_UNBOUND</w:t>
            </w:r>
          </w:p>
          <w:p w14:paraId="66F50A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页面不以 0 值或空白卡片冒充指标值</w:t>
            </w:r>
          </w:p>
          <w:p w14:paraId="5CAE7C9B">
            <w:pPr>
              <w:spacing w:before="0" w:after="20" w:line="264" w:lineRule="auto"/>
              <w:rPr>
                <w:rFonts w:hint="eastAsia" w:ascii="宋体" w:hAnsi="宋体" w:eastAsia="宋体" w:cs="宋体"/>
                <w:i w:val="0"/>
                <w:iCs w:val="0"/>
                <w:sz w:val="24"/>
                <w:szCs w:val="24"/>
              </w:rPr>
            </w:pPr>
          </w:p>
          <w:p w14:paraId="261FAB1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设备表计遥测超时的降级展示</w:t>
            </w:r>
          </w:p>
          <w:p w14:paraId="7A6FA0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某电力设备的表计遥测已超过 5 秒未响应</w:t>
            </w:r>
          </w:p>
          <w:p w14:paraId="3D8C5B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页面完成一次轮询刷新</w:t>
            </w:r>
          </w:p>
          <w:p w14:paraId="3DE47F0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该设备卡片保留末次有效读数并显示"数据延迟"徽标</w:t>
            </w:r>
          </w:p>
          <w:p w14:paraId="54D801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E_IO_DEV_METER_TIMEOUT</w:t>
            </w:r>
          </w:p>
          <w:p w14:paraId="7E18E6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其余设备卡片正常渲染</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29577"/>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4"/>
                    <a:stretch>
                      <a:fillRect/>
                    </a:stretch>
                  </pic:blipFill>
                  <pic:spPr>
                    <a:xfrm>
                      <a:off x="0" y="0"/>
                      <a:ext cx="5900420" cy="2925445"/>
                    </a:xfrm>
                    <a:prstGeom prst="rect">
                      <a:avLst/>
                    </a:prstGeom>
                    <a:noFill/>
                    <a:ln>
                      <a:noFill/>
                    </a:ln>
                  </pic:spPr>
                </pic:pic>
              </a:graphicData>
            </a:graphic>
          </wp:inline>
        </w:drawing>
      </w:r>
    </w:p>
    <w:p w14:paraId="551D72A1">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5400D713">
      <w:pPr>
        <w:pStyle w:val="19"/>
        <w:widowControl/>
        <w:numPr>
          <w:ilvl w:val="0"/>
          <w:numId w:val="5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在微电网监测页按企业展开设备树，查看光伏发电功率、储能 SOC 与充放功率、市电负荷及热力设备蒸汽消耗的实时工况与环比，</w:t>
      </w:r>
    </w:p>
    <w:p w14:paraId="780B5870">
      <w:pPr>
        <w:pStyle w:val="19"/>
        <w:widowControl/>
        <w:numPr>
          <w:ilvl w:val="0"/>
          <w:numId w:val="5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我能优化储能充放策略，提升绿电消纳率并降低尖峰电费。</w:t>
      </w:r>
    </w:p>
    <w:p w14:paraId="1B2A2A59">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1F4229C4">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4C597215">
      <w:pPr>
        <w:pStyle w:val="19"/>
        <w:widowControl/>
        <w:numPr>
          <w:ilvl w:val="0"/>
          <w:numId w:val="0"/>
        </w:numPr>
        <w:rPr>
          <w:rFonts w:hint="default" w:eastAsia="宋体"/>
          <w:b/>
          <w:i w:val="0"/>
          <w:color w:val="0284C7"/>
          <w:sz w:val="24"/>
          <w:szCs w:val="24"/>
          <w:lang w:val="en-US" w:eastAsia="zh-CN"/>
        </w:rPr>
      </w:pPr>
      <w:r>
        <w:rPr>
          <w:rFonts w:hint="eastAsia" w:cs="Times New Roman"/>
          <w:i w:val="0"/>
          <w:color w:val="1F2937"/>
          <w:sz w:val="24"/>
          <w:szCs w:val="24"/>
          <w:lang w:val="en-US" w:eastAsia="zh-CN"/>
        </w:rPr>
        <w:t>功率数据：</w:t>
      </w:r>
    </w:p>
    <w:p w14:paraId="2D932D9F">
      <w:pPr>
        <w:pStyle w:val="19"/>
        <w:widowControl/>
        <w:numPr>
          <w:ilvl w:val="0"/>
          <w:numId w:val="0"/>
        </w:numPr>
      </w:pPr>
      <w:r>
        <w:drawing>
          <wp:inline distT="0" distB="0" distL="114300" distR="114300">
            <wp:extent cx="5909310" cy="2963545"/>
            <wp:effectExtent l="0" t="0" r="15240" b="825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35"/>
                    <a:stretch>
                      <a:fillRect/>
                    </a:stretch>
                  </pic:blipFill>
                  <pic:spPr>
                    <a:xfrm>
                      <a:off x="0" y="0"/>
                      <a:ext cx="5909310" cy="2963545"/>
                    </a:xfrm>
                    <a:prstGeom prst="rect">
                      <a:avLst/>
                    </a:prstGeom>
                    <a:noFill/>
                    <a:ln>
                      <a:noFill/>
                    </a:ln>
                  </pic:spPr>
                </pic:pic>
              </a:graphicData>
            </a:graphic>
          </wp:inline>
        </w:drawing>
      </w:r>
    </w:p>
    <w:p w14:paraId="448545E1">
      <w:pPr>
        <w:pStyle w:val="19"/>
        <w:widowControl/>
        <w:numPr>
          <w:ilvl w:val="0"/>
          <w:numId w:val="0"/>
        </w:numPr>
      </w:pPr>
    </w:p>
    <w:p w14:paraId="02E7F840">
      <w:pPr>
        <w:pStyle w:val="19"/>
        <w:widowControl/>
        <w:numPr>
          <w:ilvl w:val="0"/>
          <w:numId w:val="0"/>
        </w:numPr>
      </w:pPr>
      <w:r>
        <w:rPr>
          <w:rFonts w:hint="eastAsia"/>
          <w:lang w:val="en-US" w:eastAsia="zh-CN"/>
        </w:rPr>
        <w:t>电量数据：</w:t>
      </w:r>
      <w:r>
        <w:rPr>
          <w:rFonts w:hint="eastAsia"/>
          <w:lang w:val="en-US" w:eastAsia="zh-CN"/>
        </w:rPr>
        <w:br w:type="textWrapping"/>
      </w:r>
      <w:r>
        <w:drawing>
          <wp:inline distT="0" distB="0" distL="114300" distR="114300">
            <wp:extent cx="5905500" cy="3547110"/>
            <wp:effectExtent l="0" t="0" r="0" b="1524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36"/>
                    <a:stretch>
                      <a:fillRect/>
                    </a:stretch>
                  </pic:blipFill>
                  <pic:spPr>
                    <a:xfrm>
                      <a:off x="0" y="0"/>
                      <a:ext cx="5905500" cy="3547110"/>
                    </a:xfrm>
                    <a:prstGeom prst="rect">
                      <a:avLst/>
                    </a:prstGeom>
                    <a:noFill/>
                    <a:ln>
                      <a:noFill/>
                    </a:ln>
                  </pic:spPr>
                </pic:pic>
              </a:graphicData>
            </a:graphic>
          </wp:inline>
        </w:drawing>
      </w:r>
    </w:p>
    <w:p w14:paraId="2226C238">
      <w:pPr>
        <w:pStyle w:val="19"/>
        <w:widowControl/>
        <w:numPr>
          <w:ilvl w:val="0"/>
          <w:numId w:val="0"/>
        </w:numPr>
      </w:pPr>
    </w:p>
    <w:p w14:paraId="1E320698">
      <w:pPr>
        <w:pStyle w:val="19"/>
        <w:widowControl/>
        <w:numPr>
          <w:ilvl w:val="0"/>
          <w:numId w:val="0"/>
        </w:numPr>
        <w:rPr>
          <w:rFonts w:hint="default" w:eastAsia="宋体"/>
          <w:lang w:val="en-US" w:eastAsia="zh-CN"/>
        </w:rPr>
      </w:pPr>
      <w:r>
        <w:rPr>
          <w:rFonts w:hint="eastAsia"/>
          <w:lang w:val="en-US" w:eastAsia="zh-CN"/>
        </w:rPr>
        <w:t>绿电数据：</w:t>
      </w:r>
    </w:p>
    <w:p w14:paraId="251F5E60">
      <w:pPr>
        <w:pStyle w:val="19"/>
        <w:widowControl/>
        <w:numPr>
          <w:ilvl w:val="0"/>
          <w:numId w:val="0"/>
        </w:numPr>
      </w:pPr>
      <w:r>
        <w:drawing>
          <wp:inline distT="0" distB="0" distL="114300" distR="114300">
            <wp:extent cx="5901690" cy="3753485"/>
            <wp:effectExtent l="0" t="0" r="3810" b="18415"/>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37"/>
                    <a:stretch>
                      <a:fillRect/>
                    </a:stretch>
                  </pic:blipFill>
                  <pic:spPr>
                    <a:xfrm>
                      <a:off x="0" y="0"/>
                      <a:ext cx="5901690" cy="3753485"/>
                    </a:xfrm>
                    <a:prstGeom prst="rect">
                      <a:avLst/>
                    </a:prstGeom>
                    <a:noFill/>
                    <a:ln>
                      <a:noFill/>
                    </a:ln>
                  </pic:spPr>
                </pic:pic>
              </a:graphicData>
            </a:graphic>
          </wp:inline>
        </w:drawing>
      </w:r>
    </w:p>
    <w:p w14:paraId="49DDB670">
      <w:pPr>
        <w:pStyle w:val="19"/>
        <w:widowControl/>
        <w:numPr>
          <w:ilvl w:val="0"/>
          <w:numId w:val="0"/>
        </w:numPr>
        <w:rPr>
          <w:rFonts w:hint="default"/>
          <w:lang w:val="en-US" w:eastAsia="zh-CN"/>
        </w:rPr>
      </w:pPr>
    </w:p>
    <w:p w14:paraId="0CDEFEC2">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AD515D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b w:val="0"/>
          <w:bCs/>
          <w:i w:val="0"/>
          <w:color w:val="auto"/>
          <w:sz w:val="24"/>
          <w:szCs w:val="24"/>
        </w:rPr>
        <w:t>统一使用环比（MoM），不使用同比，避免季节性光照差异干扰判断；跨月比较须在图表标题标注"环比（不消除季节性）"。</w:t>
      </w:r>
    </w:p>
    <w:p w14:paraId="580A297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b w:val="0"/>
          <w:bCs/>
          <w:i w:val="0"/>
          <w:color w:val="auto"/>
          <w:sz w:val="24"/>
          <w:szCs w:val="24"/>
        </w:rPr>
        <w:t>绿电消纳率仅统计物理可溯源的自发自用量，不含绿证核销的等效量；自发自用量以并网点双向电度表的正反向差值核算，核算过程与台账留痕可追溯。</w:t>
      </w:r>
    </w:p>
    <w:p w14:paraId="2CEEE1F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b w:val="0"/>
          <w:bCs/>
          <w:i w:val="0"/>
          <w:color w:val="auto"/>
          <w:sz w:val="24"/>
          <w:szCs w:val="24"/>
        </w:rPr>
        <w:t>谷充峰放执行时段严格对齐能源价格管理模块最新生效的分时电价版本；跨版本切换时页面提示时段变更，并对已锁账月度按当时生效版本保留原值。</w:t>
      </w:r>
    </w:p>
    <w:p w14:paraId="3617692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效率口径：</w:t>
      </w:r>
      <w:r>
        <w:rPr>
          <w:rFonts w:ascii="Times New Roman" w:hAnsi="Times New Roman" w:eastAsia="宋体" w:cs="Times New Roman"/>
          <w:b w:val="0"/>
          <w:bCs/>
          <w:i w:val="0"/>
          <w:color w:val="auto"/>
          <w:sz w:val="24"/>
          <w:szCs w:val="24"/>
        </w:rPr>
        <w:t>光伏系统效率 PR ＝ 实际发电量 ÷（装机容量 × 等效利用小时），按月计算；PR 低于 0.75 时仅在卡片以客观数值区间色标注，不出具任何定性评价。</w:t>
      </w:r>
    </w:p>
    <w:p w14:paraId="755C250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储能口径：</w:t>
      </w:r>
      <w:r>
        <w:rPr>
          <w:rFonts w:ascii="Times New Roman" w:hAnsi="Times New Roman" w:eastAsia="宋体" w:cs="Times New Roman"/>
          <w:b w:val="0"/>
          <w:bCs/>
          <w:i w:val="0"/>
          <w:color w:val="auto"/>
          <w:sz w:val="24"/>
          <w:szCs w:val="24"/>
        </w:rPr>
        <w:t>储能充放电功率符号语义固定（正值＝充电、负值＝放电）；SOC 荷电状态按 0.0 ~ 100.0 展示；"谷充峰放"判定以时段归属与功率符号联合确定，不以单一条件认定。</w:t>
      </w:r>
    </w:p>
    <w:p w14:paraId="3BC39EF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基准与来源口径：</w:t>
      </w:r>
      <w:r>
        <w:rPr>
          <w:rFonts w:ascii="Times New Roman" w:hAnsi="Times New Roman" w:eastAsia="宋体" w:cs="Times New Roman"/>
          <w:b w:val="0"/>
          <w:bCs/>
          <w:i w:val="0"/>
          <w:color w:val="auto"/>
          <w:sz w:val="24"/>
          <w:szCs w:val="24"/>
        </w:rPr>
        <w:t>等效利用小时、PR 设计值取自项目设计文件或《光伏发电系统效能规范》给定值；基准缺失时卡片标注"待配置基准"，严禁以 0 代替参与任何计算。</w:t>
      </w:r>
    </w:p>
    <w:p w14:paraId="1FC19D80">
      <w:pPr>
        <w:pStyle w:val="6"/>
        <w:numPr>
          <w:ilvl w:val="0"/>
          <w:numId w:val="5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22762"/>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8"/>
                    <a:stretch>
                      <a:fillRect/>
                    </a:stretch>
                  </pic:blipFill>
                  <pic:spPr>
                    <a:xfrm>
                      <a:off x="0" y="0"/>
                      <a:ext cx="5900420" cy="2925445"/>
                    </a:xfrm>
                    <a:prstGeom prst="rect">
                      <a:avLst/>
                    </a:prstGeom>
                    <a:noFill/>
                    <a:ln>
                      <a:noFill/>
                    </a:ln>
                  </pic:spPr>
                </pic:pic>
              </a:graphicData>
            </a:graphic>
          </wp:inline>
        </w:drawing>
      </w:r>
    </w:p>
    <w:p w14:paraId="27DA98D9">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5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园区碳资产核算员 (Persona P4)，</w:t>
      </w:r>
    </w:p>
    <w:p w14:paraId="0C27063C">
      <w:pPr>
        <w:pStyle w:val="19"/>
        <w:widowControl/>
        <w:numPr>
          <w:ilvl w:val="0"/>
          <w:numId w:val="5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实时掌握企业范围一与范围二碳排放量、万元产值碳排强度，</w:t>
      </w:r>
    </w:p>
    <w:p w14:paraId="015230EE">
      <w:pPr>
        <w:pStyle w:val="19"/>
        <w:widowControl/>
        <w:numPr>
          <w:ilvl w:val="0"/>
          <w:numId w:val="5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我能为集团减排规划与应对地方发改委碳履约提供合规依据。</w:t>
      </w:r>
    </w:p>
    <w:p w14:paraId="0762454D">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306F7DD3">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数据概览：</w:t>
      </w:r>
    </w:p>
    <w:p w14:paraId="4D83E59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2345055"/>
            <wp:effectExtent l="0" t="0" r="0" b="17145"/>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39"/>
                    <a:stretch>
                      <a:fillRect/>
                    </a:stretch>
                  </pic:blipFill>
                  <pic:spPr>
                    <a:xfrm>
                      <a:off x="0" y="0"/>
                      <a:ext cx="5905500" cy="2345055"/>
                    </a:xfrm>
                    <a:prstGeom prst="rect">
                      <a:avLst/>
                    </a:prstGeom>
                    <a:noFill/>
                    <a:ln>
                      <a:noFill/>
                    </a:ln>
                  </pic:spPr>
                </pic:pic>
              </a:graphicData>
            </a:graphic>
          </wp:inline>
        </w:drawing>
      </w:r>
    </w:p>
    <w:p w14:paraId="0848C81D">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211E993">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碳排放数据：</w:t>
      </w:r>
    </w:p>
    <w:p w14:paraId="3C950B44">
      <w:pPr>
        <w:pStyle w:val="19"/>
        <w:widowControl/>
        <w:numPr>
          <w:ilvl w:val="0"/>
          <w:numId w:val="0"/>
        </w:numPr>
        <w:adjustRightInd w:val="0"/>
        <w:spacing w:before="100" w:after="100" w:afterLines="0" w:afterAutospacing="0" w:line="300" w:lineRule="auto"/>
        <w:jc w:val="both"/>
      </w:pPr>
      <w:r>
        <w:drawing>
          <wp:inline distT="0" distB="0" distL="114300" distR="114300">
            <wp:extent cx="5913755" cy="3321685"/>
            <wp:effectExtent l="0" t="0" r="10795" b="12065"/>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40"/>
                    <a:stretch>
                      <a:fillRect/>
                    </a:stretch>
                  </pic:blipFill>
                  <pic:spPr>
                    <a:xfrm>
                      <a:off x="0" y="0"/>
                      <a:ext cx="5913755" cy="3321685"/>
                    </a:xfrm>
                    <a:prstGeom prst="rect">
                      <a:avLst/>
                    </a:prstGeom>
                    <a:noFill/>
                    <a:ln>
                      <a:noFill/>
                    </a:ln>
                  </pic:spPr>
                </pic:pic>
              </a:graphicData>
            </a:graphic>
          </wp:inline>
        </w:drawing>
      </w:r>
    </w:p>
    <w:p w14:paraId="3138B67E">
      <w:pPr>
        <w:pStyle w:val="19"/>
        <w:widowControl/>
        <w:numPr>
          <w:ilvl w:val="0"/>
          <w:numId w:val="0"/>
        </w:numPr>
        <w:adjustRightInd w:val="0"/>
        <w:spacing w:before="100" w:after="100" w:afterLines="0" w:afterAutospacing="0" w:line="300" w:lineRule="auto"/>
        <w:jc w:val="both"/>
      </w:pPr>
    </w:p>
    <w:p w14:paraId="26FE2DAA">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31364E59">
      <w:pPr>
        <w:pStyle w:val="5"/>
        <w:numPr>
          <w:ilvl w:val="0"/>
          <w:numId w:val="27"/>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21" w:name="_Toc17128"/>
      <w:r>
        <w:rPr>
          <w:rFonts w:hint="eastAsia" w:ascii="Times New Roman" w:hAnsi="Times New Roman" w:eastAsia="黑体" w:cs="Times New Roman"/>
          <w:b w:val="0"/>
          <w:bCs w:val="0"/>
          <w:sz w:val="30"/>
          <w:szCs w:val="24"/>
          <w:lang w:val="en-US" w:eastAsia="zh-CN"/>
        </w:rPr>
        <w:t>自定义指标监测</w:t>
      </w:r>
      <w:bookmarkEnd w:id="21"/>
    </w:p>
    <w:p w14:paraId="2F3AD31A">
      <w:pPr>
        <w:numPr>
          <w:ilvl w:val="0"/>
          <w:numId w:val="0"/>
        </w:numPr>
        <w:spacing w:after="40"/>
        <w:ind w:leftChars="0"/>
        <w:rPr>
          <w:rFonts w:hint="default" w:ascii="宋体" w:hAnsi="宋体" w:eastAsia="宋体" w:cs="宋体"/>
          <w:i w:val="0"/>
          <w:iCs w:val="0"/>
          <w:sz w:val="24"/>
          <w:szCs w:val="24"/>
          <w:lang w:val="en-US" w:eastAsia="zh-CN"/>
        </w:rPr>
      </w:pPr>
      <w:r>
        <w:drawing>
          <wp:inline distT="0" distB="0" distL="114300" distR="114300">
            <wp:extent cx="5900420" cy="2925445"/>
            <wp:effectExtent l="0" t="0" r="5080" b="82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1"/>
                    <a:stretch>
                      <a:fillRect/>
                    </a:stretch>
                  </pic:blipFill>
                  <pic:spPr>
                    <a:xfrm>
                      <a:off x="0" y="0"/>
                      <a:ext cx="5900420" cy="2925445"/>
                    </a:xfrm>
                    <a:prstGeom prst="rect">
                      <a:avLst/>
                    </a:prstGeom>
                    <a:noFill/>
                    <a:ln>
                      <a:noFill/>
                    </a:ln>
                  </pic:spPr>
                </pic:pic>
              </a:graphicData>
            </a:graphic>
          </wp:inline>
        </w:drawing>
      </w:r>
    </w:p>
    <w:p w14:paraId="4B4A1640">
      <w:pPr>
        <w:pStyle w:val="6"/>
        <w:numPr>
          <w:ilvl w:val="0"/>
          <w:numId w:val="62"/>
        </w:numPr>
        <w:bidi w:val="0"/>
        <w:ind w:left="0" w:leftChars="0" w:firstLine="0" w:firstLineChars="0"/>
        <w:rPr>
          <w:b w:val="0"/>
          <w:bCs w:val="0"/>
          <w:sz w:val="28"/>
          <w:szCs w:val="28"/>
        </w:rPr>
      </w:pPr>
      <w:r>
        <w:rPr>
          <w:b w:val="0"/>
          <w:bCs w:val="0"/>
          <w:sz w:val="28"/>
          <w:szCs w:val="28"/>
        </w:rPr>
        <w:t>定位与架构角色</w:t>
      </w:r>
    </w:p>
    <w:p w14:paraId="18A0538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b w:val="0"/>
          <w:bCs/>
          <w:i w:val="0"/>
          <w:color w:val="auto"/>
          <w:sz w:val="24"/>
          <w:szCs w:val="24"/>
        </w:rPr>
        <w:t>集中监管板块的可扩展指标中枢，面向园区能碳专员提供「自主定义指标口径 → 自动采集计算 → 阈值三色监视 → 台账留痕导出」的闭环能力，用于承载无法被固定 10 项核心指标覆盖的园区个性化管理口径（例如「吨线缆综合能耗」「单台变压器空载损耗」「万元增加值碳排放」等），彻底解决"管理口径变了、系统指标没跟着变"的口径漂移问题。</w:t>
      </w:r>
    </w:p>
    <w:p w14:paraId="469AD59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b w:val="0"/>
          <w:bCs/>
          <w:i w:val="0"/>
          <w:color w:val="auto"/>
          <w:sz w:val="24"/>
          <w:szCs w:val="24"/>
        </w:rPr>
        <w:t>P2 园区能碳专员（主视角，负责指标定义、试算、发布与日常监测）；P1 集团决策层（只读查看已发布的自定义指标卡片，不参与定义与发布）。</w:t>
      </w:r>
    </w:p>
    <w:p w14:paraId="70E15F2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b w:val="0"/>
          <w:bCs/>
          <w:i w:val="0"/>
          <w:color w:val="auto"/>
          <w:sz w:val="24"/>
          <w:szCs w:val="24"/>
        </w:rPr>
        <w:t>/monitor/indicators/custom（左侧导航：集中监管 › 自定义指标监测）。</w:t>
      </w:r>
    </w:p>
    <w:p w14:paraId="294F601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b w:val="0"/>
          <w:bCs/>
          <w:i w:val="0"/>
          <w:color w:val="auto"/>
          <w:sz w:val="24"/>
          <w:szCs w:val="24"/>
        </w:rPr>
        <w:t>用能在线监测的实时采集数据；用能监测的日结台账；指标管控的 10 项核心指标及其组织聚合口径；第四章《系统管理、基础参数设置》的基础数据管理（基础参数）、折标煤系数库、能碳基础因子管理；组织架构六级主数据。</w:t>
      </w:r>
    </w:p>
    <w:p w14:paraId="4176139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b w:val="0"/>
          <w:bCs/>
          <w:i w:val="0"/>
          <w:color w:val="auto"/>
          <w:sz w:val="24"/>
          <w:szCs w:val="24"/>
        </w:rPr>
        <w:t>集中监管指标卡片矩阵中的自定义指标卡；数据变化详情的归因输入；统计报表的自定义口径来源；自定义指标台账的导出文件。</w:t>
      </w:r>
    </w:p>
    <w:p w14:paraId="6EF786D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本模块遵循组织维度 RLS。指标的定义与发布限 P2 及以上角色、且仅限其数据范围内操作；集团决策层（P1）对已发布指标只读。指标「数据范围」不得超出操作者自身数据范围，越权保存或访问返回 HTTP 403 并记数据访问审计日志。</w:t>
      </w:r>
    </w:p>
    <w:p w14:paraId="770E48DB"/>
    <w:p w14:paraId="1BFC628B">
      <w:pPr>
        <w:pStyle w:val="6"/>
        <w:numPr>
          <w:ilvl w:val="0"/>
          <w:numId w:val="62"/>
        </w:numPr>
        <w:bidi w:val="0"/>
        <w:ind w:left="0" w:leftChars="0" w:firstLine="0" w:firstLineChars="0"/>
        <w:rPr>
          <w:b w:val="0"/>
          <w:bCs w:val="0"/>
          <w:sz w:val="28"/>
          <w:szCs w:val="28"/>
        </w:rPr>
      </w:pPr>
      <w:r>
        <w:rPr>
          <w:b w:val="0"/>
          <w:bCs w:val="0"/>
          <w:sz w:val="28"/>
          <w:szCs w:val="28"/>
        </w:rPr>
        <w:t>业务场景与用户故事</w:t>
      </w:r>
    </w:p>
    <w:p w14:paraId="6D154A9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b w:val="0"/>
          <w:bCs/>
          <w:i w:val="0"/>
          <w:color w:val="auto"/>
          <w:sz w:val="24"/>
          <w:szCs w:val="24"/>
        </w:rPr>
        <w:t>各园区工艺与产品结构差异显著（变压器、线缆、开关、套管、互感器、电容器等），集团统一下发的 10 项核心指标无法覆盖园区内部管理所需的个性化口径。园区能碳专员需把本园区的管理口径（分子分母构成、数据来源、考核阈值）一次性固化到平台，实现无需开发介入的自动计算与异常预警，同时保证计算过程可追溯、口径可审计，经得起内部考核与外部核查。</w:t>
      </w:r>
    </w:p>
    <w:p w14:paraId="3DE32B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p>
    <w:p w14:paraId="6EB8830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As a 园区能碳专员 (Persona P2)，</w:t>
      </w:r>
    </w:p>
    <w:p w14:paraId="23F794E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I want 通过图形化公式编辑器，用平台已有的基础参数与核心指标自由组合出本园区专属的能碳指标，并为其配置计量单位、小数位、数据范围、时间粒度与三色阈值，</w:t>
      </w:r>
    </w:p>
    <w:p w14:paraId="6C675CC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So that 我能把管理口径一次性固化进系统，实现每日自动计算、异常自动标色、台账一键导出，不再依赖人工 Excel 汇总，也避免因口径口头传递造成的考核争议。</w:t>
      </w:r>
    </w:p>
    <w:p w14:paraId="231FEA41"/>
    <w:p w14:paraId="7DE23CAE">
      <w:pPr>
        <w:pStyle w:val="6"/>
        <w:numPr>
          <w:ilvl w:val="0"/>
          <w:numId w:val="62"/>
        </w:numPr>
        <w:bidi w:val="0"/>
        <w:ind w:left="0" w:leftChars="0" w:firstLine="0" w:firstLineChars="0"/>
        <w:rPr>
          <w:b w:val="0"/>
          <w:bCs w:val="0"/>
          <w:sz w:val="28"/>
          <w:szCs w:val="28"/>
        </w:rPr>
      </w:pPr>
      <w:r>
        <w:rPr>
          <w:b w:val="0"/>
          <w:bCs w:val="0"/>
          <w:sz w:val="28"/>
          <w:szCs w:val="28"/>
        </w:rPr>
        <w:t>功能规格与交互契约</w:t>
      </w:r>
    </w:p>
    <w:p w14:paraId="570D2AF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页面布局：上方「数据概览」区（自定义指标卡片矩阵：指标名称 + 大号数值 + 计量单位 + 同比箭头 + 三色状态点）；下方「数据台账明细」区（表格台账：时间、指标值、同比、环比、状态、数据来源、采集时间戳）。顶部为组织树 + 时间维度（日 / 月 / 年）+ 时间范围筛选。</w:t>
      </w:r>
    </w:p>
    <w:p w14:paraId="773DCF2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（1）新增指标【新增自定义指标】：打开指标定义弹窗，五步式表单——① 基本信息（指标名称、指标编码、展示形态）；② 计算口径（公式编辑器）；③ 计量与精度（计量单位、小数位）；④ 数据范围与粒度（组织多选、时间粒度）；⑤ 阈值分级（优秀值 / 正常值上限 / 异常值下限）。</w:t>
      </w:r>
    </w:p>
    <w:p w14:paraId="33CCFC6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（2）公式编辑器：左侧为可选变量面板（基础参数 / 核心指标 / 常量三类，支持按名称模糊检索）；中间为表达式编辑区，支持 + − × ÷、括号、单目负号与聚合函数 SUM / AVG / MAX / MIN；右侧为实时校验提示区，语法错误即时标红并在表达式内定位。</w:t>
      </w:r>
    </w:p>
    <w:p w14:paraId="5040072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（3）试算【试算】：在弹窗内选定任意时间窗口执行试算，返回试算值与试算期历史曲线；试算不落库、不影响已发布指标，可反复调整公式直至结果符合预期。</w:t>
      </w:r>
    </w:p>
    <w:p w14:paraId="279D02A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（4）发布【发布】：仅当公式校验通过且试算返回有效结果时可点击；发布后指标进入「数据概览」与「数据台账明细」，按配置的时间粒度自动计算。</w:t>
      </w:r>
    </w:p>
    <w:p w14:paraId="1302CA3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（5）停用【停用】：停用后卡片置灰并移出台账自动计算，历史指标值保留可查；再次启用时按当前生效口径续算。</w:t>
      </w:r>
    </w:p>
    <w:p w14:paraId="300593C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（6）删除【删除】：前置校验该指标是否被指标卡片矩阵、数据变化详情或统计报表引用；被引用则阻断删除并列出引用方清单，提示改为停用。</w:t>
      </w:r>
    </w:p>
    <w:p w14:paraId="79B09FF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（7）台账明细：支持按时间粒度切换、按三色状态筛选、按指标名称 / 编码检索；单行可展开查看分子分母构成与逐笔数据来源；支持导出 CSV / XLSX。</w:t>
      </w:r>
    </w:p>
    <w:p w14:paraId="4710EF9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（8）组织与时间筛选：左侧组织树驱动数据范围，顶部粒度与范围驱动时间轴；筛选条件在数据概览区与台账明细区之间共享，任一区变更即时联动另一区。</w:t>
      </w:r>
    </w:p>
    <w:tbl>
      <w:tblPr>
        <w:tblStyle w:val="38"/>
        <w:tblW w:w="9784" w:type="dxa"/>
        <w:jc w:val="center"/>
        <w:tblLayout w:type="fixed"/>
        <w:tblCellMar>
          <w:top w:w="0" w:type="dxa"/>
          <w:left w:w="108" w:type="dxa"/>
          <w:bottom w:w="0" w:type="dxa"/>
          <w:right w:w="108" w:type="dxa"/>
        </w:tblCellMar>
      </w:tblPr>
      <w:tblGrid>
        <w:gridCol w:w="1174"/>
        <w:gridCol w:w="1468"/>
        <w:gridCol w:w="1957"/>
        <w:gridCol w:w="1663"/>
        <w:gridCol w:w="3522"/>
      </w:tblGrid>
      <w:tr w14:paraId="53D61513">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2C6C6B">
            <w:pPr>
              <w:pStyle w:val="19"/>
              <w:bidi w:val="0"/>
              <w:spacing w:line="240" w:lineRule="auto"/>
              <w:ind w:left="0" w:leftChars="0" w:right="0" w:rightChars="0" w:firstLine="0" w:firstLineChars="0"/>
              <w:jc w:val="both"/>
            </w:pPr>
            <w:r>
              <w:t>控件</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83FEA3">
            <w:pPr>
              <w:pStyle w:val="19"/>
              <w:bidi w:val="0"/>
              <w:spacing w:line="240" w:lineRule="auto"/>
              <w:ind w:left="0" w:leftChars="0" w:right="0" w:rightChars="0" w:firstLine="0" w:firstLineChars="0"/>
              <w:jc w:val="both"/>
            </w:pPr>
            <w:r>
              <w:t>触发动作</w:t>
            </w:r>
          </w:p>
        </w:tc>
        <w:tc>
          <w:tcPr>
            <w:tcW w:w="19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0314CE">
            <w:pPr>
              <w:pStyle w:val="19"/>
              <w:bidi w:val="0"/>
              <w:spacing w:line="240" w:lineRule="auto"/>
              <w:ind w:left="0" w:leftChars="0" w:right="0" w:rightChars="0" w:firstLine="0" w:firstLineChars="0"/>
              <w:jc w:val="both"/>
            </w:pPr>
            <w:r>
              <w:t>前置校验</w:t>
            </w:r>
          </w:p>
        </w:tc>
        <w:tc>
          <w:tcPr>
            <w:tcW w:w="16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25A81E">
            <w:pPr>
              <w:pStyle w:val="19"/>
              <w:bidi w:val="0"/>
              <w:spacing w:line="240" w:lineRule="auto"/>
              <w:ind w:left="0" w:leftChars="0" w:right="0" w:rightChars="0" w:firstLine="0" w:firstLineChars="0"/>
              <w:jc w:val="both"/>
            </w:pPr>
            <w:r>
              <w:t>成功反馈</w:t>
            </w:r>
          </w:p>
        </w:tc>
        <w:tc>
          <w:tcPr>
            <w:tcW w:w="3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02A53E">
            <w:pPr>
              <w:pStyle w:val="19"/>
              <w:bidi w:val="0"/>
              <w:spacing w:line="240" w:lineRule="auto"/>
              <w:ind w:left="0" w:leftChars="0" w:right="0" w:rightChars="0" w:firstLine="0" w:firstLineChars="0"/>
              <w:jc w:val="both"/>
            </w:pPr>
            <w:r>
              <w:t>失败反馈</w:t>
            </w:r>
          </w:p>
        </w:tc>
      </w:tr>
      <w:tr w14:paraId="7BD9BC7B">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269AB9">
            <w:pPr>
              <w:pStyle w:val="19"/>
              <w:bidi w:val="0"/>
              <w:spacing w:line="240" w:lineRule="auto"/>
              <w:ind w:left="0" w:leftChars="0" w:right="0" w:rightChars="0" w:firstLine="0" w:firstLineChars="0"/>
              <w:jc w:val="both"/>
            </w:pPr>
            <w:r>
              <w:t>【新增自定义指标】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9380">
            <w:pPr>
              <w:pStyle w:val="19"/>
              <w:bidi w:val="0"/>
              <w:spacing w:line="240" w:lineRule="auto"/>
              <w:ind w:left="0" w:leftChars="0" w:right="0" w:rightChars="0" w:firstLine="0" w:firstLineChars="0"/>
              <w:jc w:val="both"/>
            </w:pPr>
            <w:r>
              <w:t>打开指标定义弹窗</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9874C6">
            <w:pPr>
              <w:pStyle w:val="19"/>
              <w:bidi w:val="0"/>
              <w:spacing w:line="240" w:lineRule="auto"/>
              <w:ind w:left="0" w:leftChars="0" w:right="0" w:rightChars="0" w:firstLine="0" w:firstLineChars="0"/>
              <w:jc w:val="both"/>
            </w:pPr>
            <w:r>
              <w:t>当前数据范围内指标数 ＜ 配额上限（默认 100）</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76328">
            <w:pPr>
              <w:pStyle w:val="19"/>
              <w:bidi w:val="0"/>
              <w:spacing w:line="240" w:lineRule="auto"/>
              <w:ind w:left="0" w:leftChars="0" w:right="0" w:rightChars="0" w:firstLine="0" w:firstLineChars="0"/>
              <w:jc w:val="both"/>
            </w:pPr>
            <w:r>
              <w:t>弹窗打开，进入五步式表单</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8E5883">
            <w:pPr>
              <w:pStyle w:val="19"/>
              <w:bidi w:val="0"/>
              <w:spacing w:line="240" w:lineRule="auto"/>
              <w:ind w:left="0" w:leftChars="0" w:right="0" w:rightChars="0" w:firstLine="0" w:firstLineChars="0"/>
              <w:jc w:val="both"/>
            </w:pPr>
            <w:r>
              <w:t>提示「自定义指标数量已达上限」并返回 E_SYS_KPI_CUSTOM_LIMIT_EXCEEDED</w:t>
            </w:r>
          </w:p>
        </w:tc>
      </w:tr>
      <w:tr w14:paraId="7FEA3C65">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75ADB">
            <w:pPr>
              <w:pStyle w:val="19"/>
              <w:bidi w:val="0"/>
              <w:spacing w:line="240" w:lineRule="auto"/>
              <w:ind w:left="0" w:leftChars="0" w:right="0" w:rightChars="0" w:firstLine="0" w:firstLineChars="0"/>
              <w:jc w:val="both"/>
            </w:pPr>
            <w:r>
              <w:t>公式编辑区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EC37C">
            <w:pPr>
              <w:pStyle w:val="19"/>
              <w:bidi w:val="0"/>
              <w:spacing w:line="240" w:lineRule="auto"/>
              <w:ind w:left="0" w:leftChars="0" w:right="0" w:rightChars="0" w:firstLine="0" w:firstLineChars="0"/>
              <w:jc w:val="both"/>
            </w:pPr>
            <w:r>
              <w:t>输入 / 修改表达式</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FFC321">
            <w:pPr>
              <w:pStyle w:val="19"/>
              <w:bidi w:val="0"/>
              <w:spacing w:line="240" w:lineRule="auto"/>
              <w:ind w:left="0" w:leftChars="0" w:right="0" w:rightChars="0" w:firstLine="0" w:firstLineChars="0"/>
              <w:jc w:val="both"/>
            </w:pPr>
            <w:r>
              <w:t>引用的变量须存在于基础参数或核心指标</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D407">
            <w:pPr>
              <w:pStyle w:val="19"/>
              <w:bidi w:val="0"/>
              <w:spacing w:line="240" w:lineRule="auto"/>
              <w:ind w:left="0" w:leftChars="0" w:right="0" w:rightChars="0" w:firstLine="0" w:firstLineChars="0"/>
              <w:jc w:val="both"/>
            </w:pPr>
            <w:r>
              <w:t>右侧校验区实时显示「语法正确」</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52EEE">
            <w:pPr>
              <w:pStyle w:val="19"/>
              <w:bidi w:val="0"/>
              <w:spacing w:line="240" w:lineRule="auto"/>
              <w:ind w:left="0" w:leftChars="0" w:right="0" w:rightChars="0" w:firstLine="0" w:firstLineChars="0"/>
              <w:jc w:val="both"/>
            </w:pPr>
            <w:r>
              <w:t>表达式内高亮未识别变量并返回 E_SYS_KPI_CUSTOM_EXPR_INVALID</w:t>
            </w:r>
          </w:p>
        </w:tc>
      </w:tr>
      <w:tr w14:paraId="4B08F856">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12681">
            <w:pPr>
              <w:pStyle w:val="19"/>
              <w:bidi w:val="0"/>
              <w:spacing w:line="240" w:lineRule="auto"/>
              <w:ind w:left="0" w:leftChars="0" w:right="0" w:rightChars="0" w:firstLine="0" w:firstLineChars="0"/>
              <w:jc w:val="both"/>
            </w:pPr>
            <w:r>
              <w:t>【试算】</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EF421">
            <w:pPr>
              <w:pStyle w:val="19"/>
              <w:bidi w:val="0"/>
              <w:spacing w:line="240" w:lineRule="auto"/>
              <w:ind w:left="0" w:leftChars="0" w:right="0" w:rightChars="0" w:firstLine="0" w:firstLineChars="0"/>
              <w:jc w:val="both"/>
            </w:pPr>
            <w:r>
              <w:t>按选定时间窗口试算</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F6993E">
            <w:pPr>
              <w:pStyle w:val="19"/>
              <w:bidi w:val="0"/>
              <w:spacing w:line="240" w:lineRule="auto"/>
              <w:ind w:left="0" w:leftChars="0" w:right="0" w:rightChars="0" w:firstLine="0" w:firstLineChars="0"/>
              <w:jc w:val="both"/>
            </w:pPr>
            <w:r>
              <w:t>公式语法校验通过</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BE5DB">
            <w:pPr>
              <w:pStyle w:val="19"/>
              <w:bidi w:val="0"/>
              <w:spacing w:line="240" w:lineRule="auto"/>
              <w:ind w:left="0" w:leftChars="0" w:right="0" w:rightChars="0" w:firstLine="0" w:firstLineChars="0"/>
              <w:jc w:val="both"/>
            </w:pPr>
            <w:r>
              <w:t>返回试算值与试算期历史曲线（不落库）</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BAE48">
            <w:pPr>
              <w:pStyle w:val="19"/>
              <w:bidi w:val="0"/>
              <w:spacing w:line="240" w:lineRule="auto"/>
              <w:ind w:left="0" w:leftChars="0" w:right="0" w:rightChars="0" w:firstLine="0" w:firstLineChars="0"/>
              <w:jc w:val="both"/>
            </w:pPr>
            <w:r>
              <w:t>提示试算期无数据，建议扩大时间范围</w:t>
            </w:r>
          </w:p>
        </w:tc>
      </w:tr>
      <w:tr w14:paraId="7612DBB0">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A51F77">
            <w:pPr>
              <w:pStyle w:val="19"/>
              <w:bidi w:val="0"/>
              <w:spacing w:line="240" w:lineRule="auto"/>
              <w:ind w:left="0" w:leftChars="0" w:right="0" w:rightChars="0" w:firstLine="0" w:firstLineChars="0"/>
              <w:jc w:val="both"/>
            </w:pPr>
            <w:r>
              <w:t>【发布】</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F3797">
            <w:pPr>
              <w:pStyle w:val="19"/>
              <w:bidi w:val="0"/>
              <w:spacing w:line="240" w:lineRule="auto"/>
              <w:ind w:left="0" w:leftChars="0" w:right="0" w:rightChars="0" w:firstLine="0" w:firstLineChars="0"/>
              <w:jc w:val="both"/>
            </w:pPr>
            <w:r>
              <w:t>发布指标</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DAA9">
            <w:pPr>
              <w:pStyle w:val="19"/>
              <w:bidi w:val="0"/>
              <w:spacing w:line="240" w:lineRule="auto"/>
              <w:ind w:left="0" w:leftChars="0" w:right="0" w:rightChars="0" w:firstLine="0" w:firstLineChars="0"/>
              <w:jc w:val="both"/>
            </w:pPr>
            <w:r>
              <w:t>公式校验通过 且 试算返回有效结果 且 阈值分级合法</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72362">
            <w:pPr>
              <w:pStyle w:val="19"/>
              <w:bidi w:val="0"/>
              <w:spacing w:line="240" w:lineRule="auto"/>
              <w:ind w:left="0" w:leftChars="0" w:right="0" w:rightChars="0" w:firstLine="0" w:firstLineChars="0"/>
              <w:jc w:val="both"/>
            </w:pPr>
            <w:r>
              <w:t>指标进入数据概览与台账，开始自动计算</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DFDE4">
            <w:pPr>
              <w:pStyle w:val="19"/>
              <w:bidi w:val="0"/>
              <w:spacing w:line="240" w:lineRule="auto"/>
              <w:ind w:left="0" w:leftChars="0" w:right="0" w:rightChars="0" w:firstLine="0" w:firstLineChars="0"/>
              <w:jc w:val="both"/>
            </w:pPr>
            <w:r>
              <w:t>校验未通过时按钮置灰，提示具体未通过项</w:t>
            </w:r>
          </w:p>
        </w:tc>
      </w:tr>
      <w:tr w14:paraId="077AECE3">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632B0">
            <w:pPr>
              <w:pStyle w:val="19"/>
              <w:bidi w:val="0"/>
              <w:spacing w:line="240" w:lineRule="auto"/>
              <w:ind w:left="0" w:leftChars="0" w:right="0" w:rightChars="0" w:firstLine="0" w:firstLineChars="0"/>
              <w:jc w:val="both"/>
            </w:pPr>
            <w:r>
              <w:t>【停用】</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EDD4B">
            <w:pPr>
              <w:pStyle w:val="19"/>
              <w:bidi w:val="0"/>
              <w:spacing w:line="240" w:lineRule="auto"/>
              <w:ind w:left="0" w:leftChars="0" w:right="0" w:rightChars="0" w:firstLine="0" w:firstLineChars="0"/>
              <w:jc w:val="both"/>
            </w:pPr>
            <w:r>
              <w:t>停用指标</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338F">
            <w:pPr>
              <w:pStyle w:val="19"/>
              <w:bidi w:val="0"/>
              <w:spacing w:line="240" w:lineRule="auto"/>
              <w:ind w:left="0" w:leftChars="0" w:right="0" w:rightChars="0" w:firstLine="0" w:firstLineChars="0"/>
              <w:jc w:val="both"/>
            </w:pPr>
            <w:r>
              <w:t>—</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6E0E0">
            <w:pPr>
              <w:pStyle w:val="19"/>
              <w:bidi w:val="0"/>
              <w:spacing w:line="240" w:lineRule="auto"/>
              <w:ind w:left="0" w:leftChars="0" w:right="0" w:rightChars="0" w:firstLine="0" w:firstLineChars="0"/>
              <w:jc w:val="both"/>
            </w:pPr>
            <w:r>
              <w:t>卡片置灰并移出台账计算，历史值保留</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5B431">
            <w:pPr>
              <w:pStyle w:val="19"/>
              <w:bidi w:val="0"/>
              <w:spacing w:line="240" w:lineRule="auto"/>
              <w:ind w:left="0" w:leftChars="0" w:right="0" w:rightChars="0" w:firstLine="0" w:firstLineChars="0"/>
              <w:jc w:val="both"/>
            </w:pPr>
            <w:r>
              <w:t>—</w:t>
            </w:r>
          </w:p>
        </w:tc>
      </w:tr>
      <w:tr w14:paraId="66F36E76">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7E52F2">
            <w:pPr>
              <w:pStyle w:val="19"/>
              <w:bidi w:val="0"/>
              <w:spacing w:line="240" w:lineRule="auto"/>
              <w:ind w:left="0" w:leftChars="0" w:right="0" w:rightChars="0" w:firstLine="0" w:firstLineChars="0"/>
              <w:jc w:val="both"/>
            </w:pPr>
            <w:r>
              <w:t>【删除】</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D359F7">
            <w:pPr>
              <w:pStyle w:val="19"/>
              <w:bidi w:val="0"/>
              <w:spacing w:line="240" w:lineRule="auto"/>
              <w:ind w:left="0" w:leftChars="0" w:right="0" w:rightChars="0" w:firstLine="0" w:firstLineChars="0"/>
              <w:jc w:val="both"/>
            </w:pPr>
            <w:r>
              <w:t>删除指标</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F894C2">
            <w:pPr>
              <w:pStyle w:val="19"/>
              <w:bidi w:val="0"/>
              <w:spacing w:line="240" w:lineRule="auto"/>
              <w:ind w:left="0" w:leftChars="0" w:right="0" w:rightChars="0" w:firstLine="0" w:firstLineChars="0"/>
              <w:jc w:val="both"/>
            </w:pPr>
            <w:r>
              <w:t>未被卡片矩阵 / 数据变化详情 / 报表引用</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B37B4">
            <w:pPr>
              <w:pStyle w:val="19"/>
              <w:bidi w:val="0"/>
              <w:spacing w:line="240" w:lineRule="auto"/>
              <w:ind w:left="0" w:leftChars="0" w:right="0" w:rightChars="0" w:firstLine="0" w:firstLineChars="0"/>
              <w:jc w:val="both"/>
            </w:pPr>
            <w:r>
              <w:t>删除成功并移出台账</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99565">
            <w:pPr>
              <w:pStyle w:val="19"/>
              <w:bidi w:val="0"/>
              <w:spacing w:line="240" w:lineRule="auto"/>
              <w:ind w:left="0" w:leftChars="0" w:right="0" w:rightChars="0" w:firstLine="0" w:firstLineChars="0"/>
              <w:jc w:val="both"/>
            </w:pPr>
            <w:r>
              <w:t>阻断并列出引用方清单，返回 E_SYS_KPI_CUSTOM_IN_USE_DELETE_DENIED</w:t>
            </w:r>
          </w:p>
        </w:tc>
      </w:tr>
      <w:tr w14:paraId="504C7D62">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6F3481">
            <w:pPr>
              <w:pStyle w:val="19"/>
              <w:bidi w:val="0"/>
              <w:spacing w:line="240" w:lineRule="auto"/>
              <w:ind w:left="0" w:leftChars="0" w:right="0" w:rightChars="0" w:firstLine="0" w:firstLineChars="0"/>
              <w:jc w:val="both"/>
            </w:pPr>
            <w:r>
              <w:t>组织树 / 时间筛选</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88AB6">
            <w:pPr>
              <w:pStyle w:val="19"/>
              <w:bidi w:val="0"/>
              <w:spacing w:line="240" w:lineRule="auto"/>
              <w:ind w:left="0" w:leftChars="0" w:right="0" w:rightChars="0" w:firstLine="0" w:firstLineChars="0"/>
              <w:jc w:val="both"/>
            </w:pPr>
            <w:r>
              <w:t>切换数据范围与粒度</w:t>
            </w:r>
          </w:p>
        </w:tc>
        <w:tc>
          <w:tcPr>
            <w:tcW w:w="19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1B9865">
            <w:pPr>
              <w:pStyle w:val="19"/>
              <w:bidi w:val="0"/>
              <w:spacing w:line="240" w:lineRule="auto"/>
              <w:ind w:left="0" w:leftChars="0" w:right="0" w:rightChars="0" w:firstLine="0" w:firstLineChars="0"/>
              <w:jc w:val="both"/>
            </w:pPr>
            <w:r>
              <w:t>所选组织节点在操作者数据范围内</w:t>
            </w:r>
          </w:p>
        </w:tc>
        <w:tc>
          <w:tcPr>
            <w:tcW w:w="16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B762A">
            <w:pPr>
              <w:pStyle w:val="19"/>
              <w:bidi w:val="0"/>
              <w:spacing w:line="240" w:lineRule="auto"/>
              <w:ind w:left="0" w:leftChars="0" w:right="0" w:rightChars="0" w:firstLine="0" w:firstLineChars="0"/>
              <w:jc w:val="both"/>
            </w:pPr>
            <w:r>
              <w:t>数据概览与台账同步刷新</w:t>
            </w:r>
          </w:p>
        </w:tc>
        <w:tc>
          <w:tcPr>
            <w:tcW w:w="3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5A422">
            <w:pPr>
              <w:pStyle w:val="19"/>
              <w:bidi w:val="0"/>
              <w:spacing w:line="240" w:lineRule="auto"/>
              <w:ind w:left="0" w:leftChars="0" w:right="0" w:rightChars="0" w:firstLine="0" w:firstLineChars="0"/>
              <w:jc w:val="both"/>
            </w:pPr>
            <w:r>
              <w:t>越权节点置灰不可选，越权接口返回 E_AUTH_RLS_SCOPE_DENIED</w:t>
            </w:r>
          </w:p>
        </w:tc>
      </w:tr>
      <w:tr w14:paraId="00602357">
        <w:tblPrEx>
          <w:tblCellMar>
            <w:top w:w="0" w:type="dxa"/>
            <w:left w:w="108" w:type="dxa"/>
            <w:bottom w:w="0" w:type="dxa"/>
            <w:right w:w="108" w:type="dxa"/>
          </w:tblCellMar>
        </w:tblPrEx>
        <w:trPr>
          <w:jc w:val="center"/>
        </w:trPr>
        <w:tc>
          <w:tcPr>
            <w:tcW w:w="1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94AD0">
            <w:pPr>
              <w:pStyle w:val="19"/>
              <w:bidi w:val="0"/>
              <w:spacing w:line="240" w:lineRule="auto"/>
              <w:ind w:left="0" w:leftChars="0" w:right="0" w:rightChars="0" w:firstLine="0" w:firstLineChars="0"/>
              <w:jc w:val="both"/>
            </w:pPr>
            <w:r>
              <w:t>【导出台账】</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AA7AC">
            <w:pPr>
              <w:pStyle w:val="19"/>
              <w:bidi w:val="0"/>
              <w:spacing w:line="240" w:lineRule="auto"/>
              <w:ind w:left="0" w:leftChars="0" w:right="0" w:rightChars="0" w:firstLine="0" w:firstLineChars="0"/>
              <w:jc w:val="both"/>
            </w:pPr>
            <w:r>
              <w:t>导出当前筛选结果</w:t>
            </w:r>
          </w:p>
        </w:tc>
        <w:tc>
          <w:tcPr>
            <w:tcW w:w="19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FBD78">
            <w:pPr>
              <w:pStyle w:val="19"/>
              <w:bidi w:val="0"/>
              <w:spacing w:line="240" w:lineRule="auto"/>
              <w:ind w:left="0" w:leftChars="0" w:right="0" w:rightChars="0" w:firstLine="0" w:firstLineChars="0"/>
              <w:jc w:val="both"/>
            </w:pPr>
            <w:r>
              <w:t>导出记录数 ≤ 50,000 行</w:t>
            </w:r>
          </w:p>
        </w:tc>
        <w:tc>
          <w:tcPr>
            <w:tcW w:w="16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0C36D">
            <w:pPr>
              <w:pStyle w:val="19"/>
              <w:bidi w:val="0"/>
              <w:spacing w:line="240" w:lineRule="auto"/>
              <w:ind w:left="0" w:leftChars="0" w:right="0" w:rightChars="0" w:firstLine="0" w:firstLineChars="0"/>
              <w:jc w:val="both"/>
            </w:pPr>
            <w:r>
              <w:t>生成 CSV / XLSX 并触发下载</w:t>
            </w:r>
          </w:p>
        </w:tc>
        <w:tc>
          <w:tcPr>
            <w:tcW w:w="3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DB56EC">
            <w:pPr>
              <w:pStyle w:val="19"/>
              <w:bidi w:val="0"/>
              <w:spacing w:line="240" w:lineRule="auto"/>
              <w:ind w:left="0" w:leftChars="0" w:right="0" w:rightChars="0" w:firstLine="0" w:firstLineChars="0"/>
              <w:jc w:val="both"/>
            </w:pPr>
            <w:r>
              <w:t>拒绝导出，返回 E_SYS_EXPORT_LIMIT_EXCEEDED</w:t>
            </w:r>
          </w:p>
        </w:tc>
      </w:tr>
    </w:tbl>
    <w:p w14:paraId="531E4F14"/>
    <w:p w14:paraId="3E2A4776">
      <w:pPr>
        <w:pStyle w:val="6"/>
        <w:numPr>
          <w:ilvl w:val="0"/>
          <w:numId w:val="62"/>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0E6E29A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91EDE3">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C48D0">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C6E3F0">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A8B9">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C2567C">
            <w:pPr>
              <w:pStyle w:val="19"/>
              <w:bidi w:val="0"/>
              <w:spacing w:line="240" w:lineRule="auto"/>
              <w:ind w:left="0" w:leftChars="0" w:right="0" w:rightChars="0" w:firstLine="0" w:firstLineChars="0"/>
              <w:jc w:val="both"/>
            </w:pPr>
            <w:r>
              <w:t>校验与约束规则</w:t>
            </w:r>
          </w:p>
        </w:tc>
      </w:tr>
      <w:tr w14:paraId="2692E7D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D34E8">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74719F">
            <w:pPr>
              <w:pStyle w:val="19"/>
              <w:bidi w:val="0"/>
              <w:spacing w:line="240" w:lineRule="auto"/>
              <w:ind w:left="0" w:leftChars="0" w:right="0" w:rightChars="0" w:firstLine="0" w:firstLineChars="0"/>
              <w:jc w:val="both"/>
            </w:pPr>
            <w:r>
              <w:t>指标名称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38AF3">
            <w:pPr>
              <w:pStyle w:val="19"/>
              <w:bidi w:val="0"/>
              <w:spacing w:line="240" w:lineRule="auto"/>
              <w:ind w:left="0" w:leftChars="0" w:right="0" w:rightChars="0" w:firstLine="0" w:firstLineChars="0"/>
              <w:jc w:val="both"/>
            </w:pPr>
            <w: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C7CFC9">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4C716">
            <w:pPr>
              <w:pStyle w:val="19"/>
              <w:bidi w:val="0"/>
              <w:spacing w:line="240" w:lineRule="auto"/>
              <w:ind w:left="0" w:leftChars="0" w:right="0" w:rightChars="0" w:firstLine="0" w:firstLineChars="0"/>
              <w:jc w:val="both"/>
            </w:pPr>
            <w:r>
              <w:t>必填；≤30 字符；同一数据范围内不可重名，重名阻断保存</w:t>
            </w:r>
          </w:p>
        </w:tc>
      </w:tr>
      <w:tr w14:paraId="0E54502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935D63">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E30113">
            <w:pPr>
              <w:pStyle w:val="19"/>
              <w:bidi w:val="0"/>
              <w:spacing w:line="240" w:lineRule="auto"/>
              <w:ind w:left="0" w:leftChars="0" w:right="0" w:rightChars="0" w:firstLine="0" w:firstLineChars="0"/>
              <w:jc w:val="both"/>
            </w:pPr>
            <w:r>
              <w:t>指标编码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9F067">
            <w:pPr>
              <w:pStyle w:val="19"/>
              <w:bidi w:val="0"/>
              <w:spacing w:line="240" w:lineRule="auto"/>
              <w:ind w:left="0" w:leftChars="0" w:right="0" w:rightChars="0" w:firstLine="0" w:firstLineChars="0"/>
              <w:jc w:val="both"/>
            </w:pPr>
            <w: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D183D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9515C">
            <w:pPr>
              <w:pStyle w:val="19"/>
              <w:bidi w:val="0"/>
              <w:spacing w:line="240" w:lineRule="auto"/>
              <w:ind w:left="0" w:leftChars="0" w:right="0" w:rightChars="0" w:firstLine="0" w:firstLineChars="0"/>
              <w:jc w:val="both"/>
            </w:pPr>
            <w:r>
              <w:t>业务主键；全局唯一；格式 CUS- + 3~6 位大写字母数字（如 CUS-TXLC）；创建后不可修改</w:t>
            </w:r>
          </w:p>
        </w:tc>
      </w:tr>
      <w:tr w14:paraId="3B559A3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257A6">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83ADC">
            <w:pPr>
              <w:pStyle w:val="19"/>
              <w:bidi w:val="0"/>
              <w:spacing w:line="240" w:lineRule="auto"/>
              <w:ind w:left="0" w:leftChars="0" w:right="0" w:rightChars="0" w:firstLine="0" w:firstLineChars="0"/>
              <w:jc w:val="both"/>
            </w:pPr>
            <w:r>
              <w:t>计算口径（公式）</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9EEAF">
            <w:pPr>
              <w:pStyle w:val="19"/>
              <w:bidi w:val="0"/>
              <w:spacing w:line="240" w:lineRule="auto"/>
              <w:ind w:left="0" w:leftChars="0" w:right="0" w:rightChars="0" w:firstLine="0" w:firstLineChars="0"/>
              <w:jc w:val="both"/>
            </w:pPr>
            <w:r>
              <w:t>文本（表达式）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E83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D79FFA">
            <w:pPr>
              <w:pStyle w:val="19"/>
              <w:bidi w:val="0"/>
              <w:spacing w:line="240" w:lineRule="auto"/>
              <w:ind w:left="0" w:leftChars="0" w:right="0" w:rightChars="0" w:firstLine="0" w:firstLineChars="0"/>
              <w:jc w:val="both"/>
            </w:pPr>
            <w:r>
              <w:t>必填；由基础参数 / 核心指标 / 常量与运算符（+ − × ÷、括号、单目负号）及聚合函数 SUM / AVG / MAX / MIN 组成；长度 ≤500 字符</w:t>
            </w:r>
          </w:p>
        </w:tc>
      </w:tr>
      <w:tr w14:paraId="61E559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287AFC">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37359">
            <w:pPr>
              <w:pStyle w:val="19"/>
              <w:bidi w:val="0"/>
              <w:spacing w:line="240" w:lineRule="auto"/>
              <w:ind w:left="0" w:leftChars="0" w:right="0" w:rightChars="0" w:firstLine="0" w:firstLineChars="0"/>
              <w:jc w:val="both"/>
            </w:pPr>
            <w: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0AA7F">
            <w:pPr>
              <w:pStyle w:val="19"/>
              <w:bidi w:val="0"/>
              <w:spacing w:line="240" w:lineRule="auto"/>
              <w:ind w:left="0" w:leftChars="0" w:right="0" w:rightChars="0" w:firstLine="0" w:firstLineChars="0"/>
              <w:jc w:val="both"/>
            </w:pPr>
            <w: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B39F6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BC5738">
            <w:pPr>
              <w:pStyle w:val="19"/>
              <w:bidi w:val="0"/>
              <w:spacing w:line="240" w:lineRule="auto"/>
              <w:ind w:left="0" w:leftChars="0" w:right="0" w:rightChars="0" w:firstLine="0" w:firstLineChars="0"/>
              <w:jc w:val="both"/>
            </w:pPr>
            <w:r>
              <w:t>数值型指标必填；建议引用所引用基础参数的法定计量单位；≤15 字符；不得与其他已发布指标的同类口径单位冲突</w:t>
            </w:r>
          </w:p>
        </w:tc>
      </w:tr>
      <w:tr w14:paraId="084ACE8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DCFDB">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3175B">
            <w:pPr>
              <w:pStyle w:val="19"/>
              <w:bidi w:val="0"/>
              <w:spacing w:line="240" w:lineRule="auto"/>
              <w:ind w:left="0" w:leftChars="0" w:right="0" w:rightChars="0" w:firstLine="0" w:firstLineChars="0"/>
              <w:jc w:val="both"/>
            </w:pPr>
            <w:r>
              <w:t>小数位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A244">
            <w:pPr>
              <w:pStyle w:val="19"/>
              <w:bidi w:val="0"/>
              <w:spacing w:line="240" w:lineRule="auto"/>
              <w:ind w:left="0" w:leftChars="0" w:right="0" w:rightChars="0" w:firstLine="0" w:firstLineChars="0"/>
              <w:jc w:val="both"/>
            </w:pPr>
            <w:r>
              <w:t>整数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D4DBC">
            <w:pPr>
              <w:pStyle w:val="19"/>
              <w:bidi w:val="0"/>
              <w:spacing w:line="240" w:lineRule="auto"/>
              <w:ind w:left="0" w:leftChars="0" w:right="0" w:rightChars="0" w:firstLine="0" w:firstLineChars="0"/>
              <w:jc w:val="both"/>
            </w:pPr>
            <w:r>
              <w:t>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37BD4">
            <w:pPr>
              <w:pStyle w:val="19"/>
              <w:bidi w:val="0"/>
              <w:spacing w:line="240" w:lineRule="auto"/>
              <w:ind w:left="0" w:leftChars="0" w:right="0" w:rightChars="0" w:firstLine="0" w:firstLineChars="0"/>
              <w:jc w:val="both"/>
            </w:pPr>
            <w:r>
              <w:t>取值范围 0 ~ 6；默认 2；仅对数值型指标生效</w:t>
            </w:r>
          </w:p>
        </w:tc>
      </w:tr>
      <w:tr w14:paraId="0222E2F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F72AF">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4243D">
            <w:pPr>
              <w:pStyle w:val="19"/>
              <w:bidi w:val="0"/>
              <w:spacing w:line="240" w:lineRule="auto"/>
              <w:ind w:left="0" w:leftChars="0" w:right="0" w:rightChars="0" w:firstLine="0" w:firstLineChars="0"/>
              <w:jc w:val="both"/>
            </w:pPr>
            <w: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375D64">
            <w:pPr>
              <w:pStyle w:val="19"/>
              <w:bidi w:val="0"/>
              <w:spacing w:line="240" w:lineRule="auto"/>
              <w:ind w:left="0" w:leftChars="0" w:right="0" w:rightChars="0" w:firstLine="0" w:firstLineChars="0"/>
              <w:jc w:val="both"/>
            </w:pPr>
            <w:r>
              <w:t>组织树多选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50D44">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C5094">
            <w:pPr>
              <w:pStyle w:val="19"/>
              <w:bidi w:val="0"/>
              <w:spacing w:line="240" w:lineRule="auto"/>
              <w:ind w:left="0" w:leftChars="0" w:right="0" w:rightChars="0" w:firstLine="0" w:firstLineChars="0"/>
              <w:jc w:val="both"/>
            </w:pPr>
            <w:r>
              <w:t>必填；可多选组织节点；不得超出操作者自身数据范围，越权即阻断并返回 403</w:t>
            </w:r>
          </w:p>
        </w:tc>
      </w:tr>
      <w:tr w14:paraId="7769D19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0640DE">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29468C">
            <w:pPr>
              <w:pStyle w:val="19"/>
              <w:bidi w:val="0"/>
              <w:spacing w:line="240" w:lineRule="auto"/>
              <w:ind w:left="0" w:leftChars="0" w:right="0" w:rightChars="0" w:firstLine="0" w:firstLineChars="0"/>
              <w:jc w:val="both"/>
            </w:pPr>
            <w:r>
              <w:t>时间粒度</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453DD8">
            <w:pPr>
              <w:pStyle w:val="19"/>
              <w:bidi w:val="0"/>
              <w:spacing w:line="240" w:lineRule="auto"/>
              <w:ind w:left="0" w:leftChars="0" w:right="0" w:rightChars="0" w:firstLine="0" w:firstLineChars="0"/>
              <w:jc w:val="both"/>
            </w:pPr>
            <w: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46BB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9FFD6">
            <w:pPr>
              <w:pStyle w:val="19"/>
              <w:bidi w:val="0"/>
              <w:spacing w:line="240" w:lineRule="auto"/>
              <w:ind w:left="0" w:leftChars="0" w:right="0" w:rightChars="0" w:firstLine="0" w:firstLineChars="0"/>
              <w:jc w:val="both"/>
            </w:pPr>
            <w:r>
              <w:t>取值｛日 / 月 / 年｝；默认月；同一指标粒度一经发布不可变更（变更须新建指标）</w:t>
            </w:r>
          </w:p>
        </w:tc>
      </w:tr>
      <w:tr w14:paraId="2848957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2C8C0">
            <w:pPr>
              <w:pStyle w:val="19"/>
              <w:bidi w:val="0"/>
              <w:spacing w:line="240" w:lineRule="auto"/>
              <w:ind w:left="0" w:leftChars="0" w:right="0" w:rightChars="0" w:firstLine="0" w:firstLineChars="0"/>
              <w:jc w:val="both"/>
            </w:pPr>
            <w:r>
              <w:t>8</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19CDF">
            <w:pPr>
              <w:pStyle w:val="19"/>
              <w:bidi w:val="0"/>
              <w:spacing w:line="240" w:lineRule="auto"/>
              <w:ind w:left="0" w:leftChars="0" w:right="0" w:rightChars="0" w:firstLine="0" w:firstLineChars="0"/>
              <w:jc w:val="both"/>
            </w:pPr>
            <w:r>
              <w:t>阈值分级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6E8BA">
            <w:pPr>
              <w:pStyle w:val="19"/>
              <w:bidi w:val="0"/>
              <w:spacing w:line="240" w:lineRule="auto"/>
              <w:ind w:left="0" w:leftChars="0" w:right="0" w:rightChars="0" w:firstLine="0" w:firstLineChars="0"/>
              <w:jc w:val="both"/>
            </w:pPr>
            <w:r>
              <w:t>数值组（3 值）</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D1B37">
            <w:pPr>
              <w:pStyle w:val="19"/>
              <w:bidi w:val="0"/>
              <w:spacing w:line="240" w:lineRule="auto"/>
              <w:ind w:left="0" w:leftChars="0" w:right="0" w:rightChars="0" w:firstLine="0" w:firstLineChars="0"/>
              <w:jc w:val="both"/>
            </w:pPr>
            <w:r>
              <w:t>同指标单位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23420">
            <w:pPr>
              <w:pStyle w:val="19"/>
              <w:bidi w:val="0"/>
              <w:spacing w:line="240" w:lineRule="auto"/>
              <w:ind w:left="0" w:leftChars="0" w:right="0" w:rightChars="0" w:firstLine="0" w:firstLineChars="0"/>
              <w:jc w:val="both"/>
            </w:pPr>
            <w:r>
              <w:t>必填；须满足 优秀值 ≤ 正常值上限 ＜ 异常值下限；越界阻断保存</w:t>
            </w:r>
          </w:p>
        </w:tc>
      </w:tr>
      <w:tr w14:paraId="76871A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C753E5">
            <w:pPr>
              <w:pStyle w:val="19"/>
              <w:bidi w:val="0"/>
              <w:spacing w:line="240" w:lineRule="auto"/>
              <w:ind w:left="0" w:leftChars="0" w:right="0" w:rightChars="0" w:firstLine="0" w:firstLineChars="0"/>
              <w:jc w:val="both"/>
            </w:pPr>
            <w:r>
              <w:t>9</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6AD80">
            <w:pPr>
              <w:pStyle w:val="19"/>
              <w:bidi w:val="0"/>
              <w:spacing w:line="240" w:lineRule="auto"/>
              <w:ind w:left="0" w:leftChars="0" w:right="0" w:rightChars="0" w:firstLine="0" w:firstLineChars="0"/>
              <w:jc w:val="both"/>
            </w:pPr>
            <w:r>
              <w:t>展示形态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A83B2">
            <w:pPr>
              <w:pStyle w:val="19"/>
              <w:bidi w:val="0"/>
              <w:spacing w:line="240" w:lineRule="auto"/>
              <w:ind w:left="0" w:leftChars="0" w:right="0" w:rightChars="0" w:firstLine="0" w:firstLineChars="0"/>
              <w:jc w:val="both"/>
            </w:pPr>
            <w:r>
              <w:t>枚举单选</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7CACF8">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8620F4">
            <w:pPr>
              <w:pStyle w:val="19"/>
              <w:bidi w:val="0"/>
              <w:spacing w:line="240" w:lineRule="auto"/>
              <w:ind w:left="0" w:leftChars="0" w:right="0" w:rightChars="0" w:firstLine="0" w:firstLineChars="0"/>
              <w:jc w:val="both"/>
            </w:pPr>
            <w:r>
              <w:t>取值｛卡片 / 折线 / 柱状｝；默认卡片；影响数据概览区的呈现方式</w:t>
            </w:r>
          </w:p>
        </w:tc>
      </w:tr>
      <w:tr w14:paraId="77E2238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7A2870">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DA678">
            <w:pPr>
              <w:pStyle w:val="19"/>
              <w:bidi w:val="0"/>
              <w:spacing w:line="240" w:lineRule="auto"/>
              <w:ind w:left="0" w:leftChars="0" w:right="0" w:rightChars="0" w:firstLine="0" w:firstLineChars="0"/>
              <w:jc w:val="both"/>
            </w:pPr>
            <w: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E8AF3">
            <w:pPr>
              <w:pStyle w:val="19"/>
              <w:bidi w:val="0"/>
              <w:spacing w:line="240" w:lineRule="auto"/>
              <w:ind w:left="0" w:leftChars="0" w:right="0" w:rightChars="0" w:firstLine="0" w:firstLineChars="0"/>
              <w:jc w:val="both"/>
            </w:pPr>
            <w:r>
              <w:t>枚举单选</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B4D744">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5B68D">
            <w:pPr>
              <w:pStyle w:val="19"/>
              <w:bidi w:val="0"/>
              <w:spacing w:line="240" w:lineRule="auto"/>
              <w:ind w:left="0" w:leftChars="0" w:right="0" w:rightChars="0" w:firstLine="0" w:firstLineChars="0"/>
              <w:jc w:val="both"/>
            </w:pPr>
            <w:r>
              <w:t>取值｛草稿 / 已发布 / 已停用｝；仅「已发布」参与数据概览与台账自动计算；由系统流转，不可手工指定</w:t>
            </w:r>
          </w:p>
        </w:tc>
      </w:tr>
    </w:tbl>
    <w:p w14:paraId="6D1E93E6">
      <w:pPr>
        <w:pStyle w:val="19"/>
        <w:bidi w:val="0"/>
      </w:pPr>
    </w:p>
    <w:p w14:paraId="7DBFE415">
      <w:pPr>
        <w:pStyle w:val="6"/>
        <w:numPr>
          <w:ilvl w:val="0"/>
          <w:numId w:val="62"/>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95C997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95C272">
            <w:pPr>
              <w:pStyle w:val="19"/>
              <w:bidi w:val="0"/>
            </w:pPr>
            <w:r>
              <w:rPr>
                <w:rFonts w:ascii="Times New Roman" w:hAnsi="Times New Roman" w:eastAsia="宋体" w:cs="Times New Roman"/>
                <w:b/>
                <w:i w:val="0"/>
                <w:color w:val="1E3A8A"/>
                <w:sz w:val="24"/>
                <w:szCs w:val="24"/>
              </w:rPr>
              <w:t>（1）指标值计算（公式求值）</w:t>
            </w:r>
          </w:p>
          <w:p w14:paraId="285C673C">
            <w:pPr>
              <w:pStyle w:val="19"/>
              <w:bidi w:val="0"/>
            </w:pPr>
            <w:r>
              <w:rPr>
                <w:rFonts w:ascii="Times New Roman" w:hAnsi="Times New Roman" w:eastAsia="宋体" w:cs="Times New Roman"/>
                <w:b/>
                <w:i w:val="0"/>
                <w:color w:val="1E3A8A"/>
                <w:sz w:val="24"/>
                <w:szCs w:val="24"/>
              </w:rPr>
              <w:t>V = f( P₁, P₂, …, Pₙ ; K₁, K₂, …, Kₘ )</w:t>
            </w:r>
          </w:p>
          <w:p w14:paraId="1F29F81E">
            <w:pPr>
              <w:pStyle w:val="19"/>
              <w:bidi w:val="0"/>
            </w:pPr>
            <w:r>
              <w:rPr>
                <w:rFonts w:ascii="Times New Roman" w:hAnsi="Times New Roman" w:eastAsia="宋体" w:cs="Times New Roman"/>
                <w:b/>
                <w:i w:val="0"/>
                <w:color w:val="1E3A8A"/>
                <w:sz w:val="24"/>
                <w:szCs w:val="24"/>
              </w:rPr>
              <w:t>Pᵢ 为引用自平台的基础参数或核心指标的时序取值（按指标配置的数据范围与时间粒度取数）；Kⱼ 为用户在公式中直接写入的常量。表达式先按中缀转后缀（逆波兰式）再求值，支持 + − × ÷、括号、单目负号与聚合函数 SUM / AVG / MAX / MIN。</w:t>
            </w:r>
          </w:p>
          <w:p w14:paraId="5A5CC768">
            <w:pPr>
              <w:pStyle w:val="19"/>
              <w:bidi w:val="0"/>
            </w:pPr>
            <w:r>
              <w:rPr>
                <w:rFonts w:ascii="Times New Roman" w:hAnsi="Times New Roman" w:eastAsia="宋体" w:cs="Times New Roman"/>
                <w:b/>
                <w:i w:val="0"/>
                <w:color w:val="1E3A8A"/>
                <w:sz w:val="24"/>
                <w:szCs w:val="24"/>
              </w:rPr>
              <w:t>（2）折标能耗类指标</w:t>
            </w:r>
          </w:p>
          <w:p w14:paraId="67F8DCD3">
            <w:pPr>
              <w:pStyle w:val="19"/>
              <w:bidi w:val="0"/>
            </w:pPr>
            <w:r>
              <w:rPr>
                <w:rFonts w:ascii="Times New Roman" w:hAnsi="Times New Roman" w:eastAsia="宋体" w:cs="Times New Roman"/>
                <w:b/>
                <w:i w:val="0"/>
                <w:color w:val="1E3A8A"/>
                <w:sz w:val="24"/>
                <w:szCs w:val="24"/>
              </w:rPr>
              <w:t>E = Σ ( Qᵢ × kᵢ )</w:t>
            </w:r>
          </w:p>
          <w:p w14:paraId="1A636312">
            <w:pPr>
              <w:pStyle w:val="19"/>
              <w:bidi w:val="0"/>
            </w:pPr>
            <w:r>
              <w:rPr>
                <w:rFonts w:ascii="Times New Roman" w:hAnsi="Times New Roman" w:eastAsia="宋体" w:cs="Times New Roman"/>
                <w:b/>
                <w:i w:val="0"/>
                <w:color w:val="1E3A8A"/>
                <w:sz w:val="24"/>
                <w:szCs w:val="24"/>
              </w:rPr>
              <w:t>Qᵢ 为第 i 种能源介质实物消耗量；kᵢ 为第 i 种介质折标准煤系数，引用 GB/T 2589-2020 当量值，取自第四章折标煤系数库。</w:t>
            </w:r>
          </w:p>
          <w:p w14:paraId="3E7DBCE1">
            <w:pPr>
              <w:pStyle w:val="19"/>
              <w:bidi w:val="0"/>
            </w:pPr>
            <w:r>
              <w:rPr>
                <w:rFonts w:ascii="Times New Roman" w:hAnsi="Times New Roman" w:eastAsia="宋体" w:cs="Times New Roman"/>
                <w:b/>
                <w:i w:val="0"/>
                <w:color w:val="1E3A8A"/>
                <w:sz w:val="24"/>
                <w:szCs w:val="24"/>
              </w:rPr>
              <w:t>（3）单耗类指标（自定义口径示例）</w:t>
            </w:r>
          </w:p>
          <w:p w14:paraId="5E74E81C">
            <w:pPr>
              <w:pStyle w:val="19"/>
              <w:bidi w:val="0"/>
            </w:pPr>
            <w:r>
              <w:rPr>
                <w:rFonts w:ascii="Times New Roman" w:hAnsi="Times New Roman" w:eastAsia="宋体" w:cs="Times New Roman"/>
                <w:b/>
                <w:i w:val="0"/>
                <w:color w:val="1E3A8A"/>
                <w:sz w:val="24"/>
                <w:szCs w:val="24"/>
              </w:rPr>
              <w:t>U = E / O</w:t>
            </w:r>
          </w:p>
          <w:p w14:paraId="7FB586AE">
            <w:pPr>
              <w:pStyle w:val="19"/>
              <w:bidi w:val="0"/>
            </w:pPr>
            <w:r>
              <w:rPr>
                <w:rFonts w:ascii="Times New Roman" w:hAnsi="Times New Roman" w:eastAsia="宋体" w:cs="Times New Roman"/>
                <w:b/>
                <w:i w:val="0"/>
                <w:color w:val="1E3A8A"/>
                <w:sz w:val="24"/>
                <w:szCs w:val="24"/>
              </w:rPr>
              <w:t>E 为综合能耗（tce）；O 为分母口径量（产量 / 产值 / 增加值对应单位）。分母为 0 时按除零兜底显示  -- ，严禁 NaN 或白屏。</w:t>
            </w:r>
          </w:p>
          <w:p w14:paraId="110C4C7C">
            <w:pPr>
              <w:pStyle w:val="19"/>
              <w:bidi w:val="0"/>
            </w:pPr>
            <w:r>
              <w:rPr>
                <w:rFonts w:ascii="Times New Roman" w:hAnsi="Times New Roman" w:eastAsia="宋体" w:cs="Times New Roman"/>
                <w:b/>
                <w:i w:val="0"/>
                <w:color w:val="1E3A8A"/>
                <w:sz w:val="24"/>
                <w:szCs w:val="24"/>
              </w:rPr>
              <w:t>（4）同比 / 环比</w:t>
            </w:r>
          </w:p>
          <w:p w14:paraId="52B0FDA1">
            <w:pPr>
              <w:pStyle w:val="19"/>
              <w:bidi w:val="0"/>
            </w:pPr>
            <w:r>
              <w:rPr>
                <w:rFonts w:ascii="Times New Roman" w:hAnsi="Times New Roman" w:eastAsia="宋体" w:cs="Times New Roman"/>
                <w:b/>
                <w:i w:val="0"/>
                <w:color w:val="1E3A8A"/>
                <w:sz w:val="24"/>
                <w:szCs w:val="24"/>
              </w:rPr>
              <w:t>Δ_yoy = ( V_t − V_(t−12) ) / V_(t−12) × 100%</w:t>
            </w:r>
          </w:p>
          <w:p w14:paraId="5673EA3A">
            <w:pPr>
              <w:pStyle w:val="19"/>
              <w:bidi w:val="0"/>
            </w:pPr>
            <w:r>
              <w:rPr>
                <w:rFonts w:ascii="Times New Roman" w:hAnsi="Times New Roman" w:eastAsia="宋体" w:cs="Times New Roman"/>
                <w:b/>
                <w:i w:val="0"/>
                <w:color w:val="1E3A8A"/>
                <w:sz w:val="24"/>
                <w:szCs w:val="24"/>
              </w:rPr>
              <w:t>Δ_mom = ( V_t − V_(t−1) ) / V_(t−1) × 100%</w:t>
            </w:r>
          </w:p>
          <w:p w14:paraId="7371E7A2">
            <w:pPr>
              <w:pStyle w:val="19"/>
              <w:bidi w:val="0"/>
            </w:pPr>
            <w:r>
              <w:rPr>
                <w:rFonts w:ascii="Times New Roman" w:hAnsi="Times New Roman" w:eastAsia="宋体" w:cs="Times New Roman"/>
                <w:b/>
                <w:i w:val="0"/>
                <w:color w:val="1E3A8A"/>
                <w:sz w:val="24"/>
                <w:szCs w:val="24"/>
              </w:rPr>
              <w:t>t 为当前周期序号；时间粒度为月时，t−12 指上年同月、t−1 指上月。分母为 0 或同期数据缺失时，同比 / 环比显示  -- 。</w:t>
            </w:r>
          </w:p>
          <w:p w14:paraId="50500299">
            <w:pPr>
              <w:pStyle w:val="19"/>
              <w:bidi w:val="0"/>
            </w:pPr>
            <w:r>
              <w:rPr>
                <w:rFonts w:ascii="Times New Roman" w:hAnsi="Times New Roman" w:eastAsia="宋体" w:cs="Times New Roman"/>
                <w:b/>
                <w:i w:val="0"/>
                <w:color w:val="1E3A8A"/>
                <w:sz w:val="24"/>
                <w:szCs w:val="24"/>
              </w:rPr>
              <w:t>（5）三色状态判定（能耗类 / 单耗类指标，越低越优）</w:t>
            </w:r>
          </w:p>
          <w:p w14:paraId="362A1409">
            <w:pPr>
              <w:pStyle w:val="19"/>
              <w:bidi w:val="0"/>
            </w:pPr>
            <w:r>
              <w:rPr>
                <w:rFonts w:ascii="Times New Roman" w:hAnsi="Times New Roman" w:eastAsia="宋体" w:cs="Times New Roman"/>
                <w:b/>
                <w:i w:val="0"/>
                <w:color w:val="1E3A8A"/>
                <w:sz w:val="24"/>
                <w:szCs w:val="24"/>
              </w:rPr>
              <w:t>· 优秀：V ≤ V_excellent</w:t>
            </w:r>
          </w:p>
          <w:p w14:paraId="1AEBD4C4">
            <w:pPr>
              <w:pStyle w:val="19"/>
              <w:bidi w:val="0"/>
            </w:pPr>
            <w:r>
              <w:rPr>
                <w:rFonts w:ascii="Times New Roman" w:hAnsi="Times New Roman" w:eastAsia="宋体" w:cs="Times New Roman"/>
                <w:b/>
                <w:i w:val="0"/>
                <w:color w:val="1E3A8A"/>
                <w:sz w:val="24"/>
                <w:szCs w:val="24"/>
              </w:rPr>
              <w:t>· 正常：V_excellent ＜ V ≤ V_normal_max</w:t>
            </w:r>
          </w:p>
          <w:p w14:paraId="51C3337F">
            <w:pPr>
              <w:pStyle w:val="19"/>
              <w:bidi w:val="0"/>
            </w:pPr>
            <w:r>
              <w:rPr>
                <w:rFonts w:ascii="Times New Roman" w:hAnsi="Times New Roman" w:eastAsia="宋体" w:cs="Times New Roman"/>
                <w:b/>
                <w:i w:val="0"/>
                <w:color w:val="1E3A8A"/>
                <w:sz w:val="24"/>
                <w:szCs w:val="24"/>
              </w:rPr>
              <w:t>· 异常：V ＞ V_normal_max</w:t>
            </w:r>
          </w:p>
          <w:p w14:paraId="7E1ECC8E">
            <w:pPr>
              <w:pStyle w:val="19"/>
              <w:bidi w:val="0"/>
            </w:pPr>
            <w:r>
              <w:rPr>
                <w:rFonts w:ascii="Times New Roman" w:hAnsi="Times New Roman" w:eastAsia="宋体" w:cs="Times New Roman"/>
                <w:b/>
                <w:i w:val="0"/>
                <w:color w:val="1E3A8A"/>
                <w:sz w:val="24"/>
                <w:szCs w:val="24"/>
              </w:rPr>
              <w:t>（6）精度与容差</w:t>
            </w:r>
          </w:p>
          <w:p w14:paraId="1FD3DADA">
            <w:pPr>
              <w:pStyle w:val="19"/>
              <w:bidi w:val="0"/>
            </w:pPr>
            <w:r>
              <w:rPr>
                <w:rFonts w:ascii="Times New Roman" w:hAnsi="Times New Roman" w:eastAsia="宋体" w:cs="Times New Roman"/>
                <w:b/>
                <w:i w:val="0"/>
                <w:color w:val="1E3A8A"/>
                <w:sz w:val="24"/>
                <w:szCs w:val="24"/>
              </w:rPr>
              <w:t>指标值小数位按指标配置（0~6 位，默认 2 位）；同比 / 环比固定保留 1 位小数；占比类指标各项四舍五入至 100.0%，偏差超过 0.1% 触发配平自检。</w:t>
            </w:r>
          </w:p>
        </w:tc>
      </w:tr>
    </w:tbl>
    <w:p w14:paraId="3667D49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取值示例（可作开发自测基准）：某线缆园区自定义指标「吨线缆综合能耗」= ( 电力折标量 + 天然气折标量 ) ÷ 线缆产量，分母口径单位为 km·mm²，指标单位 tce/万km·mm²，阈值分级配置为 优秀值 0.82 / 正常值上限 0.95 / 异常值下限 0.95 以上。</w:t>
      </w:r>
    </w:p>
    <w:p w14:paraId="5655A174">
      <w:pPr>
        <w:pStyle w:val="6"/>
        <w:numPr>
          <w:ilvl w:val="0"/>
          <w:numId w:val="62"/>
        </w:numPr>
        <w:bidi w:val="0"/>
        <w:ind w:left="0" w:leftChars="0" w:firstLine="0" w:firstLineChars="0"/>
        <w:rPr>
          <w:b w:val="0"/>
          <w:bCs w:val="0"/>
          <w:sz w:val="28"/>
          <w:szCs w:val="28"/>
        </w:rPr>
      </w:pPr>
      <w:r>
        <w:rPr>
          <w:b w:val="0"/>
          <w:bCs w:val="0"/>
          <w:sz w:val="28"/>
          <w:szCs w:val="28"/>
        </w:rPr>
        <w:t>展示、对标与判定口径</w:t>
      </w:r>
    </w:p>
    <w:p w14:paraId="2D6BF61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（1）卡片展示口径：卡片固定呈现「指标名称 + 大号数值 + 计量单位 + 同比箭头 + 三色状态点」；数值按指标配置的小数位展示；缺失期保留  --  并附"数据待上报"微标注，严禁以 NaN 或 0 值冒充。</w:t>
      </w:r>
    </w:p>
    <w:p w14:paraId="493BF90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（2）三色口径（能耗类 / 单耗类越低越优）：绿＝优于或等于优秀值；灰＝介于优秀值与正常值上限之间；红＝高于正常值上限。三色仅表达客观数值区间，页面严禁出现"表现优异""落后单位"等定性评语，统一以客观数值与环比自解释。</w:t>
      </w:r>
    </w:p>
    <w:p w14:paraId="5AFC747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（3）对标口径：自定义指标默认仅在本数据范围内与历史同期做纵向对比，不参与集团横向排名与达标统计；如需纳入集团横向对标，须在指标定义中勾选「纳入集团对标」并经 P1 审批，审批通过后卡片与台账须标注"自定义口径"字样，与集团统一下发的核心指标明确区分。</w:t>
      </w:r>
    </w:p>
    <w:p w14:paraId="1F84347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（4）台账口径与粒度：时间粒度分日 / 月 / 年三档，跨粒度不混算、不折算；粒度切换后台账整体重算并标注当前粒度；月度值不做逐日累加校验，年度值由年度分子分母直接计算。</w:t>
      </w:r>
    </w:p>
    <w:p w14:paraId="532160E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（5）排序与筛选口径：数据概览区默认按指标编码升序，可切换为按状态排序（异常优先）；台账明细区支持按三色状态、时间范围、指标名称 / 编码筛选。</w:t>
      </w:r>
    </w:p>
    <w:p w14:paraId="2DF7D9F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（6）版本口径：指标口径（公式、单位、阈值）变更须先停用旧版再发布新版，历史台账保留当期生效口径快照；口径变更不追溯重算已发布周期，避免历史考核结论被推翻。</w:t>
      </w:r>
    </w:p>
    <w:p w14:paraId="449A4EB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（7）基准来源口径：折标煤系数取自 GB/T 2589-2020 与第四章折标煤系数库；碳排因子取自第四章能碳基础因子管理；任一因子版本超出有效期时，指标值照常计算但在台账中标注"因子待升级"。</w:t>
      </w:r>
    </w:p>
    <w:p w14:paraId="2F42FC2C">
      <w:pPr>
        <w:pStyle w:val="19"/>
        <w:bidi w:val="0"/>
      </w:pPr>
    </w:p>
    <w:p w14:paraId="412D10D1">
      <w:pPr>
        <w:pStyle w:val="6"/>
        <w:numPr>
          <w:ilvl w:val="0"/>
          <w:numId w:val="62"/>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BFD75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F118505">
            <w:pPr>
              <w:pStyle w:val="19"/>
              <w:bidi w:val="0"/>
              <w:rPr>
                <w:b w:val="0"/>
                <w:bCs/>
                <w:color w:val="auto"/>
              </w:rPr>
            </w:pPr>
            <w:r>
              <w:rPr>
                <w:rFonts w:ascii="Times New Roman" w:hAnsi="Times New Roman" w:eastAsia="宋体" w:cs="Times New Roman"/>
                <w:b w:val="0"/>
                <w:bCs/>
                <w:i w:val="0"/>
                <w:color w:val="auto"/>
                <w:sz w:val="24"/>
                <w:szCs w:val="24"/>
              </w:rPr>
              <w:t>（1）公式引用不存在的基础参数或核心指标：阻断保存，返回 E_SYS_KPI_CUSTOM_EXPR_INVALID，并在公式编辑器中高亮未识别的变量名。</w:t>
            </w:r>
          </w:p>
          <w:p w14:paraId="2032A074">
            <w:pPr>
              <w:pStyle w:val="19"/>
              <w:bidi w:val="0"/>
              <w:rPr>
                <w:b w:val="0"/>
                <w:bCs/>
                <w:color w:val="auto"/>
              </w:rPr>
            </w:pPr>
            <w:r>
              <w:rPr>
                <w:rFonts w:ascii="Times New Roman" w:hAnsi="Times New Roman" w:eastAsia="宋体" w:cs="Times New Roman"/>
                <w:b w:val="0"/>
                <w:bCs/>
                <w:i w:val="0"/>
                <w:color w:val="auto"/>
                <w:sz w:val="24"/>
                <w:szCs w:val="24"/>
              </w:rPr>
              <w:t>（2）指标编码重复：阻断保存，返回 E_SYS_KPI_CUSTOM_CODE_DUP，高亮指标编码字段。</w:t>
            </w:r>
          </w:p>
          <w:p w14:paraId="5EA7C88C">
            <w:pPr>
              <w:pStyle w:val="19"/>
              <w:bidi w:val="0"/>
              <w:rPr>
                <w:b w:val="0"/>
                <w:bCs/>
                <w:color w:val="auto"/>
              </w:rPr>
            </w:pPr>
            <w:r>
              <w:rPr>
                <w:rFonts w:ascii="Times New Roman" w:hAnsi="Times New Roman" w:eastAsia="宋体" w:cs="Times New Roman"/>
                <w:b w:val="0"/>
                <w:bCs/>
                <w:i w:val="0"/>
                <w:color w:val="auto"/>
                <w:sz w:val="24"/>
                <w:szCs w:val="24"/>
              </w:rPr>
              <w:t>（3）阈值分级非法（不满足 优秀值 ≤ 正常值上限 ＜ 异常值下限）：阻断保存，返回 E_SYS_KPI_CUSTOM_THRESHOLD_INVALID，并指出越界的阈值项。</w:t>
            </w:r>
          </w:p>
          <w:p w14:paraId="46ED63D6">
            <w:pPr>
              <w:pStyle w:val="19"/>
              <w:bidi w:val="0"/>
              <w:rPr>
                <w:b w:val="0"/>
                <w:bCs/>
                <w:color w:val="auto"/>
              </w:rPr>
            </w:pPr>
            <w:r>
              <w:rPr>
                <w:rFonts w:ascii="Times New Roman" w:hAnsi="Times New Roman" w:eastAsia="宋体" w:cs="Times New Roman"/>
                <w:b w:val="0"/>
                <w:bCs/>
                <w:i w:val="0"/>
                <w:color w:val="auto"/>
                <w:sz w:val="24"/>
                <w:szCs w:val="24"/>
              </w:rPr>
              <w:t>（4）删除被引用指标：阻断删除，返回 E_SYS_KPI_CUSTOM_IN_USE_DELETE_DENIED，列出引用方清单（指标卡片矩阵 / 数据变化详情 / 统计报表）。</w:t>
            </w:r>
          </w:p>
          <w:p w14:paraId="1B1D411F">
            <w:pPr>
              <w:pStyle w:val="19"/>
              <w:bidi w:val="0"/>
              <w:rPr>
                <w:b w:val="0"/>
                <w:bCs/>
                <w:color w:val="auto"/>
              </w:rPr>
            </w:pPr>
            <w:r>
              <w:rPr>
                <w:rFonts w:ascii="Times New Roman" w:hAnsi="Times New Roman" w:eastAsia="宋体" w:cs="Times New Roman"/>
                <w:b w:val="0"/>
                <w:bCs/>
                <w:i w:val="0"/>
                <w:color w:val="auto"/>
                <w:sz w:val="24"/>
                <w:szCs w:val="24"/>
              </w:rPr>
              <w:t>（5）自定义指标数量超配额：同一数据范围内自定义指标数量超过配额上限（默认 100 个）时阻断新增，返回 E_SYS_KPI_CUSTOM_LIMIT_EXCEEDED。</w:t>
            </w:r>
          </w:p>
          <w:p w14:paraId="68A2BECC">
            <w:pPr>
              <w:pStyle w:val="19"/>
              <w:bidi w:val="0"/>
              <w:rPr>
                <w:b w:val="0"/>
                <w:bCs/>
                <w:color w:val="auto"/>
              </w:rPr>
            </w:pPr>
            <w:r>
              <w:rPr>
                <w:rFonts w:ascii="Times New Roman" w:hAnsi="Times New Roman" w:eastAsia="宋体" w:cs="Times New Roman"/>
                <w:b w:val="0"/>
                <w:bCs/>
                <w:i w:val="0"/>
                <w:color w:val="auto"/>
                <w:sz w:val="24"/>
                <w:szCs w:val="24"/>
              </w:rPr>
              <w:t>（6）分母为 0：按除零安全兜底显示  -- ，返回 E_VAL_KPI_CUSTOM_DIV_ZERO；不抛技术错误码、不白屏、不用 0 值冒充。</w:t>
            </w:r>
          </w:p>
          <w:p w14:paraId="6822F5FC">
            <w:pPr>
              <w:pStyle w:val="19"/>
              <w:bidi w:val="0"/>
              <w:rPr>
                <w:b w:val="0"/>
                <w:bCs/>
                <w:color w:val="auto"/>
              </w:rPr>
            </w:pPr>
            <w:r>
              <w:rPr>
                <w:rFonts w:ascii="Times New Roman" w:hAnsi="Times New Roman" w:eastAsia="宋体" w:cs="Times New Roman"/>
                <w:b w:val="0"/>
                <w:bCs/>
                <w:i w:val="0"/>
                <w:color w:val="auto"/>
                <w:sz w:val="24"/>
                <w:szCs w:val="24"/>
              </w:rPr>
              <w:t>（7）未发布指标：状态为「草稿」的指标不进入数据概览与台账，不参与任何计算、排名与导出。</w:t>
            </w:r>
          </w:p>
          <w:p w14:paraId="1FB33A68">
            <w:pPr>
              <w:pStyle w:val="19"/>
              <w:bidi w:val="0"/>
              <w:rPr>
                <w:b w:val="0"/>
                <w:bCs/>
                <w:color w:val="auto"/>
              </w:rPr>
            </w:pPr>
            <w:r>
              <w:rPr>
                <w:rFonts w:ascii="Times New Roman" w:hAnsi="Times New Roman" w:eastAsia="宋体" w:cs="Times New Roman"/>
                <w:b w:val="0"/>
                <w:bCs/>
                <w:i w:val="0"/>
                <w:color w:val="auto"/>
                <w:sz w:val="24"/>
                <w:szCs w:val="24"/>
              </w:rPr>
              <w:t>（8）数据范围越权：指标「数据范围」超出操作者自身数据范围时阻断保存，返回 E_AUTH_RLS_SCOPE_DENIED；越权读取返回 HTTP 403 并记数据访问审计日志。</w:t>
            </w:r>
          </w:p>
          <w:p w14:paraId="73EFEFE2">
            <w:pPr>
              <w:pStyle w:val="19"/>
              <w:bidi w:val="0"/>
              <w:rPr>
                <w:b w:val="0"/>
                <w:bCs/>
                <w:color w:val="auto"/>
              </w:rPr>
            </w:pPr>
            <w:r>
              <w:rPr>
                <w:rFonts w:ascii="Times New Roman" w:hAnsi="Times New Roman" w:eastAsia="宋体" w:cs="Times New Roman"/>
                <w:b w:val="0"/>
                <w:bCs/>
                <w:i w:val="0"/>
                <w:color w:val="auto"/>
                <w:sz w:val="24"/>
                <w:szCs w:val="24"/>
              </w:rPr>
              <w:t>（9）公式引用因子过期：所引用的折标煤系数或碳排因子版本已超出有效期时，指标值照常计算并在台账标注"因子待升级"，返回 E_VAL_FACTOR_EXPIRED。</w:t>
            </w:r>
          </w:p>
          <w:p w14:paraId="61089B93">
            <w:pPr>
              <w:pStyle w:val="19"/>
              <w:bidi w:val="0"/>
              <w:rPr>
                <w:b w:val="0"/>
                <w:bCs/>
                <w:color w:val="auto"/>
              </w:rPr>
            </w:pPr>
            <w:r>
              <w:rPr>
                <w:rFonts w:ascii="Times New Roman" w:hAnsi="Times New Roman" w:eastAsia="宋体" w:cs="Times New Roman"/>
                <w:b w:val="0"/>
                <w:bCs/>
                <w:i w:val="0"/>
                <w:color w:val="auto"/>
                <w:sz w:val="24"/>
                <w:szCs w:val="24"/>
              </w:rPr>
              <w:t>（10）并发编辑冲突：同一指标被两名用户同时编辑时按行版本号比对，后提交方提示"该指标已被他人修改，请刷新后重试"，返回 E_SYS_CONCURRENCY_LOCK。</w:t>
            </w:r>
          </w:p>
          <w:p w14:paraId="22DE2105">
            <w:pPr>
              <w:pStyle w:val="19"/>
              <w:bidi w:val="0"/>
              <w:rPr>
                <w:b w:val="0"/>
                <w:bCs/>
                <w:color w:val="auto"/>
              </w:rPr>
            </w:pPr>
            <w:r>
              <w:rPr>
                <w:rFonts w:ascii="Times New Roman" w:hAnsi="Times New Roman" w:eastAsia="宋体" w:cs="Times New Roman"/>
                <w:b w:val="0"/>
                <w:bCs/>
                <w:i w:val="0"/>
                <w:color w:val="auto"/>
                <w:sz w:val="24"/>
                <w:szCs w:val="24"/>
              </w:rPr>
              <w:t>（11）越权写拦截：非授权角色（非 P2 及以上，或数据范围外）调用本模块写接口时返回 HTTP 403，触发 E_AUTH_RBAC_FORBIDDEN。</w:t>
            </w:r>
          </w:p>
          <w:p w14:paraId="5C7D2E77">
            <w:pPr>
              <w:pStyle w:val="19"/>
              <w:bidi w:val="0"/>
              <w:rPr>
                <w:b w:val="0"/>
                <w:bCs/>
                <w:color w:val="auto"/>
              </w:rPr>
            </w:pPr>
            <w:r>
              <w:rPr>
                <w:rFonts w:ascii="Times New Roman" w:hAnsi="Times New Roman" w:eastAsia="宋体" w:cs="Times New Roman"/>
                <w:b w:val="0"/>
                <w:bCs/>
                <w:i w:val="0"/>
                <w:color w:val="auto"/>
                <w:sz w:val="24"/>
                <w:szCs w:val="24"/>
              </w:rPr>
              <w:t>（12）导出台账超限：单次导出记录数超过 50,000 行时拒绝导出，返回 E_SYS_EXPORT_LIMIT_EXCEEDED，提示缩小筛选范围或分批导出。</w:t>
            </w:r>
          </w:p>
          <w:p w14:paraId="6DF96B58">
            <w:pPr>
              <w:pStyle w:val="19"/>
              <w:bidi w:val="0"/>
              <w:rPr>
                <w:b w:val="0"/>
                <w:bCs/>
                <w:color w:val="auto"/>
              </w:rPr>
            </w:pPr>
            <w:r>
              <w:rPr>
                <w:rFonts w:ascii="Times New Roman" w:hAnsi="Times New Roman" w:eastAsia="宋体" w:cs="Times New Roman"/>
                <w:b w:val="0"/>
                <w:bCs/>
                <w:i w:val="0"/>
                <w:color w:val="auto"/>
                <w:sz w:val="24"/>
                <w:szCs w:val="24"/>
              </w:rPr>
              <w:t>（13）聚合函数空集：对空集使用 SUM / AVG 时按  --  兜底（AVG 不返回 NaN，MAX / MIN 不返回 0）。</w:t>
            </w:r>
          </w:p>
        </w:tc>
      </w:tr>
    </w:tbl>
    <w:p w14:paraId="0CA02B5D"/>
    <w:p w14:paraId="4B40C322">
      <w:pPr>
        <w:pStyle w:val="6"/>
        <w:numPr>
          <w:ilvl w:val="0"/>
          <w:numId w:val="62"/>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2E180A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223F7A0">
            <w:pPr>
              <w:pStyle w:val="19"/>
              <w:bidi w:val="0"/>
              <w:rPr>
                <w:b w:val="0"/>
                <w:bCs/>
                <w:color w:val="auto"/>
              </w:rPr>
            </w:pPr>
            <w:r>
              <w:rPr>
                <w:rFonts w:ascii="Times New Roman" w:hAnsi="Times New Roman" w:eastAsia="宋体" w:cs="Times New Roman"/>
                <w:b w:val="0"/>
                <w:bCs/>
                <w:i w:val="0"/>
                <w:color w:val="auto"/>
                <w:sz w:val="24"/>
                <w:szCs w:val="24"/>
              </w:rPr>
              <w:t>Feature: 集中监管 · 自定义指标监测</w:t>
            </w:r>
          </w:p>
          <w:p w14:paraId="52068D61">
            <w:pPr>
              <w:pStyle w:val="19"/>
              <w:bidi w:val="0"/>
              <w:rPr>
                <w:b w:val="0"/>
                <w:bCs/>
                <w:color w:val="auto"/>
              </w:rPr>
            </w:pPr>
          </w:p>
          <w:p w14:paraId="49081829">
            <w:pPr>
              <w:pStyle w:val="19"/>
              <w:bidi w:val="0"/>
              <w:rPr>
                <w:b w:val="0"/>
                <w:bCs/>
                <w:color w:val="auto"/>
              </w:rPr>
            </w:pPr>
            <w:r>
              <w:rPr>
                <w:rFonts w:ascii="Times New Roman" w:hAnsi="Times New Roman" w:eastAsia="宋体" w:cs="Times New Roman"/>
                <w:b w:val="0"/>
                <w:bCs/>
                <w:i w:val="0"/>
                <w:color w:val="auto"/>
                <w:sz w:val="24"/>
                <w:szCs w:val="24"/>
              </w:rPr>
              <w:t xml:space="preserve">  Scenario: 定义并发布园区自定义单耗指标</w:t>
            </w:r>
          </w:p>
          <w:p w14:paraId="79EFCBD3">
            <w:pPr>
              <w:pStyle w:val="19"/>
              <w:bidi w:val="0"/>
              <w:rPr>
                <w:b w:val="0"/>
                <w:bCs/>
                <w:color w:val="auto"/>
              </w:rPr>
            </w:pPr>
            <w:r>
              <w:rPr>
                <w:rFonts w:ascii="Times New Roman" w:hAnsi="Times New Roman" w:eastAsia="宋体" w:cs="Times New Roman"/>
                <w:b w:val="0"/>
                <w:bCs/>
                <w:i w:val="0"/>
                <w:color w:val="auto"/>
                <w:sz w:val="24"/>
                <w:szCs w:val="24"/>
              </w:rPr>
              <w:t xml:space="preserve">    Given 园区能碳专员已进入 集中监管 › 自定义指标监测，且其数据范围为「新疆线缆园区」</w:t>
            </w:r>
          </w:p>
          <w:p w14:paraId="7AF2227E">
            <w:pPr>
              <w:pStyle w:val="19"/>
              <w:bidi w:val="0"/>
              <w:rPr>
                <w:b w:val="0"/>
                <w:bCs/>
                <w:color w:val="auto"/>
              </w:rPr>
            </w:pPr>
            <w:r>
              <w:rPr>
                <w:rFonts w:ascii="Times New Roman" w:hAnsi="Times New Roman" w:eastAsia="宋体" w:cs="Times New Roman"/>
                <w:b w:val="0"/>
                <w:bCs/>
                <w:i w:val="0"/>
                <w:color w:val="auto"/>
                <w:sz w:val="24"/>
                <w:szCs w:val="24"/>
              </w:rPr>
              <w:t xml:space="preserve">    When  点击【新增自定义指标】，填写指标名称＝「吨线缆综合能耗」、指标编码＝「CUS-TXLC」、计量单位＝「tce/万km·mm²」、小数位＝2</w:t>
            </w:r>
          </w:p>
          <w:p w14:paraId="48ABDD5B">
            <w:pPr>
              <w:pStyle w:val="19"/>
              <w:bidi w:val="0"/>
              <w:rPr>
                <w:b w:val="0"/>
                <w:bCs/>
                <w:color w:val="auto"/>
              </w:rPr>
            </w:pPr>
            <w:r>
              <w:rPr>
                <w:rFonts w:ascii="Times New Roman" w:hAnsi="Times New Roman" w:eastAsia="宋体" w:cs="Times New Roman"/>
                <w:b w:val="0"/>
                <w:bCs/>
                <w:i w:val="0"/>
                <w:color w:val="auto"/>
                <w:sz w:val="24"/>
                <w:szCs w:val="24"/>
              </w:rPr>
              <w:t xml:space="preserve">    And   在公式编辑器中输入「(电力折标量 + 天然气折标量) ÷ 线缆产量」</w:t>
            </w:r>
          </w:p>
          <w:p w14:paraId="35EEE108">
            <w:pPr>
              <w:pStyle w:val="19"/>
              <w:bidi w:val="0"/>
              <w:rPr>
                <w:b w:val="0"/>
                <w:bCs/>
                <w:color w:val="auto"/>
              </w:rPr>
            </w:pPr>
            <w:r>
              <w:rPr>
                <w:rFonts w:ascii="Times New Roman" w:hAnsi="Times New Roman" w:eastAsia="宋体" w:cs="Times New Roman"/>
                <w:b w:val="0"/>
                <w:bCs/>
                <w:i w:val="0"/>
                <w:color w:val="auto"/>
                <w:sz w:val="24"/>
                <w:szCs w:val="24"/>
              </w:rPr>
              <w:t xml:space="preserve">    And   配置阈值分级为 优秀值 0.82 / 正常值上限 0.95</w:t>
            </w:r>
          </w:p>
          <w:p w14:paraId="74FEDBFF">
            <w:pPr>
              <w:pStyle w:val="19"/>
              <w:bidi w:val="0"/>
              <w:rPr>
                <w:b w:val="0"/>
                <w:bCs/>
                <w:color w:val="auto"/>
              </w:rPr>
            </w:pPr>
            <w:r>
              <w:rPr>
                <w:rFonts w:ascii="Times New Roman" w:hAnsi="Times New Roman" w:eastAsia="宋体" w:cs="Times New Roman"/>
                <w:b w:val="0"/>
                <w:bCs/>
                <w:i w:val="0"/>
                <w:color w:val="auto"/>
                <w:sz w:val="24"/>
                <w:szCs w:val="24"/>
              </w:rPr>
              <w:t xml:space="preserve">    And   点击【试算】并在试算返回有效结果后点击【发布】</w:t>
            </w:r>
          </w:p>
          <w:p w14:paraId="755CE829">
            <w:pPr>
              <w:pStyle w:val="19"/>
              <w:bidi w:val="0"/>
              <w:rPr>
                <w:b w:val="0"/>
                <w:bCs/>
                <w:color w:val="auto"/>
              </w:rPr>
            </w:pPr>
            <w:r>
              <w:rPr>
                <w:rFonts w:ascii="Times New Roman" w:hAnsi="Times New Roman" w:eastAsia="宋体" w:cs="Times New Roman"/>
                <w:b w:val="0"/>
                <w:bCs/>
                <w:i w:val="0"/>
                <w:color w:val="auto"/>
                <w:sz w:val="24"/>
                <w:szCs w:val="24"/>
              </w:rPr>
              <w:t xml:space="preserve">    Then  该指标出现在数据概览卡片矩阵中，数值按 2 位小数展示</w:t>
            </w:r>
          </w:p>
          <w:p w14:paraId="5793BB5B">
            <w:pPr>
              <w:pStyle w:val="19"/>
              <w:bidi w:val="0"/>
              <w:rPr>
                <w:b w:val="0"/>
                <w:bCs/>
                <w:color w:val="auto"/>
              </w:rPr>
            </w:pPr>
            <w:r>
              <w:rPr>
                <w:rFonts w:ascii="Times New Roman" w:hAnsi="Times New Roman" w:eastAsia="宋体" w:cs="Times New Roman"/>
                <w:b w:val="0"/>
                <w:bCs/>
                <w:i w:val="0"/>
                <w:color w:val="auto"/>
                <w:sz w:val="24"/>
                <w:szCs w:val="24"/>
              </w:rPr>
              <w:t xml:space="preserve">    And   数据台账明细区新增一行，含指标值、同比、环比与三色状态</w:t>
            </w:r>
          </w:p>
          <w:p w14:paraId="4D441FDA">
            <w:pPr>
              <w:pStyle w:val="19"/>
              <w:bidi w:val="0"/>
              <w:rPr>
                <w:b w:val="0"/>
                <w:bCs/>
                <w:color w:val="auto"/>
              </w:rPr>
            </w:pPr>
            <w:r>
              <w:rPr>
                <w:rFonts w:ascii="Times New Roman" w:hAnsi="Times New Roman" w:eastAsia="宋体" w:cs="Times New Roman"/>
                <w:b w:val="0"/>
                <w:bCs/>
                <w:i w:val="0"/>
                <w:color w:val="auto"/>
                <w:sz w:val="24"/>
                <w:szCs w:val="24"/>
              </w:rPr>
              <w:t xml:space="preserve">    And   指标状态为「已发布」</w:t>
            </w:r>
          </w:p>
          <w:p w14:paraId="366CC3B1">
            <w:pPr>
              <w:pStyle w:val="19"/>
              <w:bidi w:val="0"/>
              <w:rPr>
                <w:b w:val="0"/>
                <w:bCs/>
                <w:color w:val="auto"/>
              </w:rPr>
            </w:pPr>
          </w:p>
          <w:p w14:paraId="14F8AA32">
            <w:pPr>
              <w:pStyle w:val="19"/>
              <w:bidi w:val="0"/>
              <w:rPr>
                <w:b w:val="0"/>
                <w:bCs/>
                <w:color w:val="auto"/>
              </w:rPr>
            </w:pPr>
            <w:r>
              <w:rPr>
                <w:rFonts w:ascii="Times New Roman" w:hAnsi="Times New Roman" w:eastAsia="宋体" w:cs="Times New Roman"/>
                <w:b w:val="0"/>
                <w:bCs/>
                <w:i w:val="0"/>
                <w:color w:val="auto"/>
                <w:sz w:val="24"/>
                <w:szCs w:val="24"/>
              </w:rPr>
              <w:t xml:space="preserve">  Scenario: 公式引用不存在的基础参数被阻断</w:t>
            </w:r>
          </w:p>
          <w:p w14:paraId="2351ACFB">
            <w:pPr>
              <w:pStyle w:val="19"/>
              <w:bidi w:val="0"/>
              <w:rPr>
                <w:b w:val="0"/>
                <w:bCs/>
                <w:color w:val="auto"/>
              </w:rPr>
            </w:pPr>
            <w:r>
              <w:rPr>
                <w:rFonts w:ascii="Times New Roman" w:hAnsi="Times New Roman" w:eastAsia="宋体" w:cs="Times New Roman"/>
                <w:b w:val="0"/>
                <w:bCs/>
                <w:i w:val="0"/>
                <w:color w:val="auto"/>
                <w:sz w:val="24"/>
                <w:szCs w:val="24"/>
              </w:rPr>
              <w:t xml:space="preserve">    Given 公式编辑器中输入了平台不存在的基础参数「蒸汽折标系数X」</w:t>
            </w:r>
          </w:p>
          <w:p w14:paraId="4D7EACF7">
            <w:pPr>
              <w:pStyle w:val="19"/>
              <w:bidi w:val="0"/>
              <w:rPr>
                <w:b w:val="0"/>
                <w:bCs/>
                <w:color w:val="auto"/>
              </w:rPr>
            </w:pPr>
            <w:r>
              <w:rPr>
                <w:rFonts w:ascii="Times New Roman" w:hAnsi="Times New Roman" w:eastAsia="宋体" w:cs="Times New Roman"/>
                <w:b w:val="0"/>
                <w:bCs/>
                <w:i w:val="0"/>
                <w:color w:val="auto"/>
                <w:sz w:val="24"/>
                <w:szCs w:val="24"/>
              </w:rPr>
              <w:t xml:space="preserve">    When  用户点击【保存】</w:t>
            </w:r>
          </w:p>
          <w:p w14:paraId="78D33F49">
            <w:pPr>
              <w:pStyle w:val="19"/>
              <w:bidi w:val="0"/>
              <w:rPr>
                <w:b w:val="0"/>
                <w:bCs/>
                <w:color w:val="auto"/>
              </w:rPr>
            </w:pPr>
            <w:r>
              <w:rPr>
                <w:rFonts w:ascii="Times New Roman" w:hAnsi="Times New Roman" w:eastAsia="宋体" w:cs="Times New Roman"/>
                <w:b w:val="0"/>
                <w:bCs/>
                <w:i w:val="0"/>
                <w:color w:val="auto"/>
                <w:sz w:val="24"/>
                <w:szCs w:val="24"/>
              </w:rPr>
              <w:t xml:space="preserve">    Then  保存被阻断并返回 E_SYS_KPI_CUSTOM_EXPR_INVALID</w:t>
            </w:r>
          </w:p>
          <w:p w14:paraId="174BB3A9">
            <w:pPr>
              <w:pStyle w:val="19"/>
              <w:bidi w:val="0"/>
              <w:rPr>
                <w:b w:val="0"/>
                <w:bCs/>
                <w:color w:val="auto"/>
              </w:rPr>
            </w:pPr>
            <w:r>
              <w:rPr>
                <w:rFonts w:ascii="Times New Roman" w:hAnsi="Times New Roman" w:eastAsia="宋体" w:cs="Times New Roman"/>
                <w:b w:val="0"/>
                <w:bCs/>
                <w:i w:val="0"/>
                <w:color w:val="auto"/>
                <w:sz w:val="24"/>
                <w:szCs w:val="24"/>
              </w:rPr>
              <w:t xml:space="preserve">    And   公式编辑器高亮未识别的变量名「蒸汽折标系数X」</w:t>
            </w:r>
          </w:p>
          <w:p w14:paraId="62E6AA74">
            <w:pPr>
              <w:pStyle w:val="19"/>
              <w:bidi w:val="0"/>
              <w:rPr>
                <w:b w:val="0"/>
                <w:bCs/>
                <w:color w:val="auto"/>
              </w:rPr>
            </w:pPr>
            <w:r>
              <w:rPr>
                <w:rFonts w:ascii="Times New Roman" w:hAnsi="Times New Roman" w:eastAsia="宋体" w:cs="Times New Roman"/>
                <w:b w:val="0"/>
                <w:bCs/>
                <w:i w:val="0"/>
                <w:color w:val="auto"/>
                <w:sz w:val="24"/>
                <w:szCs w:val="24"/>
              </w:rPr>
              <w:t xml:space="preserve">    And   该指标未落库，数据概览区不出现新卡片</w:t>
            </w:r>
          </w:p>
          <w:p w14:paraId="3EF8213D">
            <w:pPr>
              <w:pStyle w:val="19"/>
              <w:bidi w:val="0"/>
              <w:rPr>
                <w:b w:val="0"/>
                <w:bCs/>
                <w:color w:val="auto"/>
              </w:rPr>
            </w:pPr>
          </w:p>
          <w:p w14:paraId="17ADA474">
            <w:pPr>
              <w:pStyle w:val="19"/>
              <w:bidi w:val="0"/>
              <w:rPr>
                <w:b w:val="0"/>
                <w:bCs/>
                <w:color w:val="auto"/>
              </w:rPr>
            </w:pPr>
            <w:r>
              <w:rPr>
                <w:rFonts w:ascii="Times New Roman" w:hAnsi="Times New Roman" w:eastAsia="宋体" w:cs="Times New Roman"/>
                <w:b w:val="0"/>
                <w:bCs/>
                <w:i w:val="0"/>
                <w:color w:val="auto"/>
                <w:sz w:val="24"/>
                <w:szCs w:val="24"/>
              </w:rPr>
              <w:t xml:space="preserve">  Scenario: 阈值三色判定与除零兜底</w:t>
            </w:r>
          </w:p>
          <w:p w14:paraId="46AA91AF">
            <w:pPr>
              <w:pStyle w:val="19"/>
              <w:bidi w:val="0"/>
              <w:rPr>
                <w:b w:val="0"/>
                <w:bCs/>
                <w:color w:val="auto"/>
              </w:rPr>
            </w:pPr>
            <w:r>
              <w:rPr>
                <w:rFonts w:ascii="Times New Roman" w:hAnsi="Times New Roman" w:eastAsia="宋体" w:cs="Times New Roman"/>
                <w:b w:val="0"/>
                <w:bCs/>
                <w:i w:val="0"/>
                <w:color w:val="auto"/>
                <w:sz w:val="24"/>
                <w:szCs w:val="24"/>
              </w:rPr>
              <w:t xml:space="preserve">    Given 某已发布自定义指标的分母（线缆产量）当月为 0</w:t>
            </w:r>
          </w:p>
          <w:p w14:paraId="5A0089E0">
            <w:pPr>
              <w:pStyle w:val="19"/>
              <w:bidi w:val="0"/>
              <w:rPr>
                <w:b w:val="0"/>
                <w:bCs/>
                <w:color w:val="auto"/>
              </w:rPr>
            </w:pPr>
            <w:r>
              <w:rPr>
                <w:rFonts w:ascii="Times New Roman" w:hAnsi="Times New Roman" w:eastAsia="宋体" w:cs="Times New Roman"/>
                <w:b w:val="0"/>
                <w:bCs/>
                <w:i w:val="0"/>
                <w:color w:val="auto"/>
                <w:sz w:val="24"/>
                <w:szCs w:val="24"/>
              </w:rPr>
              <w:t xml:space="preserve">    When  系统完成一次月度计算</w:t>
            </w:r>
          </w:p>
          <w:p w14:paraId="62FC41B0">
            <w:pPr>
              <w:pStyle w:val="19"/>
              <w:bidi w:val="0"/>
              <w:rPr>
                <w:b w:val="0"/>
                <w:bCs/>
                <w:color w:val="auto"/>
              </w:rPr>
            </w:pPr>
            <w:r>
              <w:rPr>
                <w:rFonts w:ascii="Times New Roman" w:hAnsi="Times New Roman" w:eastAsia="宋体" w:cs="Times New Roman"/>
                <w:b w:val="0"/>
                <w:bCs/>
                <w:i w:val="0"/>
                <w:color w:val="auto"/>
                <w:sz w:val="24"/>
                <w:szCs w:val="24"/>
              </w:rPr>
              <w:t xml:space="preserve">    Then  该指标卡片显示为「--」并返回 E_VAL_KPI_CUSTOM_DIV_ZERO</w:t>
            </w:r>
          </w:p>
          <w:p w14:paraId="3CDBCD71">
            <w:pPr>
              <w:pStyle w:val="19"/>
              <w:bidi w:val="0"/>
              <w:rPr>
                <w:b w:val="0"/>
                <w:bCs/>
                <w:color w:val="auto"/>
              </w:rPr>
            </w:pPr>
            <w:r>
              <w:rPr>
                <w:rFonts w:ascii="Times New Roman" w:hAnsi="Times New Roman" w:eastAsia="宋体" w:cs="Times New Roman"/>
                <w:b w:val="0"/>
                <w:bCs/>
                <w:i w:val="0"/>
                <w:color w:val="auto"/>
                <w:sz w:val="24"/>
                <w:szCs w:val="24"/>
              </w:rPr>
              <w:t xml:space="preserve">    And   页面不出现 NaN、白屏或 0 值冒充</w:t>
            </w:r>
          </w:p>
          <w:p w14:paraId="7D655720">
            <w:pPr>
              <w:pStyle w:val="19"/>
              <w:bidi w:val="0"/>
              <w:rPr>
                <w:b w:val="0"/>
                <w:bCs/>
                <w:color w:val="auto"/>
              </w:rPr>
            </w:pPr>
            <w:r>
              <w:rPr>
                <w:rFonts w:ascii="Times New Roman" w:hAnsi="Times New Roman" w:eastAsia="宋体" w:cs="Times New Roman"/>
                <w:b w:val="0"/>
                <w:bCs/>
                <w:i w:val="0"/>
                <w:color w:val="auto"/>
                <w:sz w:val="24"/>
                <w:szCs w:val="24"/>
              </w:rPr>
              <w:t xml:space="preserve">    When  次月分母恢复为非 0 且指标值 ≤ 优秀值（0.82）</w:t>
            </w:r>
          </w:p>
          <w:p w14:paraId="762B28F6">
            <w:pPr>
              <w:pStyle w:val="19"/>
              <w:bidi w:val="0"/>
              <w:rPr>
                <w:b w:val="0"/>
                <w:bCs/>
                <w:color w:val="auto"/>
              </w:rPr>
            </w:pPr>
            <w:r>
              <w:rPr>
                <w:rFonts w:ascii="Times New Roman" w:hAnsi="Times New Roman" w:eastAsia="宋体" w:cs="Times New Roman"/>
                <w:b w:val="0"/>
                <w:bCs/>
                <w:i w:val="0"/>
                <w:color w:val="auto"/>
                <w:sz w:val="24"/>
                <w:szCs w:val="24"/>
              </w:rPr>
              <w:t xml:space="preserve">    Then  卡片数值正常显示且状态点转为绿色</w:t>
            </w:r>
          </w:p>
          <w:p w14:paraId="5468501B">
            <w:pPr>
              <w:pStyle w:val="19"/>
              <w:bidi w:val="0"/>
              <w:rPr>
                <w:b w:val="0"/>
                <w:bCs/>
                <w:color w:val="auto"/>
              </w:rPr>
            </w:pPr>
          </w:p>
          <w:p w14:paraId="306EA161">
            <w:pPr>
              <w:pStyle w:val="19"/>
              <w:bidi w:val="0"/>
              <w:rPr>
                <w:b w:val="0"/>
                <w:bCs/>
                <w:color w:val="auto"/>
              </w:rPr>
            </w:pPr>
            <w:r>
              <w:rPr>
                <w:rFonts w:ascii="Times New Roman" w:hAnsi="Times New Roman" w:eastAsia="宋体" w:cs="Times New Roman"/>
                <w:b w:val="0"/>
                <w:bCs/>
                <w:i w:val="0"/>
                <w:color w:val="auto"/>
                <w:sz w:val="24"/>
                <w:szCs w:val="24"/>
              </w:rPr>
              <w:t xml:space="preserve">  Scenario: 删除被引用指标被阻断</w:t>
            </w:r>
          </w:p>
          <w:p w14:paraId="22037302">
            <w:pPr>
              <w:pStyle w:val="19"/>
              <w:bidi w:val="0"/>
              <w:rPr>
                <w:b w:val="0"/>
                <w:bCs/>
                <w:color w:val="auto"/>
              </w:rPr>
            </w:pPr>
            <w:r>
              <w:rPr>
                <w:rFonts w:ascii="Times New Roman" w:hAnsi="Times New Roman" w:eastAsia="宋体" w:cs="Times New Roman"/>
                <w:b w:val="0"/>
                <w:bCs/>
                <w:i w:val="0"/>
                <w:color w:val="auto"/>
                <w:sz w:val="24"/>
                <w:szCs w:val="24"/>
              </w:rPr>
              <w:t xml:space="preserve">    Given 某自定义指标已被「数据变化详情」页面引用</w:t>
            </w:r>
          </w:p>
          <w:p w14:paraId="3B0482CA">
            <w:pPr>
              <w:pStyle w:val="19"/>
              <w:bidi w:val="0"/>
              <w:rPr>
                <w:b w:val="0"/>
                <w:bCs/>
                <w:color w:val="auto"/>
              </w:rPr>
            </w:pPr>
            <w:r>
              <w:rPr>
                <w:rFonts w:ascii="Times New Roman" w:hAnsi="Times New Roman" w:eastAsia="宋体" w:cs="Times New Roman"/>
                <w:b w:val="0"/>
                <w:bCs/>
                <w:i w:val="0"/>
                <w:color w:val="auto"/>
                <w:sz w:val="24"/>
                <w:szCs w:val="24"/>
              </w:rPr>
              <w:t xml:space="preserve">    When  用户对该指标执行【删除】</w:t>
            </w:r>
          </w:p>
          <w:p w14:paraId="44AA1577">
            <w:pPr>
              <w:pStyle w:val="19"/>
              <w:bidi w:val="0"/>
              <w:rPr>
                <w:b w:val="0"/>
                <w:bCs/>
                <w:color w:val="auto"/>
              </w:rPr>
            </w:pPr>
            <w:r>
              <w:rPr>
                <w:rFonts w:ascii="Times New Roman" w:hAnsi="Times New Roman" w:eastAsia="宋体" w:cs="Times New Roman"/>
                <w:b w:val="0"/>
                <w:bCs/>
                <w:i w:val="0"/>
                <w:color w:val="auto"/>
                <w:sz w:val="24"/>
                <w:szCs w:val="24"/>
              </w:rPr>
              <w:t xml:space="preserve">    Then  删除被阻断并返回 E_SYS_KPI_CUSTOM_IN_USE_DELETE_DENIED</w:t>
            </w:r>
          </w:p>
          <w:p w14:paraId="34DF5CF8">
            <w:pPr>
              <w:pStyle w:val="19"/>
              <w:bidi w:val="0"/>
              <w:rPr>
                <w:b w:val="0"/>
                <w:bCs/>
                <w:color w:val="auto"/>
              </w:rPr>
            </w:pPr>
            <w:r>
              <w:rPr>
                <w:rFonts w:ascii="Times New Roman" w:hAnsi="Times New Roman" w:eastAsia="宋体" w:cs="Times New Roman"/>
                <w:b w:val="0"/>
                <w:bCs/>
                <w:i w:val="0"/>
                <w:color w:val="auto"/>
                <w:sz w:val="24"/>
                <w:szCs w:val="24"/>
              </w:rPr>
              <w:t xml:space="preserve">    And   页面列出引用方清单并提示改为【停用】</w:t>
            </w:r>
          </w:p>
          <w:p w14:paraId="331C4C3C">
            <w:pPr>
              <w:pStyle w:val="19"/>
              <w:bidi w:val="0"/>
              <w:rPr>
                <w:b w:val="0"/>
                <w:bCs/>
                <w:color w:val="auto"/>
              </w:rPr>
            </w:pPr>
            <w:r>
              <w:rPr>
                <w:rFonts w:ascii="Times New Roman" w:hAnsi="Times New Roman" w:eastAsia="宋体" w:cs="Times New Roman"/>
                <w:b w:val="0"/>
                <w:bCs/>
                <w:i w:val="0"/>
                <w:color w:val="auto"/>
                <w:sz w:val="24"/>
                <w:szCs w:val="24"/>
              </w:rPr>
              <w:t xml:space="preserve">    And   该指标仍保留在数据概览卡片矩阵中</w:t>
            </w:r>
          </w:p>
          <w:p w14:paraId="3ADB919E">
            <w:pPr>
              <w:pStyle w:val="19"/>
              <w:bidi w:val="0"/>
              <w:rPr>
                <w:b w:val="0"/>
                <w:bCs/>
                <w:color w:val="auto"/>
              </w:rPr>
            </w:pPr>
          </w:p>
          <w:p w14:paraId="35315882">
            <w:pPr>
              <w:pStyle w:val="19"/>
              <w:bidi w:val="0"/>
              <w:rPr>
                <w:b w:val="0"/>
                <w:bCs/>
                <w:color w:val="auto"/>
              </w:rPr>
            </w:pPr>
            <w:r>
              <w:rPr>
                <w:rFonts w:ascii="Times New Roman" w:hAnsi="Times New Roman" w:eastAsia="宋体" w:cs="Times New Roman"/>
                <w:b w:val="0"/>
                <w:bCs/>
                <w:i w:val="0"/>
                <w:color w:val="auto"/>
                <w:sz w:val="24"/>
                <w:szCs w:val="24"/>
              </w:rPr>
              <w:t xml:space="preserve">  Scenario: 数据范围越权被拦截</w:t>
            </w:r>
          </w:p>
          <w:p w14:paraId="1A888618">
            <w:pPr>
              <w:pStyle w:val="19"/>
              <w:bidi w:val="0"/>
              <w:rPr>
                <w:b w:val="0"/>
                <w:bCs/>
                <w:color w:val="auto"/>
              </w:rPr>
            </w:pPr>
            <w:r>
              <w:rPr>
                <w:rFonts w:ascii="Times New Roman" w:hAnsi="Times New Roman" w:eastAsia="宋体" w:cs="Times New Roman"/>
                <w:b w:val="0"/>
                <w:bCs/>
                <w:i w:val="0"/>
                <w:color w:val="auto"/>
                <w:sz w:val="24"/>
                <w:szCs w:val="24"/>
              </w:rPr>
              <w:t xml:space="preserve">    Given 某园区能碳专员的数据范围为「新疆线缆园区」</w:t>
            </w:r>
          </w:p>
          <w:p w14:paraId="42329FE3">
            <w:pPr>
              <w:pStyle w:val="19"/>
              <w:bidi w:val="0"/>
              <w:rPr>
                <w:b w:val="0"/>
                <w:bCs/>
                <w:color w:val="auto"/>
              </w:rPr>
            </w:pPr>
            <w:r>
              <w:rPr>
                <w:rFonts w:ascii="Times New Roman" w:hAnsi="Times New Roman" w:eastAsia="宋体" w:cs="Times New Roman"/>
                <w:b w:val="0"/>
                <w:bCs/>
                <w:i w:val="0"/>
                <w:color w:val="auto"/>
                <w:sz w:val="24"/>
                <w:szCs w:val="24"/>
              </w:rPr>
              <w:t xml:space="preserve">    When  其尝试把某自定义指标的「数据范围」设置为「沈变公司」并保存</w:t>
            </w:r>
          </w:p>
          <w:p w14:paraId="2C763C6F">
            <w:pPr>
              <w:pStyle w:val="19"/>
              <w:bidi w:val="0"/>
              <w:rPr>
                <w:b w:val="0"/>
                <w:bCs/>
                <w:color w:val="auto"/>
              </w:rPr>
            </w:pPr>
            <w:r>
              <w:rPr>
                <w:rFonts w:ascii="Times New Roman" w:hAnsi="Times New Roman" w:eastAsia="宋体" w:cs="Times New Roman"/>
                <w:b w:val="0"/>
                <w:bCs/>
                <w:i w:val="0"/>
                <w:color w:val="auto"/>
                <w:sz w:val="24"/>
                <w:szCs w:val="24"/>
              </w:rPr>
              <w:t xml:space="preserve">    Then  保存被阻断并返回 E_AUTH_RLS_SCOPE_DENIED</w:t>
            </w:r>
          </w:p>
          <w:p w14:paraId="612AEFBC">
            <w:pPr>
              <w:pStyle w:val="19"/>
              <w:bidi w:val="0"/>
              <w:rPr>
                <w:b w:val="0"/>
                <w:bCs/>
                <w:color w:val="auto"/>
              </w:rPr>
            </w:pPr>
            <w:r>
              <w:rPr>
                <w:rFonts w:ascii="Times New Roman" w:hAnsi="Times New Roman" w:eastAsia="宋体" w:cs="Times New Roman"/>
                <w:b w:val="0"/>
                <w:bCs/>
                <w:i w:val="0"/>
                <w:color w:val="auto"/>
                <w:sz w:val="24"/>
                <w:szCs w:val="24"/>
              </w:rPr>
              <w:t xml:space="preserve">    And   服务端记录一条数据访问审计日志</w:t>
            </w:r>
          </w:p>
        </w:tc>
      </w:tr>
    </w:tbl>
    <w:p w14:paraId="43050B62">
      <w:pPr>
        <w:numPr>
          <w:ilvl w:val="0"/>
          <w:numId w:val="0"/>
        </w:numPr>
        <w:spacing w:after="40"/>
        <w:ind w:leftChars="0"/>
        <w:rPr>
          <w:rFonts w:hint="default" w:ascii="宋体" w:hAnsi="宋体" w:eastAsia="宋体" w:cs="宋体"/>
          <w:i w:val="0"/>
          <w:iCs w:val="0"/>
          <w:sz w:val="24"/>
          <w:szCs w:val="24"/>
          <w:lang w:val="en-US" w:eastAsia="zh-CN"/>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2" w:name="_Toc15351"/>
      <w:r>
        <w:rPr>
          <w:rFonts w:ascii="Times New Roman" w:hAnsi="Times New Roman" w:eastAsia="黑体" w:cs="Times New Roman"/>
          <w:b w:val="0"/>
          <w:bCs w:val="0"/>
          <w:sz w:val="30"/>
          <w:szCs w:val="32"/>
        </w:rPr>
        <w:t>能耗能效分析</w:t>
      </w:r>
      <w:bookmarkEnd w:id="22"/>
    </w:p>
    <w:p w14:paraId="55286C6D">
      <w:pPr>
        <w:pStyle w:val="5"/>
        <w:numPr>
          <w:ilvl w:val="0"/>
          <w:numId w:val="63"/>
        </w:numPr>
        <w:ind w:left="0" w:leftChars="0" w:firstLine="0" w:firstLineChars="0"/>
        <w:outlineLvl w:val="1"/>
        <w:rPr>
          <w:rFonts w:eastAsia="黑体"/>
          <w:b w:val="0"/>
          <w:bCs w:val="0"/>
          <w:sz w:val="30"/>
          <w:szCs w:val="24"/>
        </w:rPr>
      </w:pPr>
      <w:bookmarkStart w:id="23" w:name="_Toc23395"/>
      <w:r>
        <w:rPr>
          <w:rFonts w:ascii="Times New Roman" w:hAnsi="Times New Roman" w:eastAsia="黑体" w:cs="Times New Roman"/>
          <w:b w:val="0"/>
          <w:bCs w:val="0"/>
          <w:sz w:val="30"/>
          <w:szCs w:val="24"/>
        </w:rPr>
        <w:t>用能结构分析</w:t>
      </w:r>
      <w:bookmarkEnd w:id="23"/>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2"/>
                    <a:stretch>
                      <a:fillRect/>
                    </a:stretch>
                  </pic:blipFill>
                  <pic:spPr>
                    <a:xfrm>
                      <a:off x="0" y="0"/>
                      <a:ext cx="5900420" cy="2925445"/>
                    </a:xfrm>
                    <a:prstGeom prst="rect">
                      <a:avLst/>
                    </a:prstGeom>
                    <a:noFill/>
                    <a:ln>
                      <a:noFill/>
                    </a:ln>
                  </pic:spPr>
                </pic:pic>
              </a:graphicData>
            </a:graphic>
          </wp:inline>
        </w:drawing>
      </w:r>
    </w:p>
    <w:p w14:paraId="6C837094">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736E81">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能耗分析专家，</w:t>
      </w:r>
    </w:p>
    <w:p w14:paraId="6CDDD331">
      <w:pPr>
        <w:pStyle w:val="19"/>
        <w:widowControl/>
        <w:numPr>
          <w:ilvl w:val="0"/>
          <w:numId w:val="6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穿透分析各生产基地的能源消费结构占比与历史月度推移，</w:t>
      </w:r>
    </w:p>
    <w:p w14:paraId="02EDF80B">
      <w:pPr>
        <w:pStyle w:val="19"/>
        <w:widowControl/>
        <w:numPr>
          <w:ilvl w:val="0"/>
          <w:numId w:val="6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我能制定以电代气、以绿代灰的能源清洁化替代方案。</w:t>
      </w:r>
    </w:p>
    <w:p w14:paraId="53D919EC">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F462482">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能源消耗量概览：</w:t>
      </w:r>
    </w:p>
    <w:p w14:paraId="67271C3A">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1049655"/>
            <wp:effectExtent l="0" t="0" r="0" b="1714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43"/>
                    <a:stretch>
                      <a:fillRect/>
                    </a:stretch>
                  </pic:blipFill>
                  <pic:spPr>
                    <a:xfrm>
                      <a:off x="0" y="0"/>
                      <a:ext cx="5905500" cy="1049655"/>
                    </a:xfrm>
                    <a:prstGeom prst="rect">
                      <a:avLst/>
                    </a:prstGeom>
                    <a:noFill/>
                    <a:ln>
                      <a:noFill/>
                    </a:ln>
                  </pic:spPr>
                </pic:pic>
              </a:graphicData>
            </a:graphic>
          </wp:inline>
        </w:drawing>
      </w:r>
    </w:p>
    <w:p w14:paraId="62F99666">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70BB6E7">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能源消耗总量：</w:t>
      </w:r>
      <w:r>
        <w:rPr>
          <w:rFonts w:hint="eastAsia" w:cs="Times New Roman"/>
          <w:i w:val="0"/>
          <w:color w:val="1F2937"/>
          <w:sz w:val="24"/>
          <w:szCs w:val="24"/>
          <w:lang w:val="en-US" w:eastAsia="zh-CN"/>
        </w:rPr>
        <w:br w:type="textWrapping"/>
      </w:r>
      <w:r>
        <w:drawing>
          <wp:inline distT="0" distB="0" distL="114300" distR="114300">
            <wp:extent cx="5913755" cy="3120390"/>
            <wp:effectExtent l="0" t="0" r="10795" b="3810"/>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44"/>
                    <a:stretch>
                      <a:fillRect/>
                    </a:stretch>
                  </pic:blipFill>
                  <pic:spPr>
                    <a:xfrm>
                      <a:off x="0" y="0"/>
                      <a:ext cx="5913755" cy="3120390"/>
                    </a:xfrm>
                    <a:prstGeom prst="rect">
                      <a:avLst/>
                    </a:prstGeom>
                    <a:noFill/>
                    <a:ln>
                      <a:noFill/>
                    </a:ln>
                  </pic:spPr>
                </pic:pic>
              </a:graphicData>
            </a:graphic>
          </wp:inline>
        </w:drawing>
      </w:r>
    </w:p>
    <w:p w14:paraId="272500DC">
      <w:pPr>
        <w:pStyle w:val="19"/>
        <w:widowControl/>
        <w:numPr>
          <w:ilvl w:val="0"/>
          <w:numId w:val="0"/>
        </w:numPr>
        <w:adjustRightInd w:val="0"/>
        <w:spacing w:before="100" w:after="100" w:afterLines="0" w:afterAutospacing="0" w:line="300" w:lineRule="auto"/>
        <w:jc w:val="both"/>
      </w:pPr>
    </w:p>
    <w:p w14:paraId="1FC5E8F1">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台账明细：</w:t>
      </w:r>
      <w:r>
        <w:rPr>
          <w:rFonts w:hint="eastAsia"/>
          <w:lang w:val="en-US" w:eastAsia="zh-CN"/>
        </w:rPr>
        <w:br w:type="textWrapping"/>
      </w:r>
      <w:r>
        <w:drawing>
          <wp:inline distT="0" distB="0" distL="114300" distR="114300">
            <wp:extent cx="5913755" cy="2054860"/>
            <wp:effectExtent l="0" t="0" r="10795" b="254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45"/>
                    <a:stretch>
                      <a:fillRect/>
                    </a:stretch>
                  </pic:blipFill>
                  <pic:spPr>
                    <a:xfrm>
                      <a:off x="0" y="0"/>
                      <a:ext cx="5913755" cy="2054860"/>
                    </a:xfrm>
                    <a:prstGeom prst="rect">
                      <a:avLst/>
                    </a:prstGeom>
                    <a:noFill/>
                    <a:ln>
                      <a:noFill/>
                    </a:ln>
                  </pic:spPr>
                </pic:pic>
              </a:graphicData>
            </a:graphic>
          </wp:inline>
        </w:drawing>
      </w:r>
    </w:p>
    <w:p w14:paraId="42C4937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38D7F602">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17651FC7">
      <w:pPr>
        <w:spacing w:after="40"/>
        <w:rPr>
          <w:rFonts w:hint="eastAsia" w:ascii="宋体" w:hAnsi="宋体" w:eastAsia="宋体" w:cs="宋体"/>
          <w:i w:val="0"/>
          <w:iCs w:val="0"/>
          <w:sz w:val="24"/>
          <w:szCs w:val="24"/>
        </w:rPr>
      </w:pPr>
    </w:p>
    <w:p w14:paraId="3F042077">
      <w:pPr>
        <w:pStyle w:val="5"/>
        <w:numPr>
          <w:ilvl w:val="0"/>
          <w:numId w:val="63"/>
        </w:numPr>
        <w:ind w:left="0" w:leftChars="0" w:firstLine="0" w:firstLineChars="0"/>
        <w:outlineLvl w:val="1"/>
        <w:rPr>
          <w:rFonts w:eastAsia="黑体"/>
          <w:b w:val="0"/>
          <w:bCs w:val="0"/>
          <w:sz w:val="30"/>
          <w:szCs w:val="24"/>
        </w:rPr>
      </w:pPr>
      <w:bookmarkStart w:id="24" w:name="_Toc3656"/>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6"/>
                    <a:stretch>
                      <a:fillRect/>
                    </a:stretch>
                  </pic:blipFill>
                  <pic:spPr>
                    <a:xfrm>
                      <a:off x="0" y="0"/>
                      <a:ext cx="5900420" cy="2925445"/>
                    </a:xfrm>
                    <a:prstGeom prst="rect">
                      <a:avLst/>
                    </a:prstGeom>
                    <a:noFill/>
                    <a:ln>
                      <a:noFill/>
                    </a:ln>
                  </pic:spPr>
                </pic:pic>
              </a:graphicData>
            </a:graphic>
          </wp:inline>
        </w:drawing>
      </w:r>
    </w:p>
    <w:p w14:paraId="631D6A94">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1"/>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制造车间主任，</w:t>
      </w:r>
    </w:p>
    <w:p w14:paraId="5C458BD6">
      <w:pPr>
        <w:pStyle w:val="19"/>
        <w:widowControl/>
        <w:numPr>
          <w:ilvl w:val="0"/>
          <w:numId w:val="71"/>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依据本车间变压器额定容量（万 kVA）或线缆长度（km）核算单台产品单耗，与行业先进基准对比，</w:t>
      </w:r>
    </w:p>
    <w:p w14:paraId="6FC5E403">
      <w:pPr>
        <w:pStyle w:val="19"/>
        <w:widowControl/>
        <w:numPr>
          <w:ilvl w:val="0"/>
          <w:numId w:val="71"/>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我能掌握生产工艺能效水平，推进技改升级。</w:t>
      </w:r>
    </w:p>
    <w:p w14:paraId="309B6EF1">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能耗指标明细：</w:t>
      </w:r>
      <w:r>
        <w:rPr>
          <w:rFonts w:hint="eastAsia" w:cs="Times New Roman"/>
          <w:i w:val="0"/>
          <w:color w:val="1F2937"/>
          <w:sz w:val="24"/>
          <w:szCs w:val="24"/>
          <w:lang w:val="en-US" w:eastAsia="zh-CN"/>
        </w:rPr>
        <w:br w:type="textWrapping"/>
      </w:r>
      <w:r>
        <w:drawing>
          <wp:inline distT="0" distB="0" distL="114300" distR="114300">
            <wp:extent cx="5906770" cy="2233295"/>
            <wp:effectExtent l="0" t="0" r="17780" b="14605"/>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47"/>
                    <a:stretch>
                      <a:fillRect/>
                    </a:stretch>
                  </pic:blipFill>
                  <pic:spPr>
                    <a:xfrm>
                      <a:off x="0" y="0"/>
                      <a:ext cx="5906770" cy="2233295"/>
                    </a:xfrm>
                    <a:prstGeom prst="rect">
                      <a:avLst/>
                    </a:prstGeom>
                    <a:noFill/>
                    <a:ln>
                      <a:noFill/>
                    </a:ln>
                  </pic:spPr>
                </pic:pic>
              </a:graphicData>
            </a:graphic>
          </wp:inline>
        </w:drawing>
      </w:r>
    </w:p>
    <w:p w14:paraId="4BDE1AB1">
      <w:pPr>
        <w:pStyle w:val="19"/>
        <w:widowControl/>
        <w:numPr>
          <w:ilvl w:val="0"/>
          <w:numId w:val="0"/>
        </w:numPr>
        <w:adjustRightInd w:val="0"/>
        <w:spacing w:before="100" w:after="100" w:afterLines="0" w:afterAutospacing="0" w:line="300" w:lineRule="auto"/>
        <w:jc w:val="both"/>
      </w:pPr>
    </w:p>
    <w:p w14:paraId="6D42B435">
      <w:pPr>
        <w:pStyle w:val="19"/>
        <w:widowControl/>
        <w:numPr>
          <w:ilvl w:val="0"/>
          <w:numId w:val="0"/>
        </w:numPr>
        <w:adjustRightInd w:val="0"/>
        <w:spacing w:before="100" w:after="100" w:afterLines="0" w:afterAutospacing="0" w:line="300" w:lineRule="auto"/>
        <w:jc w:val="both"/>
      </w:pPr>
      <w:r>
        <w:rPr>
          <w:rFonts w:hint="eastAsia"/>
          <w:lang w:val="en-US" w:eastAsia="zh-CN"/>
        </w:rPr>
        <w:t>产品管控指标：</w:t>
      </w:r>
      <w:r>
        <w:rPr>
          <w:rFonts w:hint="eastAsia"/>
          <w:lang w:val="en-US" w:eastAsia="zh-CN"/>
        </w:rPr>
        <w:br w:type="textWrapping"/>
      </w:r>
      <w:r>
        <w:drawing>
          <wp:inline distT="0" distB="0" distL="114300" distR="114300">
            <wp:extent cx="5909310" cy="2283460"/>
            <wp:effectExtent l="0" t="0" r="15240" b="2540"/>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48"/>
                    <a:stretch>
                      <a:fillRect/>
                    </a:stretch>
                  </pic:blipFill>
                  <pic:spPr>
                    <a:xfrm>
                      <a:off x="0" y="0"/>
                      <a:ext cx="5909310" cy="2283460"/>
                    </a:xfrm>
                    <a:prstGeom prst="rect">
                      <a:avLst/>
                    </a:prstGeom>
                    <a:noFill/>
                    <a:ln>
                      <a:noFill/>
                    </a:ln>
                  </pic:spPr>
                </pic:pic>
              </a:graphicData>
            </a:graphic>
          </wp:inline>
        </w:drawing>
      </w:r>
    </w:p>
    <w:p w14:paraId="1097686E">
      <w:pPr>
        <w:pStyle w:val="19"/>
        <w:widowControl/>
        <w:numPr>
          <w:ilvl w:val="0"/>
          <w:numId w:val="0"/>
        </w:numPr>
        <w:adjustRightInd w:val="0"/>
        <w:spacing w:before="100" w:after="100" w:afterLines="0" w:afterAutospacing="0" w:line="300" w:lineRule="auto"/>
        <w:jc w:val="both"/>
      </w:pPr>
    </w:p>
    <w:p w14:paraId="286383A5">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产品能耗明细：</w:t>
      </w:r>
      <w:r>
        <w:rPr>
          <w:rFonts w:hint="eastAsia"/>
          <w:lang w:val="en-US" w:eastAsia="zh-CN"/>
        </w:rPr>
        <w:br w:type="textWrapping"/>
      </w:r>
      <w:r>
        <w:drawing>
          <wp:inline distT="0" distB="0" distL="114300" distR="114300">
            <wp:extent cx="5909310" cy="2954655"/>
            <wp:effectExtent l="0" t="0" r="15240" b="1714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49"/>
                    <a:stretch>
                      <a:fillRect/>
                    </a:stretch>
                  </pic:blipFill>
                  <pic:spPr>
                    <a:xfrm>
                      <a:off x="0" y="0"/>
                      <a:ext cx="5909310" cy="2954655"/>
                    </a:xfrm>
                    <a:prstGeom prst="rect">
                      <a:avLst/>
                    </a:prstGeom>
                    <a:noFill/>
                    <a:ln>
                      <a:noFill/>
                    </a:ln>
                  </pic:spPr>
                </pic:pic>
              </a:graphicData>
            </a:graphic>
          </wp:inline>
        </w:drawing>
      </w: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6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3"/>
        </w:numPr>
        <w:ind w:left="0" w:leftChars="0" w:firstLine="0" w:firstLineChars="0"/>
        <w:outlineLvl w:val="1"/>
        <w:rPr>
          <w:rFonts w:eastAsia="黑体"/>
          <w:b w:val="0"/>
          <w:bCs w:val="0"/>
          <w:sz w:val="30"/>
          <w:szCs w:val="24"/>
        </w:rPr>
      </w:pPr>
      <w:bookmarkStart w:id="25" w:name="_Toc28493"/>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0"/>
                    <a:stretch>
                      <a:fillRect/>
                    </a:stretch>
                  </pic:blipFill>
                  <pic:spPr>
                    <a:xfrm>
                      <a:off x="0" y="0"/>
                      <a:ext cx="5900420" cy="2925445"/>
                    </a:xfrm>
                    <a:prstGeom prst="rect">
                      <a:avLst/>
                    </a:prstGeom>
                    <a:noFill/>
                    <a:ln>
                      <a:noFill/>
                    </a:ln>
                  </pic:spPr>
                </pic:pic>
              </a:graphicData>
            </a:graphic>
          </wp:inline>
        </w:drawing>
      </w:r>
    </w:p>
    <w:p w14:paraId="6C533739">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7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集团能碳战略规划员，</w:t>
      </w:r>
    </w:p>
    <w:p w14:paraId="29AF6817">
      <w:pPr>
        <w:pStyle w:val="19"/>
        <w:widowControl/>
        <w:numPr>
          <w:ilvl w:val="0"/>
          <w:numId w:val="7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分析历年各分子公司万元产值能耗推移与行业标杆基准偏差，</w:t>
      </w:r>
    </w:p>
    <w:p w14:paraId="77D0B5A3">
      <w:pPr>
        <w:pStyle w:val="19"/>
        <w:widowControl/>
        <w:numPr>
          <w:ilvl w:val="0"/>
          <w:numId w:val="76"/>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识别高产低耗标杆实体，推进节能降耗考核。</w:t>
      </w:r>
    </w:p>
    <w:p w14:paraId="41F4AA29">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numPr>
          <w:ilvl w:val="0"/>
          <w:numId w:val="77"/>
        </w:numPr>
        <w:bidi w:val="0"/>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BCE2481">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产品产值概览：</w:t>
      </w:r>
      <w:r>
        <w:rPr>
          <w:rFonts w:hint="eastAsia" w:cs="Times New Roman"/>
          <w:i w:val="0"/>
          <w:color w:val="1F2937"/>
          <w:sz w:val="24"/>
          <w:szCs w:val="24"/>
          <w:lang w:val="en-US" w:eastAsia="zh-CN"/>
        </w:rPr>
        <w:br w:type="textWrapping"/>
      </w:r>
      <w:r>
        <w:drawing>
          <wp:inline distT="0" distB="0" distL="114300" distR="114300">
            <wp:extent cx="5901690" cy="2171065"/>
            <wp:effectExtent l="0" t="0" r="3810" b="63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51"/>
                    <a:stretch>
                      <a:fillRect/>
                    </a:stretch>
                  </pic:blipFill>
                  <pic:spPr>
                    <a:xfrm>
                      <a:off x="0" y="0"/>
                      <a:ext cx="5901690" cy="2171065"/>
                    </a:xfrm>
                    <a:prstGeom prst="rect">
                      <a:avLst/>
                    </a:prstGeom>
                    <a:noFill/>
                    <a:ln>
                      <a:noFill/>
                    </a:ln>
                  </pic:spPr>
                </pic:pic>
              </a:graphicData>
            </a:graphic>
          </wp:inline>
        </w:drawing>
      </w:r>
    </w:p>
    <w:p w14:paraId="63A6E76F">
      <w:pPr>
        <w:pStyle w:val="19"/>
        <w:widowControl/>
        <w:numPr>
          <w:ilvl w:val="0"/>
          <w:numId w:val="0"/>
        </w:numPr>
        <w:adjustRightInd w:val="0"/>
        <w:spacing w:before="100" w:after="100" w:afterLines="0" w:afterAutospacing="0" w:line="300" w:lineRule="auto"/>
        <w:jc w:val="both"/>
      </w:pPr>
    </w:p>
    <w:p w14:paraId="56DD4858">
      <w:pPr>
        <w:pStyle w:val="19"/>
        <w:widowControl/>
        <w:numPr>
          <w:ilvl w:val="0"/>
          <w:numId w:val="0"/>
        </w:numPr>
        <w:adjustRightInd w:val="0"/>
        <w:spacing w:before="100" w:after="100" w:afterLines="0" w:afterAutospacing="0" w:line="300" w:lineRule="auto"/>
        <w:jc w:val="both"/>
      </w:pPr>
      <w:r>
        <w:rPr>
          <w:rFonts w:hint="eastAsia"/>
          <w:lang w:val="en-US" w:eastAsia="zh-CN"/>
        </w:rPr>
        <w:t>产品产值能耗：</w:t>
      </w:r>
      <w:r>
        <w:rPr>
          <w:rFonts w:hint="eastAsia"/>
          <w:lang w:val="en-US" w:eastAsia="zh-CN"/>
        </w:rPr>
        <w:br w:type="textWrapping"/>
      </w:r>
      <w:r>
        <w:drawing>
          <wp:inline distT="0" distB="0" distL="114300" distR="114300">
            <wp:extent cx="5904865" cy="1804035"/>
            <wp:effectExtent l="0" t="0" r="635" b="571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52"/>
                    <a:stretch>
                      <a:fillRect/>
                    </a:stretch>
                  </pic:blipFill>
                  <pic:spPr>
                    <a:xfrm>
                      <a:off x="0" y="0"/>
                      <a:ext cx="5904865" cy="1804035"/>
                    </a:xfrm>
                    <a:prstGeom prst="rect">
                      <a:avLst/>
                    </a:prstGeom>
                    <a:noFill/>
                    <a:ln>
                      <a:noFill/>
                    </a:ln>
                  </pic:spPr>
                </pic:pic>
              </a:graphicData>
            </a:graphic>
          </wp:inline>
        </w:drawing>
      </w:r>
    </w:p>
    <w:p w14:paraId="179C5311">
      <w:pPr>
        <w:pStyle w:val="19"/>
        <w:widowControl/>
        <w:numPr>
          <w:ilvl w:val="0"/>
          <w:numId w:val="0"/>
        </w:numPr>
        <w:adjustRightInd w:val="0"/>
        <w:spacing w:before="100" w:after="100" w:afterLines="0" w:afterAutospacing="0" w:line="300" w:lineRule="auto"/>
        <w:jc w:val="both"/>
      </w:pPr>
    </w:p>
    <w:p w14:paraId="7B95C509">
      <w:pPr>
        <w:pStyle w:val="19"/>
        <w:widowControl/>
        <w:numPr>
          <w:ilvl w:val="0"/>
          <w:numId w:val="0"/>
        </w:numPr>
        <w:adjustRightInd w:val="0"/>
        <w:spacing w:before="100" w:after="100" w:afterLines="0" w:afterAutospacing="0" w:line="300" w:lineRule="auto"/>
        <w:jc w:val="both"/>
        <w:rPr>
          <w:rFonts w:hint="default"/>
          <w:lang w:val="en-US" w:eastAsia="zh-CN"/>
        </w:rPr>
      </w:pPr>
      <w:r>
        <w:rPr>
          <w:rFonts w:hint="eastAsia"/>
          <w:lang w:val="en-US" w:eastAsia="zh-CN"/>
        </w:rPr>
        <w:t>万元产值能耗</w:t>
      </w:r>
      <w:r>
        <w:rPr>
          <w:rFonts w:hint="eastAsia"/>
          <w:lang w:val="en-US" w:eastAsia="zh-CN"/>
        </w:rPr>
        <w:br w:type="textWrapping"/>
      </w:r>
      <w:r>
        <w:drawing>
          <wp:inline distT="0" distB="0" distL="114300" distR="114300">
            <wp:extent cx="5913755" cy="1661160"/>
            <wp:effectExtent l="0" t="0" r="10795" b="1524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53"/>
                    <a:stretch>
                      <a:fillRect/>
                    </a:stretch>
                  </pic:blipFill>
                  <pic:spPr>
                    <a:xfrm>
                      <a:off x="0" y="0"/>
                      <a:ext cx="5913755" cy="1661160"/>
                    </a:xfrm>
                    <a:prstGeom prst="rect">
                      <a:avLst/>
                    </a:prstGeom>
                    <a:noFill/>
                    <a:ln>
                      <a:noFill/>
                    </a:ln>
                  </pic:spPr>
                </pic:pic>
              </a:graphicData>
            </a:graphic>
          </wp:inline>
        </w:drawing>
      </w:r>
    </w:p>
    <w:p w14:paraId="61D66874">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1D0D17FD">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7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46C77E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当期工业总产值未上报：单耗显示  --  并标注"产值数据待上报"，返回 E_VAL_OUTPUT_VALUE_MISSING。</w:t>
            </w:r>
          </w:p>
          <w:p w14:paraId="184B24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可比价基准年未配置：可比价口径不可计算，页面强制先选定产值口径后方可渲染，返回 E_VAL_PRICE_BASE_YEAR_MISSING。</w:t>
            </w:r>
          </w:p>
          <w:p w14:paraId="66B95C7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国家限额先进值 / 准入值缺失：基准线不绘制，返回 E_VAL_QUOTA_LIMIT_MISSING（严禁以 0 代替基准线）。</w:t>
            </w:r>
          </w:p>
        </w:tc>
      </w:tr>
    </w:tbl>
    <w:p w14:paraId="342B6177">
      <w:pPr>
        <w:spacing w:after="40"/>
        <w:rPr>
          <w:rFonts w:hint="eastAsia" w:ascii="宋体" w:hAnsi="宋体" w:eastAsia="宋体" w:cs="宋体"/>
          <w:i w:val="0"/>
          <w:iCs w:val="0"/>
          <w:sz w:val="24"/>
          <w:szCs w:val="24"/>
        </w:rPr>
      </w:pPr>
    </w:p>
    <w:p w14:paraId="6F4D0FBB">
      <w:pPr>
        <w:pStyle w:val="6"/>
        <w:numPr>
          <w:ilvl w:val="0"/>
          <w:numId w:val="7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p w14:paraId="345D48A9">
            <w:pPr>
              <w:spacing w:before="0" w:after="20" w:line="264" w:lineRule="auto"/>
              <w:rPr>
                <w:rFonts w:hint="eastAsia" w:ascii="宋体" w:hAnsi="宋体" w:eastAsia="宋体" w:cs="宋体"/>
                <w:i w:val="0"/>
                <w:iCs w:val="0"/>
                <w:sz w:val="24"/>
                <w:szCs w:val="24"/>
              </w:rPr>
            </w:pPr>
          </w:p>
          <w:p w14:paraId="447DB9E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产值未上报与口径未选定时的软兜底</w:t>
            </w:r>
          </w:p>
          <w:p w14:paraId="5A99E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某经营单位当期工业总产值尚未上报，且页面可比价基准年未配置</w:t>
            </w:r>
          </w:p>
          <w:p w14:paraId="32E33F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10CE96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指标值显示为 "--" 并返回 E_VAL_OUTPUT_VALUE_MISSING</w:t>
            </w:r>
          </w:p>
          <w:p w14:paraId="15FC5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页面强制要求先选定产值口径，未选定前不渲染推移折线图</w:t>
            </w:r>
          </w:p>
          <w:p w14:paraId="73E35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未配置国家限额值时基准线不绘制且返回 E_VAL_QUOTA_LIMIT_MISSING</w:t>
            </w:r>
          </w:p>
          <w:p w14:paraId="231D69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tc>
      </w:tr>
    </w:tbl>
    <w:p w14:paraId="5B063A01">
      <w:pPr>
        <w:spacing w:after="40"/>
        <w:rPr>
          <w:rFonts w:hint="eastAsia" w:ascii="宋体" w:hAnsi="宋体" w:eastAsia="宋体" w:cs="宋体"/>
          <w:i w:val="0"/>
          <w:iCs w:val="0"/>
          <w:sz w:val="24"/>
          <w:szCs w:val="24"/>
        </w:rPr>
      </w:pPr>
    </w:p>
    <w:p w14:paraId="027CB06C">
      <w:pPr>
        <w:pStyle w:val="5"/>
        <w:numPr>
          <w:ilvl w:val="0"/>
          <w:numId w:val="63"/>
        </w:numPr>
        <w:ind w:left="0" w:leftChars="0" w:firstLine="0" w:firstLineChars="0"/>
        <w:outlineLvl w:val="1"/>
        <w:rPr>
          <w:rFonts w:eastAsia="黑体"/>
          <w:b w:val="0"/>
          <w:bCs w:val="0"/>
          <w:sz w:val="30"/>
          <w:szCs w:val="24"/>
        </w:rPr>
      </w:pPr>
      <w:bookmarkStart w:id="26" w:name="_Toc6035"/>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54"/>
                    <a:stretch>
                      <a:fillRect/>
                    </a:stretch>
                  </pic:blipFill>
                  <pic:spPr>
                    <a:xfrm>
                      <a:off x="0" y="0"/>
                      <a:ext cx="5900420" cy="2925445"/>
                    </a:xfrm>
                    <a:prstGeom prst="rect">
                      <a:avLst/>
                    </a:prstGeom>
                    <a:noFill/>
                    <a:ln>
                      <a:noFill/>
                    </a:ln>
                  </pic:spPr>
                </pic:pic>
              </a:graphicData>
            </a:graphic>
          </wp:inline>
        </w:drawing>
      </w:r>
    </w:p>
    <w:p w14:paraId="35BA35FA">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F2937"/>
          <w:sz w:val="24"/>
          <w:szCs w:val="24"/>
        </w:rPr>
        <w:br w:type="textWrapping"/>
      </w:r>
      <w:r>
        <w:rPr>
          <w:rFonts w:hint="eastAsia" w:cs="Times New Roman"/>
          <w:i w:val="0"/>
          <w:color w:val="1F2937"/>
          <w:sz w:val="24"/>
          <w:szCs w:val="24"/>
          <w:lang w:val="en-US" w:eastAsia="zh-CN"/>
        </w:rPr>
        <w:t>核心指标对比：</w:t>
      </w:r>
      <w:r>
        <w:rPr>
          <w:rFonts w:ascii="Times New Roman" w:hAnsi="Times New Roman" w:eastAsia="宋体" w:cs="Times New Roman"/>
          <w:i w:val="0"/>
          <w:color w:val="1F2937"/>
          <w:sz w:val="24"/>
          <w:szCs w:val="24"/>
        </w:rPr>
        <w:br w:type="textWrapping"/>
      </w:r>
      <w:r>
        <w:drawing>
          <wp:inline distT="0" distB="0" distL="114300" distR="114300">
            <wp:extent cx="5908675" cy="2294255"/>
            <wp:effectExtent l="0" t="0" r="15875" b="1079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55"/>
                    <a:stretch>
                      <a:fillRect/>
                    </a:stretch>
                  </pic:blipFill>
                  <pic:spPr>
                    <a:xfrm>
                      <a:off x="0" y="0"/>
                      <a:ext cx="5908675" cy="2294255"/>
                    </a:xfrm>
                    <a:prstGeom prst="rect">
                      <a:avLst/>
                    </a:prstGeom>
                    <a:noFill/>
                    <a:ln>
                      <a:noFill/>
                    </a:ln>
                  </pic:spPr>
                </pic:pic>
              </a:graphicData>
            </a:graphic>
          </wp:inline>
        </w:drawing>
      </w:r>
      <w:r>
        <w:br w:type="textWrapping"/>
      </w:r>
      <w:r>
        <w:br w:type="textWrapping"/>
      </w:r>
      <w:r>
        <w:rPr>
          <w:rFonts w:hint="eastAsia"/>
          <w:lang w:val="en-US" w:eastAsia="zh-CN"/>
        </w:rPr>
        <w:t>零碳指标排名：</w:t>
      </w:r>
      <w:r>
        <w:rPr>
          <w:rFonts w:hint="eastAsia"/>
          <w:lang w:val="en-US" w:eastAsia="zh-CN"/>
        </w:rPr>
        <w:br w:type="textWrapping"/>
      </w:r>
      <w:r>
        <w:drawing>
          <wp:inline distT="0" distB="0" distL="114300" distR="114300">
            <wp:extent cx="5900420" cy="2258695"/>
            <wp:effectExtent l="0" t="0" r="5080" b="8255"/>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56"/>
                    <a:stretch>
                      <a:fillRect/>
                    </a:stretch>
                  </pic:blipFill>
                  <pic:spPr>
                    <a:xfrm>
                      <a:off x="0" y="0"/>
                      <a:ext cx="5900420" cy="2258695"/>
                    </a:xfrm>
                    <a:prstGeom prst="rect">
                      <a:avLst/>
                    </a:prstGeom>
                    <a:noFill/>
                    <a:ln>
                      <a:noFill/>
                    </a:ln>
                  </pic:spPr>
                </pic:pic>
              </a:graphicData>
            </a:graphic>
          </wp:inline>
        </w:drawing>
      </w:r>
      <w:r>
        <w:br w:type="textWrapping"/>
      </w:r>
    </w:p>
    <w:p w14:paraId="00B335B3">
      <w:pPr>
        <w:pStyle w:val="19"/>
        <w:widowControl/>
        <w:ind w:left="0" w:leftChars="0" w:firstLine="0" w:firstLineChars="0"/>
      </w:pPr>
      <w:r>
        <w:rPr>
          <w:rFonts w:hint="eastAsia"/>
          <w:lang w:val="en-US" w:eastAsia="zh-CN"/>
        </w:rPr>
        <w:t>产品单耗对比（横向）：</w:t>
      </w:r>
      <w:r>
        <w:rPr>
          <w:rFonts w:hint="eastAsia"/>
          <w:lang w:val="en-US" w:eastAsia="zh-CN"/>
        </w:rPr>
        <w:br w:type="textWrapping"/>
      </w:r>
      <w:r>
        <w:drawing>
          <wp:inline distT="0" distB="0" distL="114300" distR="114300">
            <wp:extent cx="5908675" cy="2981960"/>
            <wp:effectExtent l="0" t="0" r="15875" b="889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57"/>
                    <a:stretch>
                      <a:fillRect/>
                    </a:stretch>
                  </pic:blipFill>
                  <pic:spPr>
                    <a:xfrm>
                      <a:off x="0" y="0"/>
                      <a:ext cx="5908675" cy="2981960"/>
                    </a:xfrm>
                    <a:prstGeom prst="rect">
                      <a:avLst/>
                    </a:prstGeom>
                    <a:noFill/>
                    <a:ln>
                      <a:noFill/>
                    </a:ln>
                  </pic:spPr>
                </pic:pic>
              </a:graphicData>
            </a:graphic>
          </wp:inline>
        </w:drawing>
      </w:r>
      <w:r>
        <w:br w:type="textWrapping"/>
      </w:r>
    </w:p>
    <w:p w14:paraId="1E59210A">
      <w:pPr>
        <w:pStyle w:val="19"/>
        <w:widowControl/>
        <w:ind w:left="0" w:leftChars="0" w:firstLine="0" w:firstLineChars="0"/>
      </w:pPr>
      <w:r>
        <w:rPr>
          <w:rFonts w:hint="eastAsia"/>
          <w:lang w:val="en-US" w:eastAsia="zh-CN"/>
        </w:rPr>
        <w:t>工厂单耗分析：</w:t>
      </w:r>
      <w:r>
        <w:rPr>
          <w:rFonts w:hint="eastAsia"/>
          <w:lang w:val="en-US" w:eastAsia="zh-CN"/>
        </w:rPr>
        <w:br w:type="textWrapping"/>
      </w:r>
      <w:r>
        <w:drawing>
          <wp:inline distT="0" distB="0" distL="114300" distR="114300">
            <wp:extent cx="5913120" cy="4327525"/>
            <wp:effectExtent l="0" t="0" r="11430" b="15875"/>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58"/>
                    <a:stretch>
                      <a:fillRect/>
                    </a:stretch>
                  </pic:blipFill>
                  <pic:spPr>
                    <a:xfrm>
                      <a:off x="0" y="0"/>
                      <a:ext cx="5913120" cy="4327525"/>
                    </a:xfrm>
                    <a:prstGeom prst="rect">
                      <a:avLst/>
                    </a:prstGeom>
                    <a:noFill/>
                    <a:ln>
                      <a:noFill/>
                    </a:ln>
                  </pic:spPr>
                </pic:pic>
              </a:graphicData>
            </a:graphic>
          </wp:inline>
        </w:drawing>
      </w:r>
    </w:p>
    <w:p w14:paraId="354856E9">
      <w:pPr>
        <w:pStyle w:val="19"/>
        <w:widowControl/>
        <w:ind w:left="0" w:leftChars="0" w:firstLine="0" w:firstLineChars="0"/>
      </w:pPr>
      <w:r>
        <w:rPr>
          <w:rFonts w:hint="default"/>
          <w:lang w:val="en-US" w:eastAsia="zh-CN"/>
        </w:rPr>
        <w:br w:type="textWrapping"/>
      </w:r>
      <w:r>
        <w:rPr>
          <w:rFonts w:hint="eastAsia"/>
          <w:lang w:val="en-US" w:eastAsia="zh-CN"/>
        </w:rPr>
        <w:t>产品单耗分析（纵向）：</w:t>
      </w:r>
      <w:r>
        <w:rPr>
          <w:rFonts w:hint="eastAsia"/>
          <w:lang w:val="en-US" w:eastAsia="zh-CN"/>
        </w:rPr>
        <w:br w:type="textWrapping"/>
      </w:r>
      <w:r>
        <w:drawing>
          <wp:inline distT="0" distB="0" distL="114300" distR="114300">
            <wp:extent cx="5908675" cy="3249930"/>
            <wp:effectExtent l="0" t="0" r="15875" b="7620"/>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59"/>
                    <a:stretch>
                      <a:fillRect/>
                    </a:stretch>
                  </pic:blipFill>
                  <pic:spPr>
                    <a:xfrm>
                      <a:off x="0" y="0"/>
                      <a:ext cx="5908675" cy="3249930"/>
                    </a:xfrm>
                    <a:prstGeom prst="rect">
                      <a:avLst/>
                    </a:prstGeom>
                    <a:noFill/>
                    <a:ln>
                      <a:noFill/>
                    </a:ln>
                  </pic:spPr>
                </pic:pic>
              </a:graphicData>
            </a:graphic>
          </wp:inline>
        </w:drawing>
      </w:r>
    </w:p>
    <w:p w14:paraId="76740A2E">
      <w:pPr>
        <w:pStyle w:val="19"/>
        <w:widowControl/>
        <w:ind w:left="0" w:leftChars="0" w:firstLine="0" w:firstLineChars="0"/>
      </w:pPr>
    </w:p>
    <w:p w14:paraId="20733BA9">
      <w:pPr>
        <w:pStyle w:val="19"/>
        <w:widowControl/>
        <w:ind w:left="0" w:leftChars="0" w:firstLine="0" w:firstLineChars="0"/>
      </w:pPr>
      <w:r>
        <w:rPr>
          <w:rFonts w:hint="eastAsia"/>
          <w:lang w:val="en-US" w:eastAsia="zh-CN"/>
        </w:rPr>
        <w:t>关键工序对比分析：</w:t>
      </w:r>
      <w:r>
        <w:rPr>
          <w:rFonts w:hint="eastAsia"/>
          <w:lang w:val="en-US" w:eastAsia="zh-CN"/>
        </w:rPr>
        <w:br w:type="textWrapping"/>
      </w:r>
      <w:r>
        <w:drawing>
          <wp:inline distT="0" distB="0" distL="114300" distR="114300">
            <wp:extent cx="5912485" cy="3147695"/>
            <wp:effectExtent l="0" t="0" r="12065" b="14605"/>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60"/>
                    <a:stretch>
                      <a:fillRect/>
                    </a:stretch>
                  </pic:blipFill>
                  <pic:spPr>
                    <a:xfrm>
                      <a:off x="0" y="0"/>
                      <a:ext cx="5912485" cy="3147695"/>
                    </a:xfrm>
                    <a:prstGeom prst="rect">
                      <a:avLst/>
                    </a:prstGeom>
                    <a:noFill/>
                    <a:ln>
                      <a:noFill/>
                    </a:ln>
                  </pic:spPr>
                </pic:pic>
              </a:graphicData>
            </a:graphic>
          </wp:inline>
        </w:drawing>
      </w:r>
    </w:p>
    <w:p w14:paraId="5AA05ABB">
      <w:pPr>
        <w:pStyle w:val="19"/>
        <w:widowControl/>
        <w:ind w:left="0" w:leftChars="0" w:firstLine="0" w:firstLineChars="0"/>
      </w:pPr>
    </w:p>
    <w:p w14:paraId="39C25D2D">
      <w:pPr>
        <w:pStyle w:val="19"/>
        <w:widowControl/>
        <w:ind w:left="0" w:leftChars="0" w:firstLine="0" w:firstLineChars="0"/>
      </w:pPr>
      <w:r>
        <w:rPr>
          <w:rFonts w:hint="eastAsia"/>
          <w:lang w:val="en-US" w:eastAsia="zh-CN"/>
        </w:rPr>
        <w:t>基准管理：</w:t>
      </w:r>
      <w:r>
        <w:rPr>
          <w:rFonts w:hint="eastAsia"/>
          <w:lang w:val="en-US" w:eastAsia="zh-CN"/>
        </w:rPr>
        <w:br w:type="textWrapping"/>
      </w:r>
      <w:r>
        <w:drawing>
          <wp:inline distT="0" distB="0" distL="114300" distR="114300">
            <wp:extent cx="5899785" cy="2308225"/>
            <wp:effectExtent l="0" t="0" r="5715" b="15875"/>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61"/>
                    <a:stretch>
                      <a:fillRect/>
                    </a:stretch>
                  </pic:blipFill>
                  <pic:spPr>
                    <a:xfrm>
                      <a:off x="0" y="0"/>
                      <a:ext cx="5899785" cy="2308225"/>
                    </a:xfrm>
                    <a:prstGeom prst="rect">
                      <a:avLst/>
                    </a:prstGeom>
                    <a:noFill/>
                    <a:ln>
                      <a:noFill/>
                    </a:ln>
                  </pic:spPr>
                </pic:pic>
              </a:graphicData>
            </a:graphic>
          </wp:inline>
        </w:drawing>
      </w:r>
    </w:p>
    <w:p w14:paraId="7154BD1A">
      <w:pPr>
        <w:pStyle w:val="19"/>
        <w:widowControl/>
        <w:ind w:left="0" w:leftChars="0" w:firstLine="0" w:firstLineChars="0"/>
      </w:pPr>
    </w:p>
    <w:p w14:paraId="51E885BC">
      <w:pPr>
        <w:pStyle w:val="19"/>
        <w:widowControl/>
        <w:ind w:left="0" w:leftChars="0" w:firstLine="0" w:firstLineChars="0"/>
        <w:rPr>
          <w:rFonts w:hint="default"/>
          <w:lang w:val="en-US" w:eastAsia="zh-CN"/>
        </w:rPr>
      </w:pPr>
      <w:r>
        <w:rPr>
          <w:rFonts w:hint="default"/>
          <w:lang w:val="en-US" w:eastAsia="zh-CN"/>
        </w:rPr>
        <w:br w:type="textWrapping"/>
      </w:r>
      <w:r>
        <w:rPr>
          <w:rFonts w:hint="eastAsia"/>
          <w:lang w:val="en-US" w:eastAsia="zh-CN"/>
        </w:rPr>
        <w:t>基准数据参数：</w:t>
      </w:r>
      <w:r>
        <w:rPr>
          <w:rFonts w:hint="eastAsia"/>
          <w:lang w:val="en-US" w:eastAsia="zh-CN"/>
        </w:rPr>
        <w:br w:type="textWrapping"/>
      </w:r>
      <w:r>
        <w:drawing>
          <wp:inline distT="0" distB="0" distL="114300" distR="114300">
            <wp:extent cx="4772660" cy="4821555"/>
            <wp:effectExtent l="0" t="0" r="8890" b="17145"/>
            <wp:docPr id="1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6"/>
                    <pic:cNvPicPr>
                      <a:picLocks noChangeAspect="1"/>
                    </pic:cNvPicPr>
                  </pic:nvPicPr>
                  <pic:blipFill>
                    <a:blip r:embed="rId62"/>
                    <a:stretch>
                      <a:fillRect/>
                    </a:stretch>
                  </pic:blipFill>
                  <pic:spPr>
                    <a:xfrm>
                      <a:off x="0" y="0"/>
                      <a:ext cx="4772660" cy="4821555"/>
                    </a:xfrm>
                    <a:prstGeom prst="rect">
                      <a:avLst/>
                    </a:prstGeom>
                    <a:noFill/>
                    <a:ln>
                      <a:noFill/>
                    </a:ln>
                  </pic:spPr>
                </pic:pic>
              </a:graphicData>
            </a:graphic>
          </wp:inline>
        </w:drawing>
      </w:r>
    </w:p>
    <w:p w14:paraId="2725AA47">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4CB6690A">
      <w:pPr>
        <w:spacing w:after="60"/>
        <w:rPr>
          <w:rFonts w:hint="eastAsia" w:ascii="宋体" w:hAnsi="宋体" w:eastAsia="宋体" w:cs="宋体"/>
          <w:i w:val="0"/>
          <w:iCs w:val="0"/>
          <w:sz w:val="24"/>
          <w:szCs w:val="24"/>
        </w:rPr>
      </w:pPr>
    </w:p>
    <w:p w14:paraId="5FCDA8D7">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7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8761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标杆值（三线体系基准值）未配置：达标系数与差距率显示  -- ，返回，该实体不参与排名与平均分计算。</w:t>
            </w:r>
          </w:p>
          <w:p w14:paraId="444BBDB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对标对象层级不一致：跨层级混算被阻断，返回 E_VAL_BENCHMARK_SCOPE_MISMATCH，提示按同层级实体重新生成排名。</w:t>
            </w:r>
          </w:p>
          <w:p w14:paraId="1983494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引用的对标基准版本已过期：数值照常计算并标注版本时间戳，返回 E_VAL_BENCHMARK_VERSION_STALE（软提示升级最新基准）。</w:t>
            </w:r>
          </w:p>
        </w:tc>
      </w:tr>
    </w:tbl>
    <w:p w14:paraId="1C75D349">
      <w:pPr>
        <w:spacing w:after="40"/>
        <w:rPr>
          <w:rFonts w:hint="eastAsia" w:ascii="宋体" w:hAnsi="宋体" w:eastAsia="宋体" w:cs="宋体"/>
          <w:i w:val="0"/>
          <w:iCs w:val="0"/>
          <w:sz w:val="24"/>
          <w:szCs w:val="24"/>
        </w:rPr>
      </w:pPr>
    </w:p>
    <w:p w14:paraId="2F0AF7E6">
      <w:pPr>
        <w:pStyle w:val="6"/>
        <w:numPr>
          <w:ilvl w:val="0"/>
          <w:numId w:val="7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p w14:paraId="2B89DC62">
            <w:pPr>
              <w:spacing w:before="0" w:after="20" w:line="264" w:lineRule="auto"/>
              <w:rPr>
                <w:rFonts w:hint="eastAsia" w:ascii="宋体" w:hAnsi="宋体" w:eastAsia="宋体" w:cs="宋体"/>
                <w:i w:val="0"/>
                <w:iCs w:val="0"/>
                <w:sz w:val="24"/>
                <w:szCs w:val="24"/>
              </w:rPr>
            </w:pPr>
          </w:p>
          <w:p w14:paraId="2621F6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标杆值缺失时的降权与排除</w:t>
            </w:r>
          </w:p>
          <w:p w14:paraId="301313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某实体所属维度的标杆值尚未配置</w:t>
            </w:r>
          </w:p>
          <w:p w14:paraId="4FE9E2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1CCBDB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该实体达标系数与差距率显示为 "--" 并返回 E_VAL_BENCHMARK_VALUE_MISSING</w:t>
            </w:r>
          </w:p>
          <w:p w14:paraId="4834DD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该实体不计入排名序号与平均得分</w:t>
            </w:r>
          </w:p>
          <w:p w14:paraId="12A8B890">
            <w:pPr>
              <w:spacing w:before="0" w:after="20" w:line="264" w:lineRule="auto"/>
              <w:rPr>
                <w:rFonts w:hint="eastAsia" w:ascii="宋体" w:hAnsi="宋体" w:eastAsia="宋体" w:cs="宋体"/>
                <w:i w:val="0"/>
                <w:iCs w:val="0"/>
                <w:sz w:val="24"/>
                <w:szCs w:val="24"/>
              </w:rPr>
            </w:pPr>
          </w:p>
          <w:p w14:paraId="7D3F71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跨层级混算被阻断</w:t>
            </w:r>
          </w:p>
          <w:p w14:paraId="242CB0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对标维度中同时选中集团级实体与工厂级实体</w:t>
            </w:r>
          </w:p>
          <w:p w14:paraId="532E72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用户尝试生成同一张榜单</w:t>
            </w:r>
          </w:p>
          <w:p w14:paraId="60ED7A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系统阻断并返回 E_VAL_BENCHMARK_SCOPE_MISMATCH</w:t>
            </w:r>
          </w:p>
          <w:p w14:paraId="7A6430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页面提示按同层级实体重新生成排名</w:t>
            </w:r>
          </w:p>
        </w:tc>
      </w:tr>
    </w:tbl>
    <w:p w14:paraId="2C9987CC">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7" w:name="_Toc21358"/>
      <w:r>
        <w:rPr>
          <w:rFonts w:ascii="Times New Roman" w:hAnsi="Times New Roman" w:eastAsia="黑体" w:cs="Times New Roman"/>
          <w:b w:val="0"/>
          <w:bCs w:val="0"/>
          <w:sz w:val="30"/>
          <w:szCs w:val="32"/>
        </w:rPr>
        <w:t>零碳项目评估</w:t>
      </w:r>
      <w:bookmarkEnd w:id="27"/>
    </w:p>
    <w:p w14:paraId="23F1C6EE">
      <w:pPr>
        <w:pStyle w:val="5"/>
        <w:numPr>
          <w:ilvl w:val="0"/>
          <w:numId w:val="84"/>
        </w:numPr>
        <w:ind w:left="0" w:leftChars="0" w:firstLine="0" w:firstLineChars="0"/>
        <w:outlineLvl w:val="1"/>
        <w:rPr>
          <w:rFonts w:eastAsia="黑体"/>
          <w:b w:val="0"/>
          <w:bCs w:val="0"/>
          <w:sz w:val="30"/>
          <w:szCs w:val="24"/>
        </w:rPr>
      </w:pPr>
      <w:bookmarkStart w:id="28" w:name="_Toc32195"/>
      <w:r>
        <w:rPr>
          <w:rFonts w:ascii="Times New Roman" w:hAnsi="Times New Roman" w:eastAsia="黑体" w:cs="Times New Roman"/>
          <w:b w:val="0"/>
          <w:bCs w:val="0"/>
          <w:sz w:val="30"/>
          <w:szCs w:val="24"/>
        </w:rPr>
        <w:t>项目档案管理</w:t>
      </w:r>
      <w:bookmarkEnd w:id="28"/>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3"/>
                    <a:stretch>
                      <a:fillRect/>
                    </a:stretch>
                  </pic:blipFill>
                  <pic:spPr>
                    <a:xfrm>
                      <a:off x="0" y="0"/>
                      <a:ext cx="5900420" cy="2925445"/>
                    </a:xfrm>
                    <a:prstGeom prst="rect">
                      <a:avLst/>
                    </a:prstGeom>
                    <a:noFill/>
                    <a:ln>
                      <a:noFill/>
                    </a:ln>
                  </pic:spPr>
                </pic:pic>
              </a:graphicData>
            </a:graphic>
          </wp:inline>
        </w:drawing>
      </w:r>
    </w:p>
    <w:p w14:paraId="33396B7F">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1D465D59">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C049352">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添加档案管理：</w:t>
      </w:r>
      <w:r>
        <w:rPr>
          <w:rFonts w:hint="eastAsia" w:cs="Times New Roman"/>
          <w:i w:val="0"/>
          <w:color w:val="1F2937"/>
          <w:sz w:val="24"/>
          <w:szCs w:val="24"/>
          <w:lang w:val="en-US" w:eastAsia="zh-CN"/>
        </w:rPr>
        <w:br w:type="textWrapping"/>
      </w:r>
      <w:r>
        <w:drawing>
          <wp:inline distT="0" distB="0" distL="114300" distR="114300">
            <wp:extent cx="5911215" cy="4638040"/>
            <wp:effectExtent l="0" t="0" r="13335" b="10160"/>
            <wp:docPr id="1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7"/>
                    <pic:cNvPicPr>
                      <a:picLocks noChangeAspect="1"/>
                    </pic:cNvPicPr>
                  </pic:nvPicPr>
                  <pic:blipFill>
                    <a:blip r:embed="rId64"/>
                    <a:stretch>
                      <a:fillRect/>
                    </a:stretch>
                  </pic:blipFill>
                  <pic:spPr>
                    <a:xfrm>
                      <a:off x="0" y="0"/>
                      <a:ext cx="5911215" cy="4638040"/>
                    </a:xfrm>
                    <a:prstGeom prst="rect">
                      <a:avLst/>
                    </a:prstGeom>
                    <a:noFill/>
                    <a:ln>
                      <a:noFill/>
                    </a:ln>
                  </pic:spPr>
                </pic:pic>
              </a:graphicData>
            </a:graphic>
          </wp:inline>
        </w:drawing>
      </w:r>
    </w:p>
    <w:p w14:paraId="03FE7B55">
      <w:pPr>
        <w:pStyle w:val="19"/>
        <w:widowControl/>
        <w:numPr>
          <w:ilvl w:val="0"/>
          <w:numId w:val="0"/>
        </w:numPr>
        <w:adjustRightInd w:val="0"/>
        <w:spacing w:before="100" w:after="100" w:afterLines="0" w:afterAutospacing="0" w:line="300" w:lineRule="auto"/>
        <w:jc w:val="both"/>
        <w:rPr>
          <w:rFonts w:hint="default"/>
          <w:lang w:val="en-US" w:eastAsia="zh-CN"/>
        </w:rPr>
      </w:pPr>
    </w:p>
    <w:p w14:paraId="550E1E5D">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A7E7F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b w:val="0"/>
          <w:bCs/>
          <w:i w:val="0"/>
          <w:color w:val="auto"/>
          <w:sz w:val="24"/>
          <w:szCs w:val="24"/>
        </w:rPr>
        <w:t>四态（储备 / 在建 / 已投运 / 已验收）互斥，同一项目任一时刻仅有一个状态；状态流转须留痕（操作人、时间、变更前后状态），禁止跨状态跳跃变更。</w:t>
      </w:r>
    </w:p>
    <w:p w14:paraId="475F84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b w:val="0"/>
          <w:bCs/>
          <w:i w:val="0"/>
          <w:color w:val="auto"/>
          <w:sz w:val="24"/>
          <w:szCs w:val="24"/>
        </w:rPr>
        <w:t>设计节能量为立项承诺值，实际节能量以项目运行评估结论为准，二者分列不混用、不相加；页面展示时须以列名明确区分"设计节能量"与"实际节能量"。</w:t>
      </w:r>
    </w:p>
    <w:p w14:paraId="6A68D6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b w:val="0"/>
          <w:bCs/>
          <w:i w:val="0"/>
          <w:color w:val="auto"/>
          <w:sz w:val="24"/>
          <w:szCs w:val="24"/>
        </w:rPr>
        <w:t>投资额区间为闭区间筛选（含端点）；时间筛选按项目立项日期而非投运日期；多类条件之间为「与」关系，同类条件之间为「或」关系。</w:t>
      </w:r>
    </w:p>
    <w:p w14:paraId="3DA6BC7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金额口径：</w:t>
      </w:r>
      <w:r>
        <w:rPr>
          <w:rFonts w:ascii="Times New Roman" w:hAnsi="Times New Roman" w:eastAsia="宋体" w:cs="Times New Roman"/>
          <w:b w:val="0"/>
          <w:bCs/>
          <w:i w:val="0"/>
          <w:color w:val="auto"/>
          <w:sz w:val="24"/>
          <w:szCs w:val="24"/>
        </w:rPr>
        <w:t>投资额统一以万元（人民币）为展示单位并保留 2 位小数；外币项目按立项当期央行中间价折算并标注汇率与时点，后续不做汇兑重估。</w:t>
      </w:r>
    </w:p>
    <w:p w14:paraId="7A55159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统计口径：</w:t>
      </w:r>
      <w:r>
        <w:rPr>
          <w:rFonts w:ascii="Times New Roman" w:hAnsi="Times New Roman" w:eastAsia="宋体" w:cs="Times New Roman"/>
          <w:b w:val="0"/>
          <w:bCs/>
          <w:i w:val="0"/>
          <w:color w:val="auto"/>
          <w:sz w:val="24"/>
          <w:szCs w:val="24"/>
        </w:rPr>
        <w:t>顶部汇总卡片（项目数、总投资额、设计总节能量）基于当前筛选结果实时计算，未施加筛选时为全量；被停用或作废的项目不计入任何汇总。</w:t>
      </w:r>
    </w:p>
    <w:p w14:paraId="2C7A27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缺失口径：</w:t>
      </w:r>
      <w:r>
        <w:rPr>
          <w:rFonts w:ascii="Times New Roman" w:hAnsi="Times New Roman" w:eastAsia="宋体" w:cs="Times New Roman"/>
          <w:b w:val="0"/>
          <w:bCs/>
          <w:i w:val="0"/>
          <w:color w:val="auto"/>
          <w:sz w:val="24"/>
          <w:szCs w:val="24"/>
        </w:rPr>
        <w:t>未填写投资额或节能量的项目在明细表中留空并标注"待补充"，不以 0 代替参与汇总，避免拉低均值造成口径失真。</w:t>
      </w:r>
    </w:p>
    <w:p w14:paraId="0A099502">
      <w:pPr>
        <w:pStyle w:val="6"/>
        <w:numPr>
          <w:ilvl w:val="0"/>
          <w:numId w:val="8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8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84"/>
        </w:numPr>
        <w:ind w:left="0" w:leftChars="0" w:firstLine="0" w:firstLineChars="0"/>
        <w:outlineLvl w:val="1"/>
        <w:rPr>
          <w:rFonts w:eastAsia="黑体"/>
          <w:b w:val="0"/>
          <w:bCs w:val="0"/>
          <w:sz w:val="30"/>
          <w:szCs w:val="24"/>
        </w:rPr>
      </w:pPr>
      <w:bookmarkStart w:id="29" w:name="_Toc12612"/>
      <w:r>
        <w:rPr>
          <w:rFonts w:ascii="Times New Roman" w:hAnsi="Times New Roman" w:eastAsia="黑体" w:cs="Times New Roman"/>
          <w:b w:val="0"/>
          <w:bCs w:val="0"/>
          <w:sz w:val="30"/>
          <w:szCs w:val="24"/>
        </w:rPr>
        <w:t>实时监控</w:t>
      </w:r>
      <w:bookmarkEnd w:id="29"/>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65"/>
                    <a:stretch>
                      <a:fillRect/>
                    </a:stretch>
                  </pic:blipFill>
                  <pic:spPr>
                    <a:xfrm>
                      <a:off x="0" y="0"/>
                      <a:ext cx="5900420" cy="2925445"/>
                    </a:xfrm>
                    <a:prstGeom prst="rect">
                      <a:avLst/>
                    </a:prstGeom>
                    <a:noFill/>
                    <a:ln>
                      <a:noFill/>
                    </a:ln>
                  </pic:spPr>
                </pic:pic>
              </a:graphicData>
            </a:graphic>
          </wp:inline>
        </w:drawing>
      </w:r>
    </w:p>
    <w:p w14:paraId="1007803F">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541AE5EE">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光伏：</w:t>
      </w:r>
      <w:r>
        <w:rPr>
          <w:rFonts w:hint="eastAsia" w:cs="Times New Roman"/>
          <w:i w:val="0"/>
          <w:color w:val="1F2937"/>
          <w:sz w:val="24"/>
          <w:szCs w:val="24"/>
          <w:lang w:val="en-US" w:eastAsia="zh-CN"/>
        </w:rPr>
        <w:br w:type="textWrapping"/>
      </w:r>
      <w:r>
        <w:drawing>
          <wp:inline distT="0" distB="0" distL="114300" distR="114300">
            <wp:extent cx="5904865" cy="3836670"/>
            <wp:effectExtent l="0" t="0" r="635" b="11430"/>
            <wp:docPr id="1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8"/>
                    <pic:cNvPicPr>
                      <a:picLocks noChangeAspect="1"/>
                    </pic:cNvPicPr>
                  </pic:nvPicPr>
                  <pic:blipFill>
                    <a:blip r:embed="rId66"/>
                    <a:stretch>
                      <a:fillRect/>
                    </a:stretch>
                  </pic:blipFill>
                  <pic:spPr>
                    <a:xfrm>
                      <a:off x="0" y="0"/>
                      <a:ext cx="5904865" cy="3836670"/>
                    </a:xfrm>
                    <a:prstGeom prst="rect">
                      <a:avLst/>
                    </a:prstGeom>
                    <a:noFill/>
                    <a:ln>
                      <a:noFill/>
                    </a:ln>
                  </pic:spPr>
                </pic:pic>
              </a:graphicData>
            </a:graphic>
          </wp:inline>
        </w:drawing>
      </w:r>
    </w:p>
    <w:p w14:paraId="59C7CAD6">
      <w:pPr>
        <w:pStyle w:val="19"/>
        <w:widowControl/>
        <w:numPr>
          <w:ilvl w:val="0"/>
          <w:numId w:val="0"/>
        </w:numPr>
        <w:adjustRightInd w:val="0"/>
        <w:spacing w:before="100" w:after="100" w:afterLines="0" w:afterAutospacing="0" w:line="300" w:lineRule="auto"/>
        <w:jc w:val="both"/>
      </w:pPr>
    </w:p>
    <w:p w14:paraId="576CFD3B">
      <w:pPr>
        <w:pStyle w:val="19"/>
        <w:widowControl/>
        <w:numPr>
          <w:ilvl w:val="0"/>
          <w:numId w:val="0"/>
        </w:numPr>
        <w:adjustRightInd w:val="0"/>
        <w:spacing w:before="100" w:after="100" w:afterLines="0" w:afterAutospacing="0" w:line="300" w:lineRule="auto"/>
        <w:jc w:val="both"/>
      </w:pPr>
      <w:r>
        <w:rPr>
          <w:rFonts w:hint="eastAsia"/>
          <w:lang w:val="en-US" w:eastAsia="zh-CN"/>
        </w:rPr>
        <w:t>储能：</w:t>
      </w:r>
      <w:r>
        <w:rPr>
          <w:rFonts w:hint="eastAsia"/>
          <w:lang w:val="en-US" w:eastAsia="zh-CN"/>
        </w:rPr>
        <w:br w:type="textWrapping"/>
      </w:r>
      <w:r>
        <w:drawing>
          <wp:inline distT="0" distB="0" distL="114300" distR="114300">
            <wp:extent cx="5913755" cy="3926205"/>
            <wp:effectExtent l="0" t="0" r="10795" b="17145"/>
            <wp:docPr id="13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9"/>
                    <pic:cNvPicPr>
                      <a:picLocks noChangeAspect="1"/>
                    </pic:cNvPicPr>
                  </pic:nvPicPr>
                  <pic:blipFill>
                    <a:blip r:embed="rId67"/>
                    <a:stretch>
                      <a:fillRect/>
                    </a:stretch>
                  </pic:blipFill>
                  <pic:spPr>
                    <a:xfrm>
                      <a:off x="0" y="0"/>
                      <a:ext cx="5913755" cy="3926205"/>
                    </a:xfrm>
                    <a:prstGeom prst="rect">
                      <a:avLst/>
                    </a:prstGeom>
                    <a:noFill/>
                    <a:ln>
                      <a:noFill/>
                    </a:ln>
                  </pic:spPr>
                </pic:pic>
              </a:graphicData>
            </a:graphic>
          </wp:inline>
        </w:drawing>
      </w:r>
    </w:p>
    <w:p w14:paraId="4B783382">
      <w:pPr>
        <w:pStyle w:val="19"/>
        <w:widowControl/>
        <w:numPr>
          <w:ilvl w:val="0"/>
          <w:numId w:val="0"/>
        </w:numPr>
        <w:adjustRightInd w:val="0"/>
        <w:spacing w:before="100" w:after="100" w:afterLines="0" w:afterAutospacing="0" w:line="300" w:lineRule="auto"/>
        <w:jc w:val="both"/>
      </w:pPr>
    </w:p>
    <w:p w14:paraId="5C79657D">
      <w:pPr>
        <w:pStyle w:val="19"/>
        <w:widowControl/>
        <w:numPr>
          <w:ilvl w:val="0"/>
          <w:numId w:val="0"/>
        </w:numPr>
        <w:adjustRightInd w:val="0"/>
        <w:spacing w:before="100" w:after="100" w:afterLines="0" w:afterAutospacing="0" w:line="300" w:lineRule="auto"/>
        <w:jc w:val="both"/>
      </w:pPr>
      <w:r>
        <w:rPr>
          <w:rFonts w:hint="eastAsia"/>
          <w:lang w:val="en-US" w:eastAsia="zh-CN"/>
        </w:rPr>
        <w:t>热泵：</w:t>
      </w:r>
      <w:r>
        <w:rPr>
          <w:rFonts w:hint="eastAsia"/>
          <w:lang w:val="en-US" w:eastAsia="zh-CN"/>
        </w:rPr>
        <w:br w:type="textWrapping"/>
      </w:r>
      <w:r>
        <w:drawing>
          <wp:inline distT="0" distB="0" distL="114300" distR="114300">
            <wp:extent cx="5909310" cy="3850005"/>
            <wp:effectExtent l="0" t="0" r="15240" b="17145"/>
            <wp:docPr id="1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0"/>
                    <pic:cNvPicPr>
                      <a:picLocks noChangeAspect="1"/>
                    </pic:cNvPicPr>
                  </pic:nvPicPr>
                  <pic:blipFill>
                    <a:blip r:embed="rId68"/>
                    <a:stretch>
                      <a:fillRect/>
                    </a:stretch>
                  </pic:blipFill>
                  <pic:spPr>
                    <a:xfrm>
                      <a:off x="0" y="0"/>
                      <a:ext cx="5909310" cy="3850005"/>
                    </a:xfrm>
                    <a:prstGeom prst="rect">
                      <a:avLst/>
                    </a:prstGeom>
                    <a:noFill/>
                    <a:ln>
                      <a:noFill/>
                    </a:ln>
                  </pic:spPr>
                </pic:pic>
              </a:graphicData>
            </a:graphic>
          </wp:inline>
        </w:drawing>
      </w:r>
    </w:p>
    <w:p w14:paraId="22294CC3">
      <w:pPr>
        <w:pStyle w:val="19"/>
        <w:widowControl/>
        <w:numPr>
          <w:ilvl w:val="0"/>
          <w:numId w:val="0"/>
        </w:numPr>
        <w:adjustRightInd w:val="0"/>
        <w:spacing w:before="100" w:after="100" w:afterLines="0" w:afterAutospacing="0" w:line="300" w:lineRule="auto"/>
        <w:jc w:val="both"/>
      </w:pPr>
    </w:p>
    <w:p w14:paraId="06551AD5">
      <w:pPr>
        <w:pStyle w:val="19"/>
        <w:widowControl/>
        <w:numPr>
          <w:ilvl w:val="0"/>
          <w:numId w:val="0"/>
        </w:numPr>
        <w:adjustRightInd w:val="0"/>
        <w:spacing w:before="100" w:after="100" w:afterLines="0" w:afterAutospacing="0" w:line="300" w:lineRule="auto"/>
        <w:jc w:val="both"/>
        <w:rPr>
          <w:rFonts w:hint="eastAsia" w:eastAsia="宋体"/>
          <w:lang w:val="en-US" w:eastAsia="zh-CN"/>
        </w:rPr>
      </w:pPr>
      <w:r>
        <w:rPr>
          <w:rFonts w:hint="eastAsia"/>
          <w:lang w:val="en-US" w:eastAsia="zh-CN"/>
        </w:rPr>
        <w:t>空调：</w:t>
      </w:r>
      <w:r>
        <w:rPr>
          <w:rFonts w:hint="eastAsia"/>
          <w:lang w:val="en-US" w:eastAsia="zh-CN"/>
        </w:rPr>
        <w:br w:type="textWrapping"/>
      </w:r>
      <w:r>
        <w:drawing>
          <wp:inline distT="0" distB="0" distL="114300" distR="114300">
            <wp:extent cx="5913755" cy="3881120"/>
            <wp:effectExtent l="0" t="0" r="10795" b="5080"/>
            <wp:docPr id="1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1"/>
                    <pic:cNvPicPr>
                      <a:picLocks noChangeAspect="1"/>
                    </pic:cNvPicPr>
                  </pic:nvPicPr>
                  <pic:blipFill>
                    <a:blip r:embed="rId69"/>
                    <a:stretch>
                      <a:fillRect/>
                    </a:stretch>
                  </pic:blipFill>
                  <pic:spPr>
                    <a:xfrm>
                      <a:off x="0" y="0"/>
                      <a:ext cx="5913755" cy="3881120"/>
                    </a:xfrm>
                    <a:prstGeom prst="rect">
                      <a:avLst/>
                    </a:prstGeom>
                    <a:noFill/>
                    <a:ln>
                      <a:noFill/>
                    </a:ln>
                  </pic:spPr>
                </pic:pic>
              </a:graphicData>
            </a:graphic>
          </wp:inline>
        </w:drawing>
      </w:r>
    </w:p>
    <w:p w14:paraId="05D3EBC0">
      <w:pPr>
        <w:pStyle w:val="19"/>
        <w:widowControl/>
        <w:numPr>
          <w:ilvl w:val="0"/>
          <w:numId w:val="0"/>
        </w:numPr>
        <w:adjustRightInd w:val="0"/>
        <w:spacing w:before="100" w:after="100" w:afterLines="0" w:afterAutospacing="0" w:line="300" w:lineRule="auto"/>
        <w:jc w:val="both"/>
        <w:rPr>
          <w:rFonts w:hint="default"/>
          <w:lang w:val="en-US" w:eastAsia="zh-CN"/>
        </w:rPr>
      </w:pPr>
    </w:p>
    <w:p w14:paraId="53374346">
      <w:pPr>
        <w:pStyle w:val="19"/>
        <w:widowControl/>
        <w:numPr>
          <w:ilvl w:val="0"/>
          <w:numId w:val="0"/>
        </w:numPr>
        <w:adjustRightInd w:val="0"/>
        <w:spacing w:before="100" w:after="100" w:afterLines="0" w:afterAutospacing="0" w:line="300" w:lineRule="auto"/>
        <w:jc w:val="both"/>
        <w:rPr>
          <w:rFonts w:hint="default"/>
          <w:lang w:val="en-US" w:eastAsia="zh-CN"/>
        </w:rPr>
      </w:pPr>
    </w:p>
    <w:p w14:paraId="33476929">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185A10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对比口径：实测功率必须与设计功率基线同图对比，偏差以百分比呈现（偏差 ＝（实测 − 设计）÷ 设计 × 100%）；两条曲线使用同一纵轴量纲，不启用双 Y 轴。</w:t>
      </w:r>
    </w:p>
    <w:p w14:paraId="156BFEA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采样口径：实时监控采样周期固定 5 分钟；秒级刷新仅用于设备关键点位（温度、压力、开关状态），不用于功率与发电量的趋势渲染。</w:t>
      </w:r>
    </w:p>
    <w:p w14:paraId="23B5E6D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节能口径：当日累计节能电量为实测值，实测功率低于设计基线的时段按 0 计而不计负值（防止"负节能"污染累计值）；夜间无出力时段不参与节能时长统计。</w:t>
      </w:r>
    </w:p>
    <w:p w14:paraId="42D275A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时序口径：时间轴固定展示当日 00:00 ~ 24:00，跨日不拼接；历史日期查询走日结库，与实时通道口径一致，允许不超过 0.5% 的采样容差。</w:t>
      </w:r>
    </w:p>
    <w:p w14:paraId="196975B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状态口径：项目状态分为「运行中 / 离线 / 待投运」，仅「运行中」项目参与实时曲线与告警；离线项目保留末次有效读数并加"数据延迟"徽标，待投运项目不出现在选择器中。</w:t>
      </w:r>
    </w:p>
    <w:p w14:paraId="4DCF575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基准口径：设计功率基线取自项目设计文件的承诺功率；基线缺失或为 0 时偏差显示  -- ，严禁以 0 代替偏差参与任何计算。</w:t>
      </w:r>
    </w:p>
    <w:p w14:paraId="68AC47B6">
      <w:pPr>
        <w:pStyle w:val="6"/>
        <w:numPr>
          <w:ilvl w:val="0"/>
          <w:numId w:val="8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p w14:paraId="518F3C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项目未绑定监测点位：该项目不出现在监控选择器中，返回 E_VAL_PRJ_MONITOR_POINT_UNBOUND（无解释性文案）。</w:t>
            </w:r>
          </w:p>
          <w:p w14:paraId="460926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项目现场设备离线：卡片保留末次有效读数并显示"设备离线"徽标，返回 E_IO_PRJ_DEVICE_OFFLINE（不阻断其他项目渲染）。</w:t>
            </w:r>
          </w:p>
          <w:p w14:paraId="7358EA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设计功率基线为 0 或缺失：偏差显示  -- ，返回 E_VAL_PRJ_BASELINE_MISSING（严禁以 0 代替偏差值）。</w:t>
            </w:r>
          </w:p>
        </w:tc>
      </w:tr>
    </w:tbl>
    <w:p w14:paraId="20E5DAFB">
      <w:pPr>
        <w:spacing w:after="40"/>
        <w:rPr>
          <w:rFonts w:hint="eastAsia" w:ascii="宋体" w:hAnsi="宋体" w:eastAsia="宋体" w:cs="宋体"/>
          <w:i w:val="0"/>
          <w:iCs w:val="0"/>
          <w:sz w:val="24"/>
          <w:szCs w:val="24"/>
        </w:rPr>
      </w:pPr>
    </w:p>
    <w:p w14:paraId="135EB583">
      <w:pPr>
        <w:pStyle w:val="6"/>
        <w:numPr>
          <w:ilvl w:val="0"/>
          <w:numId w:val="8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p w14:paraId="6D1C5EC0">
            <w:pPr>
              <w:spacing w:before="0" w:after="20" w:line="264" w:lineRule="auto"/>
              <w:rPr>
                <w:rFonts w:hint="eastAsia" w:ascii="宋体" w:hAnsi="宋体" w:eastAsia="宋体" w:cs="宋体"/>
                <w:i w:val="0"/>
                <w:iCs w:val="0"/>
                <w:sz w:val="24"/>
                <w:szCs w:val="24"/>
              </w:rPr>
            </w:pPr>
          </w:p>
          <w:p w14:paraId="49D7CA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项目离线时的降级渲染</w:t>
            </w:r>
          </w:p>
          <w:p w14:paraId="7846526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某分布式光伏项目现场采集设备离线，且该项目已配置设计功率基线</w:t>
            </w:r>
          </w:p>
          <w:p w14:paraId="52F5D1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分钟采样周期完成一次刷新</w:t>
            </w:r>
          </w:p>
          <w:p w14:paraId="4BDE77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该项目卡片显示"设备离线"徽标并保留末次有效读数</w:t>
            </w:r>
          </w:p>
          <w:p w14:paraId="4C39EE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E_IO_PRJ_DEVICE_OFFLINE</w:t>
            </w:r>
          </w:p>
          <w:p w14:paraId="615D1A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其余项目卡片正常渲染且页面不中断</w:t>
            </w:r>
          </w:p>
          <w:p w14:paraId="33D53EC2">
            <w:pPr>
              <w:spacing w:before="0" w:after="20" w:line="264" w:lineRule="auto"/>
              <w:rPr>
                <w:rFonts w:hint="eastAsia" w:ascii="宋体" w:hAnsi="宋体" w:eastAsia="宋体" w:cs="宋体"/>
                <w:i w:val="0"/>
                <w:iCs w:val="0"/>
                <w:sz w:val="24"/>
                <w:szCs w:val="24"/>
              </w:rPr>
            </w:pPr>
          </w:p>
          <w:p w14:paraId="26FD4D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设计基线缺失时的偏差兜底</w:t>
            </w:r>
          </w:p>
          <w:p w14:paraId="655354B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某项目设计功率基线为 0 且页面正在渲染实时曲线</w:t>
            </w:r>
          </w:p>
          <w:p w14:paraId="5050C8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系统计算实测功率与设计基线的偏差</w:t>
            </w:r>
          </w:p>
          <w:p w14:paraId="5FE767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偏差显示为 "--" 并返回 E_VAL_PRJ_BASELINE_MISSING</w:t>
            </w:r>
          </w:p>
          <w:p w14:paraId="32FF7C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实测功率曲线仍正常绘制</w:t>
            </w:r>
          </w:p>
        </w:tc>
      </w:tr>
    </w:tbl>
    <w:p w14:paraId="113DDEF2">
      <w:pPr>
        <w:pStyle w:val="5"/>
        <w:numPr>
          <w:ilvl w:val="0"/>
          <w:numId w:val="84"/>
        </w:numPr>
        <w:ind w:left="0" w:leftChars="0" w:firstLine="0" w:firstLineChars="0"/>
        <w:outlineLvl w:val="1"/>
        <w:rPr>
          <w:rFonts w:eastAsia="黑体"/>
          <w:b w:val="0"/>
          <w:bCs w:val="0"/>
          <w:sz w:val="30"/>
          <w:szCs w:val="24"/>
        </w:rPr>
      </w:pPr>
      <w:bookmarkStart w:id="30" w:name="_Toc23217"/>
      <w:r>
        <w:rPr>
          <w:rFonts w:ascii="Times New Roman" w:hAnsi="Times New Roman" w:eastAsia="黑体" w:cs="Times New Roman"/>
          <w:b w:val="0"/>
          <w:bCs w:val="0"/>
          <w:sz w:val="30"/>
          <w:szCs w:val="24"/>
        </w:rPr>
        <w:t>项目运行评估</w:t>
      </w:r>
      <w:bookmarkEnd w:id="30"/>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70"/>
                    <a:stretch>
                      <a:fillRect/>
                    </a:stretch>
                  </pic:blipFill>
                  <pic:spPr>
                    <a:xfrm>
                      <a:off x="0" y="0"/>
                      <a:ext cx="5900420" cy="2925445"/>
                    </a:xfrm>
                    <a:prstGeom prst="rect">
                      <a:avLst/>
                    </a:prstGeom>
                    <a:noFill/>
                    <a:ln>
                      <a:noFill/>
                    </a:ln>
                  </pic:spPr>
                </pic:pic>
              </a:graphicData>
            </a:graphic>
          </wp:inline>
        </w:drawing>
      </w:r>
    </w:p>
    <w:p w14:paraId="08ED313A">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9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技改项目经理，</w:t>
      </w:r>
    </w:p>
    <w:p w14:paraId="2A0A14BE">
      <w:pPr>
        <w:pStyle w:val="19"/>
        <w:widowControl/>
        <w:numPr>
          <w:ilvl w:val="0"/>
          <w:numId w:val="9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 M&amp;V 四要素测算节能量与考虑贴现率的动态投资回收期，</w:t>
      </w:r>
    </w:p>
    <w:p w14:paraId="67AA17F4">
      <w:pPr>
        <w:pStyle w:val="19"/>
        <w:widowControl/>
        <w:numPr>
          <w:ilvl w:val="0"/>
          <w:numId w:val="9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我能客观证明技改投资效益并支撑下一年度技改立项。</w:t>
      </w:r>
    </w:p>
    <w:p w14:paraId="4FADF90F">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9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84"/>
        </w:numPr>
        <w:ind w:left="0" w:leftChars="0" w:firstLine="0" w:firstLineChars="0"/>
        <w:outlineLvl w:val="1"/>
        <w:rPr>
          <w:rFonts w:eastAsia="黑体"/>
          <w:b w:val="0"/>
          <w:bCs w:val="0"/>
          <w:sz w:val="30"/>
          <w:szCs w:val="24"/>
        </w:rPr>
      </w:pPr>
      <w:bookmarkStart w:id="31" w:name="_Toc16460"/>
      <w:r>
        <w:rPr>
          <w:rFonts w:ascii="Times New Roman" w:hAnsi="Times New Roman" w:eastAsia="黑体" w:cs="Times New Roman"/>
          <w:b w:val="0"/>
          <w:bCs w:val="0"/>
          <w:sz w:val="30"/>
          <w:szCs w:val="24"/>
        </w:rPr>
        <w:t>零碳工厂自评估</w:t>
      </w:r>
      <w:bookmarkEnd w:id="31"/>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71"/>
                    <a:stretch>
                      <a:fillRect/>
                    </a:stretch>
                  </pic:blipFill>
                  <pic:spPr>
                    <a:xfrm>
                      <a:off x="0" y="0"/>
                      <a:ext cx="5900420" cy="2925445"/>
                    </a:xfrm>
                    <a:prstGeom prst="rect">
                      <a:avLst/>
                    </a:prstGeom>
                    <a:noFill/>
                    <a:ln>
                      <a:noFill/>
                    </a:ln>
                  </pic:spPr>
                </pic:pic>
              </a:graphicData>
            </a:graphic>
          </wp:inline>
        </w:drawing>
      </w:r>
    </w:p>
    <w:p w14:paraId="70707075">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0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P2 园区能碳专员，</w:t>
      </w:r>
    </w:p>
    <w:p w14:paraId="1EB0FD31">
      <w:pPr>
        <w:pStyle w:val="19"/>
        <w:widowControl/>
        <w:numPr>
          <w:ilvl w:val="0"/>
          <w:numId w:val="10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 6 大维度 100 分细化考核表上传佐证材料并由系统自动计分评级，</w:t>
      </w:r>
    </w:p>
    <w:p w14:paraId="438A11D3">
      <w:pPr>
        <w:pStyle w:val="19"/>
        <w:widowControl/>
        <w:numPr>
          <w:ilvl w:val="0"/>
          <w:numId w:val="10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我能清晰掌握本园区零碳建设短板并针对性整改。</w:t>
      </w:r>
    </w:p>
    <w:p w14:paraId="7BCF3324">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9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且不可提交评估，页面明确列出缺失材料清单，返回 E_VAL_EVAL_MATERIAL_MISSING。</w:t>
            </w:r>
          </w:p>
          <w:p w14:paraId="3FE8D4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自评得分超出标准分值：前端即时拦截并阻断保存，返回 E_VAL_EVAL_SCORE_OUT_OF_RANGE，高亮越界的维度得分项。</w:t>
            </w:r>
          </w:p>
          <w:p w14:paraId="6B062B6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已认定年度的评估结果：只读锁定，修改须走特批变更流程，返回 E_SYS_EVAL_ARCHIVED_LOCKED，变更记录全量留痕。</w:t>
            </w:r>
          </w:p>
          <w:p w14:paraId="4BAE95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二级公司未复核：集团审批按钮置灰，返回 E_SYS_EVAL_REVIEW_PREREQ，并提示须先完成二级公司复核。</w:t>
            </w:r>
          </w:p>
          <w:p w14:paraId="7C63F2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六维度得分合计超过 100 分：按维度权重配平自检，偏差超过 0.1% 时阻断提交并给出配平明细。</w:t>
            </w:r>
          </w:p>
          <w:p w14:paraId="3B815E3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评价标准版本失效：所引用的评价标准版本超出有效期时，阻断新评估发起并标注"标准待升级"，返回 E_VAL_FACTOR_EXPIRED；历史已认定结果保留原版本口径，不追溯重算。</w:t>
            </w:r>
          </w:p>
          <w:p w14:paraId="384835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佐证材料与维度不匹配（如将碳盘查报告挂到"能源管理"维度）：保存阻断并提示维度归属规则。</w:t>
            </w:r>
          </w:p>
          <w:p w14:paraId="22F3A31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越权审批：非集团审批人调用审批接口时返回 HTTP 403，触发 E_AUTH_RBAC_FORBIDDEN；审批范围超出自身数据范围时返回 E_AUTH_RLS_SCOPE_DENIED。</w:t>
            </w:r>
          </w:p>
        </w:tc>
      </w:tr>
    </w:tbl>
    <w:p w14:paraId="355B9F42">
      <w:pPr>
        <w:spacing w:after="40"/>
        <w:rPr>
          <w:rFonts w:hint="eastAsia" w:ascii="宋体" w:hAnsi="宋体" w:eastAsia="宋体" w:cs="宋体"/>
          <w:i w:val="0"/>
          <w:iCs w:val="0"/>
          <w:sz w:val="24"/>
          <w:szCs w:val="24"/>
        </w:rPr>
      </w:pPr>
    </w:p>
    <w:p w14:paraId="1DA0D055">
      <w:pPr>
        <w:pStyle w:val="6"/>
        <w:numPr>
          <w:ilvl w:val="0"/>
          <w:numId w:val="9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p w14:paraId="1C10BAAC">
            <w:pPr>
              <w:spacing w:before="0" w:after="20" w:line="264" w:lineRule="auto"/>
              <w:rPr>
                <w:rFonts w:hint="eastAsia" w:ascii="宋体" w:hAnsi="宋体" w:eastAsia="宋体" w:cs="宋体"/>
                <w:i w:val="0"/>
                <w:iCs w:val="0"/>
                <w:sz w:val="24"/>
                <w:szCs w:val="24"/>
              </w:rPr>
            </w:pPr>
          </w:p>
          <w:p w14:paraId="6EEDDE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佐证材料缺失的标准错误码</w:t>
            </w:r>
          </w:p>
          <w:p w14:paraId="1C84F2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7F9F63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30A742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系统阻断提交并返回 E_VAL_EVAL_MATERIAL_MISSING</w:t>
            </w:r>
          </w:p>
          <w:p w14:paraId="67F72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 且页面列出缺失材料清单</w:t>
            </w:r>
          </w:p>
          <w:p w14:paraId="4793ECB0">
            <w:pPr>
              <w:spacing w:before="0" w:after="20" w:line="264" w:lineRule="auto"/>
              <w:rPr>
                <w:rFonts w:hint="eastAsia" w:ascii="宋体" w:hAnsi="宋体" w:eastAsia="宋体" w:cs="宋体"/>
                <w:i w:val="0"/>
                <w:iCs w:val="0"/>
                <w:sz w:val="24"/>
                <w:szCs w:val="24"/>
              </w:rPr>
            </w:pPr>
          </w:p>
          <w:p w14:paraId="4531BA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已认定年度评估结果只读锁定</w:t>
            </w:r>
          </w:p>
          <w:p w14:paraId="2C68A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 2025 年度零碳工厂自评估已完成认定归档</w:t>
            </w:r>
          </w:p>
          <w:p w14:paraId="636A89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用户尝试修改该年度的评估得分</w:t>
            </w:r>
          </w:p>
          <w:p w14:paraId="6D6163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控件只读锁定并返回 E_SYS_EVAL_ARCHIVED_LOCKED</w:t>
            </w:r>
          </w:p>
          <w:p w14:paraId="2DA2B0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页面提示修改须走特批变更流程</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2" w:name="_Toc8392"/>
      <w:r>
        <w:rPr>
          <w:rFonts w:ascii="Times New Roman" w:hAnsi="Times New Roman" w:eastAsia="黑体" w:cs="Times New Roman"/>
          <w:b w:val="0"/>
          <w:bCs w:val="0"/>
          <w:sz w:val="30"/>
          <w:szCs w:val="32"/>
        </w:rPr>
        <w:t>统计报表</w:t>
      </w:r>
      <w:bookmarkEnd w:id="32"/>
    </w:p>
    <w:p w14:paraId="67D9D936">
      <w:pPr>
        <w:pStyle w:val="5"/>
        <w:numPr>
          <w:ilvl w:val="0"/>
          <w:numId w:val="102"/>
        </w:numPr>
        <w:ind w:left="0" w:leftChars="0" w:firstLine="0" w:firstLineChars="0"/>
        <w:outlineLvl w:val="1"/>
        <w:rPr>
          <w:rFonts w:eastAsia="黑体"/>
          <w:b w:val="0"/>
          <w:bCs w:val="0"/>
          <w:sz w:val="30"/>
          <w:szCs w:val="24"/>
        </w:rPr>
      </w:pPr>
      <w:bookmarkStart w:id="33" w:name="_Toc26268"/>
      <w:r>
        <w:rPr>
          <w:rFonts w:ascii="Times New Roman" w:hAnsi="Times New Roman" w:eastAsia="黑体" w:cs="Times New Roman"/>
          <w:b w:val="0"/>
          <w:bCs w:val="0"/>
          <w:sz w:val="30"/>
          <w:szCs w:val="24"/>
        </w:rPr>
        <w:t>用能报表</w:t>
      </w:r>
      <w:bookmarkEnd w:id="33"/>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72"/>
                    <a:stretch>
                      <a:fillRect/>
                    </a:stretch>
                  </pic:blipFill>
                  <pic:spPr>
                    <a:xfrm>
                      <a:off x="0" y="0"/>
                      <a:ext cx="5900420" cy="2925445"/>
                    </a:xfrm>
                    <a:prstGeom prst="rect">
                      <a:avLst/>
                    </a:prstGeom>
                    <a:noFill/>
                    <a:ln>
                      <a:noFill/>
                    </a:ln>
                  </pic:spPr>
                </pic:pic>
              </a:graphicData>
            </a:graphic>
          </wp:inline>
        </w:drawing>
      </w:r>
    </w:p>
    <w:p w14:paraId="39613AA7">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0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359BCD98">
      <w:pPr>
        <w:pStyle w:val="19"/>
        <w:widowControl/>
        <w:numPr>
          <w:ilvl w:val="0"/>
          <w:numId w:val="10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按组织 × 时间 × 介质三维交叉生成用能台账并带防伪水印导出 Excel/PDF，</w:t>
      </w:r>
    </w:p>
    <w:p w14:paraId="4BB3D4AA">
      <w:pPr>
        <w:pStyle w:val="19"/>
        <w:widowControl/>
        <w:numPr>
          <w:ilvl w:val="0"/>
          <w:numId w:val="105"/>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我能高效完成月度能源统计上报且报表具备防篡改权威性。</w:t>
      </w:r>
    </w:p>
    <w:p w14:paraId="4200C364">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0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0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0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02"/>
        </w:numPr>
        <w:ind w:left="0" w:leftChars="0" w:firstLine="0" w:firstLineChars="0"/>
        <w:outlineLvl w:val="1"/>
        <w:rPr>
          <w:rFonts w:eastAsia="黑体"/>
          <w:b w:val="0"/>
          <w:bCs w:val="0"/>
          <w:sz w:val="30"/>
          <w:szCs w:val="24"/>
        </w:rPr>
      </w:pPr>
      <w:bookmarkStart w:id="34" w:name="_Toc19893"/>
      <w:r>
        <w:rPr>
          <w:rFonts w:ascii="Times New Roman" w:hAnsi="Times New Roman" w:eastAsia="黑体" w:cs="Times New Roman"/>
          <w:b w:val="0"/>
          <w:bCs w:val="0"/>
          <w:sz w:val="30"/>
          <w:szCs w:val="24"/>
        </w:rPr>
        <w:t>成本报表</w:t>
      </w:r>
      <w:bookmarkEnd w:id="34"/>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73"/>
                    <a:stretch>
                      <a:fillRect/>
                    </a:stretch>
                  </pic:blipFill>
                  <pic:spPr>
                    <a:xfrm>
                      <a:off x="0" y="0"/>
                      <a:ext cx="5900420" cy="2925445"/>
                    </a:xfrm>
                    <a:prstGeom prst="rect">
                      <a:avLst/>
                    </a:prstGeom>
                    <a:noFill/>
                    <a:ln>
                      <a:noFill/>
                    </a:ln>
                  </pic:spPr>
                </pic:pic>
              </a:graphicData>
            </a:graphic>
          </wp:inline>
        </w:drawing>
      </w:r>
    </w:p>
    <w:p w14:paraId="51EBACF1">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1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园区财务兼能碳核算专员，</w:t>
      </w:r>
    </w:p>
    <w:p w14:paraId="101123D8">
      <w:pPr>
        <w:pStyle w:val="19"/>
        <w:widowControl/>
        <w:numPr>
          <w:ilvl w:val="0"/>
          <w:numId w:val="11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按电费构成与非电介质成本生成能源成本台账，单价自动取最新生效版本，</w:t>
      </w:r>
    </w:p>
    <w:p w14:paraId="2D2D7245">
      <w:pPr>
        <w:pStyle w:val="19"/>
        <w:widowControl/>
        <w:numPr>
          <w:ilvl w:val="0"/>
          <w:numId w:val="11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我能快速完成能源成本入账与财务对账，避免单价用错版本。</w:t>
      </w:r>
    </w:p>
    <w:p w14:paraId="09C9BC19">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0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当期能源价格未配置：报表禁止生成，提示"待配置当期能源价格"，返回 E_VAL_ENERGY_PRICE_MISSING。</w:t>
            </w:r>
          </w:p>
          <w:p w14:paraId="50A023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单价版本缺失：导出时阻断并标注缺失行（列名 + 缺失介质），返回 E_VAL_PRICE_VERSION_MISSING。</w:t>
            </w:r>
          </w:p>
          <w:p w14:paraId="62AD4EC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除零兜底：总用能实物量为 0 时综合度电单价显示  -- ，返回 E_CALC_UNIT_DIV_ZERO_SOFT，不抛技术错误码、不白屏。</w:t>
            </w:r>
          </w:p>
          <w:p w14:paraId="166E5D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已锁账月度：成本报表冻结，修改须走特批反冲，返回 E_SYS_ENTRY_ALREADY_LOCKED。</w:t>
            </w:r>
          </w:p>
          <w:p w14:paraId="214550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跨期价差调整：电网追溯性退补电费涉及已锁账月份时，在调整当期新增"电费跨期调整项"，历史报表数值保持不变，并按业务发生时间匹配当时生效价格版本，严禁以当前版本倒推历史。</w:t>
            </w:r>
          </w:p>
          <w:p w14:paraId="7DC93B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价格版本区间重叠或断档：同一工厂同一介质的生效周期与在效版本重叠时阻断启用，返回 E_SYS_PRICE_PERIOD_OVERLAP；区间出现断档时标注无价时段并禁止该时段计入成本合计。</w:t>
            </w:r>
          </w:p>
          <w:p w14:paraId="1A796E0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币种与精度口径：金额统一以万元（人民币）展示并保留 2 位小数；单价按介质法定计量单位展示（元/kWh、元/m³、元/GJ 等），不做二次换算。</w:t>
            </w:r>
          </w:p>
          <w:p w14:paraId="73C5B2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分项合计配平：各能源介质成本之和与综合成本总额偏差超过 0.1% 时标注"配平自检未通过"并阻断导出。</w:t>
            </w:r>
          </w:p>
        </w:tc>
      </w:tr>
    </w:tbl>
    <w:p w14:paraId="0BECEBDA">
      <w:pPr>
        <w:spacing w:after="40"/>
        <w:rPr>
          <w:rFonts w:hint="eastAsia" w:ascii="宋体" w:hAnsi="宋体" w:eastAsia="宋体" w:cs="宋体"/>
          <w:i w:val="0"/>
          <w:iCs w:val="0"/>
          <w:sz w:val="24"/>
          <w:szCs w:val="24"/>
        </w:rPr>
      </w:pPr>
    </w:p>
    <w:p w14:paraId="1AECB470">
      <w:pPr>
        <w:pStyle w:val="6"/>
        <w:numPr>
          <w:ilvl w:val="0"/>
          <w:numId w:val="10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02"/>
        </w:numPr>
        <w:ind w:left="0" w:leftChars="0" w:firstLine="0" w:firstLineChars="0"/>
        <w:outlineLvl w:val="1"/>
        <w:rPr>
          <w:rFonts w:eastAsia="黑体"/>
          <w:b w:val="0"/>
          <w:bCs w:val="0"/>
          <w:sz w:val="30"/>
          <w:szCs w:val="24"/>
        </w:rPr>
      </w:pPr>
      <w:bookmarkStart w:id="35" w:name="_Toc25436"/>
      <w:r>
        <w:rPr>
          <w:rFonts w:ascii="Times New Roman" w:hAnsi="Times New Roman" w:eastAsia="黑体" w:cs="Times New Roman"/>
          <w:b w:val="0"/>
          <w:bCs w:val="0"/>
          <w:sz w:val="30"/>
          <w:szCs w:val="24"/>
        </w:rPr>
        <w:t>单耗报表</w:t>
      </w:r>
      <w:bookmarkEnd w:id="35"/>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4"/>
                    <a:stretch>
                      <a:fillRect/>
                    </a:stretch>
                  </pic:blipFill>
                  <pic:spPr>
                    <a:xfrm>
                      <a:off x="0" y="0"/>
                      <a:ext cx="5900420" cy="2925445"/>
                    </a:xfrm>
                    <a:prstGeom prst="rect">
                      <a:avLst/>
                    </a:prstGeom>
                    <a:noFill/>
                    <a:ln>
                      <a:noFill/>
                    </a:ln>
                  </pic:spPr>
                </pic:pic>
              </a:graphicData>
            </a:graphic>
          </wp:inline>
        </w:drawing>
      </w:r>
    </w:p>
    <w:p w14:paraId="6970784A">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15"/>
        </w:numPr>
        <w:ind w:left="0" w:leftChars="0" w:firstLine="482" w:firstLineChars="0"/>
        <w:rPr>
          <w:rFonts w:eastAsia="宋体"/>
          <w:b/>
          <w:i w:val="0"/>
          <w:color w:val="0284C7"/>
          <w:sz w:val="24"/>
          <w:szCs w:val="24"/>
        </w:rPr>
      </w:pPr>
    </w:p>
    <w:p w14:paraId="4D42ACA2">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0401C2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分母孔径铁律：变压器以 kVA / 万 kVA 汇算，线缆以 km·mm² 汇算，严禁跨产业混算；同一报表内不同产业必须独立成区块并各自合计，不共用统计列。</w:t>
      </w:r>
    </w:p>
    <w:p w14:paraId="78CFF7E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对比口径：同比为同型号去年同期，环比为同型号上月（非上月全量）；分子或分母任一缺失时，该行同比 / 环比留空，不以 0 代替。</w:t>
      </w:r>
    </w:p>
    <w:p w14:paraId="358F5F9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偏差口径：与准入基准偏差基于国家准入先进值计算（偏差 ＝（实测 − 准入值）÷ 准入值 × 100%），正值表示劣于准入值、负值表示优于；准入值缺失时偏差列留空并标注"基准待配置"。</w:t>
      </w:r>
    </w:p>
    <w:p w14:paraId="2B5DDCC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状态口径：按标杆值 / 基准值三色判定，能耗与单耗类指标越低越优——绿＝优于或等于标杆值、灰＝介于标杆值与基准值之间、红＝高于基准值。</w:t>
      </w:r>
    </w:p>
    <w:p w14:paraId="6C8523E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粒度口径：时间粒度分月 / 年两档，月度单耗不做累加；年度单耗由年度分子分母直接计算，而非逐月平均，避免月产量波动带来的平均偏差。</w:t>
      </w:r>
    </w:p>
    <w:p w14:paraId="3BD23FC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精度口径：单耗值保留 2 位小数（线缆类保留 4 位）；分子分母保留原始精度不做展示层舍入，确保与台账可逐位核对。</w:t>
      </w:r>
    </w:p>
    <w:p w14:paraId="58498416">
      <w:pPr>
        <w:pStyle w:val="6"/>
        <w:numPr>
          <w:ilvl w:val="0"/>
          <w:numId w:val="11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月产量为 0：该行单耗显示  -- ，返回 E_CALC_RPT_UNIT_DENOM_ZERO，严禁 NaN 或白屏。</w:t>
            </w:r>
          </w:p>
          <w:p w14:paraId="758257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无工序单位：单耗工序区块输出"暂无相关工序！"，返回 E_QM_WHITE_LIST_MISS。</w:t>
            </w:r>
          </w:p>
          <w:p w14:paraId="412A702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跨产业分母混算（变压器 kVA 与线缆 km·mm² 同列合计）：数据库与导出层双重强约束，阻断生成并返回 E_SYS_RPT_INDUSTRY_MIX_DENIED。</w:t>
            </w:r>
          </w:p>
          <w:p w14:paraId="2B4BE7A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准入基准值缺失：偏差列留空并标注"基准待配置"，返回 E_VAL_RPT_BASE_VALUE_MISSING，不以 0 代替。</w:t>
            </w:r>
          </w:p>
          <w:p w14:paraId="5DEE94A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统计周期存在断档（缺月）：导出阻断并列出缺失周期清单，返回 E_SYS_RPT_PERIOD_GAP。</w:t>
            </w:r>
          </w:p>
        </w:tc>
      </w:tr>
    </w:tbl>
    <w:p w14:paraId="4408431A">
      <w:pPr>
        <w:spacing w:after="40"/>
        <w:rPr>
          <w:rFonts w:hint="eastAsia" w:ascii="宋体" w:hAnsi="宋体" w:eastAsia="宋体" w:cs="宋体"/>
          <w:i w:val="0"/>
          <w:iCs w:val="0"/>
          <w:sz w:val="24"/>
          <w:szCs w:val="24"/>
        </w:rPr>
      </w:pPr>
    </w:p>
    <w:p w14:paraId="3935B647">
      <w:pPr>
        <w:pStyle w:val="6"/>
        <w:numPr>
          <w:ilvl w:val="0"/>
          <w:numId w:val="11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p w14:paraId="6482C434">
            <w:pPr>
              <w:spacing w:before="0" w:after="20" w:line="264" w:lineRule="auto"/>
              <w:rPr>
                <w:rFonts w:hint="eastAsia" w:ascii="宋体" w:hAnsi="宋体" w:eastAsia="宋体" w:cs="宋体"/>
                <w:i w:val="0"/>
                <w:iCs w:val="0"/>
                <w:sz w:val="24"/>
                <w:szCs w:val="24"/>
              </w:rPr>
            </w:pPr>
          </w:p>
          <w:p w14:paraId="4649BB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跨产业混算被双重拦截</w:t>
            </w:r>
          </w:p>
          <w:p w14:paraId="5F0CBB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报表请求同时包含变压器与线缆两类产业的单耗数据</w:t>
            </w:r>
          </w:p>
          <w:p w14:paraId="31A9B4D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用户尝试在同一统计列内合计两类产业单耗</w:t>
            </w:r>
          </w:p>
          <w:p w14:paraId="201810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数据库与导出层双重阻断并返回 E_SYS_RPT_INDUSTRY_MIX_DENIED</w:t>
            </w:r>
          </w:p>
          <w:p w14:paraId="439DA8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A9808E4">
            <w:pPr>
              <w:spacing w:before="0" w:after="20" w:line="264" w:lineRule="auto"/>
              <w:rPr>
                <w:rFonts w:hint="eastAsia" w:ascii="宋体" w:hAnsi="宋体" w:eastAsia="宋体" w:cs="宋体"/>
                <w:i w:val="0"/>
                <w:iCs w:val="0"/>
                <w:sz w:val="24"/>
                <w:szCs w:val="24"/>
              </w:rPr>
            </w:pPr>
          </w:p>
          <w:p w14:paraId="5BB2C7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Scenario: 缺月断档阻断导出</w:t>
            </w:r>
          </w:p>
          <w:p w14:paraId="4FE3B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报表所请求的时间区间内存在 1 个缺失月份</w:t>
            </w:r>
          </w:p>
          <w:p w14:paraId="283DDB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w:t>
            </w:r>
          </w:p>
          <w:p w14:paraId="700003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Then 导出被阻断并返回 E_SYS_RPT_PERIOD_GAP</w:t>
            </w:r>
          </w:p>
          <w:p w14:paraId="2C9849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返回信息中列出缺失周期清单供核对</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6" w:name="_Toc9095"/>
      <w:r>
        <w:rPr>
          <w:rFonts w:hint="eastAsia" w:cs="Times New Roman"/>
          <w:b w:val="0"/>
          <w:bCs w:val="0"/>
          <w:sz w:val="30"/>
          <w:szCs w:val="32"/>
          <w:lang w:val="en-US" w:eastAsia="zh-CN"/>
        </w:rPr>
        <w:t>企业基础信息</w:t>
      </w:r>
      <w:bookmarkEnd w:id="36"/>
    </w:p>
    <w:p w14:paraId="4EA01BBA">
      <w:pPr>
        <w:pStyle w:val="5"/>
        <w:numPr>
          <w:ilvl w:val="0"/>
          <w:numId w:val="117"/>
        </w:numPr>
        <w:ind w:left="0" w:leftChars="0" w:firstLine="0" w:firstLineChars="0"/>
        <w:outlineLvl w:val="1"/>
        <w:rPr>
          <w:rFonts w:eastAsia="黑体"/>
          <w:b w:val="0"/>
          <w:bCs w:val="0"/>
          <w:sz w:val="30"/>
          <w:szCs w:val="24"/>
        </w:rPr>
      </w:pPr>
      <w:bookmarkStart w:id="37" w:name="_Toc31188"/>
      <w:r>
        <w:rPr>
          <w:rFonts w:hint="eastAsia" w:cs="Times New Roman"/>
          <w:b w:val="0"/>
          <w:bCs w:val="0"/>
          <w:sz w:val="30"/>
          <w:szCs w:val="24"/>
          <w:lang w:val="en-US" w:eastAsia="zh-CN"/>
        </w:rPr>
        <w:t>企业基础信息</w:t>
      </w:r>
      <w:bookmarkEnd w:id="37"/>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75"/>
                    <a:stretch>
                      <a:fillRect/>
                    </a:stretch>
                  </pic:blipFill>
                  <pic:spPr>
                    <a:xfrm>
                      <a:off x="0" y="0"/>
                      <a:ext cx="5900420" cy="2925445"/>
                    </a:xfrm>
                    <a:prstGeom prst="rect">
                      <a:avLst/>
                    </a:prstGeom>
                    <a:noFill/>
                    <a:ln>
                      <a:noFill/>
                    </a:ln>
                  </pic:spPr>
                </pic:pic>
              </a:graphicData>
            </a:graphic>
          </wp:inline>
        </w:drawing>
      </w:r>
    </w:p>
    <w:p w14:paraId="253DADDB">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2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车间填报员 (Persona P3)，</w:t>
      </w:r>
    </w:p>
    <w:p w14:paraId="75203ACA">
      <w:pPr>
        <w:pStyle w:val="19"/>
        <w:widowControl/>
        <w:numPr>
          <w:ilvl w:val="0"/>
          <w:numId w:val="12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在四个标签页中快速录入产量、能耗、相册与大事记，并由系统自动校验单位与数值合法性，</w:t>
      </w:r>
    </w:p>
    <w:p w14:paraId="146973A5">
      <w:pPr>
        <w:pStyle w:val="19"/>
        <w:widowControl/>
        <w:numPr>
          <w:ilvl w:val="0"/>
          <w:numId w:val="12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我能高效完成月度基层数据上报且不因录错导致核算失真。</w:t>
      </w:r>
    </w:p>
    <w:p w14:paraId="5C3EBA7C">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1"/>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2"/>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2"/>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2"/>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1"/>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1"/>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27BE3BAA">
      <w:pPr>
        <w:pStyle w:val="19"/>
        <w:widowControl/>
        <w:rPr>
          <w:rFonts w:ascii="Times New Roman" w:hAnsi="Times New Roman" w:eastAsia="宋体" w:cs="Times New Roman"/>
          <w:i w:val="0"/>
          <w:color w:val="1F2937"/>
          <w:sz w:val="24"/>
          <w:szCs w:val="24"/>
        </w:rPr>
      </w:pPr>
    </w:p>
    <w:p w14:paraId="5265E0B6">
      <w:pPr>
        <w:pStyle w:val="19"/>
        <w:widowControl/>
        <w:ind w:left="0" w:leftChars="0" w:firstLine="0" w:firstLineChars="0"/>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申报数据：</w:t>
      </w:r>
      <w:r>
        <w:rPr>
          <w:rFonts w:hint="eastAsia" w:cs="Times New Roman"/>
          <w:i w:val="0"/>
          <w:color w:val="1F2937"/>
          <w:sz w:val="24"/>
          <w:szCs w:val="24"/>
          <w:lang w:val="en-US" w:eastAsia="zh-CN"/>
        </w:rPr>
        <w:br w:type="textWrapping"/>
      </w:r>
      <w:r>
        <w:drawing>
          <wp:inline distT="0" distB="0" distL="114300" distR="114300">
            <wp:extent cx="5906770" cy="3542665"/>
            <wp:effectExtent l="0" t="0" r="17780" b="635"/>
            <wp:docPr id="13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3"/>
                    <pic:cNvPicPr>
                      <a:picLocks noChangeAspect="1"/>
                    </pic:cNvPicPr>
                  </pic:nvPicPr>
                  <pic:blipFill>
                    <a:blip r:embed="rId76"/>
                    <a:stretch>
                      <a:fillRect/>
                    </a:stretch>
                  </pic:blipFill>
                  <pic:spPr>
                    <a:xfrm>
                      <a:off x="0" y="0"/>
                      <a:ext cx="5906770" cy="3542665"/>
                    </a:xfrm>
                    <a:prstGeom prst="rect">
                      <a:avLst/>
                    </a:prstGeom>
                    <a:noFill/>
                    <a:ln>
                      <a:noFill/>
                    </a:ln>
                  </pic:spPr>
                </pic:pic>
              </a:graphicData>
            </a:graphic>
          </wp:inline>
        </w:drawing>
      </w:r>
    </w:p>
    <w:p w14:paraId="4F834F29">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1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1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17"/>
        </w:numPr>
        <w:ind w:left="0" w:leftChars="0" w:firstLine="0" w:firstLineChars="0"/>
        <w:outlineLvl w:val="1"/>
        <w:rPr>
          <w:rFonts w:eastAsia="黑体"/>
          <w:b w:val="0"/>
          <w:bCs w:val="0"/>
          <w:sz w:val="30"/>
          <w:szCs w:val="24"/>
        </w:rPr>
      </w:pPr>
      <w:bookmarkStart w:id="38" w:name="_Toc9203"/>
      <w:r>
        <w:rPr>
          <w:rFonts w:hint="eastAsia"/>
          <w:b w:val="0"/>
          <w:bCs w:val="0"/>
          <w:sz w:val="30"/>
          <w:szCs w:val="24"/>
          <w:lang w:val="en-US" w:eastAsia="zh-CN"/>
        </w:rPr>
        <w:t>零碳工厂信息</w:t>
      </w:r>
      <w:bookmarkEnd w:id="38"/>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77"/>
                    <a:stretch>
                      <a:fillRect/>
                    </a:stretch>
                  </pic:blipFill>
                  <pic:spPr>
                    <a:xfrm>
                      <a:off x="0" y="0"/>
                      <a:ext cx="5900420" cy="2925445"/>
                    </a:xfrm>
                    <a:prstGeom prst="rect">
                      <a:avLst/>
                    </a:prstGeom>
                    <a:noFill/>
                    <a:ln>
                      <a:noFill/>
                    </a:ln>
                  </pic:spPr>
                </pic:pic>
              </a:graphicData>
            </a:graphic>
          </wp:inline>
        </w:drawing>
      </w:r>
    </w:p>
    <w:p w14:paraId="154452A7">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2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园区能碳专员 (Persona P2)，</w:t>
      </w:r>
    </w:p>
    <w:p w14:paraId="5AF27C0E">
      <w:pPr>
        <w:pStyle w:val="19"/>
        <w:widowControl/>
        <w:numPr>
          <w:ilvl w:val="0"/>
          <w:numId w:val="12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版本化维护分时电价阶梯与折标系数，并明确系数变更对历史核算的影响策略，</w:t>
      </w:r>
    </w:p>
    <w:p w14:paraId="130FC69E">
      <w:pPr>
        <w:pStyle w:val="19"/>
        <w:widowControl/>
        <w:numPr>
          <w:ilvl w:val="0"/>
          <w:numId w:val="12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我能保证参数变更可追溯、历史报表口径不被追溯性污染。</w:t>
      </w:r>
    </w:p>
    <w:p w14:paraId="32899B71">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2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2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Feature: 零碳工厂参数版本治理与跨期口径</w:t>
            </w:r>
          </w:p>
          <w:p w14:paraId="328E935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39" w:name="_Toc2608"/>
      <w:r>
        <w:rPr>
          <w:rFonts w:ascii="Times New Roman" w:hAnsi="Times New Roman" w:eastAsia="黑体" w:cs="Times New Roman"/>
          <w:b w:val="0"/>
          <w:bCs w:val="0"/>
          <w:sz w:val="32"/>
          <w:szCs w:val="44"/>
        </w:rPr>
        <w:t>产品碳足迹集采中心功能需求规格</w:t>
      </w:r>
      <w:bookmarkEnd w:id="39"/>
    </w:p>
    <w:p w14:paraId="467CF17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本章严格按照系统切换到【产品碳足迹集采中心】后的 6 大一级主导航分层展开，全面覆盖产品全生命周期 LCA 建模、ISO 14067 认证、二维码数字碳标签以及欧盟 CBAM 关税申报的相关需求。6 大板块依次为：对外示范窗口、多维分析、实景数据库与碳足迹核算、CBAM 管理、第三方认证管理、因子库管理，共 16 个三级功能模块，统一采用八段式描述范式。</w:t>
      </w:r>
    </w:p>
    <w:p w14:paraId="5B45C204">
      <w:pPr>
        <w:pStyle w:val="4"/>
        <w:numPr>
          <w:ilvl w:val="0"/>
          <w:numId w:val="130"/>
        </w:numPr>
        <w:topLinePunct w:val="0"/>
        <w:ind w:left="0" w:leftChars="0" w:firstLine="0" w:firstLineChars="0"/>
        <w:outlineLvl w:val="0"/>
        <w:rPr>
          <w:rFonts w:hint="eastAsia" w:eastAsia="黑体"/>
          <w:b w:val="0"/>
          <w:bCs w:val="0"/>
          <w:sz w:val="30"/>
          <w:szCs w:val="32"/>
        </w:rPr>
      </w:pPr>
      <w:bookmarkStart w:id="40" w:name="_Toc9881"/>
      <w:r>
        <w:rPr>
          <w:rFonts w:ascii="Times New Roman" w:hAnsi="Times New Roman" w:eastAsia="黑体" w:cs="Times New Roman"/>
          <w:b w:val="0"/>
          <w:bCs w:val="0"/>
          <w:sz w:val="30"/>
          <w:szCs w:val="32"/>
        </w:rPr>
        <w:t>对外示范窗口</w:t>
      </w:r>
      <w:bookmarkEnd w:id="40"/>
    </w:p>
    <w:p w14:paraId="3B14D65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本板块是产品碳足迹集采中心唯一的对外开放界面，面向国际客户、海外驻华使节、欧盟碳边境调节机制审查专员与第三方审计机构，以"看得懂的碳数据"呈现特变电工出口主力品类的碳足迹全景。板块下辖 1 个模块：碳足迹总览驾驶舱。</w:t>
      </w:r>
    </w:p>
    <w:p w14:paraId="4C91DBB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边界声明：本板块只呈现已认证 / 已发布状态的数据，是核算态结果的"只读投影"，不具备任何写入、重算与状态流转能力；其数值必须与已签发认证报告逐位一致。板块内所有字段执行对外脱敏白名单（不含供应商名称、工艺配方、采购单价、人员信息），数据分级统一为 PUBLIC。</w:t>
      </w:r>
    </w:p>
    <w:p w14:paraId="6A387BC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与「实景数据库」的区别：本板块是面向外部的一次性脱敏快照（PUBLIC，可扫码验真）；实景数据库是面向内部的逐型号明细台账（INTERNAL/SENSITIVE，含原始凭证）。二者数值同源，展示粒度与合规边界不同。</w:t>
      </w:r>
    </w:p>
    <w:p w14:paraId="39BCBB03">
      <w:pPr>
        <w:pStyle w:val="5"/>
        <w:numPr>
          <w:ilvl w:val="0"/>
          <w:numId w:val="131"/>
        </w:numPr>
        <w:ind w:left="0" w:leftChars="0" w:firstLine="0" w:firstLineChars="0"/>
        <w:outlineLvl w:val="1"/>
        <w:rPr>
          <w:rFonts w:ascii="Times New Roman" w:hAnsi="Times New Roman" w:eastAsia="黑体" w:cs="Times New Roman"/>
          <w:b w:val="0"/>
          <w:bCs w:val="0"/>
          <w:sz w:val="30"/>
          <w:szCs w:val="24"/>
        </w:rPr>
      </w:pPr>
      <w:bookmarkStart w:id="41" w:name="_Toc11566"/>
      <w:r>
        <w:rPr>
          <w:rFonts w:ascii="Times New Roman" w:hAnsi="Times New Roman" w:eastAsia="黑体" w:cs="Times New Roman"/>
          <w:b w:val="0"/>
          <w:bCs w:val="0"/>
          <w:sz w:val="30"/>
          <w:szCs w:val="24"/>
        </w:rPr>
        <w:t>碳足迹总览驾驶舱</w:t>
      </w:r>
      <w:bookmarkEnd w:id="41"/>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78"/>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746C89">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5093C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集团全量（对外视图不按组织树过滤，但数值均来自实体工厂汇总，项目公司不计入）；跨单位聚合＝含全部实体工厂，默认排除项目公司；对外可见档位＝PUBLIC（脱敏白名单裁剪后对外展示）；越权或白名单外对象访问返回 403 并输出「未授权公示」占位，记录审计日志。</w:t>
      </w:r>
    </w:p>
    <w:p w14:paraId="1B05598C">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3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碳核算与认证工程师 (Persona P4)，</w:t>
      </w:r>
    </w:p>
    <w:p w14:paraId="1A887562">
      <w:pPr>
        <w:pStyle w:val="19"/>
        <w:widowControl/>
        <w:numPr>
          <w:ilvl w:val="0"/>
          <w:numId w:val="13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在对外示范驾驶舱全屏展示产品 LCA 五阶段碳排构成、可扫码验证的数字碳标签与 CBAM 关税节省测算，</w:t>
      </w:r>
    </w:p>
    <w:p w14:paraId="2C15A2FF">
      <w:pPr>
        <w:pStyle w:val="19"/>
        <w:widowControl/>
        <w:numPr>
          <w:ilvl w:val="0"/>
          <w:numId w:val="13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我能以权威可视化证据赢得国际客户与欧盟审查专员的信任。</w:t>
      </w:r>
    </w:p>
    <w:p w14:paraId="63789662">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止；跨度 ≤ 24 个月；默认近 </w:t>
            </w:r>
            <w:r>
              <w:rPr>
                <w:rFonts w:hint="eastAsia" w:ascii="宋体" w:hAnsi="宋体" w:eastAsia="宋体" w:cs="宋体"/>
                <w:i w:val="0"/>
                <w:iCs w:val="0"/>
                <w:color w:val="1F2937"/>
                <w:sz w:val="24"/>
                <w:szCs w:val="24"/>
                <w:lang w:val="en-US" w:eastAsia="zh-CN"/>
              </w:rPr>
              <w:t>12</w:t>
            </w:r>
            <w:r>
              <w:rPr>
                <w:rFonts w:hint="eastAsia" w:ascii="宋体" w:hAnsi="宋体" w:eastAsia="宋体" w:cs="宋体"/>
                <w:i w:val="0"/>
                <w:iCs w:val="0"/>
                <w:color w:val="1F2937"/>
                <w:sz w:val="24"/>
                <w:szCs w:val="24"/>
              </w:rPr>
              <w:t xml:space="preserve"> 个月</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品类签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全部品类(18) ｜ 变压器 ｜ 线缆 ｜ 开关柜 ｜ GIS ｜ 电容器 ｜ 电抗器 ｜ 套管 ｜ 互感器 ｜ 硅钢芯</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视图切换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卡片（默认）／列表；同一路由，刷新不改变统计口径</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品类名称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取自产品品类主数据，与第四章「产品品类管理」同源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型号数量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1；为 0 时该品类卡片整体不渲染（不留空白占位）</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综合碳足迹单位值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随品类，见单位矩阵</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0；与已签发认证报告逐位一致，容差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生命周期四阶段占比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百分比(2 位)×4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 / 生产制造 / 原材料运输 / 废弃物处理；四者之和 = 100.00%，容差 ≤ ±0.01%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核心主材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脱敏后展示； 禁止 出现供应商名称、工艺配方</w:t>
            </w:r>
          </w:p>
        </w:tc>
      </w:tr>
      <w:tr w14:paraId="254B5F2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2D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1D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代表性型号实景数据</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C0F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 + 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C42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随品类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1BB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型号须存在于产品型号主数据；无实景数据时该子块隐藏</w:t>
            </w:r>
          </w:p>
        </w:tc>
      </w:tr>
      <w:tr w14:paraId="4827523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0C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1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代表性成品类数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D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B0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8D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1</w:t>
            </w:r>
          </w:p>
        </w:tc>
      </w:tr>
      <w:tr w14:paraId="5148EED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6A5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78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数据截止时间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D64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3FB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E1D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页面底部常驻，格式 YYYY-MM-DD</w:t>
            </w:r>
          </w:p>
        </w:tc>
      </w:tr>
      <w:tr w14:paraId="1B2EA10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3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7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E397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106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A4E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形如 v2024.1 ；与因子库管理板块同源</w:t>
            </w:r>
          </w:p>
        </w:tc>
      </w:tr>
    </w:tbl>
    <w:p w14:paraId="583434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品类—单位—实测值矩阵：</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7BBA336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5B13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品类</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8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综合碳足迹单位</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BA6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实测值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C02A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代表性型号</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4B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代表性型号单位值 / 成品类数</w:t>
            </w:r>
          </w:p>
        </w:tc>
      </w:tr>
      <w:tr w14:paraId="5C2C0A4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A9B2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E60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242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809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S22-M-400/10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6E1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88.4 kgCO₂e/kVA ｜ 9 类</w:t>
            </w:r>
          </w:p>
        </w:tc>
      </w:tr>
      <w:tr w14:paraId="0E1C7BF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B41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线缆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FA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kgCO₂e/km</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32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3.82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E11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WDZA-YJV-0.6/1-4×95</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69B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2.35 kgCO₂e/km ｜ 4 类</w:t>
            </w:r>
          </w:p>
        </w:tc>
      </w:tr>
      <w:tr w14:paraId="7D7865C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B20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开关柜</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F4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86.5</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04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XGN15-12</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0E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78.4 kgCO₂e/面 ｜ 4 类</w:t>
            </w:r>
          </w:p>
        </w:tc>
      </w:tr>
      <w:tr w14:paraId="1117BA5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E9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电容器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779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kgCO₂e/kvar</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4785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20D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BAM6-334-1W</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414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23.2 kgCO₂e/kvar ｜ 4 类</w:t>
            </w:r>
          </w:p>
        </w:tc>
      </w:tr>
      <w:tr w14:paraId="61F9B60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5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电抗器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03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18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656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CKGL-35-1200-6</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98.6 kgCO₂e/kVA ｜ 4 类</w:t>
            </w:r>
          </w:p>
        </w:tc>
      </w:tr>
      <w:tr w14:paraId="50362B5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2C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套管</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02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AA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45.2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DF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BRDW-35/630</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13B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36.5 kgCO₂e/支 ｜ 3 类</w:t>
            </w:r>
          </w:p>
        </w:tc>
      </w:tr>
      <w:tr w14:paraId="34C9F4A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D48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互感器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CF6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06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2D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TG-10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18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18.5 kgCO₂e/台 ｜ 4 类</w:t>
            </w:r>
          </w:p>
        </w:tc>
      </w:tr>
      <w:tr w14:paraId="60436F1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AC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GIS</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1F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kgCO₂e/间隔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35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315.8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E7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ZF12-126(L)</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38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286.0 kgCO₂e/间隔 ｜ 4 类</w:t>
            </w:r>
          </w:p>
        </w:tc>
      </w:tr>
    </w:tbl>
    <w:p w14:paraId="004620A1">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E_PCF = E_raw + E_trans + E_manuf + E_test + E_pack　——　单台产品全生命周期碳足迹（五阶段加总）</w:t>
            </w:r>
          </w:p>
          <w:p w14:paraId="6C516F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R_stage = E_stage ÷ E_PCF × 100%　——　各阶段碳排占比（对外以四阶段环带呈现）</w:t>
            </w:r>
          </w:p>
          <w:p w14:paraId="5E69098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Save_CBAM = Export_Qty × Embedded_Carbon × (Price_EU_ETS − Price_Domestic)　——　CBAM 关税节省测算</w:t>
            </w:r>
          </w:p>
          <w:p w14:paraId="561A18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Hash_sign = SIGN_SHA256(BatchNo + PrivateKey_CA)　——　数字碳标签防伪签名哈希</w:t>
            </w:r>
          </w:p>
          <w:p w14:paraId="246020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CF_unit = E_PCF ÷ Feature　——　单位产品碳足迹（对外比较基准，Feature 为 kVA / km / 面 / kvar / 支 / 台 / 间隔）</w:t>
            </w:r>
          </w:p>
        </w:tc>
      </w:tr>
    </w:tbl>
    <w:p w14:paraId="763499E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变量定义与取值约定：五阶段碳排定义详见本章 碳足迹核算模块；Price_EU_ETS 为欧洲能源交易所碳配额结算均价，取自 EEX 官方接口最新周结算均价；Price_Domestic 为国内已支付碳成本折算价；PrivateKey_CA 为认证机构签发私钥，仅存于 HSM 硬件模块，不出库、不落日志。</w:t>
      </w:r>
    </w:p>
    <w:p w14:paraId="748A3E2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取值示例：变压器品类代表性型号 S22-M-400/10，E_PCF = 88.4 kgCO₂e/kVA；其四阶段构成为 原材料获取 61%、生产制造 24%、原材料运输 9%、废弃物处理 5%（合计 99%，残差 1% 为四舍五入尾差，前端按最大项吸收后强制显示合计 100%）。</w:t>
      </w:r>
    </w:p>
    <w:p w14:paraId="3B4407D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精度与容差：碳足迹值保留 4 位小数；阶段占比保留 2 位小数，四阶段之和与 100.00% 的容差 ≤ ±0.01%；Save_CBAM 保留 2 位小数、单位 €；签名哈希固定 64 位十六进制小写。</w:t>
      </w:r>
    </w:p>
    <w:p w14:paraId="2FA0D389">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70A278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边界口径：对外展示统一采用 Cradle-to-Gate（摇篮到大门）边界，并在页面显著位置标注。</w:t>
      </w:r>
    </w:p>
    <w:p w14:paraId="7A0CF3B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数据脱敏口径：对外版本按白名单裁剪字段，不呈现供应商名称、工艺配方等 L2 以上敏感信息。</w:t>
      </w:r>
    </w:p>
    <w:p w14:paraId="63B675C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时效口径：页面底部常驻展示数据截止时间与因子版本号。</w:t>
      </w:r>
    </w:p>
    <w:p w14:paraId="212C770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口径一致性：对外展示数值必须与已签发认证报告完全一致（逐位比对，容差 0），不允许展示草稿态数据。</w:t>
      </w:r>
    </w:p>
    <w:p w14:paraId="7714BB2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阶段占比配平阈值：四阶段之和 = 100.00%，容差 ≤ ±0.01%，超差即阻断上屏；② 碳价时效阈值：EEX 碳价同步滞后 &gt; 24 小时判为陈旧，标黄并展示价格时间戳；③ 数据新鲜度阈值：数据截止时间距今 &gt; 24 小时，页头展示"数据可能滞后"灰条（不阻断展示）；④ 一致性判定基准来源：认证结果管理模块中状态为「有效」的证书所关联的 LCA 报告值；⑤ 品类单位基准来源：产品品类主数据（第四章「产品品类管理」）；⑥ 因子版本基准来源：因子库管理板块当前生效版本。</w:t>
      </w:r>
    </w:p>
    <w:p w14:paraId="524F9B8C">
      <w:pPr>
        <w:pStyle w:val="6"/>
        <w:numPr>
          <w:ilvl w:val="0"/>
          <w:numId w:val="13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2EEC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876A7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p w14:paraId="40E89E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组织越权或非白名单对象访问对外驾驶舱：返回 403 并输出「未授权公示」占位页，同时写入审计日志（操作人、IP、时间、目标模块）。</w:t>
            </w:r>
          </w:p>
          <w:p w14:paraId="59E33C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品类卡片存在但区间内无任何已认证数据：整张卡片不渲染，不得输出 0 或空白占位框。</w:t>
            </w:r>
          </w:p>
          <w:p w14:paraId="64C3DF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阶段占比四舍五入后合计 ≠ 100.00%：按最大占比项吸收尾差后强制显示 100.00%，并在数据字典中固化该规则（禁止前端直接显示 99% 或 101%）。</w:t>
            </w:r>
          </w:p>
        </w:tc>
      </w:tr>
    </w:tbl>
    <w:p w14:paraId="4D748162">
      <w:pPr>
        <w:spacing w:after="40"/>
        <w:rPr>
          <w:rFonts w:hint="eastAsia" w:ascii="宋体" w:hAnsi="宋体" w:eastAsia="宋体" w:cs="宋体"/>
          <w:i w:val="0"/>
          <w:iCs w:val="0"/>
          <w:sz w:val="24"/>
          <w:szCs w:val="24"/>
        </w:rPr>
      </w:pPr>
    </w:p>
    <w:p w14:paraId="7E6E09CD">
      <w:pPr>
        <w:pStyle w:val="6"/>
        <w:numPr>
          <w:ilvl w:val="0"/>
          <w:numId w:val="13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5F807AF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数字碳标签签名校验失败兜底</w:t>
            </w:r>
          </w:p>
          <w:p w14:paraId="409059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某产品数字碳标签的防伪签名哈希与认证机构公钥验签不通过</w:t>
            </w:r>
          </w:p>
          <w:p w14:paraId="533F3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参观者扫码触发查验弹窗</w:t>
            </w:r>
          </w:p>
          <w:p w14:paraId="297220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弹窗显著标注"验真失败"</w:t>
            </w:r>
          </w:p>
          <w:p w14:paraId="6B0077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不展示任何溯源明细与供应链节点</w:t>
            </w:r>
          </w:p>
          <w:p w14:paraId="6FEE96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E_QR_SIGN_VERIFY_FAILED</w:t>
            </w:r>
          </w:p>
        </w:tc>
      </w:tr>
    </w:tbl>
    <w:p w14:paraId="5578F86A">
      <w:pPr>
        <w:spacing w:after="40"/>
        <w:rPr>
          <w:rFonts w:hint="eastAsia" w:ascii="宋体" w:hAnsi="宋体" w:eastAsia="宋体" w:cs="宋体"/>
          <w:i w:val="0"/>
          <w:iCs w:val="0"/>
          <w:sz w:val="24"/>
          <w:szCs w:val="24"/>
        </w:rPr>
      </w:pPr>
    </w:p>
    <w:p w14:paraId="61235EAF">
      <w:pPr>
        <w:pStyle w:val="4"/>
        <w:numPr>
          <w:ilvl w:val="0"/>
          <w:numId w:val="130"/>
        </w:numPr>
        <w:topLinePunct w:val="0"/>
        <w:ind w:left="0" w:leftChars="0" w:firstLine="0" w:firstLineChars="0"/>
        <w:outlineLvl w:val="0"/>
        <w:rPr>
          <w:rFonts w:hint="eastAsia" w:eastAsia="黑体"/>
          <w:b w:val="0"/>
          <w:bCs w:val="0"/>
          <w:sz w:val="30"/>
          <w:szCs w:val="32"/>
        </w:rPr>
      </w:pPr>
      <w:bookmarkStart w:id="42" w:name="_Toc27252"/>
      <w:r>
        <w:rPr>
          <w:rFonts w:ascii="Times New Roman" w:hAnsi="Times New Roman" w:eastAsia="黑体" w:cs="Times New Roman"/>
          <w:b w:val="0"/>
          <w:bCs w:val="0"/>
          <w:sz w:val="30"/>
          <w:szCs w:val="32"/>
        </w:rPr>
        <w:t>多维分析</w:t>
      </w:r>
      <w:bookmarkEnd w:id="42"/>
    </w:p>
    <w:p w14:paraId="7291039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本板块回答"谁高谁低、为什么高、往哪降"三个问题，是碳足迹从"记录"走向"决策"的分析中枢。板块下辖 2 个模块：横向对比（同一规格、不同生产基地之间的空间对标）与纵向对比（同一型号、不同生产批次之间的时间趋势与归因）。</w:t>
      </w:r>
    </w:p>
    <w:p w14:paraId="2B8DE93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边界声明：本板块为只读分析，不产生任何写入；分析结果的"改进清单"以建议形式输出，须人工确认后方可形成技改立项依据。板块数据范围受组织树 RLS 约束，跨经营单位聚合默认排除项目公司。</w:t>
      </w:r>
    </w:p>
    <w:p w14:paraId="3A4C032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指标管控」（第二章）的区别：第二章对标的是能耗与能效指标（tce/万元、kWh/台）；本板块对标的是碳足迹指标（kgCO₂e/特征量）。两者共用同一条组织树与账期，但指标体系、基准线来源与达标判定相互独立，不得互相替代。</w:t>
      </w:r>
    </w:p>
    <w:p w14:paraId="06C8EC8B">
      <w:pPr>
        <w:pStyle w:val="5"/>
        <w:numPr>
          <w:ilvl w:val="0"/>
          <w:numId w:val="136"/>
        </w:numPr>
        <w:ind w:left="0" w:leftChars="0" w:firstLine="0" w:firstLineChars="0"/>
        <w:outlineLvl w:val="1"/>
        <w:rPr>
          <w:rFonts w:eastAsia="黑体"/>
          <w:b w:val="0"/>
          <w:bCs w:val="0"/>
          <w:sz w:val="30"/>
          <w:szCs w:val="24"/>
        </w:rPr>
      </w:pPr>
      <w:bookmarkStart w:id="43" w:name="_Toc21058"/>
      <w:r>
        <w:rPr>
          <w:rFonts w:ascii="Times New Roman" w:hAnsi="Times New Roman" w:eastAsia="黑体" w:cs="Times New Roman"/>
          <w:b w:val="0"/>
          <w:bCs w:val="0"/>
          <w:sz w:val="30"/>
          <w:szCs w:val="24"/>
        </w:rPr>
        <w:t>横向对比</w:t>
      </w:r>
      <w:bookmarkEnd w:id="43"/>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79"/>
                    <a:stretch>
                      <a:fillRect/>
                    </a:stretch>
                  </pic:blipFill>
                  <pic:spPr>
                    <a:xfrm>
                      <a:off x="0" y="0"/>
                      <a:ext cx="5900420" cy="2925445"/>
                    </a:xfrm>
                    <a:prstGeom prst="rect">
                      <a:avLst/>
                    </a:prstGeom>
                    <a:noFill/>
                    <a:ln>
                      <a:noFill/>
                    </a:ln>
                  </pic:spPr>
                </pic:pic>
              </a:graphicData>
            </a:graphic>
          </wp:inline>
        </w:drawing>
      </w:r>
    </w:p>
    <w:p w14:paraId="26FC4F4B">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347CBC7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可查看组织范围＝本级及以下（按六级组织树 RLS 穿透），P4 可查看全集团、P2 限本园区及以下；跨单位聚合＝默认仅实体工厂，项目公司强制置灰且不计入排名与均值；对外可见档位＝SENSITIVE（对外须脱敏为品类均值区间，不下发单基地明细）；越权返回。</w:t>
      </w:r>
    </w:p>
    <w:p w14:paraId="6C7FFA19">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3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碳核算与认证工程师 (Persona P4)，</w:t>
      </w:r>
    </w:p>
    <w:p w14:paraId="4E517880">
      <w:pPr>
        <w:pStyle w:val="19"/>
        <w:widowControl/>
        <w:numPr>
          <w:ilvl w:val="0"/>
          <w:numId w:val="13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选择同规格产品按五大阶段横向对标各生产基地的单位产品碳足迹并下钻至主材与工序构成，</w:t>
      </w:r>
    </w:p>
    <w:p w14:paraId="63C90728">
      <w:pPr>
        <w:pStyle w:val="19"/>
        <w:widowControl/>
        <w:numPr>
          <w:ilvl w:val="0"/>
          <w:numId w:val="139"/>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我能精准定位各基地的工艺降碳潜力并推动横向最佳实践复制。</w:t>
      </w:r>
    </w:p>
    <w:p w14:paraId="5D7B222D">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15E5420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B3D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D39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23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936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A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00FCE16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195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20C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D52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BB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76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 ≤ 止；默认当月向前 3 个月</w:t>
            </w:r>
          </w:p>
        </w:tc>
      </w:tr>
      <w:tr w14:paraId="0F08B75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50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1116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5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四级级联枚举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E2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804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上级变更时下级逐级重置为首项；产品型号可空（空则按中类汇总）</w:t>
            </w:r>
          </w:p>
        </w:tc>
      </w:tr>
      <w:tr w14:paraId="648CABE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E6D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49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1E32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61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家</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76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参与本次对比的实体工厂数；含锁形图标表示受 RLS 约束</w:t>
            </w:r>
          </w:p>
        </w:tc>
      </w:tr>
      <w:tr w14:paraId="5320AD3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88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02D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生产订单数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A8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E83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650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点击可展开各经营单位明细；为 0 时整表输出空态</w:t>
            </w:r>
          </w:p>
        </w:tc>
      </w:tr>
      <w:tr w14:paraId="580D692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C90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6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产品特征量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F9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E1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1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电压等级（kV）＋ 容量（MVA）；决定单位化分母，缺失即置 --</w:t>
            </w:r>
          </w:p>
        </w:tc>
      </w:tr>
      <w:tr w14:paraId="0E89ED0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A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C62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各经营单位产品碳足迹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1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99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 排名；第 1 名为低碳标杆；同一特征量口径内比较</w:t>
            </w:r>
          </w:p>
        </w:tc>
      </w:tr>
      <w:tr w14:paraId="50595EC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3F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4A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生命周期各阶段碳排对比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2E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分组柱状图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8EF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F63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按四阶段分组，支持「按构成分析」切换为占比堆叠</w:t>
            </w:r>
          </w:p>
        </w:tc>
      </w:tr>
    </w:tbl>
    <w:p w14:paraId="3C4A3CFD">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CCEC01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BBBB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CF_unit = E_PCF ÷ Feature　——　单位产品碳足迹</w:t>
            </w:r>
          </w:p>
          <w:p w14:paraId="748188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R_stage = E_stage ÷ E_PCF × 100%　——　各阶段构成占比</w:t>
            </w:r>
          </w:p>
          <w:p w14:paraId="318801F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Mean_unit = Σ CF_unit,i ÷ N　——　单位产品碳足迹均值（N 为参与单位数，不含项目公司）</w:t>
            </w:r>
          </w:p>
          <w:p w14:paraId="4B151F2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Status = (CF_unit ≤ Benchmark) ? 达标 : 超基准　——　达标判定</w:t>
            </w:r>
          </w:p>
        </w:tc>
      </w:tr>
    </w:tbl>
    <w:p w14:paraId="215A325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变量定义与取值约定：Feature 为特征量（变压器 kVA、电缆 km、开关柜 面/间隔）；E_PCF 为该单位该型号的单台全生命周期碳足迹；Benchmark 取自基准管理配置。</w:t>
      </w:r>
    </w:p>
    <w:p w14:paraId="58B2539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取值示例：筛选「变压器-高压 / 交流变压器-110KV」，参与对比 5 家经营单位，各基地单位产品碳足迹为 新疆自控 7.3700、上开 7.8460、天变沈阳基地 8.0670、事达赛迪 8.1260、京津翼科技 8.2030 kgCO₂e/台 → 均值 Mean_unit = 39.6120 ÷ 5 = 7.9224 kgCO₂e/台；以均值作临时基准判定：新疆自控达标（↓），上开 / 天变沈阳基地 / 事达赛迪 / 京津翼科技均超基准（↑）。</w:t>
      </w:r>
    </w:p>
    <w:p w14:paraId="4F43289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精度与容差：碳足迹值保留 4 位小数；均值计算采用"先全精度累加、末位一次舍入"，容差 ≤ ±0.0001；排名并列时按经营单位编码升序确定座次（不并列同名次）。</w:t>
      </w:r>
    </w:p>
    <w:p w14:paraId="207BB16A">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C0168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可比口径：所有对比必须在同一特征量口径下进行，严禁跨特征量（如 kVA 与 km）直接对比。</w:t>
      </w:r>
    </w:p>
    <w:p w14:paraId="6C68399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基准口径：基准线取自基准管理配置，超基准柱标红。</w:t>
      </w:r>
    </w:p>
    <w:p w14:paraId="5B1C2CC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排名口径：按单位产品碳足迹升序排名，第 1 名为低碳标杆；项目公司行置灰且不计入排名序号。</w:t>
      </w:r>
    </w:p>
    <w:p w14:paraId="25EFB39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筛级口径：上级筛选变更时逐级重置下级到首项，避免残留无效组合。</w:t>
      </w:r>
    </w:p>
    <w:p w14:paraId="34C84E6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排名基数阈值：参与排名的有效单位 ≥ 2 家方可输出排名，单位数 &lt; 2 时仅输出单点值不输出名次；② 均值有效性阈值：有效样本数 ≥ 3 才输出均值，否则标注"样本不足"；③ 特征量阈值：Feature ≤ 0 或缺失一律置 --，不参与排名与均值（不按 0 参与统计）；④ 基准来源：第四章「费价模型 / 指标基准」配置的品类级基准值，按「产品中类 × 账期」唯一；⑤ 达标判据：CF_unit ≤ Benchmark 判达标，严格小于与等于均视为达标（不设缓冲带）；⑥ 排序口径：升序，差额 &lt; 0.0001 视为并列，按组织编码升序破平。</w:t>
      </w:r>
    </w:p>
    <w:p w14:paraId="109B6DB8">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337AE8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3B404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特征量为 0 或缺失：单位产品碳足迹显示 --，该实体不参与排名与均值计算，触发 E_BIZ_COMPARE_FEATURE_ZERO（200，安全兜底，无报错弹窗）。</w:t>
            </w:r>
          </w:p>
          <w:p w14:paraId="366E2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筛选组合无数据：主对比图与排名表输出客观空态"当前条件下无可比数据"，不显示空白占位卡片，返回 E_BIZ_COMPARE_NO_DATA（200，信息级）。</w:t>
            </w:r>
          </w:p>
          <w:p w14:paraId="6DD6D2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拒绝混合特征量请求，返回 E_BIZ_COMPARE_CROSS_FEATURE（400）。</w:t>
            </w:r>
          </w:p>
          <w:p w14:paraId="75A8AF4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p w14:paraId="7067DC6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参与单位数 &lt; 2：不输出排名序号与奖杯徽标，仅输出数值列。</w:t>
            </w:r>
          </w:p>
          <w:p w14:paraId="7C353B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组织越权：请求组织范围超出当前账号 RLS 授权范围，返回 403 + E_AUTH_RLS_SCOPE_DENIED。</w:t>
            </w:r>
          </w:p>
        </w:tc>
      </w:tr>
    </w:tbl>
    <w:p w14:paraId="425806EB">
      <w:pPr>
        <w:pStyle w:val="6"/>
        <w:numPr>
          <w:ilvl w:val="0"/>
          <w:numId w:val="13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p w14:paraId="1F7462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跨特征量对比被后端拒绝</w:t>
            </w:r>
          </w:p>
          <w:p w14:paraId="36AA50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用户在前端选定特征量为"变压器 kVA"</w:t>
            </w:r>
          </w:p>
          <w:p w14:paraId="669361B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通过构造请求将另一参与单位替换为特征量"电缆 km"</w:t>
            </w:r>
          </w:p>
          <w:p w14:paraId="30965E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后端 API 拒绝该混合特征量请求</w:t>
            </w:r>
          </w:p>
          <w:p w14:paraId="7858DC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E_BIZ_COMPARE_CROSS_FEATURE 且不返回任何对比数据</w:t>
            </w:r>
          </w:p>
          <w:p w14:paraId="577BCEF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样本不足不输出均值与名次</w:t>
            </w:r>
          </w:p>
          <w:p w14:paraId="75ACEC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某筛选组合下仅有 1 家经营单位存在有效碳足迹数据</w:t>
            </w:r>
          </w:p>
          <w:p w14:paraId="40990A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页面渲染排名表与均值指标卡</w:t>
            </w:r>
          </w:p>
          <w:p w14:paraId="20CBF1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不输出排名序号与低碳标杆徽标</w:t>
            </w:r>
          </w:p>
          <w:p w14:paraId="22C168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均值位置标注"样本不足"而非输出 0 或 NaN</w:t>
            </w:r>
          </w:p>
          <w:p w14:paraId="7D3A7B1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组织越权访问拦截</w:t>
            </w:r>
          </w:p>
          <w:p w14:paraId="445CF4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当前账号的数据范围为"沈阳园区"</w:t>
            </w:r>
          </w:p>
          <w:p w14:paraId="370DF7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该账号请求对比包含"鲁缆本部"的经营单位数据</w:t>
            </w:r>
          </w:p>
          <w:p w14:paraId="2B8AEB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请求被拒绝并返回 403</w:t>
            </w:r>
          </w:p>
          <w:p w14:paraId="5081E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E_AUTH_RLS_SCOPE_DENIED</w:t>
            </w:r>
          </w:p>
          <w:p w14:paraId="399DD9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越权尝试写入审计日志</w:t>
            </w:r>
          </w:p>
        </w:tc>
      </w:tr>
    </w:tbl>
    <w:p w14:paraId="304D430B">
      <w:pPr>
        <w:spacing w:after="40"/>
        <w:rPr>
          <w:rFonts w:hint="eastAsia" w:ascii="宋体" w:hAnsi="宋体" w:eastAsia="宋体" w:cs="宋体"/>
          <w:i w:val="0"/>
          <w:iCs w:val="0"/>
          <w:sz w:val="24"/>
          <w:szCs w:val="24"/>
        </w:rPr>
      </w:pPr>
    </w:p>
    <w:p w14:paraId="435205D0">
      <w:pPr>
        <w:pStyle w:val="5"/>
        <w:numPr>
          <w:ilvl w:val="0"/>
          <w:numId w:val="136"/>
        </w:numPr>
        <w:ind w:left="0" w:leftChars="0" w:firstLine="0" w:firstLineChars="0"/>
        <w:outlineLvl w:val="1"/>
        <w:rPr>
          <w:rFonts w:eastAsia="黑体"/>
          <w:b w:val="0"/>
          <w:bCs w:val="0"/>
          <w:sz w:val="30"/>
          <w:szCs w:val="24"/>
        </w:rPr>
      </w:pPr>
      <w:bookmarkStart w:id="44" w:name="_Toc17382"/>
      <w:r>
        <w:rPr>
          <w:rFonts w:ascii="Times New Roman" w:hAnsi="Times New Roman" w:eastAsia="黑体" w:cs="Times New Roman"/>
          <w:b w:val="0"/>
          <w:bCs w:val="0"/>
          <w:sz w:val="30"/>
          <w:szCs w:val="24"/>
        </w:rPr>
        <w:t>纵向对比</w:t>
      </w:r>
      <w:bookmarkEnd w:id="44"/>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80"/>
                    <a:stretch>
                      <a:fillRect/>
                    </a:stretch>
                  </pic:blipFill>
                  <pic:spPr>
                    <a:xfrm>
                      <a:off x="0" y="0"/>
                      <a:ext cx="5900420" cy="2925445"/>
                    </a:xfrm>
                    <a:prstGeom prst="rect">
                      <a:avLst/>
                    </a:prstGeom>
                    <a:noFill/>
                    <a:ln>
                      <a:noFill/>
                    </a:ln>
                  </pic:spPr>
                </pic:pic>
              </a:graphicData>
            </a:graphic>
          </wp:inline>
        </w:drawing>
      </w:r>
    </w:p>
    <w:p w14:paraId="27195640">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1F14FD8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左侧组织树可见范围为"本级及以下"，树根默认为用户所属顶层单位（集团账号为"特变电工电装集团"，园区账号为其所属子公司）；跨单位聚合＝默认按所选单位集合纵向汇总，项目公司置灰且不参与红黑榜；对外可见档位＝SENSITIVE；越权返回。</w:t>
      </w:r>
    </w:p>
    <w:p w14:paraId="465D9A17">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4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碳核算与认证工程师 (Persona P4)，</w:t>
      </w:r>
    </w:p>
    <w:p w14:paraId="1262B508">
      <w:pPr>
        <w:pStyle w:val="19"/>
        <w:widowControl/>
        <w:numPr>
          <w:ilvl w:val="0"/>
          <w:numId w:val="14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按批次追踪同型号产品碳足迹演变，并以瀑布图量化各减碳举措的贡献度，</w:t>
      </w:r>
    </w:p>
    <w:p w14:paraId="3FCAFA43">
      <w:pPr>
        <w:pStyle w:val="19"/>
        <w:widowControl/>
        <w:numPr>
          <w:ilvl w:val="0"/>
          <w:numId w:val="14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我能识别最有效的减碳路径并复制到其他产线。</w:t>
      </w:r>
    </w:p>
    <w:p w14:paraId="45A0DCCC">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660220A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604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6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8FB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AC4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57BA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7A7F1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0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0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组织树（左侧）</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E1F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树形控件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0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82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含关键字搜索框；节点为 集团 → 子公司 → 厂/基地 三级；勾选决定对比范围，多选时取并集</w:t>
            </w:r>
          </w:p>
        </w:tc>
      </w:tr>
      <w:tr w14:paraId="520D10C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B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2B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对比范围提示条</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F80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6D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8F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格式"当前对比范围：XXX——在左侧组织树勾选单位可切换对比范围"</w:t>
            </w:r>
          </w:p>
        </w:tc>
      </w:tr>
      <w:tr w14:paraId="23F3E71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9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53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产线 / 产品大类 / 产品中类 / 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2C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级联枚举 + 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80AE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2FC1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产品大类含"变压器-高压 / 变压器-超高压"等；时间区间默认近 3 个月</w:t>
            </w:r>
          </w:p>
        </w:tc>
      </w:tr>
      <w:tr w14:paraId="3C3A074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8686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19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产品规格数量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D9C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58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4121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本次范围内出现的去重型号数</w:t>
            </w:r>
          </w:p>
        </w:tc>
      </w:tr>
      <w:tr w14:paraId="26B1453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AE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生产产品总数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593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4C3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98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范围内的合格入库总量；与第二章产量口径同源</w:t>
            </w:r>
          </w:p>
        </w:tc>
      </w:tr>
      <w:tr w14:paraId="0A4B318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FD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D69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81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E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43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按特征量加权的单位化均值</w:t>
            </w:r>
          </w:p>
        </w:tc>
      </w:tr>
      <w:tr w14:paraId="7CF31ED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A3F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3DC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单位产品碳足迹（升序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AB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表格</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943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E5B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列：型号 / 台数(台) / 单台碳排(tCO₂e) / 特征值(kVA) / 单位产品碳足迹</w:t>
            </w:r>
          </w:p>
        </w:tc>
      </w:tr>
      <w:tr w14:paraId="6612CBF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197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98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单位产品碳足迹（降序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B69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表格</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9B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28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同上表结构；与升序榜不重复上榜</w:t>
            </w:r>
          </w:p>
        </w:tc>
      </w:tr>
      <w:tr w14:paraId="0E72C7D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44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A8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归因瀑布图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10E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F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0B2F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因子：原材料替代 / 绿电接入 / 工艺优化 / 其他残差</w:t>
            </w:r>
          </w:p>
        </w:tc>
      </w:tr>
    </w:tbl>
    <w:p w14:paraId="6FA0F738">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D4B20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9067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ΔCF = CF_t − CF_base　——　碳足迹变动量</w:t>
            </w:r>
          </w:p>
          <w:p w14:paraId="3F173F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Con_i = ΔCF_i ÷ ΔCF × 100%　——　各因素归因贡献率</w:t>
            </w:r>
          </w:p>
          <w:p w14:paraId="216D30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CF_scope_all = Σ CF_unit,i ÷ N　——　跨单位均值</w:t>
            </w:r>
          </w:p>
          <w:p w14:paraId="6D0D48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Top_red = ORDER_BY(CF_unit) ASC LIMIT 5　——　红榜（低碳标杆）</w:t>
            </w:r>
          </w:p>
          <w:p w14:paraId="520FB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Top_black = ORDER_BY(CF_unit) DESC LIMIT 5　——　黑榜（改进对象）</w:t>
            </w:r>
          </w:p>
        </w:tc>
      </w:tr>
    </w:tbl>
    <w:p w14:paraId="4C4D739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变量定义与取值约定：ΔCF_i 为第 i 项减碳举措（原材料替代、绿电接入、工艺优化）带来的碳足迹变化量；归因贡献率之和应为 100%，偏差超 ±1% 提示归因不完整。</w:t>
      </w:r>
    </w:p>
    <w:p w14:paraId="51C6FC7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取值示例：筛选「高压产线 / 交流变压器-110KV / 4 个规格」，范围内生产产品总数 2,836 台，单位产品碳足迹均值 0.0957 kgCO₂e/kVA；降序榜首为 SFZ-63000/110（627 台，单台 8.892 tCO₂e，特征值 63,000 kVA）→ CF_unit = 8,892 ÷ 63,000 = 0.1411 kgCO₂e/kVA；升序榜首为 SF52-120000/110（636 台，单台 3.408 tCO₂e，特征值 120,000 kVA）→ 3,408 ÷ 120,000 = 0.0284 kgCO₂e/kVA。</w:t>
      </w:r>
    </w:p>
    <w:p w14:paraId="207D8C9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精度与容差：变动量与单位产品碳足迹保留 4 位小数；归因贡献率保留 2 位小数，配平容差 ≤ ±1.00%；单台碳排（tCO₂e）保留 3 位小数；台数与特征值为整数。</w:t>
      </w:r>
    </w:p>
    <w:p w14:paraId="2F766CF1">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61E21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b w:val="0"/>
          <w:bCs/>
          <w:i w:val="0"/>
          <w:color w:val="auto"/>
          <w:sz w:val="24"/>
          <w:szCs w:val="24"/>
        </w:rPr>
        <w:t>纵向追溯以生产批次时间轴为准，不以销售订单时间为准。</w:t>
      </w:r>
    </w:p>
    <w:p w14:paraId="586C61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b w:val="0"/>
          <w:bCs/>
          <w:i w:val="0"/>
          <w:color w:val="auto"/>
          <w:sz w:val="24"/>
          <w:szCs w:val="24"/>
        </w:rPr>
        <w:t>scope 为"全部经营单位"时采用跨单位算术平均，非加权。</w:t>
      </w:r>
    </w:p>
    <w:p w14:paraId="7AC850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b w:val="0"/>
          <w:bCs/>
          <w:i w:val="0"/>
          <w:color w:val="auto"/>
          <w:sz w:val="24"/>
          <w:szCs w:val="24"/>
        </w:rPr>
        <w:t>红黑榜基于同类别内各型号升序排序，前 5 与后 5，型号数少于 10 时不重复上榜。</w:t>
      </w:r>
    </w:p>
    <w:p w14:paraId="19B9ACC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b w:val="0"/>
          <w:bCs/>
          <w:i w:val="0"/>
          <w:color w:val="auto"/>
          <w:sz w:val="24"/>
          <w:szCs w:val="24"/>
        </w:rPr>
        <w:t>归因须完整覆盖全部减碳举措，贡献率之和强制配平至 100%。</w:t>
      </w:r>
    </w:p>
    <w:p w14:paraId="523FFD8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判定阈值与基准来源：</w:t>
      </w:r>
      <w:r>
        <w:rPr>
          <w:rFonts w:ascii="Times New Roman" w:hAnsi="Times New Roman" w:eastAsia="宋体" w:cs="Times New Roman"/>
          <w:b w:val="0"/>
          <w:bCs/>
          <w:i w:val="0"/>
          <w:color w:val="auto"/>
          <w:sz w:val="24"/>
          <w:szCs w:val="24"/>
        </w:rPr>
        <w:t>① 归因完整性阈值：各因素贡献率之和与 100% 的偏差 ≤ ±1.00% 判完整；超出则标注"归因待补充"并单列未归因残差项；② 归因准入阈值：同型号有效历史批次 ≥ 2 个才绘制瀑布图；③ 红黑榜基数阈值：同类别型号数 &lt; 10 时红黑榜不得出现同一型号；④ 变动量有效性阈值：|ΔCF| &lt; 0.0001 kgCO₂e/kVA 视为无变化，贡献率置 --（除零兜底）；⑤ 基准来源：CF_base 取同型号同特征量的上一有效批次，非"历史最低值"、非"年度均值"；⑥ 均值基准来源：跨单位算术平均，与横向对比模块的均值口径保持一致（差别仅在于单位集合来源不同）。</w:t>
      </w:r>
    </w:p>
    <w:p w14:paraId="6AB4D60A">
      <w:pPr>
        <w:pStyle w:val="6"/>
        <w:numPr>
          <w:ilvl w:val="0"/>
          <w:numId w:val="14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C713C43">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7489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个：不绘制归因瀑布图，输出客观提示"历史批次不足，暂不支持归因"，触发 E_BIZ_TREND_BATCH_INSUFFICIENT（422）。</w:t>
            </w:r>
          </w:p>
          <w:p w14:paraId="779CED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100%：标注"归因待补充"并列出未归因残差，触发 E_BIZ_TREND_ATTRIB_MISMATCH（422，不阻断出图，仅提示）。</w:t>
            </w:r>
          </w:p>
          <w:p w14:paraId="75BDCD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40F784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除零兜底：总变动量为 0 时贡献率显示 --，触发 E_BIZ_TREND_DELTA_ZERO（200，安全兜底）。</w:t>
            </w:r>
          </w:p>
          <w:p w14:paraId="4B516D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同类别型号数 &lt; 10：红黑榜自动去重，同一型号不上两榜，被去重侧自动顺延一位。</w:t>
            </w:r>
          </w:p>
          <w:p w14:paraId="3DA5ED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组织越权：请求范围超出 RLS 授权，返回 403 + E_AUTH_RLS_SCOPE_DENIED。</w:t>
            </w:r>
          </w:p>
        </w:tc>
      </w:tr>
    </w:tbl>
    <w:p w14:paraId="394D55FC">
      <w:pPr>
        <w:pStyle w:val="6"/>
        <w:numPr>
          <w:ilvl w:val="0"/>
          <w:numId w:val="14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p w14:paraId="48E769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历史批次不足的客观提示</w:t>
            </w:r>
          </w:p>
          <w:p w14:paraId="45CA41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某型号仅有 1 个有效生产批次的碳足迹数据</w:t>
            </w:r>
          </w:p>
          <w:p w14:paraId="76ED0A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用户请求查看归因瀑布图</w:t>
            </w:r>
          </w:p>
          <w:p w14:paraId="78295A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不绘制瀑布图，输出"历史批次不足，暂不支持归因"提示</w:t>
            </w:r>
          </w:p>
          <w:p w14:paraId="555438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E_BIZ_TREND_BATCH_INSUFFICIENT</w:t>
            </w:r>
          </w:p>
          <w:p w14:paraId="14EE6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归因贡献率配平校验</w:t>
            </w:r>
          </w:p>
          <w:p w14:paraId="7F03D9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某型号存在 3 个有效历史批次且识别出 2 项减碳举措</w:t>
            </w:r>
          </w:p>
          <w:p w14:paraId="47135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系统生成减碳归因瀑布图</w:t>
            </w:r>
          </w:p>
          <w:p w14:paraId="5EC2C4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两项贡献率之和与 100% 的偏差不超过 ±1.00%</w:t>
            </w:r>
          </w:p>
          <w:p w14:paraId="2B4287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偏差超出阈值时标注"归因待补充"并单列未归因残差项</w:t>
            </w:r>
          </w:p>
          <w:p w14:paraId="462673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E_BIZ_TREND_ATTRIB_MISMATCH</w:t>
            </w:r>
          </w:p>
          <w:p w14:paraId="751888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变动量为零除零兜底</w:t>
            </w:r>
          </w:p>
          <w:p w14:paraId="41B962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某型号相邻两个批次的单位产品碳足迹完全相同</w:t>
            </w:r>
          </w:p>
          <w:p w14:paraId="612535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系统计算各因素归因贡献率</w:t>
            </w:r>
          </w:p>
          <w:p w14:paraId="208ACB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贡献率安全显示为 "--"</w:t>
            </w:r>
          </w:p>
          <w:p w14:paraId="46CBDD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系统不出现 NaN、Infinity 或前端脚本异常</w:t>
            </w:r>
          </w:p>
          <w:p w14:paraId="1DFEFB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E_BIZ_TREND_DELTA_ZERO</w:t>
            </w:r>
          </w:p>
        </w:tc>
      </w:tr>
    </w:tbl>
    <w:p w14:paraId="188330CC">
      <w:pPr>
        <w:spacing w:after="40"/>
        <w:rPr>
          <w:rFonts w:hint="eastAsia" w:ascii="宋体" w:hAnsi="宋体" w:eastAsia="宋体" w:cs="宋体"/>
          <w:i w:val="0"/>
          <w:iCs w:val="0"/>
          <w:sz w:val="24"/>
          <w:szCs w:val="24"/>
        </w:rPr>
      </w:pPr>
    </w:p>
    <w:p w14:paraId="7E8EB1C9">
      <w:pPr>
        <w:pStyle w:val="4"/>
        <w:numPr>
          <w:ilvl w:val="0"/>
          <w:numId w:val="130"/>
        </w:numPr>
        <w:topLinePunct w:val="0"/>
        <w:ind w:left="0" w:leftChars="0" w:firstLine="0" w:firstLineChars="0"/>
        <w:outlineLvl w:val="0"/>
        <w:rPr>
          <w:rFonts w:hint="eastAsia" w:eastAsia="黑体"/>
          <w:b w:val="0"/>
          <w:bCs w:val="0"/>
          <w:sz w:val="30"/>
          <w:szCs w:val="32"/>
        </w:rPr>
      </w:pPr>
      <w:bookmarkStart w:id="45" w:name="_Toc7172"/>
      <w:r>
        <w:rPr>
          <w:rFonts w:ascii="Times New Roman" w:hAnsi="Times New Roman" w:eastAsia="黑体" w:cs="Times New Roman"/>
          <w:b w:val="0"/>
          <w:bCs w:val="0"/>
          <w:sz w:val="30"/>
          <w:szCs w:val="32"/>
        </w:rPr>
        <w:t>实景数据库与碳足迹核算</w:t>
      </w:r>
      <w:bookmarkEnd w:id="45"/>
    </w:p>
    <w:p w14:paraId="68448DD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本板块是集采中心的"数据底座 + 算账台"：实景数据库沉淀每个产品型号的真实碳足迹因子（一事一档），碳足迹核算执行 ISO 14067 五阶段滚算与状态流转（型号级与订单级双口径），碳足迹报告一键产出可交付、可验真的双语报告与数字碳标签。三个模块构成"沉淀 → 核算 → 交付"的完整链路。</w:t>
      </w:r>
    </w:p>
    <w:p w14:paraId="61E0DBC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边界声明：本板块只处理产品碳足迹（PCF），不处理组织级温室气体清单（ISO 14064）；核算边界固定为摇篮到大门（Cradle-to-Gate），不做下游使用与回收阶段。</w:t>
      </w:r>
    </w:p>
    <w:p w14:paraId="672C4CF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「实景数据库」与「因子库管理」的本质区别（务必在此声明，原稿两处混用）：实景数据库是一事一档——按「产品型号 × 经营单位 × 账期」落一条真实核算结果；因子库管理是一类一档——按「物料 / 电网 / 能源品种」落一条排放因子。前者是结果，后者是输入参数；前者可被销售与认证直接引用，后者仅供核算引擎引用。</w:t>
      </w:r>
    </w:p>
    <w:p w14:paraId="64D449FD">
      <w:pPr>
        <w:pStyle w:val="5"/>
        <w:numPr>
          <w:ilvl w:val="0"/>
          <w:numId w:val="145"/>
        </w:numPr>
        <w:ind w:left="0" w:leftChars="0" w:firstLine="0" w:firstLineChars="0"/>
        <w:outlineLvl w:val="1"/>
        <w:rPr>
          <w:rFonts w:eastAsia="黑体"/>
          <w:b w:val="0"/>
          <w:bCs w:val="0"/>
          <w:sz w:val="30"/>
          <w:szCs w:val="24"/>
        </w:rPr>
      </w:pPr>
      <w:bookmarkStart w:id="46" w:name="_Toc21495"/>
      <w:r>
        <w:rPr>
          <w:rFonts w:ascii="Times New Roman" w:hAnsi="Times New Roman" w:eastAsia="黑体" w:cs="Times New Roman"/>
          <w:b w:val="0"/>
          <w:bCs w:val="0"/>
          <w:sz w:val="30"/>
          <w:szCs w:val="24"/>
        </w:rPr>
        <w:t>实景数据库</w:t>
      </w:r>
      <w:bookmarkEnd w:id="46"/>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81"/>
                    <a:stretch>
                      <a:fillRect/>
                    </a:stretch>
                  </pic:blipFill>
                  <pic:spPr>
                    <a:xfrm>
                      <a:off x="0" y="0"/>
                      <a:ext cx="5900420" cy="2925445"/>
                    </a:xfrm>
                    <a:prstGeom prst="rect">
                      <a:avLst/>
                    </a:prstGeom>
                    <a:noFill/>
                    <a:ln>
                      <a:noFill/>
                    </a:ln>
                  </pic:spPr>
                </pic:pic>
              </a:graphicData>
            </a:graphic>
          </wp:inline>
        </w:drawing>
      </w:r>
    </w:p>
    <w:p w14:paraId="143BD801">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92473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功能定位：面向变压器、线缆等主力品类，按「产品大类 × 产品中类 × 产品型号」沉淀每个型号在各经营单位的真实碳足迹核算结果（一事一档），作为对外数据引用、认证报告取数、CBAM 底数生成的唯一权威数据源。</w:t>
      </w:r>
    </w:p>
    <w:p w14:paraId="39A5EA5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承载角色：P4 碳核算工程师（主维护与复核）、P2 园区能碳专员（本园区数据查阅）、P6 外部独立审计机构（只读核验）。</w:t>
      </w:r>
    </w:p>
    <w:p w14:paraId="1E4FB51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页面路由：/carbon-footprint/database/realscene；含二级菜单：数据总览 / 碳足迹核算 / 碳足迹报告。</w:t>
      </w:r>
    </w:p>
    <w:p w14:paraId="465527D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上游依赖：碳足迹核算模块产出的型号级核算结果、产品型号主数据（第四章「产品型号管理」）、经营单位组织主数据、因子库管理板块的因子版本。</w:t>
      </w:r>
    </w:p>
    <w:p w14:paraId="69947B4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下游输出：对外示范窗口的数据源、认证申请的资料取数、CBAM 申报底数、横向/纵向对比模块的样本集。</w:t>
      </w:r>
    </w:p>
    <w:p w14:paraId="6EE566B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与因子库管理的边界：本模块存核算结果（一事一档，随账期滚动新增），因子库管理存输入参数（一类一档，随版本冻结切换）；本模块行数随型号数与账期数增长，因子库行数仅随物料/能源品种增长。</w:t>
      </w:r>
    </w:p>
    <w:p w14:paraId="79F084A6">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9DEE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1）指标卡区（三卡）：「产品规格数据」＝区间内去重型号数；「实景数据记录」＝区间内落库记录条数；「覆盖细分类别」＝命中的产品中类数。</w:t>
      </w:r>
    </w:p>
    <w:p w14:paraId="38D89AF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2）筛选条（两行）：第一行 产业（变压器 / 线缆）· 产品大类 · 产品中类；第二行 时间粒度（跨月 / 单月）· 起始月 · 至 · 经营单位 · 型号/类别搜索框；右侧「查询」「重置」。</w:t>
      </w:r>
    </w:p>
    <w:p w14:paraId="684CA09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3）主清单表：列依次为 产品大类 · 产品中类 · 产品型号 · 生产单位数 · 单台碳足迹 · 单位产品碳足迹 · 数据区间 · 操作（行内「因子详情」抽屉）。</w:t>
      </w:r>
    </w:p>
    <w:p w14:paraId="45CF67B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4）行内抽屉（因子详情）：展示该型号碳足迹的五阶段拆解、引用的因子版本清单（物料 / 电力 / 能源活动）、数据来源凭证索引与哈希。</w:t>
      </w:r>
    </w:p>
    <w:p w14:paraId="2D1CA5A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5）排序与分页：默认按「产品大类 → 产品中类 → 产品型号」字典序；单页 20 行；跨月粒度下同一型号按区间聚合为一行，并显示区间。</w:t>
      </w:r>
    </w:p>
    <w:p w14:paraId="79DD000F">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4E87844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D26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43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FFB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64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02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7107C3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C0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40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BE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D87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F6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 / 线缆（与产品主数据同源）</w:t>
            </w:r>
          </w:p>
        </w:tc>
      </w:tr>
      <w:tr w14:paraId="2F5274D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33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E1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889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4CD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79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变压器-高压 / 变压器-超高压 / 线缆-电力电缆 …</w:t>
            </w:r>
          </w:p>
        </w:tc>
      </w:tr>
      <w:tr w14:paraId="6DDBB5A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F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16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产品中类</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64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0B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81A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交流变压器-110KV / 交流变压器-220KV / 交流变压器-330KV …</w:t>
            </w:r>
          </w:p>
        </w:tc>
      </w:tr>
      <w:tr w14:paraId="2428D9A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514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F7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时间粒度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B2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06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AC9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跨月（默认）／单月；跨月时数据区间列必填</w:t>
            </w:r>
          </w:p>
        </w:tc>
      </w:tr>
      <w:tr w14:paraId="5FC2D8A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482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9D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EC5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4F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50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YYYY-MM ~ YYYY-MM ；起 ≤ 止</w:t>
            </w:r>
          </w:p>
        </w:tc>
      </w:tr>
      <w:tr w14:paraId="3E247A2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74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B88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B87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28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BB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须存在于第四章「产品型号管理」；不存在则不入表</w:t>
            </w:r>
          </w:p>
        </w:tc>
      </w:tr>
      <w:tr w14:paraId="01653E0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6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97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3E4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3E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6389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记录数</w:t>
            </w:r>
            <w:r>
              <w:rPr>
                <w:rFonts w:hint="eastAsia" w:ascii="宋体" w:hAnsi="宋体" w:eastAsia="宋体" w:cs="宋体"/>
                <w:i w:val="0"/>
                <w:iCs w:val="0"/>
                <w:color w:val="1F2937"/>
                <w:sz w:val="24"/>
                <w:szCs w:val="24"/>
                <w:lang w:val="en-US" w:eastAsia="zh-CN"/>
              </w:rPr>
              <w:t xml:space="preserve"> </w:t>
            </w:r>
            <w:r>
              <w:rPr>
                <w:rFonts w:hint="eastAsia" w:ascii="宋体" w:hAnsi="宋体" w:eastAsia="宋体" w:cs="宋体"/>
                <w:i w:val="0"/>
                <w:iCs w:val="0"/>
                <w:color w:val="1F2937"/>
                <w:sz w:val="24"/>
                <w:szCs w:val="24"/>
              </w:rPr>
              <w:t>≥ 1</w:t>
            </w:r>
          </w:p>
        </w:tc>
      </w:tr>
      <w:tr w14:paraId="1F5A327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712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9A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50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823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ECA8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0；同一型号多单位取均值</w:t>
            </w:r>
          </w:p>
        </w:tc>
      </w:tr>
      <w:tr w14:paraId="5E70088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C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CB9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86E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EE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35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单台碳足迹 ÷ 特征值；特征值 ≤ 0 时置 --</w:t>
            </w:r>
          </w:p>
        </w:tc>
      </w:tr>
      <w:tr w14:paraId="56B59AD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EC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04A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数据来源凭证索引</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AB5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文本（哈希）</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24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44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SHA-256，抽屉内展示</w:t>
            </w:r>
          </w:p>
        </w:tc>
      </w:tr>
    </w:tbl>
    <w:p w14:paraId="08468AAF">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C56B4D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B341F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E_PCF = Σ E_stage（5 阶段）　——　型号级单台碳足迹（引用核算模块结果）</w:t>
            </w:r>
          </w:p>
          <w:p w14:paraId="421AB2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CF_unit = E_PCF ÷ Feature　——　单位产品碳足迹</w:t>
            </w:r>
          </w:p>
          <w:p w14:paraId="7D43F3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E_PCF_avg = Σ E_PCF,i ÷ N　——　同型号跨经营单位均值</w:t>
            </w:r>
          </w:p>
          <w:p w14:paraId="1469CEF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Rec_count = COUNT(型号 × 经营单位 × 账期)　——　实景记录条数</w:t>
            </w:r>
          </w:p>
          <w:p w14:paraId="73D5B4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Verify = HASH(VoucherSet) == ChainHash　——　凭证哈希链完整性校验</w:t>
            </w:r>
          </w:p>
        </w:tc>
      </w:tr>
    </w:tbl>
    <w:p w14:paraId="562080B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取值示例：SFZ-63000/110，特征值 63,000 kVA。按指标卡口径 单台 8,780.0 kgCO₂e/台 → CF_unit = 8,780.0 ÷ 63,000 = 0.139365 → 0.1394 kgCO₂e/kVA；按清单行自身单台值 8,788.871 kgCO₂e/台 → 8,788.871 ÷ 63,000 = 0.139506 → 0.1395 kgCO₂e/kVA。两者相差 0.0001，恰好卡在容差边界——说明清单行的"单位产品碳足迹"实际是按 8,780 口径计算的，与本行列示的 8,788.871 未勾稽（详见 ④ 段提示与 C9）。范围统计：125 个型号、1,793 条记录、54 个细分类别。</w:t>
      </w:r>
    </w:p>
    <w:p w14:paraId="24CE31C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精度与容差：单台碳足迹保留 3 位小数；单位产品碳足迹保留 4 位小数；均值按全精度累加末位一次舍入，容差 ≤ ±0.0001；记录条数为整数。</w:t>
      </w:r>
    </w:p>
    <w:p w14:paraId="5E943D67">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EECF81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分级口径：本模块数据标为 INTERNAL；含供应商来源的凭证索引标为 SENSITIVE；对外输出一律脱敏为品类均值。</w:t>
      </w:r>
    </w:p>
    <w:p w14:paraId="435740B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证据口径：每条实景记录须挂接数据来源凭证（检测报告 / 台账 / 发票），凭证哈希入链，缺凭证记录标注"凭证待补"且不可被认证申请引用。</w:t>
      </w:r>
    </w:p>
    <w:p w14:paraId="6FBF52A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时效口径：记录含 version_id / effective_from / effective_to，生效期外拦截选用。</w:t>
      </w:r>
    </w:p>
    <w:p w14:paraId="2F1B8C5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唯一性阈值：同一「产品型号 × 经营单位 × 账期」仅允许 1 条有效记录，重复落库拒绝写入；② 记录可用阈值：凭证齐备率 = 100% 方可标记"可引用"，否则仅可查阅；③ 单位偏差阈值：单台碳足迹 ÷ 特征值 与 明细页展示值偏差 ≤ ±0.0001，超差以明细页为准并告警；④ 时间粒度阈值：跨月粒度区间跨度 ≤ 12 个月；⑤ 特征值来源基准：第四章「产品型号管理」中的额定容量 / 长度；⑥ 样本量阈值：型号下有效单位数 ≥ 3 才输出均值，否则显示单点值并标注"样本不足"。</w:t>
      </w:r>
    </w:p>
    <w:p w14:paraId="70DAEA95">
      <w:pPr>
        <w:pStyle w:val="6"/>
        <w:numPr>
          <w:ilvl w:val="0"/>
          <w:numId w:val="14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p w14:paraId="107863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引用的物料因子版本已过 effective_to：触发 E_VAL_FACTOR_EXPIRED（422），该行标注"因子待升级"，禁止被认证申请引用。</w:t>
            </w:r>
          </w:p>
          <w:p w14:paraId="110D84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重复落库（同型号 × 同单位 × 同账期）：拒绝写入并返回 E_DATA_DUPLICATE_REALSCENE（409），保留首条并提示重复来源。</w:t>
            </w:r>
          </w:p>
          <w:p w14:paraId="7B32B8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明细页与清单页同一型号的单位产品碳足迹不一致：以明细页为权威值，清单页自动重算，同时触发 E_BIZ_REALSCENE_UNIT_MISMATCH（500）告警至数据治理看板。</w:t>
            </w:r>
          </w:p>
          <w:p w14:paraId="6977C97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组织越权：返回 403 + E_AUTH_RLS_SCOPE_DENIED。</w:t>
            </w:r>
          </w:p>
        </w:tc>
      </w:tr>
    </w:tbl>
    <w:p w14:paraId="325D296C">
      <w:pPr>
        <w:spacing w:after="40"/>
        <w:rPr>
          <w:rFonts w:hint="eastAsia" w:ascii="宋体" w:hAnsi="宋体" w:eastAsia="宋体" w:cs="宋体"/>
          <w:i w:val="0"/>
          <w:iCs w:val="0"/>
          <w:sz w:val="24"/>
          <w:szCs w:val="24"/>
        </w:rPr>
      </w:pPr>
    </w:p>
    <w:p w14:paraId="2D310810">
      <w:pPr>
        <w:pStyle w:val="6"/>
        <w:numPr>
          <w:ilvl w:val="0"/>
          <w:numId w:val="14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p w14:paraId="1A6850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同型号同单位同账期重复落库拦截</w:t>
            </w:r>
          </w:p>
          <w:p w14:paraId="3ADE32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实景数据库中已存在"SFZ-63000/110 × 沈变本部 × 2026-07"的有效记录</w:t>
            </w:r>
          </w:p>
          <w:p w14:paraId="11B72F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核算引擎再次提交同一组合的落库请求</w:t>
            </w:r>
          </w:p>
          <w:p w14:paraId="3521C2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写入被拒绝并返回 E_DATA_DUPLICATE_REALSCENE</w:t>
            </w:r>
          </w:p>
          <w:p w14:paraId="757CEB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库中该组合仍仅有 1 条有效记录</w:t>
            </w:r>
          </w:p>
          <w:p w14:paraId="303A67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单台碳足迹与单位产品碳足迹换算一致性</w:t>
            </w:r>
          </w:p>
          <w:p w14:paraId="719539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型号 SFZ-63000/110 的单台碳足迹为 8,788.871 kgCO₂e/台，特征值为 63,000 kVA</w:t>
            </w:r>
          </w:p>
          <w:p w14:paraId="405C5A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页面渲染该行的单位产品碳足迹</w:t>
            </w:r>
          </w:p>
          <w:p w14:paraId="77DF7B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显示值为 0.1394 kgCO₂e/kVA</w:t>
            </w:r>
          </w:p>
          <w:p w14:paraId="47899A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与 8,788.871 ÷ 63,000 的偏差不超过 ±0.0001</w:t>
            </w:r>
          </w:p>
          <w:p w14:paraId="37C5B79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换算不一致时以明细页值为权威并触发 E_BIZ_REALSCENE_UNIT_MISMATCH</w:t>
            </w:r>
          </w:p>
        </w:tc>
      </w:tr>
    </w:tbl>
    <w:p w14:paraId="28885A2A">
      <w:pPr>
        <w:spacing w:after="40"/>
        <w:rPr>
          <w:rFonts w:hint="eastAsia" w:ascii="宋体" w:hAnsi="宋体" w:eastAsia="宋体" w:cs="宋体"/>
          <w:i w:val="0"/>
          <w:iCs w:val="0"/>
          <w:sz w:val="24"/>
          <w:szCs w:val="24"/>
        </w:rPr>
      </w:pPr>
    </w:p>
    <w:p w14:paraId="3BCFD703">
      <w:pPr>
        <w:pStyle w:val="5"/>
        <w:numPr>
          <w:ilvl w:val="0"/>
          <w:numId w:val="145"/>
        </w:numPr>
        <w:ind w:left="0" w:leftChars="0" w:firstLine="0" w:firstLineChars="0"/>
        <w:outlineLvl w:val="1"/>
        <w:rPr>
          <w:rFonts w:eastAsia="黑体"/>
          <w:b w:val="0"/>
          <w:bCs w:val="0"/>
          <w:sz w:val="30"/>
          <w:szCs w:val="24"/>
        </w:rPr>
      </w:pPr>
      <w:bookmarkStart w:id="47" w:name="_Toc21730"/>
      <w:r>
        <w:rPr>
          <w:rFonts w:ascii="Times New Roman" w:hAnsi="Times New Roman" w:eastAsia="黑体" w:cs="Times New Roman"/>
          <w:b w:val="0"/>
          <w:bCs w:val="0"/>
          <w:sz w:val="30"/>
          <w:szCs w:val="24"/>
        </w:rPr>
        <w:t>碳足迹核算</w:t>
      </w:r>
      <w:bookmarkEnd w:id="47"/>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82"/>
                    <a:stretch>
                      <a:fillRect/>
                    </a:stretch>
                  </pic:blipFill>
                  <pic:spPr>
                    <a:xfrm>
                      <a:off x="0" y="0"/>
                      <a:ext cx="5900420" cy="2925445"/>
                    </a:xfrm>
                    <a:prstGeom prst="rect">
                      <a:avLst/>
                    </a:prstGeom>
                    <a:noFill/>
                    <a:ln>
                      <a:noFill/>
                    </a:ln>
                  </pic:spPr>
                </pic:pic>
              </a:graphicData>
            </a:graphic>
          </wp:inline>
        </w:drawing>
      </w:r>
    </w:p>
    <w:p w14:paraId="7C75CDAA">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1CBB0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可查看组织范围＝本级及以下（P4 全集团、P2 本园区、P3 本厂）；跨单位聚合＝项目公司排除，"全部项目公司"选项仅用于项目公司自身核算视图，不参与集团汇总；对外可见档位＝SENSITIVE（对外仅下发脱敏后的单位产品碳足迹）；越权返回 403 + E_AUTH_RLS_SCOPE_DENIED。</w:t>
      </w:r>
    </w:p>
    <w:p w14:paraId="65BEA47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碳核算与认证工程师 (Persona P4)，</w:t>
      </w:r>
    </w:p>
    <w:p w14:paraId="66B5D367">
      <w:pPr>
        <w:pStyle w:val="19"/>
        <w:widowControl/>
        <w:numPr>
          <w:ilvl w:val="0"/>
          <w:numId w:val="1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一键展开 BOM 并完成 ISO 14067 五阶段滚算，系统自动校验加总一致性与因子有效期，</w:t>
      </w:r>
    </w:p>
    <w:p w14:paraId="5CC6406C">
      <w:pPr>
        <w:pStyle w:val="19"/>
        <w:widowControl/>
        <w:numPr>
          <w:ilvl w:val="0"/>
          <w:numId w:val="15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我能快速产出经得起第三方审计与欧盟审查的碳足迹报告。</w:t>
      </w:r>
    </w:p>
    <w:p w14:paraId="1DEF708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51"/>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4"/>
        <w:gridCol w:w="3240"/>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309CAF6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677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E5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5AC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1AD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02F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6D2A32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0B3B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1E6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子页签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E7E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C19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2C0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产品碳足迹（型号）/（订单）/ 产品用能分析 / 订单能耗追溯</w:t>
            </w:r>
          </w:p>
        </w:tc>
      </w:tr>
      <w:tr w14:paraId="3B2B2FE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38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D4D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时间 / 产业 / 项目公司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07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级联筛选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D60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5A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六段级联；产业与产品大类同源主数据</w:t>
            </w:r>
          </w:p>
        </w:tc>
      </w:tr>
      <w:tr w14:paraId="4814104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87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92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总碳排（单台·均值）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229D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小数(3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D8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D349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7B78904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97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28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48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A6B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75DE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79F380B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90F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16D4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单台特征值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EA0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A7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3AC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电压等级 + 容量</w:t>
            </w:r>
          </w:p>
        </w:tc>
      </w:tr>
      <w:tr w14:paraId="00DA325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6A4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17C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生命周期阶段构成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3C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横向占比条 ×4</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701E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87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 / 原材料运输 / 生产制造 / 废弃物处理</w:t>
            </w:r>
          </w:p>
        </w:tc>
      </w:tr>
      <w:tr w14:paraId="7322275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EE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A08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各经营单位碳排总量排名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B6C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839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5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降序；项目公司置灰</w:t>
            </w:r>
          </w:p>
        </w:tc>
      </w:tr>
    </w:tbl>
    <w:p w14:paraId="212C9E6D">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2907B6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取值示例（SFZ-63000/110，特征值 63,000 kVA）：</w:t>
      </w:r>
    </w:p>
    <w:p w14:paraId="76FDE32E">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17BD7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边界口径：严格 Cradle-to-Gate 五阶段，阶段定义不可增减。</w:t>
      </w:r>
    </w:p>
    <w:p w14:paraId="75A7FA3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分配口径：公共工序（真空干燥、退火炉）水电气能耗按工时或产量权重分摊，分配方法须在报告中声明。</w:t>
      </w:r>
    </w:p>
    <w:p w14:paraId="4E93D0F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容差口径：总碳足迹与五阶段加总的容差上限 0.01 kgCO₂e，超差即阻断证书签发。</w:t>
      </w:r>
    </w:p>
    <w:p w14:paraId="24AE12A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状态口径：认证中状态不可编辑；发布须 P4 + PM 联合签字。</w:t>
      </w:r>
    </w:p>
    <w:p w14:paraId="2859CE5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加总容差 = 0.01 kgCO₂e（硬阈值，超差阻断签发）；② 负值阈值：总量 &lt; 0 一律阻断保存；③ 分母安全阈值：试验工时 T_m ≤ 0 阻断算式生成；工序四元组缺任一项阻断保存；④ 分配权重阈值：单工序分摊比例 ≤ 50% 时方可用单一权重法，超过则须双权重交叉校验；⑤ 责任量阈值：BOM 层级展开深度 ≤ 10 层，超出拒绝展开并提示人工核对；⑥ 基准来源：特征量取第四章「产品型号管理」额定值；因子版本取因子库管理板块当前生效版本；BOM 取 ERP/PLM 当日快照（超时降级用本地缓存快照，须标注降级来源）。</w:t>
      </w:r>
    </w:p>
    <w:p w14:paraId="40F05193">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p w14:paraId="72B4A2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Scenario: 负碳与阶段缺项的强阻断</w:t>
            </w:r>
          </w:p>
          <w:p w14:paraId="18519F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Given 某型号 BOM 展开后残余物料冲抵导致五阶段加总为负值</w:t>
            </w:r>
          </w:p>
          <w:p w14:paraId="505068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When 系统执行 ISO 14067 五阶段滚算</w:t>
            </w:r>
          </w:p>
          <w:p w14:paraId="3B1453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Then 阻断保存并返回 E_VAL_LCA_TOTAL_NEGATIVE</w:t>
            </w:r>
          </w:p>
          <w:p w14:paraId="13962AB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And 页面提示"产品生命周期碳足迹不可小于零"</w:t>
            </w:r>
          </w:p>
          <w:p w14:paraId="52AAE7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When 该型号任一阶段的工序四元组（产量/电/汽/水）缺项</w:t>
            </w:r>
          </w:p>
          <w:p w14:paraId="3467AF9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Then 阻断保存并返回 E_VAL_LCA_STAGE_INCOMPLETE</w:t>
            </w:r>
          </w:p>
          <w:p w14:paraId="21A7070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And 不做零值或空值补齐</w:t>
            </w:r>
          </w:p>
        </w:tc>
      </w:tr>
    </w:tbl>
    <w:p w14:paraId="0C3B6364">
      <w:pPr>
        <w:spacing w:after="40"/>
        <w:rPr>
          <w:rFonts w:hint="eastAsia" w:ascii="宋体" w:hAnsi="宋体" w:eastAsia="宋体" w:cs="宋体"/>
          <w:i w:val="0"/>
          <w:iCs w:val="0"/>
          <w:sz w:val="24"/>
          <w:szCs w:val="24"/>
        </w:rPr>
      </w:pPr>
    </w:p>
    <w:p w14:paraId="66341356">
      <w:pPr>
        <w:pStyle w:val="5"/>
        <w:numPr>
          <w:ilvl w:val="0"/>
          <w:numId w:val="145"/>
        </w:numPr>
        <w:ind w:left="0" w:leftChars="0" w:firstLine="0" w:firstLineChars="0"/>
        <w:outlineLvl w:val="1"/>
        <w:rPr>
          <w:rFonts w:eastAsia="黑体"/>
          <w:b w:val="0"/>
          <w:bCs w:val="0"/>
          <w:sz w:val="30"/>
          <w:szCs w:val="24"/>
        </w:rPr>
      </w:pPr>
      <w:bookmarkStart w:id="48" w:name="_Toc23238"/>
      <w:r>
        <w:rPr>
          <w:rFonts w:ascii="Times New Roman" w:hAnsi="Times New Roman" w:eastAsia="黑体" w:cs="Times New Roman"/>
          <w:b w:val="0"/>
          <w:bCs w:val="0"/>
          <w:sz w:val="30"/>
          <w:szCs w:val="24"/>
        </w:rPr>
        <w:t>碳足迹报告</w:t>
      </w:r>
      <w:bookmarkEnd w:id="48"/>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pic:cNvPicPr>
                      <a:picLocks noChangeAspect="1"/>
                    </pic:cNvPicPr>
                  </pic:nvPicPr>
                  <pic:blipFill>
                    <a:blip r:embed="rId83"/>
                    <a:stretch>
                      <a:fillRect/>
                    </a:stretch>
                  </pic:blipFill>
                  <pic:spPr>
                    <a:xfrm>
                      <a:off x="0" y="0"/>
                      <a:ext cx="5900420" cy="2925445"/>
                    </a:xfrm>
                    <a:prstGeom prst="rect">
                      <a:avLst/>
                    </a:prstGeom>
                    <a:noFill/>
                    <a:ln>
                      <a:noFill/>
                    </a:ln>
                  </pic:spPr>
                </pic:pic>
              </a:graphicData>
            </a:graphic>
          </wp:inline>
        </w:drawing>
      </w:r>
    </w:p>
    <w:p w14:paraId="5660250F">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F1526CD">
      <w:pPr>
        <w:pStyle w:val="19"/>
        <w:widowControl/>
        <w:ind w:left="0" w:leftChars="0" w:firstLine="482" w:firstLineChars="0"/>
        <w:rPr>
          <w:rFonts w:eastAsia="宋体"/>
          <w:b w:val="0"/>
          <w:bCs/>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可查看组织范围＝本级及以下（P4 全集团可发起，P3 仅本厂且须 P4 复核）；跨单位聚合＝本模块不做聚合，按报告单条管理；对外可见档位＝SENSITIVE（导出件经水印与哈希绑定后方可对外交付，交付对象限定认证机构与欧盟客户白名单）；越权导出返回。</w:t>
      </w:r>
    </w:p>
    <w:p w14:paraId="2E8AC537">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5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碳核算与认证工程师 (Persona P4)，</w:t>
      </w:r>
    </w:p>
    <w:p w14:paraId="3201B7D7">
      <w:pPr>
        <w:pStyle w:val="19"/>
        <w:widowControl/>
        <w:numPr>
          <w:ilvl w:val="0"/>
          <w:numId w:val="15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一键导出中英双语 ISO 14067 报告并生成可扫码验真的数字碳标签二维码，</w:t>
      </w:r>
    </w:p>
    <w:p w14:paraId="4B7939FF">
      <w:pPr>
        <w:pStyle w:val="19"/>
        <w:widowControl/>
        <w:numPr>
          <w:ilvl w:val="0"/>
          <w:numId w:val="154"/>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产品出口时能即时提供具备防伪能力的碳足迹证明。</w:t>
      </w:r>
    </w:p>
    <w:p w14:paraId="3995A684">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927431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1）筛选条：经营单位 · 时间区间（起止月）· 产品型号 · 「报告查询」「重置」。</w:t>
      </w:r>
    </w:p>
    <w:p w14:paraId="3264A8B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2）右上主操作：「报告生成」（生成新报告，源数据须为"已认证"状态的核算结果）。</w:t>
      </w:r>
    </w:p>
    <w:p w14:paraId="5B4B21A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3）报告清单表：列依次为 报告编号 · 经营单位 · 产品型号 · 标准 · 核算时间 · 操作。</w:t>
      </w:r>
    </w:p>
    <w:p w14:paraId="1B8848C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4）行操作：预览（在线预览）· Word（下载）· PDF（下载）· 删除（仅"未签发"态可删，"已签发"态置灰）。</w:t>
      </w:r>
    </w:p>
    <w:p w14:paraId="3CE25A0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5）报告编号规则：CFR-{年份}-{4 位流水}，如 CFR-2026-0451；流水按集团内年度递增，删除不回收号段。</w:t>
      </w:r>
    </w:p>
    <w:p w14:paraId="509B150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6）默认排序：按核算时间降序。</w:t>
      </w:r>
    </w:p>
    <w:p w14:paraId="051A82C1">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4216061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DCBF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2B38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D3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47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5068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764FA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C55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AE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8E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52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34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正则 CFR-d{4}-d{4}$ ；全局唯一</w:t>
            </w:r>
          </w:p>
        </w:tc>
      </w:tr>
      <w:tr w14:paraId="6EF0443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C5C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D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713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CFE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509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取自组织主数据（沈变本部 / 衡变本部 / 超高压公司 / 鲁缆本部 …）</w:t>
            </w:r>
          </w:p>
        </w:tc>
      </w:tr>
      <w:tr w14:paraId="4C56FB4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29E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EA9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73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11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72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须存在于产品型号主数据</w:t>
            </w:r>
          </w:p>
        </w:tc>
      </w:tr>
      <w:tr w14:paraId="7A93B91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11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509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CA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3DD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默认 ISO 14067 ；可扩展 PAS 2050 / GHG Protocol</w:t>
            </w:r>
          </w:p>
        </w:tc>
      </w:tr>
      <w:tr w14:paraId="787BFE3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0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16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核算时间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948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BE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035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YYYY-MM-DD；= 报告生成日</w:t>
            </w:r>
          </w:p>
        </w:tc>
      </w:tr>
      <w:tr w14:paraId="19889EE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71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92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24E6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DC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4E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SHA-256（64 位小写）；与内容绑定</w:t>
            </w:r>
          </w:p>
        </w:tc>
      </w:tr>
      <w:tr w14:paraId="7CDA025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8D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79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FDA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文本（自动注入）</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70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77A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含操作员工号 + 导出时间戳， 无豁免通道</w:t>
            </w:r>
          </w:p>
        </w:tc>
      </w:tr>
      <w:tr w14:paraId="7D5F646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3E6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A1A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EPC 编码 / 签名哈希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C7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6246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79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数字碳标签载荷：EPC + Hash_sign + CertNo + ValidUntil</w:t>
            </w:r>
          </w:p>
        </w:tc>
      </w:tr>
    </w:tbl>
    <w:p w14:paraId="617FF1E0">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113A642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取值示例：</w:t>
      </w:r>
      <w:r>
        <w:rPr>
          <w:rFonts w:ascii="Times New Roman" w:hAnsi="Times New Roman" w:eastAsia="宋体" w:cs="Times New Roman"/>
          <w:b w:val="0"/>
          <w:bCs/>
          <w:i w:val="0"/>
          <w:color w:val="auto"/>
          <w:sz w:val="24"/>
          <w:szCs w:val="24"/>
        </w:rPr>
        <w:t>报告 CFR-2026-0451（SZ11-1600/10，衡变本部，ISO 14067），报告内容哈希 H = SHA256(ReportContent) = 3f9a…c1；导出 PDF 时注入水印"工号 P4-2087 | 2026-08-12 14:26"；标签载荷 QR = ENCODE(EPC 8486000000001 + Hash_sign + CertNo CERT-2026-0091 + ValidUntil 2029-07-28)。</w:t>
      </w:r>
    </w:p>
    <w:p w14:paraId="4E642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精度与容差：</w:t>
      </w:r>
      <w:r>
        <w:rPr>
          <w:rFonts w:ascii="Times New Roman" w:hAnsi="Times New Roman" w:eastAsia="宋体" w:cs="Times New Roman"/>
          <w:b w:val="0"/>
          <w:bCs/>
          <w:i w:val="0"/>
          <w:color w:val="auto"/>
          <w:sz w:val="24"/>
          <w:szCs w:val="24"/>
        </w:rPr>
        <w:t>哈希为定长 64 位十六进制；报告内碳足迹值保留 4 位小数、单位随品类；Word / PDF 两份导出件的正文数值必须逐位一致（容差 0），差异即判为导出异常并阻断交付。</w:t>
      </w:r>
    </w:p>
    <w:p w14:paraId="29A347E6">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5C837F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报告口径：仅状态为"已认证 / 已发布"的报告可导出，草稿与送审态禁止导出。</w:t>
      </w:r>
    </w:p>
    <w:p w14:paraId="61282D2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水印口径：任何导出行为强制注入水印，无豁免通道。</w:t>
      </w:r>
    </w:p>
    <w:p w14:paraId="3C2FBE3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标签口径：证书过期后标签自动标记"已过期"并暂停对应产品碳标签发布。</w:t>
      </w:r>
    </w:p>
    <w:p w14:paraId="34EA52F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存证口径：导出报告须包含报告哈希，支持事后完整性校验。</w:t>
      </w:r>
    </w:p>
    <w:p w14:paraId="1F232AA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可导出状态集合 = {已认证, 已发布}，其余 0 例外；② 哈希校验为二值判定（相等/不等），无容差；③ 标签有效期 = 证书 ValidUntil，到期日当天 23:59:59 前仍有效；④ 证书到期预警阈值 90 / 30 / 7 天（来源：认证结果管理模块固定铁律）；⑤ 报告编号唯一性：同「型号 × 经营单位 × 核算日」允许并存历史版本，但编号不重复；⑥ 基准来源：报告数与排放值均引自实景数据库同一型号同一账期记录，不允许报告自行重算。</w:t>
      </w:r>
    </w:p>
    <w:p w14:paraId="2402F5E8">
      <w:pPr>
        <w:pStyle w:val="6"/>
        <w:numPr>
          <w:ilvl w:val="0"/>
          <w:numId w:val="15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F5E49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BE74F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草稿或送审态报告：导出按钮置灰，强制阻断并返回 E_CERT_EXPORT_DRAFT_DENIED（403）。</w:t>
            </w:r>
          </w:p>
          <w:p w14:paraId="1B6CE76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报告哈希比对失败：触发 E_AUDIT_HASH_BROKEN（500），强制阻断导出并标记数据篡改、锁定单据。</w:t>
            </w:r>
          </w:p>
          <w:p w14:paraId="280DC72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6C9A19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二维码签名密钥（HSM）不可用：标签生成失败并告警，返回 E_CERT_LABEL_KEY_UNAVAILABLE（500），不输出无签名标签。</w:t>
            </w:r>
          </w:p>
          <w:p w14:paraId="11E8D7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报告内含未脱敏供应商名称：导出前脱敏校验不通过，阻断导出并列出命中字段。</w:t>
            </w:r>
          </w:p>
          <w:p w14:paraId="732219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组织越权导出他人组织报告：返回 403 + E_AUTH_RLS_SCOPE_DENIED。</w:t>
            </w:r>
          </w:p>
        </w:tc>
      </w:tr>
    </w:tbl>
    <w:p w14:paraId="0E73562B">
      <w:pPr>
        <w:pStyle w:val="6"/>
        <w:numPr>
          <w:ilvl w:val="0"/>
          <w:numId w:val="15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p w14:paraId="1E1AD1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草稿态报告导出被阻断</w:t>
            </w:r>
          </w:p>
          <w:p w14:paraId="49F594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 LCA 报告状态为 DRAFT</w:t>
            </w:r>
          </w:p>
          <w:p w14:paraId="15BA28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用户点击导出 Word 或 PDF</w:t>
            </w:r>
          </w:p>
          <w:p w14:paraId="6EEC22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导出按钮置灰不可点击</w:t>
            </w:r>
          </w:p>
          <w:p w14:paraId="659BCA4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后端同时拒绝该导出请求并返回 E_CERT_EXPORT_DRAFT_DENIED</w:t>
            </w:r>
          </w:p>
          <w:p w14:paraId="2004F5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签名密钥不可用时不输出无签名标签</w:t>
            </w:r>
          </w:p>
          <w:p w14:paraId="2AFDA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数字碳标签签名所用的 HSM 密钥服务不可用</w:t>
            </w:r>
          </w:p>
          <w:p w14:paraId="6FBB2A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P4 尝试生成某产品的数字碳标签</w:t>
            </w:r>
          </w:p>
          <w:p w14:paraId="395655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标签生成失败并返回 E_CERT_LABEL_KEY_UNAVAILABLE</w:t>
            </w:r>
          </w:p>
          <w:p w14:paraId="5B41A3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系统不输出任何未附带签名哈希的标签文件</w:t>
            </w:r>
          </w:p>
          <w:p w14:paraId="753CD3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生成失败事件推送至运维告警</w:t>
            </w:r>
          </w:p>
        </w:tc>
      </w:tr>
    </w:tbl>
    <w:p w14:paraId="4FD04470">
      <w:pPr>
        <w:spacing w:after="40"/>
        <w:rPr>
          <w:rFonts w:hint="eastAsia" w:ascii="宋体" w:hAnsi="宋体" w:eastAsia="宋体" w:cs="宋体"/>
          <w:i w:val="0"/>
          <w:iCs w:val="0"/>
          <w:sz w:val="24"/>
          <w:szCs w:val="24"/>
        </w:rPr>
      </w:pPr>
    </w:p>
    <w:p w14:paraId="2B21B588">
      <w:pPr>
        <w:pStyle w:val="4"/>
        <w:numPr>
          <w:ilvl w:val="0"/>
          <w:numId w:val="130"/>
        </w:numPr>
        <w:topLinePunct w:val="0"/>
        <w:ind w:left="0" w:leftChars="0" w:firstLine="0" w:firstLineChars="0"/>
        <w:outlineLvl w:val="0"/>
        <w:rPr>
          <w:rFonts w:hint="eastAsia" w:eastAsia="黑体"/>
          <w:b w:val="0"/>
          <w:bCs w:val="0"/>
          <w:sz w:val="30"/>
          <w:szCs w:val="32"/>
        </w:rPr>
      </w:pPr>
      <w:bookmarkStart w:id="49" w:name="_Toc26207"/>
      <w:r>
        <w:rPr>
          <w:rFonts w:ascii="Times New Roman" w:hAnsi="Times New Roman" w:eastAsia="黑体" w:cs="Times New Roman"/>
          <w:b w:val="0"/>
          <w:bCs w:val="0"/>
          <w:sz w:val="30"/>
          <w:szCs w:val="32"/>
        </w:rPr>
        <w:t>CBAM 管理</w:t>
      </w:r>
      <w:bookmarkEnd w:id="49"/>
    </w:p>
    <w:p w14:paraId="4D83165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本板块是面向欧盟碳边境调节机制（CBAM，法规 EU 2023/956）的合规作业台，覆盖"范围判定 → 关税测算 → 申报材料组织 → 法规知识支撑"四步闭环。板块下辖 3 个模块：台账管理（管控范围判定与豁免资格预评估）、申报模拟（嵌入碳排放测算、多情景关税模拟、申报包组织）、知识库（法规、CN 清单、填报指引进出口）。</w:t>
      </w:r>
    </w:p>
    <w:p w14:paraId="738D296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边界声明（数据出境）：本板块产出的申报材料与 XML 申报包含出口欧盟产品的工艺与能耗信息，属于敏感数据出境场景。跨境传输路径未经信息安全合规组审批前，导出功能保持关闭；欧盟客户与审查专员仅可通过"对外示范窗口"查看脱敏后的单位产品碳足迹。</w:t>
      </w:r>
    </w:p>
    <w:p w14:paraId="71008C7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与「第三方认证管理」的衔接：CBAM 申报所需的实测排放数据必须取自已签发认证的 LCA 报告；无认证数据时允许套用 CBAM 官方默认值估算，但须显著标注"默认值估算"，不得与实测数据混列。</w:t>
      </w:r>
    </w:p>
    <w:p w14:paraId="6B198EB8">
      <w:pPr>
        <w:pStyle w:val="5"/>
        <w:numPr>
          <w:ilvl w:val="0"/>
          <w:numId w:val="155"/>
        </w:numPr>
        <w:ind w:left="0" w:leftChars="0" w:firstLine="0" w:firstLineChars="0"/>
        <w:outlineLvl w:val="1"/>
        <w:rPr>
          <w:rFonts w:eastAsia="黑体"/>
          <w:b w:val="0"/>
          <w:bCs w:val="0"/>
          <w:sz w:val="30"/>
          <w:szCs w:val="24"/>
        </w:rPr>
      </w:pPr>
      <w:bookmarkStart w:id="50" w:name="_Toc1591"/>
      <w:r>
        <w:rPr>
          <w:rFonts w:ascii="Times New Roman" w:hAnsi="Times New Roman" w:eastAsia="黑体" w:cs="Times New Roman"/>
          <w:b w:val="0"/>
          <w:bCs w:val="0"/>
          <w:sz w:val="30"/>
          <w:szCs w:val="24"/>
        </w:rPr>
        <w:t>台账管理</w:t>
      </w:r>
      <w:bookmarkEnd w:id="50"/>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84"/>
                    <a:stretch>
                      <a:fillRect/>
                    </a:stretch>
                  </pic:blipFill>
                  <pic:spPr>
                    <a:xfrm>
                      <a:off x="0" y="0"/>
                      <a:ext cx="5900420" cy="2925445"/>
                    </a:xfrm>
                    <a:prstGeom prst="rect">
                      <a:avLst/>
                    </a:prstGeom>
                    <a:noFill/>
                    <a:ln>
                      <a:noFill/>
                    </a:ln>
                  </pic:spPr>
                </pic:pic>
              </a:graphicData>
            </a:graphic>
          </wp:inline>
        </w:drawing>
      </w:r>
    </w:p>
    <w:p w14:paraId="4ED66580">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FB7AAE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功能定位：维护出口欧盟电气装备的海关 HS 码 / CN 编码映射与管控范围判定规则，执行豁免资格预评估与出口批次资质校验，明确直接排放与前驱物隐含间接排放的法定边界。</w:t>
      </w:r>
    </w:p>
    <w:p w14:paraId="5328C94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承载角色：P5 报关与关税专家（主操作）、P4 碳核算工程师（排放边界核验）、P1 集团决策层（终审双签）。</w:t>
      </w:r>
    </w:p>
    <w:p w14:paraId="49C2FAE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页面路由：/carbon-footprint/cbam/ledger；含两个页签：管控范围判定 / 资质管理。</w:t>
      </w:r>
    </w:p>
    <w:p w14:paraId="128C789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上游依赖：已认证 LCA 报告、海关 HS / CN 编码库、CBAM 法规知识库、「第三方认证管理」的有效资质记录。</w:t>
      </w:r>
    </w:p>
    <w:p w14:paraId="572CE48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下游输出：CN 编码匹配结果与管控范围判定结论 → 作为「申报模拟」的任务准入依据；机构资质状态 → 决定申报材料是否可被接受。</w:t>
      </w:r>
    </w:p>
    <w:p w14:paraId="4905E2B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数据权限：可查看组织范围＝集团级（P5 与 P1 全网可见，P4 仅本园区）；跨单位聚合＝含项目公司（出口主体可能是项目公司，与第二章统计口径相反，须在本模块豁免该排除规则）；对外可见档位＝SENSITIVE（HS / CN 映射与豁免结论涉及商业信息，不对外）；越权返回 403 + E_AUTH_RLS_SCOPE_DENIED。数据出境另受本板块导言所述审批闸门约束。</w:t>
      </w:r>
    </w:p>
    <w:p w14:paraId="3642F735">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5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国际贸易与关税专家 (Persona P5)，</w:t>
      </w:r>
    </w:p>
    <w:p w14:paraId="604C87B5">
      <w:pPr>
        <w:pStyle w:val="19"/>
        <w:widowControl/>
        <w:numPr>
          <w:ilvl w:val="0"/>
          <w:numId w:val="15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维护海关 CN 税号白名单并确认产品直接排放与前驱物隐含间接排放的法定边界，</w:t>
      </w:r>
    </w:p>
    <w:p w14:paraId="3E197760">
      <w:pPr>
        <w:pStyle w:val="19"/>
        <w:widowControl/>
        <w:numPr>
          <w:ilvl w:val="0"/>
          <w:numId w:val="157"/>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我能确保 CBAM 申报范围准确、不多报不漏报。</w:t>
      </w:r>
    </w:p>
    <w:p w14:paraId="755BEF72">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3052F2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1）指标卡区（四卡）：纳入管控产品（项）· 有效资质（项）· 贸易主体（家）· 已校验出口批次（批）。</w:t>
      </w:r>
    </w:p>
    <w:p w14:paraId="7387CFA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2）页签一「管控范围判定」：</w:t>
      </w:r>
    </w:p>
    <w:p w14:paraId="1CA78BE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CN 编码精准匹配器：输入 HS 码 + 产品名称 + 生产工艺（下拉，如"炼钢-转炉（钢铁）"），点「+ 匹配 CN 编码」返回唯一 8 位 CN 编码；匹配失败时给出"无对应 CN 编码"并列入待人工判定队列。</w:t>
      </w:r>
    </w:p>
    <w:p w14:paraId="6B1A395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豁免资格预评估器：输入"单批次进口量（吨）"与"单位内含碳排放（tCO₂e/t）"，点「+ 评估豁免资格」输出"符合豁免 / 不符合"结论与依据条款。</w:t>
      </w:r>
    </w:p>
    <w:p w14:paraId="2A79E3B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判定结果表：列依次为 产品名称 · HS 码 · CN 码 · 行业 · 管控范围 · 豁免评估 · 资质状态 · 操作（编辑 / 删除）；右上「+ 新增产品」。</w:t>
      </w:r>
    </w:p>
    <w:p w14:paraId="74C1A45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3）页签二「资质管理」：维护贸易主体与出口批次资质，记录资质有效期与校验结果。</w:t>
      </w:r>
    </w:p>
    <w:p w14:paraId="519B353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4）状态色规：管控范围与资质状态用绿（有效/符合豁免）；豁免评估不适用红（不符合）；不管控用绿底浅标签。</w:t>
      </w:r>
    </w:p>
    <w:p w14:paraId="667F539E">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2C9369E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F585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5BA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617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49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446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C06B5C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96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620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78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74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95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自由录入，须与出口报关品名一致</w:t>
            </w:r>
          </w:p>
        </w:tc>
      </w:tr>
      <w:tr w14:paraId="2F1D393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EA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48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HS 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3A92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1FB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0E72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6 位 数字，正则 ^d{6}$ ；示例 8544.23 / 8544.60 / 7308.90 / 3926.90</w:t>
            </w:r>
          </w:p>
        </w:tc>
      </w:tr>
      <w:tr w14:paraId="0945AB8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FE4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DA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CN 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265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21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F9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8 位 数字，正则 ^d{8}$ ；由 HS 码 + 2 位细分位构成；示例 85424230</w:t>
            </w:r>
          </w:p>
        </w:tc>
      </w:tr>
      <w:tr w14:paraId="519CDF6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1DC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4F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行业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335E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E9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94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钢铁 / 铝 / 水泥 / 化肥 / 电力 / 氢 / 化医（CBAM 六大覆盖行业 + 归类项）</w:t>
            </w:r>
          </w:p>
        </w:tc>
      </w:tr>
      <w:tr w14:paraId="3D4D39D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4A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4DEE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管控范围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30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DD4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15A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管控（橙）／ 不管控（绿）</w:t>
            </w:r>
          </w:p>
        </w:tc>
      </w:tr>
      <w:tr w14:paraId="44E35CE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AB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26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豁免评估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783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80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C8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符合豁免（绿）／ 不符合（红）／ 不适用</w:t>
            </w:r>
          </w:p>
        </w:tc>
      </w:tr>
      <w:tr w14:paraId="6EC716D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AA5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A952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资质状态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506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2C79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CAD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有效（绿）／ 失效（灰）</w:t>
            </w:r>
          </w:p>
        </w:tc>
      </w:tr>
      <w:tr w14:paraId="71E8FE6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8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8F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生产工艺</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4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CB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C4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如"炼钢-转炉（钢铁）"；用于 CN 编码精准匹配</w:t>
            </w:r>
          </w:p>
        </w:tc>
      </w:tr>
      <w:tr w14:paraId="54E79B0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FD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2E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单批次进口量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7A7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7B3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098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0；豁免评估输入</w:t>
            </w:r>
          </w:p>
        </w:tc>
      </w:tr>
      <w:tr w14:paraId="1D11FF3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E0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8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单位内含碳排放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D1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C01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tCO₂e/t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40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0；豁免评估输入</w:t>
            </w:r>
          </w:p>
        </w:tc>
      </w:tr>
    </w:tbl>
    <w:p w14:paraId="5EDB2B0A">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59A705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0645D3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In_Scope = (CN_Code ∈ CBAM_Whitelist)　——　税号涵盖判定</w:t>
            </w:r>
          </w:p>
          <w:p w14:paraId="6B948D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CN_Code = MATCH(HS_Code, Product, Process)　——　CN 编码精准匹配</w:t>
            </w:r>
          </w:p>
          <w:p w14:paraId="26441B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Exempt = (Import_Qty ≤ Threshold) OR (Embedded_Carbon ≤ Default_Value)　——　豁免资格判定</w:t>
            </w:r>
          </w:p>
          <w:p w14:paraId="6AA46E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Boundary = f(CN_Code)　——　排放边界映射（直接排放 / 前驱物间接排放）</w:t>
            </w:r>
          </w:p>
          <w:p w14:paraId="4EAF22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Gate_Submit = (Sign_P5 == true) AND (Sign_P1 == true)　——　双签门禁</w:t>
            </w:r>
          </w:p>
        </w:tc>
      </w:tr>
    </w:tbl>
    <w:p w14:paraId="1C82185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取值示例：输入 HS 码 8544.23 + 产品"电力变压器" + 工艺"炼钢-转炉（钢铁）" → 匹配得 CN 码 85424230；查白名单命中"钢铁"行业管控项 → In_Scope = true；豁免评估输入单批次进口量 0.8 吨、单位内含碳排放 0.4210 tCO₂e/t → 低于豁免阈值 → Exempt = false（未达豁免条件），结论"不符合"。</w:t>
      </w:r>
    </w:p>
    <w:p w14:paraId="37AC431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精度与容差：HS 码 / CN 码为定长数字串，无容差；单批次进口量保留 3 位小数；单位内含碳排放保留 4 位小数；阈值比较为"≤"闭区间（等于阈值即判符合豁免）。</w:t>
      </w:r>
    </w:p>
    <w:p w14:paraId="6D848AE1">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3F6316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范围口径：仅白名单税号产品可发起申报，非白名单产品入口不出现。</w:t>
      </w:r>
    </w:p>
    <w:p w14:paraId="6B4B8C6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边界口径：排放边界按税号固定映射，不允许逐单自定义。</w:t>
      </w:r>
    </w:p>
    <w:p w14:paraId="2925C69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签批口径：提交必须经 P5 报关专家与 P1 集团决策层双重电子签章。</w:t>
      </w:r>
    </w:p>
    <w:p w14:paraId="6DC5A1F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回退口径：海关质询时转入"海关反馈"，补正后重新提交并生成新修订流水号。</w:t>
      </w:r>
    </w:p>
    <w:p w14:paraId="30B62AE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CN 编码唯一性：同一「HS 码 × 生产工艺」组合仅允许映射 1 个 CN 码，多候选时强制人工裁定并留痕；② 豁免阈值来源：CBAM 法规 EU 2023/956 附件中的最小豁免吨位与欧委会发布的默认排放值清单（知识库「CN 管控清单」当前生效版本），不得由业务自行填写；③ 双签阈值：2/2，缺任一签章不可提交；④ 资质有效期：贸易主体 / 认证机构资质有效期截止日 &lt; 当前日期即判失效，对应申报包不可提交；⑤ 已归档申报单一律只读（0 例外）；⑥ 批次校验基准：已校验出口批次计数以"海关回执到达"为唯一计入口径。</w:t>
      </w:r>
    </w:p>
    <w:p w14:paraId="2987E91D">
      <w:pPr>
        <w:pStyle w:val="6"/>
        <w:numPr>
          <w:ilvl w:val="0"/>
          <w:numId w:val="15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8746A8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03190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涵盖范围，返回 E_CBAM_CN_OUT_OF_SCOPE（403）。</w:t>
            </w:r>
          </w:p>
          <w:p w14:paraId="3715DB2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HS 码 / CN 码格式不合规（非 6 位 / 8 位）：表单即时拦截，返回 E_VAL_CODE_FORMAT_INVALID（400）。</w:t>
            </w:r>
          </w:p>
          <w:p w14:paraId="67440D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CN 编码匹配出现多候选：不自动选取，转人工裁定队列，返回 E_CBAM_CN_AMBIGUOUS（422）。</w:t>
            </w:r>
          </w:p>
          <w:p w14:paraId="629BFC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4870D6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双签不完整：提交动作不可执行，页面明确标注缺失签章方，返回 E_CBAM_SIGN_INCOMPLETE（422）。</w:t>
            </w:r>
          </w:p>
          <w:p w14:paraId="159797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已归档申报：只读锁定，不允许再流转，返回 E_CBAM_DECL_ARCHIVED_READONLY（423）。</w:t>
            </w:r>
          </w:p>
          <w:p w14:paraId="3AF338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机构资质过期：申报包不可提交并提示资质失效日期。</w:t>
            </w:r>
          </w:p>
          <w:p w14:paraId="395B27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数据出境未审批：导出按钮关闭并提示审批中。</w:t>
            </w:r>
          </w:p>
        </w:tc>
      </w:tr>
    </w:tbl>
    <w:p w14:paraId="52E3C63C">
      <w:pPr>
        <w:pStyle w:val="6"/>
        <w:numPr>
          <w:ilvl w:val="0"/>
          <w:numId w:val="15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p w14:paraId="186A3E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CN 编码精准匹配与多候选转人工</w:t>
            </w:r>
          </w:p>
          <w:p w14:paraId="32ECC11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录入 HS 码 8544.23 与生产工艺"炼钢-转炉（钢铁）"</w:t>
            </w:r>
          </w:p>
          <w:p w14:paraId="67004AA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点击"+ 匹配 CN 编码"</w:t>
            </w:r>
          </w:p>
          <w:p w14:paraId="37FA488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返回唯一 CN 码 85424230 并写入判定表</w:t>
            </w:r>
          </w:p>
          <w:p w14:paraId="37A5279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该 HS 码与工艺组合命中 2 个及以上候选 CN 码</w:t>
            </w:r>
          </w:p>
          <w:p w14:paraId="5563B1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系统不自动选取，转入人工裁定队列并返回 E_CBAM_CN_AMBIGUOUS</w:t>
            </w:r>
          </w:p>
          <w:p w14:paraId="2F0AE0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非白名单税号申报拦截</w:t>
            </w:r>
          </w:p>
          <w:p w14:paraId="393B4C4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某产品的 CN 码未包含在 CBAM 管控白名单内</w:t>
            </w:r>
          </w:p>
          <w:p w14:paraId="1212CB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P5 尝试对该产品发起 CBAM 申报</w:t>
            </w:r>
          </w:p>
          <w:p w14:paraId="7177CF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申报入口被拦截并提示该产品不在 CBAM 涵盖范围</w:t>
            </w:r>
          </w:p>
          <w:p w14:paraId="4501F0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E_CBAM_CN_OUT_OF_SCOPE 且不生成任何申报单据</w:t>
            </w:r>
          </w:p>
          <w:p w14:paraId="27C668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已归档申报单只读锁定</w:t>
            </w:r>
          </w:p>
          <w:p w14:paraId="209FB4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 CBAM 申报单状态为"已归档"</w:t>
            </w:r>
          </w:p>
          <w:p w14:paraId="79950A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任意角色尝试修改其管控范围或重新提交流转</w:t>
            </w:r>
          </w:p>
          <w:p w14:paraId="4DB65A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写入被拒绝并返回 E_CBAM_DECL_ARCHIVED_READONLY</w:t>
            </w:r>
          </w:p>
          <w:p w14:paraId="363CC1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界面所有编辑控件置灰</w:t>
            </w:r>
          </w:p>
        </w:tc>
      </w:tr>
    </w:tbl>
    <w:p w14:paraId="79D7FBBF">
      <w:pPr>
        <w:spacing w:after="40"/>
        <w:rPr>
          <w:rFonts w:hint="eastAsia" w:ascii="宋体" w:hAnsi="宋体" w:eastAsia="宋体" w:cs="宋体"/>
          <w:i w:val="0"/>
          <w:iCs w:val="0"/>
          <w:sz w:val="24"/>
          <w:szCs w:val="24"/>
        </w:rPr>
      </w:pPr>
    </w:p>
    <w:p w14:paraId="164E7AC9">
      <w:pPr>
        <w:pStyle w:val="5"/>
        <w:numPr>
          <w:ilvl w:val="0"/>
          <w:numId w:val="155"/>
        </w:numPr>
        <w:ind w:left="0" w:leftChars="0" w:firstLine="0" w:firstLineChars="0"/>
        <w:outlineLvl w:val="1"/>
        <w:rPr>
          <w:rFonts w:eastAsia="黑体"/>
          <w:b w:val="0"/>
          <w:bCs w:val="0"/>
          <w:sz w:val="30"/>
          <w:szCs w:val="24"/>
        </w:rPr>
      </w:pPr>
      <w:bookmarkStart w:id="51" w:name="_Toc20339"/>
      <w:r>
        <w:rPr>
          <w:rFonts w:ascii="Times New Roman" w:hAnsi="Times New Roman" w:eastAsia="黑体" w:cs="Times New Roman"/>
          <w:b w:val="0"/>
          <w:bCs w:val="0"/>
          <w:sz w:val="30"/>
          <w:szCs w:val="24"/>
        </w:rPr>
        <w:t>申报模拟</w:t>
      </w:r>
      <w:bookmarkEnd w:id="51"/>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pic:cNvPicPr>
                      <a:picLocks noChangeAspect="1"/>
                    </pic:cNvPicPr>
                  </pic:nvPicPr>
                  <pic:blipFill>
                    <a:blip r:embed="rId85"/>
                    <a:stretch>
                      <a:fillRect/>
                    </a:stretch>
                  </pic:blipFill>
                  <pic:spPr>
                    <a:xfrm>
                      <a:off x="0" y="0"/>
                      <a:ext cx="5900420" cy="2925445"/>
                    </a:xfrm>
                    <a:prstGeom prst="rect">
                      <a:avLst/>
                    </a:prstGeom>
                    <a:noFill/>
                    <a:ln>
                      <a:noFill/>
                    </a:ln>
                  </pic:spPr>
                </pic:pic>
              </a:graphicData>
            </a:graphic>
          </wp:inline>
        </w:drawing>
      </w:r>
    </w:p>
    <w:p w14:paraId="4952D40F">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33380F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可查看组织范围＝P5 全网、P4 本园区、P1 集团全量只读；跨单位聚合＝按模拟任务逐条管理，不聚合；对外可见档位＝SENSITIVE（申报材料与 XML 申报包涉及出口商业信息，仅对欧盟主管机关与进口商在授权后可见）；越权返回 403 + E_AUTH_RLS_SCOPE_DENIED；数据出境受本板块审批闸门约束，未审批前导出接口返回"功能未开放"。</w:t>
      </w:r>
    </w:p>
    <w:p w14:paraId="2C5F1259">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6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国际贸易与关税专家 (Persona P5)，</w:t>
      </w:r>
    </w:p>
    <w:p w14:paraId="644CA053">
      <w:pPr>
        <w:pStyle w:val="19"/>
        <w:widowControl/>
        <w:numPr>
          <w:ilvl w:val="0"/>
          <w:numId w:val="16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基于实时 ETS 碳价与国内已付碳成本测算应缴 CBAM 关税，并在多情景下对比成本敞口，</w:t>
      </w:r>
    </w:p>
    <w:p w14:paraId="278717EB">
      <w:pPr>
        <w:pStyle w:val="19"/>
        <w:widowControl/>
        <w:numPr>
          <w:ilvl w:val="0"/>
          <w:numId w:val="160"/>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我能优化出口定价与国内碳成本抵扣策略，实现关税成本最小化。</w:t>
      </w:r>
    </w:p>
    <w:p w14:paraId="6B682C46">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5C34B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1）提示条：常驻说明"CBAM 申报模拟：出口欧盟的碳边境调节机制模拟。先在模拟任务列表中新建任务，进入任务后上传对应申报材料；循环环节为进口商 / 主管税务机关，无需我方提供资料。"右上「CBAM 申报要求详解」入口（跳知识库）。</w:t>
      </w:r>
    </w:p>
    <w:p w14:paraId="5D64ECB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2）模拟任务管理表：列依次为 模拟编号 · 模拟场景 · 操作人 · 申报季度 · 嵌入碳排放 · 资料（份数）· 完成度（进度条）· 状态 · 操作（→ 进入 / 查看 / 编辑 / 删除）；右上「+ 新建模拟任务」。</w:t>
      </w:r>
    </w:p>
    <w:p w14:paraId="3998175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3）模拟编号规则：SIM-{年份}-{3 位流水}，如 SIM-2026-004。</w:t>
      </w:r>
    </w:p>
    <w:p w14:paraId="44414F8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4）状态与色规：草稿（灰）→ 模拟中（橙）→ 已完成（绿）；仅"草稿"态可删除。</w:t>
      </w:r>
    </w:p>
    <w:p w14:paraId="6392946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5）空态：未进入任务时，右侧面板输出"尚未进入模拟任务：申报材料上传需先在「模拟任务管理」中新建并进入一个模拟任务，进入任务后即可查看申报流程说明并上传任务对应的申报材料"，并给出「+ 新建模拟任务」主按钮。</w:t>
      </w:r>
    </w:p>
    <w:p w14:paraId="489A2BD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6）任务内页：按"资料上传 → 嵌入碳排放核算 → 多情景关税测算 → 申报包生成与校验 → 导出"五步向导推进。</w:t>
      </w:r>
    </w:p>
    <w:p w14:paraId="7AA52E63">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766AE52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2FB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0E0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25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E48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4C5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55E8CF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65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6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ED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93A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C0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正则 SIM-d{4}-d{3}$ ；全局唯一</w:t>
            </w:r>
          </w:p>
        </w:tc>
      </w:tr>
      <w:tr w14:paraId="1FE52CF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C7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8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模拟场景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3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5CD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C0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"经营单位 · 产品型号"（如 衡变本部·SZ11-2500/10）</w:t>
            </w:r>
          </w:p>
        </w:tc>
      </w:tr>
      <w:tr w14:paraId="30C3453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C64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6F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操作人</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3D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15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9C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姓名（岗位），如 李工（天源）</w:t>
            </w:r>
          </w:p>
        </w:tc>
      </w:tr>
      <w:tr w14:paraId="3767713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3EA7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4B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申报季度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AC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季度枚举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1A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62F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 Qn （2026 Q1~Q4）；不得晚于当前季度 +1</w:t>
            </w:r>
          </w:p>
        </w:tc>
      </w:tr>
      <w:tr w14:paraId="3253C4D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62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74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嵌入碳排放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69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517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tCO₂e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EDD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 (直接排放 + 间接排放) ÷ 产量 × 出口量</w:t>
            </w:r>
          </w:p>
        </w:tc>
      </w:tr>
      <w:tr w14:paraId="388ED33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87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1782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41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份</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A1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已上传材料份数 ≥ 0</w:t>
            </w:r>
          </w:p>
        </w:tc>
      </w:tr>
      <w:tr w14:paraId="5CDAF30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F96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C33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完成度</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41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DF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3E02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已上传份数 ÷ 应上传份数 × 100%；= 100% 才可置"已完成"</w:t>
            </w:r>
          </w:p>
        </w:tc>
      </w:tr>
      <w:tr w14:paraId="31C3062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08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7F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507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8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DC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模拟中 / 已完成</w:t>
            </w:r>
          </w:p>
        </w:tc>
      </w:tr>
      <w:tr w14:paraId="66CD794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74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357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碳价情景系数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E4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FC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C75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0.85 / 基准 1.00 / 悲观 1.15</w:t>
            </w:r>
          </w:p>
        </w:tc>
      </w:tr>
    </w:tbl>
    <w:p w14:paraId="0497D3B1">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784A806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取值示例：任务 SIM-2026-004（衡变本部·SZ11-2500/10，2026 Q3）</w:t>
      </w:r>
    </w:p>
    <w:p w14:paraId="58D323F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直接排放 Direct_Em = 1,244 tCO₂e，间接排放 Indirect_Em = 598 tCO₂e，产量 Output = 120 台，出口量 Export_Qty = 100 台</w:t>
      </w:r>
    </w:p>
    <w:p w14:paraId="1DA44F4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Embedded_Carbon = (1,244 + 598) ÷ 120 = 15.3500 tCO₂e/台</w:t>
      </w:r>
    </w:p>
    <w:p w14:paraId="61901AA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Cert_Count = 100 × 15.3500 = 1,535 份凭证（界面显示嵌入碳排放合计 1,842 tCO₂e，为按出口量口径的直接值）</w:t>
      </w:r>
    </w:p>
    <w:p w14:paraId="336B269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若 Price_EU_ETS = 78.50 €/t，Price_Domestic_Paid = 62.00 €/t → Duty_payable = MAX(0, 1,535 × (78.50 − 62.00)) = 25,327.50 €</w:t>
      </w:r>
    </w:p>
    <w:p w14:paraId="1636702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若 Price_Domestic_Paid ≥ Price_EU_ETS → Duty_payable = 0.00 €（零关税入欧，不产生退税）</w:t>
      </w:r>
    </w:p>
    <w:p w14:paraId="4EB9B43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精度与容差：嵌入碳排放保留 3 位小数（tCO₂e）；单位产品嵌入碳排放保留 4 位小数（tCO₂e/台）；关税金额保留 2 位小数（€）；情景系数固定 2 位小数（0.85 / 1.00 / 1.15）；碳价比较容差 ≤ ±0.01 €/t。</w:t>
      </w:r>
    </w:p>
    <w:p w14:paraId="00F76F51">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DCE548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碳价口径：ETS 碳价以 EEX 官方接口最新周结算均价为准；碳价滞后超 24h 须标注时间戳。</w:t>
      </w:r>
    </w:p>
    <w:p w14:paraId="656C6B6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抵扣口径：国内已付碳成本须为可凭证明的全国碳市场配额费用或绿电附加成本。</w:t>
      </w:r>
    </w:p>
    <w:p w14:paraId="16ACA2D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零关税口径：国内已付成本 ≥ 欧盟 ETS 碳价时应缴金额为 0，不允许出现负值退税。</w:t>
      </w:r>
    </w:p>
    <w:p w14:paraId="127A7FE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情景口径：情景碳价以当期价为基准按固定系数上下浮动，系数须在页面明示。</w:t>
      </w:r>
    </w:p>
    <w:p w14:paraId="5853EB1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碳价时效阈值 24 小时（超时标黄并展示时间戳，允许基于最近有效历史均价测算）；② 情景系数固定 0.85 / 1.00 / 1.15，不可配置；③ 零关税判定：Price_Domestic_Paid ≥ Price_EU_ETS 即应缴 0（闭区间，相等即为 0）；④ 完成度阈值：100% 方可置"已完成"，&lt; 100% 一律为"模拟中"或"草稿"；⑤ Schema 校验阈值：0 容错——XML 任一节点不符合欧盟 XSD 即全量阻断导出；⑥ 基准来源：Price_EU_ETS 取 EEX 官方接口；Price_Domestic_Paid 取全国碳市场当季配额结算价；默认排放值取知识库「CN 管控清单」当前生效版本。</w:t>
      </w:r>
    </w:p>
    <w:p w14:paraId="2EB3DAC4">
      <w:pPr>
        <w:pStyle w:val="6"/>
        <w:numPr>
          <w:ilvl w:val="0"/>
          <w:numId w:val="15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5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p w14:paraId="3E8E09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完成度未达 100% 不可置为已完成</w:t>
            </w:r>
          </w:p>
          <w:p w14:paraId="60EDA9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某模拟任务应上传申报材料 10 份，当前已上传 6 份</w:t>
            </w:r>
          </w:p>
          <w:p w14:paraId="4118B9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操作人尝试将该任务状态置为"已完成"</w:t>
            </w:r>
          </w:p>
          <w:p w14:paraId="68FD63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状态置位被拒绝</w:t>
            </w:r>
          </w:p>
          <w:p w14:paraId="25A9B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完成度显示为 60% 且提示尚缺 4 份材料</w:t>
            </w:r>
          </w:p>
          <w:p w14:paraId="2FFBD1E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数据出境未审批时导出关闭</w:t>
            </w:r>
          </w:p>
          <w:p w14:paraId="302B1A0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面向欧盟的跨境传输路径尚未取得信息安全合规组审批</w:t>
            </w:r>
          </w:p>
          <w:p w14:paraId="75D109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P5 在模拟任务内点击"导出申报包"</w:t>
            </w:r>
          </w:p>
          <w:p w14:paraId="1F3ABDF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导出功能保持关闭并提示审批中</w:t>
            </w:r>
          </w:p>
          <w:p w14:paraId="444EEA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不生成任何 XML 文件、不产生任何外发流量</w:t>
            </w:r>
          </w:p>
        </w:tc>
      </w:tr>
    </w:tbl>
    <w:p w14:paraId="22AD017B">
      <w:pPr>
        <w:spacing w:after="40"/>
        <w:rPr>
          <w:rFonts w:hint="eastAsia" w:ascii="宋体" w:hAnsi="宋体" w:eastAsia="宋体" w:cs="宋体"/>
          <w:i w:val="0"/>
          <w:iCs w:val="0"/>
          <w:sz w:val="24"/>
          <w:szCs w:val="24"/>
        </w:rPr>
      </w:pPr>
    </w:p>
    <w:p w14:paraId="452F02D7">
      <w:pPr>
        <w:pStyle w:val="5"/>
        <w:numPr>
          <w:ilvl w:val="0"/>
          <w:numId w:val="155"/>
        </w:numPr>
        <w:ind w:left="0" w:leftChars="0" w:firstLine="0" w:firstLineChars="0"/>
        <w:outlineLvl w:val="1"/>
        <w:rPr>
          <w:rFonts w:eastAsia="黑体"/>
          <w:b w:val="0"/>
          <w:bCs w:val="0"/>
          <w:sz w:val="30"/>
          <w:szCs w:val="24"/>
        </w:rPr>
      </w:pPr>
      <w:bookmarkStart w:id="52" w:name="_Toc26470"/>
      <w:r>
        <w:rPr>
          <w:rFonts w:ascii="Times New Roman" w:hAnsi="Times New Roman" w:eastAsia="黑体" w:cs="Times New Roman"/>
          <w:b w:val="0"/>
          <w:bCs w:val="0"/>
          <w:sz w:val="30"/>
          <w:szCs w:val="24"/>
        </w:rPr>
        <w:t>知识库</w:t>
      </w:r>
      <w:bookmarkEnd w:id="52"/>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9"/>
                    <pic:cNvPicPr>
                      <a:picLocks noChangeAspect="1"/>
                    </pic:cNvPicPr>
                  </pic:nvPicPr>
                  <pic:blipFill>
                    <a:blip r:embed="rId86"/>
                    <a:stretch>
                      <a:fillRect/>
                    </a:stretch>
                  </pic:blipFill>
                  <pic:spPr>
                    <a:xfrm>
                      <a:off x="0" y="0"/>
                      <a:ext cx="5900420" cy="2925445"/>
                    </a:xfrm>
                    <a:prstGeom prst="rect">
                      <a:avLst/>
                    </a:prstGeom>
                    <a:noFill/>
                    <a:ln>
                      <a:noFill/>
                    </a:ln>
                  </pic:spPr>
                </pic:pic>
              </a:graphicData>
            </a:graphic>
          </wp:inline>
        </w:drawing>
      </w:r>
    </w:p>
    <w:p w14:paraId="0C78B61B">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71C481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可查看组织范围＝集团全量（法规知识为公共资产，不做组织隔离）；跨单位聚合＝不适用；对外可见档位＝INTERNAL（法规原文可对认证机构开放，内部释义与裁定案例仅限内部）；越权返回 403 + E_AUTH_RLS_SCOPE_DENIED；新建 / 编辑 / 删除条目权限仅限 P5 与 P4。</w:t>
      </w:r>
    </w:p>
    <w:p w14:paraId="1824E87C">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6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As a 国际贸易与关税专家 (Persona P5)，</w:t>
      </w:r>
    </w:p>
    <w:p w14:paraId="6C1C02C3">
      <w:pPr>
        <w:pStyle w:val="19"/>
        <w:widowControl/>
        <w:numPr>
          <w:ilvl w:val="0"/>
          <w:numId w:val="16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I want 按生效日期检索官方填报指引、默认值清单与豁免条款，并查看历史版本对照，</w:t>
      </w:r>
    </w:p>
    <w:p w14:paraId="6CE8F032">
      <w:pPr>
        <w:pStyle w:val="19"/>
        <w:widowControl/>
        <w:numPr>
          <w:ilvl w:val="0"/>
          <w:numId w:val="163"/>
        </w:numPr>
        <w:ind w:left="0" w:leftChars="0" w:firstLine="482" w:firstLineChars="0"/>
        <w:rPr>
          <w:rFonts w:eastAsia="宋体"/>
          <w:b w:val="0"/>
          <w:bCs w:val="0"/>
          <w:i w:val="0"/>
          <w:color w:val="auto"/>
          <w:sz w:val="24"/>
          <w:szCs w:val="24"/>
        </w:rPr>
      </w:pPr>
      <w:r>
        <w:rPr>
          <w:rFonts w:ascii="Times New Roman" w:hAnsi="Times New Roman" w:eastAsia="宋体" w:cs="Times New Roman"/>
          <w:b w:val="0"/>
          <w:bCs w:val="0"/>
          <w:i w:val="0"/>
          <w:color w:val="auto"/>
          <w:sz w:val="24"/>
          <w:szCs w:val="24"/>
        </w:rPr>
        <w:t>So that 我能确保每次申报都依据当时生效的官方规则。</w:t>
      </w:r>
    </w:p>
    <w:p w14:paraId="575162D8">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83995C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1）顶栏：关键词检索框 · 「+ 新建」主按钮。</w:t>
      </w:r>
    </w:p>
    <w:p w14:paraId="35A46C0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2）分类签：全部 · 法规 · 清单 · 指南 · 案例 · 模板（六项，单选）。</w:t>
      </w:r>
    </w:p>
    <w:p w14:paraId="3C7C5D4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3）条目卡列表：每条含 标题 · 摘要（1~2 行）· 分类标签 · 来源 · 发布日期 · 附件图标（有附件时显示）· 行操作（编辑 / 删除）。</w:t>
      </w:r>
    </w:p>
    <w:p w14:paraId="1A5048C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4）右侧「CBAM 智能助手」：常驻对话面板，首屏欢迎语"您好，我是 CBAM 知识智能助手，可询问法规条款、CN 编码归类、申报材料要求、季度申报流程等问题。"，底部输入框「输入合规问题…」+ 发送；应答必须给出所依据的知识库条目引用链接，不得无来源作答。</w:t>
      </w:r>
    </w:p>
    <w:p w14:paraId="3C2303E7">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3526C9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BE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8D1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FD9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C5C9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6B8C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5FE769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7E8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E164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标题</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BDC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7C81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1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120 字符，必填</w:t>
            </w:r>
          </w:p>
        </w:tc>
      </w:tr>
      <w:tr w14:paraId="2CAEC4B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BD6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A94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F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3B3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A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法规 / 清单 / 指南 / 案例 / 模板</w:t>
            </w:r>
          </w:p>
        </w:tc>
      </w:tr>
      <w:tr w14:paraId="55552EC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396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D5C2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摘要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F0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C1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2C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200 字符，列表页展示</w:t>
            </w:r>
          </w:p>
        </w:tc>
      </w:tr>
      <w:tr w14:paraId="78AB234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E8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5F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FE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B0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61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欧委会 / 海关总署 / 行业协会 …</w:t>
            </w:r>
          </w:p>
        </w:tc>
      </w:tr>
      <w:tr w14:paraId="1E1B899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E2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A2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发布日期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2AA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64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69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YYYY-MM-DD；不可晚于当前日期</w:t>
            </w:r>
          </w:p>
        </w:tc>
      </w:tr>
      <w:tr w14:paraId="5DC798D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F51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49A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生效区间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40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117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75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effective_from ≤ effective_to ； 跨同分类条目不可重叠</w:t>
            </w:r>
          </w:p>
        </w:tc>
      </w:tr>
      <w:tr w14:paraId="438DA7F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36F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附件</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A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69A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06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单文件 ≤ 50 MB；格式 pdf / docx / xlsx / xml；文件名不含路径分隔符</w:t>
            </w:r>
          </w:p>
        </w:tc>
      </w:tr>
      <w:tr w14:paraId="313F448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FF6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62F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引用日志</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1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只读列表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682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6D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记录被核算引擎 / 申报模块引用的时间、条目版本、引用方</w:t>
            </w:r>
          </w:p>
        </w:tc>
      </w:tr>
    </w:tbl>
    <w:p w14:paraId="0320C0FB">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544949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取值示例：</w:t>
      </w:r>
      <w:r>
        <w:rPr>
          <w:rFonts w:ascii="Times New Roman" w:hAnsi="Times New Roman" w:eastAsia="宋体" w:cs="Times New Roman"/>
          <w:b w:val="0"/>
          <w:bCs/>
          <w:i w:val="0"/>
          <w:color w:val="auto"/>
          <w:sz w:val="24"/>
          <w:szCs w:val="24"/>
        </w:rPr>
        <w:t>检索「关键词＝CN 编码，分类＝清单，时间＝2025-12-01 起」→ 命中「CN 管控清单 2026 版」（生效区间 2026-01-01 ~ 2026-12-31）；某申报任务于 2026-03 引用该版本 → 引用日志写入（引用方＝申报模拟 SIM-2026-004，版本 v2026.1，时间 2026-03-04）。</w:t>
      </w:r>
    </w:p>
    <w:p w14:paraId="34E4A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精度与容差：</w:t>
      </w:r>
      <w:r>
        <w:rPr>
          <w:rFonts w:ascii="Times New Roman" w:hAnsi="Times New Roman" w:eastAsia="宋体" w:cs="Times New Roman"/>
          <w:b w:val="0"/>
          <w:bCs/>
          <w:i w:val="0"/>
          <w:color w:val="auto"/>
          <w:sz w:val="24"/>
          <w:szCs w:val="24"/>
        </w:rPr>
        <w:t>版本生效区间为日期闭区间，端点相等视为同一天有效（不产生重叠判定）；检索结果为集合运算，无容差；条目摘要截断长度 200 字符（按字符计，不按字节）。</w:t>
      </w:r>
    </w:p>
    <w:p w14:paraId="699E9769">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293F86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版本口径：申报核算默认引用当前生效版本，可手动指定历史版本做追溯核验。</w:t>
      </w:r>
    </w:p>
    <w:p w14:paraId="658BA52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变更口径：法规与默认值变更全程留痕，可追溯变更内容、时间与录入人。</w:t>
      </w:r>
    </w:p>
    <w:p w14:paraId="127A886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引用口径：知识库条目被核算引擎引用时记录引用日志，保证口径可追溯。</w:t>
      </w:r>
    </w:p>
    <w:p w14:paraId="5A066BE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版本重叠判定：同分类下任意两条条目的 [effective_from, effective_to] 交集非空即判重叠，前端即时阻断保存；② 缺失阈值：任一分类下不存在"当前生效版本"时，核算引擎标注"适用法规版本缺失"并阻断该分类默认值的使用；③ 附件阈值：单文件 ≤ 50 MB，超限即时拒绝；④ 检索排序：按生效日期倒序，同一生效日期按发布日期倒序；⑤ 基准来源：CN 管控清单与默认排放值以欧委会官方发布为唯一权威来源，内部不得自行修订数值；⑥ 智能助手应答基线：必须命中至少 1 条知识库条目并给出引用，命中 0 条时输出"未检索到依据"而非推测作答。</w:t>
      </w:r>
    </w:p>
    <w:p w14:paraId="1DF42277">
      <w:pPr>
        <w:pStyle w:val="6"/>
        <w:numPr>
          <w:ilvl w:val="0"/>
          <w:numId w:val="16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585F7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66B8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版本生效区间重叠：前端即时拦截并阻断保存，返回 E_KB_VERSION_RANGE_OVERLAP（409）。</w:t>
            </w:r>
          </w:p>
          <w:p w14:paraId="2CC78E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无当前生效版本：核算引擎提示"适用法规版本缺失"，阻断使用默认值，返回 E_KB_ACTIVE_VERSION_MISSING（422）。</w:t>
            </w:r>
          </w:p>
          <w:p w14:paraId="6AE3549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附件超限或格式不符：上传即时拒绝，返回 E_KB_ATTACHMENT_INVALID（400）。</w:t>
            </w:r>
          </w:p>
          <w:p w14:paraId="73AD85E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已废止版本被引用：标注"已废止法规"并提示核对最新版本，不阻断引用但记录告警。</w:t>
            </w:r>
          </w:p>
          <w:p w14:paraId="5CE40F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智能助手应答未命中任何条目：输出"未检索到依据，请咨询 P5 报关与关税专家"，末尾附 P5 联系入口；禁止生成无出处结论。</w:t>
            </w:r>
          </w:p>
          <w:p w14:paraId="20B2FD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删除被引用条目：拒绝物理删除，仅允许"标记废止"，返回 E_KB_ITEM_IN_USE_DELETE_DENIED（409）。</w:t>
            </w:r>
          </w:p>
        </w:tc>
      </w:tr>
    </w:tbl>
    <w:p w14:paraId="51F08793">
      <w:pPr>
        <w:pStyle w:val="6"/>
        <w:numPr>
          <w:ilvl w:val="0"/>
          <w:numId w:val="16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p w14:paraId="28EE10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版本生效区间重叠阻断保存</w:t>
            </w:r>
          </w:p>
          <w:p w14:paraId="1DCF3DA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知识库"清单"分类下已存在生效区间 2026-01-01 至 2026-12-31 的 CN 管控清单</w:t>
            </w:r>
          </w:p>
          <w:p w14:paraId="3C548A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录入人员新增生效区间为 2026-06-01 至 2026-12-31 的清单版本</w:t>
            </w:r>
          </w:p>
          <w:p w14:paraId="2B0C1B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前端即时拦截并阻断保存</w:t>
            </w:r>
          </w:p>
          <w:p w14:paraId="2B5AF2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E_KB_VERSION_RANGE_OVERLAP</w:t>
            </w:r>
          </w:p>
          <w:p w14:paraId="5676D0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无当前生效版本阻断默认值使用</w:t>
            </w:r>
          </w:p>
          <w:p w14:paraId="66AE7D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某分类下全部条目的生效区间均不覆盖当前日期</w:t>
            </w:r>
          </w:p>
          <w:p w14:paraId="2B2114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核算引擎请求该分类的默认排放值</w:t>
            </w:r>
          </w:p>
          <w:p w14:paraId="189100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提示"适用法规版本缺失"并阻断默认值的使用</w:t>
            </w:r>
          </w:p>
          <w:p w14:paraId="6D4DA2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返回错误码 E_KB_ACTIVE_VERSION_MISSING</w:t>
            </w:r>
          </w:p>
          <w:p w14:paraId="75718B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智能助手无依据不作答</w:t>
            </w:r>
          </w:p>
          <w:p w14:paraId="47347C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用户向 CBAM 智能助手提问一个知识库中不存在相关条目的问题</w:t>
            </w:r>
          </w:p>
          <w:p w14:paraId="55359F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助手完成检索</w:t>
            </w:r>
          </w:p>
          <w:p w14:paraId="44F7049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输出"未检索到依据，请咨询 P5 报关与关税专家"</w:t>
            </w:r>
          </w:p>
          <w:p w14:paraId="5BF09B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不生成任何无引用来源的结论性回答</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30"/>
        </w:numPr>
        <w:topLinePunct w:val="0"/>
        <w:ind w:left="0" w:leftChars="0" w:firstLine="0" w:firstLineChars="0"/>
        <w:outlineLvl w:val="0"/>
        <w:rPr>
          <w:rFonts w:hint="eastAsia" w:eastAsia="黑体"/>
          <w:b w:val="0"/>
          <w:bCs w:val="0"/>
          <w:sz w:val="30"/>
          <w:szCs w:val="32"/>
        </w:rPr>
      </w:pPr>
      <w:bookmarkStart w:id="53" w:name="_Toc15046"/>
      <w:r>
        <w:rPr>
          <w:rFonts w:ascii="Times New Roman" w:hAnsi="Times New Roman" w:eastAsia="黑体" w:cs="Times New Roman"/>
          <w:b w:val="0"/>
          <w:bCs w:val="0"/>
          <w:sz w:val="30"/>
          <w:szCs w:val="32"/>
        </w:rPr>
        <w:t>第三方认证管理</w:t>
      </w:r>
      <w:bookmarkEnd w:id="53"/>
    </w:p>
    <w:p w14:paraId="4A719DA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本板块是产品碳足迹"对外可信"的最后一道关口，管理"资料准备 → 机构申请 → 结果归档与熔断"的完整外部协作闭环。板块下辖 3 个模块：认证资料维护（材料包组装与锁定）、认证申请（询价、排期、补正、进度跟踪）、认证结果管理（证书登记、验真、到期熔断）。</w:t>
      </w:r>
    </w:p>
    <w:p w14:paraId="5D1382C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边界声明：本板块管理的是过程与凭证，不产生碳足迹数值；认证机构（SGS / TÜV 莱茵 / BV 必维 等）为外部主体，其出具的审核结论为权威结论，系统只做结构化登记与状态跟随，任何角色不得人工改写机构结论。</w:t>
      </w:r>
    </w:p>
    <w:p w14:paraId="3FF7555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三模块的输入输出链：认证资料维护产出「已锁定资料包」→ 认证申请以其为唯一输入版本发起委托 → 认证结果管理以申请流水为「来源申请」登记证书，并反向驱动数字碳标签发布开关。三者构成不可跳跃的单向链，任一环节状态不满足即阻断下游入口。</w:t>
      </w:r>
    </w:p>
    <w:p w14:paraId="5123E682">
      <w:pPr>
        <w:pStyle w:val="5"/>
        <w:numPr>
          <w:ilvl w:val="0"/>
          <w:numId w:val="164"/>
        </w:numPr>
        <w:ind w:left="0" w:leftChars="0" w:firstLine="0" w:firstLineChars="0"/>
        <w:outlineLvl w:val="1"/>
        <w:rPr>
          <w:rFonts w:ascii="Times New Roman" w:hAnsi="Times New Roman" w:eastAsia="黑体" w:cs="Times New Roman"/>
          <w:b w:val="0"/>
          <w:bCs w:val="0"/>
          <w:sz w:val="30"/>
          <w:szCs w:val="24"/>
        </w:rPr>
      </w:pPr>
      <w:bookmarkStart w:id="54" w:name="_Toc19564"/>
      <w:r>
        <w:rPr>
          <w:rFonts w:ascii="Times New Roman" w:hAnsi="Times New Roman" w:eastAsia="黑体" w:cs="Times New Roman"/>
          <w:b w:val="0"/>
          <w:bCs w:val="0"/>
          <w:sz w:val="30"/>
          <w:szCs w:val="24"/>
        </w:rPr>
        <w:t>认证资料维护</w:t>
      </w:r>
      <w:bookmarkEnd w:id="54"/>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0"/>
                    <pic:cNvPicPr>
                      <a:picLocks noChangeAspect="1"/>
                    </pic:cNvPicPr>
                  </pic:nvPicPr>
                  <pic:blipFill>
                    <a:blip r:embed="rId87"/>
                    <a:stretch>
                      <a:fillRect/>
                    </a:stretch>
                  </pic:blipFill>
                  <pic:spPr>
                    <a:xfrm>
                      <a:off x="0" y="0"/>
                      <a:ext cx="5900420" cy="2925445"/>
                    </a:xfrm>
                    <a:prstGeom prst="rect">
                      <a:avLst/>
                    </a:prstGeom>
                    <a:noFill/>
                    <a:ln>
                      <a:noFill/>
                    </a:ln>
                  </pic:spPr>
                </pic:pic>
              </a:graphicData>
            </a:graphic>
          </wp:inline>
        </w:drawing>
      </w:r>
    </w:p>
    <w:p w14:paraId="3465176A">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6DF2D0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可查看组织范围＝本级及以下（P4 本园区全部型号、P3 仅本人上传凭证、PM 本园区全部）；跨单位聚合＝按"产品型号 × 认证标准"成包，不做跨单位聚合；对外可见档位＝INTERNAL（资料包内含原始凭证与供应商信息，对外仅可向认证机构在委托关系成立后按需开放）；越权写入返回 。</w:t>
      </w:r>
    </w:p>
    <w:p w14:paraId="25B0AF48">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w:t>
      </w:r>
      <w:r>
        <w:rPr>
          <w:rFonts w:ascii="Times New Roman" w:hAnsi="Times New Roman" w:eastAsia="宋体" w:cs="Times New Roman"/>
          <w:b w:val="0"/>
          <w:bCs/>
          <w:i w:val="0"/>
          <w:color w:val="auto"/>
          <w:sz w:val="24"/>
          <w:szCs w:val="24"/>
        </w:rPr>
        <w:t>实时计算必传资料齐备率与 BOM 物料凭证覆盖率，缺失项以红色徽标逐条列出，并同步给出补正责任角色与数据来源模块。</w:t>
      </w:r>
    </w:p>
    <w:p w14:paraId="7D9543EE">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7BC6D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本模块页面以「认证机构工作台」形态组织：</w:t>
      </w:r>
    </w:p>
    <w:p w14:paraId="7A609A2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1）筛选条：合作机构 · 办理事项（评价 / 认证）。</w:t>
      </w:r>
    </w:p>
    <w:p w14:paraId="5B1BE17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2）机构卡片（每机构一卡）：机构名（合作中 / 待评估标签）· 可办理标准（如 ISO 14067 产品碳足迹 / EPD 环境产品声明）· 出证周期（约 X-Y 周）· 合作次数 · 认可资质项数；当前事项下的材料按三个桶归集：+ 系统自动出 N 项（黄）· 线下自查 N 项（灰）· 共享模板 N 项（绿），并给出"共提供 N 项材料"合计。</w:t>
      </w:r>
    </w:p>
    <w:p w14:paraId="5B530FD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3）材料行：材料名称（如 产品 BOM 明细材料运距表 / 工厂近 12 个月连续能碳实采台账 / 碳足迹核算模型与 LCA 数据清单）· 提供方式（系统自动输出 / 线下上传）· 模板下载入口。</w:t>
      </w:r>
    </w:p>
    <w:p w14:paraId="69B377A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4）底部操作："支持一键发起询价申请与模板下载" + 「查看完整材料清单与模板 →」。</w:t>
      </w:r>
    </w:p>
    <w:p w14:paraId="55D9DF47">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748BF9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F2D0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8C3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920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58A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64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5CA915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59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28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合作机构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0E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4226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D53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取自机构白名单（TÜV 莱茵 / SGS / BV 必维 / 方圆 CQM …）</w:t>
            </w:r>
          </w:p>
        </w:tc>
      </w:tr>
      <w:tr w14:paraId="2BE4BD5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0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01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可办理标准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76C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751A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3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ISO 14067 / ISO 14064 / PAS 2050 / GHG Protocol / LCI / EPD</w:t>
            </w:r>
          </w:p>
        </w:tc>
      </w:tr>
      <w:tr w14:paraId="32F11D6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007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2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出证周期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12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区间（整数周）</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092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周</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ED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下限 &lt; 上限；仅可引用机构历史数据，不手工填写</w:t>
            </w:r>
          </w:p>
        </w:tc>
      </w:tr>
      <w:tr w14:paraId="3A8204C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29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合作次数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C4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FFF6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E6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0；系统累计，不可编辑</w:t>
            </w:r>
          </w:p>
        </w:tc>
      </w:tr>
      <w:tr w14:paraId="4AB1EFA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F44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AF6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认可资质</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AA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5D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w:t>
            </w:r>
          </w:p>
        </w:tc>
      </w:tr>
      <w:tr w14:paraId="6E91F8F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132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34C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材料提供方式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AC0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EB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C5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系统自动输出 / 线下上传</w:t>
            </w:r>
          </w:p>
        </w:tc>
      </w:tr>
      <w:tr w14:paraId="3FA4AFD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D5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EE5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资料包齐备率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2E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2B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已上传必传项 ÷ 必传项 × 100%；分母 0 时置 --</w:t>
            </w:r>
          </w:p>
        </w:tc>
      </w:tr>
      <w:tr w14:paraId="24A67EA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21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017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物料凭证覆盖率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E8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10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C40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 金额加权 ；与核算模块金额口径绝对一致</w:t>
            </w:r>
          </w:p>
        </w:tc>
      </w:tr>
      <w:tr w14:paraId="7F81936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8C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18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05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6EC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F48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SHA-256（64 位小写）</w:t>
            </w:r>
          </w:p>
        </w:tc>
      </w:tr>
      <w:tr w14:paraId="73AFC65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EA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2D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FC8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6164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F6E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w:t>
            </w:r>
          </w:p>
        </w:tc>
      </w:tr>
    </w:tbl>
    <w:p w14:paraId="285D52B7">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48A6A4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取值示例：</w:t>
      </w:r>
      <w:r>
        <w:rPr>
          <w:rFonts w:ascii="Times New Roman" w:hAnsi="Times New Roman" w:eastAsia="宋体" w:cs="Times New Roman"/>
          <w:b w:val="0"/>
          <w:bCs/>
          <w:i w:val="0"/>
          <w:color w:val="auto"/>
          <w:sz w:val="24"/>
          <w:szCs w:val="24"/>
        </w:rPr>
        <w:t>某资料包必传资料 10 项，已上传 9 项（缺"绿电发票"）→ 资料包齐备率 = 9 ÷ 10 = 90.00%；BOM 物料凭证覆盖率按金额加权 = 96.40% → Lock_Allowed = (90.00% == 100%) AND (96.40% == 100%) AND (绿电发票 == 已核验) = false → 锁定按钮置灰，缺失清单列出"绿电发票"（责任角色 P3 基层填报员，来源模块 第二章能源台账）。</w:t>
      </w:r>
    </w:p>
    <w:p w14:paraId="64BBCB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精度与容差：</w:t>
      </w:r>
      <w:r>
        <w:rPr>
          <w:rFonts w:ascii="Times New Roman" w:hAnsi="Times New Roman" w:eastAsia="宋体" w:cs="Times New Roman"/>
          <w:b w:val="0"/>
          <w:bCs/>
          <w:i w:val="0"/>
          <w:color w:val="auto"/>
          <w:sz w:val="24"/>
          <w:szCs w:val="24"/>
        </w:rPr>
        <w:t>齐备率与覆盖率保留 2 位小数；判定为"是否严格等于 100.00%"的二值判定，无容差（99.99% 视为不达标）；分子分母均按资料项 / 物料条目自然汇总（不取项均值）；分母为 0 时统一输出 -- 并提示"无可校验对象"，禁止 NaN / Infinity。</w:t>
      </w:r>
    </w:p>
    <w:p w14:paraId="1FCC03B9">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0F775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粒度口径：认证资料包按「产品型号 × 认证标准」唯一，同一产品不同标准各自独立成包，禁止跨标准复用资料包。</w:t>
      </w:r>
    </w:p>
    <w:p w14:paraId="6F055C5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覆盖率口径：BOM 物料凭证覆盖率按金额加权计算，其分子分母口径与碳足迹核算模块的物料金额口径保持绝对一致。</w:t>
      </w:r>
    </w:p>
    <w:p w14:paraId="2B890B9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锁定口径：锁定后的资料包为认证申请的唯一输入版本；历史解锁版本仅存档留痕，不得被认证申请引用。</w:t>
      </w:r>
    </w:p>
    <w:p w14:paraId="7E0CA6A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除零口径：齐备率与覆盖率的分母为 0 时统一输出 --，禁止输出 NaN / Infinity 或空白单元格。</w:t>
      </w:r>
    </w:p>
    <w:p w14:paraId="1C138FF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锁定准入三条件全部为 100% 硬阈值（齐备率 100%、凭证覆盖率 100%、绿电发票已核验），无一例外；② 哈希绑定算法固定 SHA-256，文件字节级比对，无容差；③ 机构资质有效期：机构框架协议到期日 &lt; 当前日期即置灰该机构；④ 机构历史数据基准：出证周期与合作次数取该机构在本系统内的历史成交记录，样本 &lt; 1 次时出证周期显示 --；⑤ 版本基准：资料包引用的因子版本须为因子库管理板块当前生效版本，过期即触发</w:t>
      </w:r>
    </w:p>
    <w:p w14:paraId="2152EEDC">
      <w:pPr>
        <w:pStyle w:val="6"/>
        <w:numPr>
          <w:ilvl w:val="0"/>
          <w:numId w:val="16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6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540173">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1ECA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Feature: 认证资料维护</w:t>
            </w:r>
          </w:p>
          <w:p w14:paraId="643194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作为 P4 碳核算与认证工程师</w:t>
            </w:r>
          </w:p>
          <w:p w14:paraId="150A5E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我希望系统对 LCA 报告原始凭证、物料平衡单、绿电发票与第三方检测报告进行数字化封装与哈希绑定</w:t>
            </w:r>
          </w:p>
          <w:p w14:paraId="4A3491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以便为对外认证申报提供可核验、可追溯、可防篡改的证据链底座</w:t>
            </w:r>
          </w:p>
          <w:p w14:paraId="1AD825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Background:</w:t>
            </w:r>
          </w:p>
          <w:p w14:paraId="600D22C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用户已登录且具备 P4 或 P3 角色权限</w:t>
            </w:r>
          </w:p>
          <w:p w14:paraId="475311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已存在至少一个处于"草稿"或"待锁定校验"状态的认证资料包</w:t>
            </w:r>
          </w:p>
          <w:p w14:paraId="362DFA7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追加 1 个场景：</w:t>
            </w:r>
          </w:p>
          <w:p w14:paraId="6182A6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绿电发票核验不通过冻结锁定</w:t>
            </w:r>
          </w:p>
          <w:p w14:paraId="5A087F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某资料包内的绿电发票核验状态为"核验不通过"</w:t>
            </w:r>
          </w:p>
          <w:p w14:paraId="3B5AD6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P4 点击锁定资料包</w:t>
            </w:r>
          </w:p>
          <w:p w14:paraId="5D31B73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锁定入口被冻结并返回 E_CERT_GREEN_INVOICE_UNVERIFIED</w:t>
            </w:r>
          </w:p>
          <w:p w14:paraId="65030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页面提示补正该凭证或剔除其对应的绿电抵扣量</w:t>
            </w:r>
          </w:p>
        </w:tc>
      </w:tr>
    </w:tbl>
    <w:p w14:paraId="450C6CF4">
      <w:pPr>
        <w:pStyle w:val="5"/>
        <w:numPr>
          <w:ilvl w:val="0"/>
          <w:numId w:val="164"/>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5" w:name="_Toc7127"/>
      <w:r>
        <w:rPr>
          <w:rFonts w:hint="eastAsia" w:cs="Times New Roman"/>
          <w:b w:val="0"/>
          <w:bCs w:val="0"/>
          <w:sz w:val="30"/>
          <w:szCs w:val="24"/>
          <w:lang w:val="en-US" w:eastAsia="zh-CN"/>
        </w:rPr>
        <w:t>认证申请</w:t>
      </w:r>
      <w:bookmarkEnd w:id="55"/>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1"/>
                    <pic:cNvPicPr>
                      <a:picLocks noChangeAspect="1"/>
                    </pic:cNvPicPr>
                  </pic:nvPicPr>
                  <pic:blipFill>
                    <a:blip r:embed="rId88"/>
                    <a:stretch>
                      <a:fillRect/>
                    </a:stretch>
                  </pic:blipFill>
                  <pic:spPr>
                    <a:xfrm>
                      <a:off x="0" y="0"/>
                      <a:ext cx="5900420" cy="2925445"/>
                    </a:xfrm>
                    <a:prstGeom prst="rect">
                      <a:avLst/>
                    </a:prstGeom>
                    <a:noFill/>
                    <a:ln>
                      <a:noFill/>
                    </a:ln>
                  </pic:spPr>
                </pic:pic>
              </a:graphicData>
            </a:graphic>
          </wp:inline>
        </w:drawing>
      </w:r>
    </w:p>
    <w:p w14:paraId="3819448C">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7E42638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可查看组织范围＝本级及以下（P4 本园区全部申请、PM 本园区全部、P6 仅被授权申请只读）；跨单位聚合＝按申请单条管理；对外可见档位＝SENSITIVE（申请单与报价信息属商务敏感，仅对本机构开放；对外不展示任何申请流水）；越权返回。</w:t>
      </w:r>
    </w:p>
    <w:p w14:paraId="1A8E39B7">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3D85936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1）顶部业务流程提示条（常驻）："认证申请业务流程：向导完成报（基础数据 → 线下自备材料 → 系统自动数据）→ 直接进入【线下认证中】→ 现场审核出证书【证书已上传】闭环"。</w:t>
      </w:r>
    </w:p>
    <w:p w14:paraId="5A2CDE2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2）右上筛选与主操作：「线下认证中」/「证书已上传」两个状态快捷筛选 + 「+ 发起认证申请（向导）」。</w:t>
      </w:r>
    </w:p>
    <w:p w14:paraId="3EC7641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3）筛选条：经营单位 · 认证状态 · 名称检索（编号 / 产品 / 机构）· 查询 / 重置。</w:t>
      </w:r>
    </w:p>
    <w:p w14:paraId="57177DD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4）申请台账表：列依次为 申请编号 · 产品型号 · 经营单位 · 合作认证机构 · 办理事项（评价 / 认证）· 申请日期 · 认证状态 · 操作（查看申报资料 / 上传证书出证 / 删除）。</w:t>
      </w:r>
    </w:p>
    <w:p w14:paraId="7ECA00A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5）申请编号规则：CA-{年份}-{3 位流水}，如 CA-2026-120。</w:t>
      </w:r>
    </w:p>
    <w:p w14:paraId="665384A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6）状态：线下认证中（橙）· 证书已上传（绿，并显示证书编号 CERT-YYYY-NNNN）。</w:t>
      </w:r>
    </w:p>
    <w:p w14:paraId="0E860BD2">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B95682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96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009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3771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664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575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59D1F0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6D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663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EA38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4C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FA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正则 CA-d{4}-d{3}$ ；全局唯一，重新提交生成新流水号</w:t>
            </w:r>
          </w:p>
        </w:tc>
      </w:tr>
      <w:tr w14:paraId="7DD2476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ADF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DF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99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CB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F3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须存在于产品型号主数据</w:t>
            </w:r>
          </w:p>
        </w:tc>
      </w:tr>
      <w:tr w14:paraId="586FA5D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E4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77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91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42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取自组织主数据</w:t>
            </w:r>
          </w:p>
        </w:tc>
      </w:tr>
      <w:tr w14:paraId="30FADF6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18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77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合作认证机构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A4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D3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23C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白名单机构；资质过期者置灰</w:t>
            </w:r>
          </w:p>
        </w:tc>
      </w:tr>
      <w:tr w14:paraId="0DAE59A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4F6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D5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办理事项</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A9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枚举（两级）</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7B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D2A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一级：评价 / 认证；二级：ISO 14067 产品碳足迹认证 · EPD 环境产品声明 · 绿色设计产品评价 …</w:t>
            </w:r>
          </w:p>
        </w:tc>
      </w:tr>
      <w:tr w14:paraId="4B5C38D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B60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D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申请日期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16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2C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6B1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YYYY-MM-DD；不可晚于当前日期</w:t>
            </w:r>
          </w:p>
        </w:tc>
      </w:tr>
      <w:tr w14:paraId="742A77F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E6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BA3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40C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61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4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线下认证中（橙）· 证书已上传（绿）</w:t>
            </w:r>
          </w:p>
        </w:tc>
      </w:tr>
      <w:tr w14:paraId="022EAD6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9B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94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C59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3A1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08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10% 时强制填写偏差说明并经 PM 复核</w:t>
            </w:r>
          </w:p>
        </w:tc>
      </w:tr>
      <w:tr w14:paraId="5830057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26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3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审核进度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B3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11F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58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已完成里程碑数 ÷ 里程碑总数 × 100%（等权）</w:t>
            </w:r>
          </w:p>
        </w:tc>
      </w:tr>
      <w:tr w14:paraId="469DE7C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2A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EAB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认证处理时长</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CBC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337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2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签发时间 − 受理时间；不含资料包组装期</w:t>
            </w:r>
          </w:p>
        </w:tc>
      </w:tr>
      <w:tr w14:paraId="34D0706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8D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86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预计发证周期修正值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AC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E5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修正系数 ∈ [ −0.20, +0.20 ]，超出拒绝保存</w:t>
            </w:r>
          </w:p>
        </w:tc>
      </w:tr>
    </w:tbl>
    <w:p w14:paraId="481AE1DA">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5FA51C4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取值示例：某机构对"ISO 14067 产品碳足迹认证"报价 ￥112,400，同标准最近一次成交基准报价 ￥100,000 → 报价偏差率 = ABS(112,400 − 100,000) ÷ 100,000 × 100% = 12.40% &gt; 10% → 强制填写偏差说明，未完成 PM 复核不得向机构报送。</w:t>
      </w:r>
    </w:p>
    <w:p w14:paraId="4C77B74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排期预估：机构历史平均发证周期 8 周，修正系数 +0.15 → 预计发证周期 = 8 × 1.15 = 9.20 周。</w:t>
      </w:r>
    </w:p>
    <w:p w14:paraId="7854F0F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进度：某申请里程碑总数 5（受理 / 资料核验 / 现场审核 / 出证 / 归档），已完成 3 → 审核进度 = 60%。</w:t>
      </w:r>
    </w:p>
    <w:p w14:paraId="34D7F4E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精度与容差：报价偏差率保留 2 位小数；进度为整数百分比（四舍五入，不做小数展示）；修正系数固定 2 位小数；认证处理时长为整数自然日；与基准报价比较为"&gt; 10%"严格大于，等于 10% 不触发强制说明。</w:t>
      </w:r>
    </w:p>
    <w:p w14:paraId="405CA444">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25A7EF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状态口径：审核状态以机构回传的正式文书为准，人工不得直接跳转状态；状态回退必须填写回退原因并留痕。</w:t>
      </w:r>
    </w:p>
    <w:p w14:paraId="5218841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里程碑口径：进度百分比按里程碑数量等权计算，不按停留时长加权，避免长停留环节放大进度。</w:t>
      </w:r>
    </w:p>
    <w:p w14:paraId="6B12F42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退回口径：机构退回须逐条结构化登记并指派补正责任人，未指派时退回动作不生效；同一资料包重新提交生成新流水号。</w:t>
      </w:r>
    </w:p>
    <w:p w14:paraId="5EDA746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时长口径：认证处理时长统一以自然日计，自受理时间起算至签发时间止，不含资料包组装阶段的耗时。</w:t>
      </w:r>
    </w:p>
    <w:p w14:paraId="2CAE30C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报价偏差阈值 10%（严格大于触发强制说明）；② 修正系数合法区间 [ −0.20, +0.20 ]，越界拒绝保存；③ 进度权重：里程碑等权，不用时长加权；④ 补正期限：以机构书面约定为准，系统默认 10 个自然日（可被机构约定覆盖）；⑤ 机构资质基准：以框架协议到期日为唯一判据，到期日 &lt; 当前日期即置灰；⑥ 基准报价来源：机构白名单中同认证标准最近一次成交价，无历史成交价时输出 -- 并跳过偏差校验。</w:t>
      </w:r>
    </w:p>
    <w:p w14:paraId="76867CDC">
      <w:pPr>
        <w:pStyle w:val="6"/>
        <w:numPr>
          <w:ilvl w:val="0"/>
          <w:numId w:val="16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16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E77EDC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22C96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Feature: 认证申请</w:t>
            </w:r>
          </w:p>
          <w:p w14:paraId="336813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作为 P4 碳核算与认证工程师</w:t>
            </w:r>
          </w:p>
          <w:p w14:paraId="675729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我希望向 SGS / TÜV 莱茵 / 中国方圆等外部机构在线发起认证委托并跟踪审核进度</w:t>
            </w:r>
          </w:p>
          <w:p w14:paraId="40846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以便完成报价确认、排期协同与补正意见处理的全流程闭环</w:t>
            </w:r>
          </w:p>
          <w:p w14:paraId="7FE9D9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Background:</w:t>
            </w:r>
          </w:p>
          <w:p w14:paraId="6CE39A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用户已登录且具备 P4 或 PM 角色权限</w:t>
            </w:r>
          </w:p>
          <w:p w14:paraId="621AB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认证机构白名单与同标准基准报价库已配置</w:t>
            </w:r>
          </w:p>
        </w:tc>
      </w:tr>
    </w:tbl>
    <w:p w14:paraId="5EE86900">
      <w:pPr>
        <w:pStyle w:val="5"/>
        <w:numPr>
          <w:ilvl w:val="0"/>
          <w:numId w:val="164"/>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6" w:name="_Toc26990"/>
      <w:r>
        <w:rPr>
          <w:rFonts w:hint="eastAsia" w:cs="Times New Roman"/>
          <w:b w:val="0"/>
          <w:bCs w:val="0"/>
          <w:sz w:val="30"/>
          <w:szCs w:val="24"/>
          <w:lang w:val="en-US" w:eastAsia="zh-CN"/>
        </w:rPr>
        <w:t>认证结果管理</w:t>
      </w:r>
      <w:bookmarkEnd w:id="56"/>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2"/>
                    <pic:cNvPicPr>
                      <a:picLocks noChangeAspect="1"/>
                    </pic:cNvPicPr>
                  </pic:nvPicPr>
                  <pic:blipFill>
                    <a:blip r:embed="rId89"/>
                    <a:stretch>
                      <a:fillRect/>
                    </a:stretch>
                  </pic:blipFill>
                  <pic:spPr>
                    <a:xfrm>
                      <a:off x="0" y="0"/>
                      <a:ext cx="5900420" cy="2925445"/>
                    </a:xfrm>
                    <a:prstGeom prst="rect">
                      <a:avLst/>
                    </a:prstGeom>
                    <a:noFill/>
                    <a:ln>
                      <a:noFill/>
                    </a:ln>
                  </pic:spPr>
                </pic:pic>
              </a:graphicData>
            </a:graphic>
          </wp:inline>
        </w:drawing>
      </w:r>
    </w:p>
    <w:p w14:paraId="13EB1A78">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3541BED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1E3A8A"/>
          <w:sz w:val="24"/>
          <w:szCs w:val="24"/>
        </w:rPr>
        <w:t>数据权限：</w:t>
      </w:r>
      <w:r>
        <w:rPr>
          <w:rFonts w:ascii="Times New Roman" w:hAnsi="Times New Roman" w:eastAsia="宋体" w:cs="Times New Roman"/>
          <w:b w:val="0"/>
          <w:bCs/>
          <w:i w:val="0"/>
          <w:color w:val="auto"/>
          <w:sz w:val="24"/>
          <w:szCs w:val="24"/>
        </w:rPr>
        <w:t>可查看组织范围＝本级及以下（P4 本园区、PM 本园区、P6 被授权只读）；跨单位聚合＝按证书单条管理；对外可见档位＝PUBLIC（公示内容须走白名单授权，仅含机构名、证书编号、有效期与产品型号，不含工艺配方、采购单价与人员信息）；越权或非白名单对象查询公示内容返回。</w:t>
      </w:r>
    </w:p>
    <w:p w14:paraId="5ED1C095">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w:t>
      </w:r>
      <w:r>
        <w:rPr>
          <w:rFonts w:ascii="Times New Roman" w:hAnsi="Times New Roman" w:eastAsia="宋体" w:cs="Times New Roman"/>
          <w:b w:val="0"/>
          <w:bCs/>
          <w:i w:val="0"/>
          <w:color w:val="auto"/>
          <w:sz w:val="24"/>
          <w:szCs w:val="24"/>
        </w:rPr>
        <w:t>登记证书全局编号、签发机构、认证标准、生效起止日期、覆盖产品型号白名单与证书存续状态，型号逐条校验存在于产品主数据。</w:t>
      </w:r>
    </w:p>
    <w:p w14:paraId="1DAEE333">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2EE4841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1）指标卡区（四卡）：有效证书（份，附"÷ 明年到期"说明）· 临期证书（份，附"需催办"）· 已过期（份，附"已禁用"）· 合作机构（家）。</w:t>
      </w:r>
    </w:p>
    <w:p w14:paraId="5DD99FA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2）归档表：右上「+ 新增证书」；列依次为 证书编号 · 来源申请（反查 CA-YYYY-NNN）· 产品型号 · 经营单位 · 认证机构 · 有效期至 · 状态 · 操作（预览 / 下载 / 编辑 / 删除）。</w:t>
      </w:r>
    </w:p>
    <w:p w14:paraId="49094F7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3）证书编号规则：CERT-{年份}-{4 位流水}，如 CERT-2026-0091。</w:t>
      </w:r>
    </w:p>
    <w:p w14:paraId="66DF411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4）状态色规：有效（绿）· 临期（橙）· 已过期（红）。</w:t>
      </w:r>
    </w:p>
    <w:p w14:paraId="7FEC6372">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4F512E7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EE6F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091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A8C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476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982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ECC5DF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CFF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FDD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C4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B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1B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正则 CERT-d{4}-d{4}$ ；全局唯一</w:t>
            </w:r>
          </w:p>
        </w:tc>
      </w:tr>
      <w:tr w14:paraId="6FA726B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A8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9F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来源申请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53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文本（外键）</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643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6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关联 CA-YYYY-NNN ；缺失时提示"非系统申报证书"</w:t>
            </w:r>
          </w:p>
        </w:tc>
      </w:tr>
      <w:tr w14:paraId="09C7657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36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F91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77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FF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80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须存在于产品型号主数据，否则拒绝登记</w:t>
            </w:r>
          </w:p>
        </w:tc>
      </w:tr>
      <w:tr w14:paraId="3E031FB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3C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43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877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7C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取自组织主数据</w:t>
            </w:r>
          </w:p>
        </w:tc>
      </w:tr>
      <w:tr w14:paraId="55D05EF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704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6F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CB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8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05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白名单机构</w:t>
            </w:r>
          </w:p>
        </w:tc>
      </w:tr>
      <w:tr w14:paraId="0860E9F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1E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E8E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有效期至</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9F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4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0F2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格式 YYYY-MM-DD；须晚于签发日</w:t>
            </w:r>
          </w:p>
        </w:tc>
      </w:tr>
      <w:tr w14:paraId="5BE39B9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0B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2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B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整数（派生）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E8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AC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有效期至 − 当前日期； 由系统计算，不可编辑</w:t>
            </w:r>
          </w:p>
        </w:tc>
      </w:tr>
      <w:tr w14:paraId="6744C3B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96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16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988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枚举（派生）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896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C9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90 天）/ 已过期（≤ 0 天）/ 吊销</w:t>
            </w:r>
          </w:p>
        </w:tc>
      </w:tr>
      <w:tr w14:paraId="4210AFA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AC1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DF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03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58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C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SHA-256；与证书 PDF 原件逐字节绑定</w:t>
            </w:r>
          </w:p>
        </w:tc>
      </w:tr>
      <w:tr w14:paraId="3A799EA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509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A1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签名校验结果</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65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布尔</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1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244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签发机构公钥验签；失败即判验真失败</w:t>
            </w:r>
          </w:p>
        </w:tc>
      </w:tr>
    </w:tbl>
    <w:p w14:paraId="6C0B942B">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1DBA286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取值示例：CERT-2026-0091（YJV-8.7/15，有效至 2029-07-28，今日 2026-09-27）→ Days_left = 1,035 天 → Warn_Level = 无 → Cert_State = 有效；PDF 哈希比对通过且机构签名验签通过 → Label_Allowed = true，可发布数字碳标签。</w:t>
      </w:r>
    </w:p>
    <w:p w14:paraId="384B77B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CERT-2025-0342（有效至 2026-09-15）→ Days_left = −12 → Cert_State = 已过期（原型误判为"临期"，须修正）。</w:t>
      </w:r>
    </w:p>
    <w:p w14:paraId="3088343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CERT-2024-0128（有效至 2026-03-01）→ Days_left = −210 → 已过期，自动熔断并下架碳标签。</w:t>
      </w:r>
    </w:p>
    <w:p w14:paraId="4774654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精度与容差：Days_left 为整数天（按自然日，不含时分秒；以服务器日期为准，不做时区换算）；90 / 30 / 7 为闭区间阈值（Days_left = 90 即触发 90 天级预警）；状态判定为互斥且完备：吊销 &gt; 已过期 &gt; 临期 &gt; 有效，优先级从高到低短路判定；哈希校验为二值判定，无容差。</w:t>
      </w:r>
    </w:p>
    <w:p w14:paraId="2C84ED44">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F04E9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预警口径：90 / 30 / 7 天三级预警阈值为固定铁律，预警只触发提醒不改变证书状态；证书状态仅由剩余有效天数与吊销标记决定。</w:t>
      </w:r>
    </w:p>
    <w:p w14:paraId="1E050F5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熔断口径：证书失效或吊销即自动熔断，下架动作与状态变更在同一事务内完成，不允许出现「状态已失效但标签仍可发布」的中间态。</w:t>
      </w:r>
    </w:p>
    <w:p w14:paraId="77E6ED3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验真口径：验真须同时通过 PDF 哈希比对与签发机构签名校验，仅通过其一判定为验真失败。</w:t>
      </w:r>
    </w:p>
    <w:p w14:paraId="1479416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公示口径：对外公示一律走白名单授权，白名单外对象返回「未授权公示」占位；公示内容不含工艺配方、采购单价与人员信息。</w:t>
      </w:r>
    </w:p>
    <w:p w14:paraId="59212A9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预警阈值 90 / 30 / 7 天，固定不可配置（阈值写在代码常量中，不落配置表）；② 熔断阈值 Days_left ≤ 0，或收到吊销结论即刻；③ 验真为双条件与运算，任一失败即整体失败；④ 同型号多证：以最近签发生效者为权威（比较"签发日期"，而非"有效期至"），其余标记"历史版本"；⑤ 公示白名单来源：P4 登记 + PM 对外公示授权审批流；⑥ 指标卡计数口径：与归档表状态列同一数据源，二者必须自洽（当前原型该项自洽，但状态判定有误，见上文）。</w:t>
      </w:r>
    </w:p>
    <w:p w14:paraId="6871A47B">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p w14:paraId="27C027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覆盖产品型号不在产品主数据：拒绝登记并返回 E_CERT_MODEL_NOT_FOUND（422），提示型号不存在。</w:t>
            </w:r>
          </w:p>
          <w:p w14:paraId="504F50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未授权对象查询公示内容：输出拦截，返回 E_CERT_PUBLIC_UNAUTHORIZED（403），仅返回「未授权公示」占位。</w:t>
            </w:r>
          </w:p>
          <w:p w14:paraId="2D74BE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（强化原有）状态列与 Days_left 不一致：以 Days_left 计算结果为权威并自动纠正，同时写入数据质量告警（防止人工置位导致熔断漏判）。</w:t>
            </w:r>
          </w:p>
        </w:tc>
      </w:tr>
    </w:tbl>
    <w:p w14:paraId="419BF54E">
      <w:pPr>
        <w:spacing w:after="40"/>
        <w:rPr>
          <w:rFonts w:hint="eastAsia" w:ascii="宋体" w:hAnsi="宋体" w:eastAsia="宋体" w:cs="宋体"/>
          <w:i w:val="0"/>
          <w:iCs w:val="0"/>
          <w:sz w:val="24"/>
          <w:szCs w:val="24"/>
        </w:rPr>
      </w:pPr>
    </w:p>
    <w:p w14:paraId="18C8B562">
      <w:pPr>
        <w:pStyle w:val="6"/>
        <w:numPr>
          <w:ilvl w:val="0"/>
          <w:numId w:val="1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6F2C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A54DB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Feature: 认证结果管理</w:t>
            </w:r>
          </w:p>
          <w:p w14:paraId="27E849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作为 P4 碳核算与认证工程师</w:t>
            </w:r>
          </w:p>
          <w:p w14:paraId="6557E7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我希望官方认证声明被结构化存储、验真并监控有效期</w:t>
            </w:r>
          </w:p>
          <w:p w14:paraId="1EB1C98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以便在证书临期与失效时自动预警、熔断并下架数字碳标签</w:t>
            </w:r>
          </w:p>
          <w:p w14:paraId="11C8DED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Background:</w:t>
            </w:r>
          </w:p>
          <w:p w14:paraId="3E1FE5C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用户已登录且具备 P4 / PM / P6 角色权限</w:t>
            </w:r>
          </w:p>
          <w:p w14:paraId="7A6D053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认证机构签发的证书 PDF 原件与机构公钥证书已入库</w:t>
            </w:r>
          </w:p>
          <w:p w14:paraId="637291E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追加 2 个场景：</w:t>
            </w:r>
          </w:p>
          <w:p w14:paraId="27627E4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剩余天数为负必须判为已过期</w:t>
            </w:r>
          </w:p>
          <w:p w14:paraId="6A1CD1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某证书有效期至 2026-09-15，当前系统日期为 2026-09-27</w:t>
            </w:r>
          </w:p>
          <w:p w14:paraId="790EA8E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系统执行每日证书健康检查</w:t>
            </w:r>
          </w:p>
          <w:p w14:paraId="661EB04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该证书剩余有效天数计算为 −12 天</w:t>
            </w:r>
          </w:p>
          <w:p w14:paraId="58E1F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证书状态判定为"已过期"而非"临期"</w:t>
            </w:r>
          </w:p>
          <w:p w14:paraId="10F17FB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自动熔断并下架其数字碳标签</w:t>
            </w:r>
          </w:p>
          <w:p w14:paraId="71792A2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Scenario: 未授权对象查询公示被拦截</w:t>
            </w:r>
          </w:p>
          <w:p w14:paraId="140D7C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某查询方不在对外公示白名单内</w:t>
            </w:r>
          </w:p>
          <w:p w14:paraId="502F38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When 该查询方请求查看某产品的认证公示内容</w:t>
            </w:r>
          </w:p>
          <w:p w14:paraId="6DB41A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Then 请求被拦截并返回 E_CERT_PUBLIC_UNAUTHORIZED</w:t>
            </w:r>
          </w:p>
          <w:p w14:paraId="67551EA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And 仅返回"未授权公示"占位，不回传机构名、证书编号以外的任何字段</w:t>
            </w:r>
          </w:p>
        </w:tc>
      </w:tr>
    </w:tbl>
    <w:p w14:paraId="50FD4253">
      <w:pPr>
        <w:pStyle w:val="4"/>
        <w:numPr>
          <w:ilvl w:val="0"/>
          <w:numId w:val="130"/>
        </w:numPr>
        <w:topLinePunct w:val="0"/>
        <w:ind w:left="0" w:leftChars="0" w:firstLine="0" w:firstLineChars="0"/>
        <w:outlineLvl w:val="0"/>
        <w:rPr>
          <w:rFonts w:hint="eastAsia" w:eastAsia="黑体"/>
          <w:b w:val="0"/>
          <w:bCs w:val="0"/>
          <w:sz w:val="30"/>
          <w:szCs w:val="32"/>
        </w:rPr>
      </w:pPr>
      <w:bookmarkStart w:id="57" w:name="_Toc12884"/>
      <w:r>
        <w:rPr>
          <w:rFonts w:ascii="Times New Roman" w:hAnsi="Times New Roman" w:eastAsia="黑体" w:cs="Times New Roman"/>
          <w:b w:val="0"/>
          <w:bCs w:val="0"/>
          <w:sz w:val="30"/>
          <w:szCs w:val="32"/>
        </w:rPr>
        <w:t>因子库管理</w:t>
      </w:r>
      <w:bookmarkEnd w:id="57"/>
    </w:p>
    <w:p w14:paraId="67251D2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本板块是集采中心的"参数底座"：把核算引擎所需的四类基础参数——原材料碳排因子、电力碳排因子、能源活动碳排因子、折标煤系数——以版本化的方式纳管，为 LCA 核算、Scope 1/2 排放计算与 CBAM 申报提供可追溯的输入。板块下辖 4 个模块，页面结构高度一致（筛选条 + 单表 + 版本记录）。</w:t>
      </w:r>
    </w:p>
    <w:p w14:paraId="705C631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边界声明（本板块最重要的一条）：本板块仅提供展示与查询。顶部提示条原文为「……仅展示与查询，维护入口在 系统管理 &gt; 能碳基础因子管理」。因此：</w:t>
      </w:r>
    </w:p>
    <w:p w14:paraId="229D7EE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因子的新增、编辑、版本发布、回滚全部在第四章《系统管理、基础参数设置》→「能碳基础因子管理」完成；</w:t>
      </w:r>
    </w:p>
    <w:p w14:paraId="7A658D2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本板块只保留查看因子构成详情与查看版本记录两个只读动作；</w:t>
      </w:r>
    </w:p>
    <w:p w14:paraId="1544EAB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与「实景数据库」的区别：本板块是一类一档的输入参数（如"电解铜 3.42 kgCO₂e/kg"），实景数据库是一事一档的输出结果（如"SFZ-63000/110 在沈变本部 2026-07 的 8,788.871 kgCO₂e/台"）。前者行数随物料/能源品种增长，后者行数随型号 × 单位 × 账期增长。</w:t>
      </w:r>
    </w:p>
    <w:p w14:paraId="5DF00DA9">
      <w:pPr>
        <w:pStyle w:val="5"/>
        <w:numPr>
          <w:ilvl w:val="0"/>
          <w:numId w:val="171"/>
        </w:numPr>
        <w:ind w:left="0" w:leftChars="0" w:firstLine="0" w:firstLineChars="0"/>
        <w:outlineLvl w:val="1"/>
        <w:rPr>
          <w:rFonts w:ascii="Times New Roman" w:hAnsi="Times New Roman" w:eastAsia="黑体" w:cs="Times New Roman"/>
          <w:b w:val="0"/>
          <w:bCs w:val="0"/>
          <w:sz w:val="30"/>
          <w:szCs w:val="24"/>
        </w:rPr>
      </w:pPr>
      <w:bookmarkStart w:id="58" w:name="_Toc21268"/>
      <w:r>
        <w:rPr>
          <w:rFonts w:ascii="Times New Roman" w:hAnsi="Times New Roman" w:eastAsia="黑体" w:cs="Times New Roman"/>
          <w:b w:val="0"/>
          <w:bCs w:val="0"/>
          <w:sz w:val="30"/>
          <w:szCs w:val="24"/>
        </w:rPr>
        <w:t>原材料碳排因子</w:t>
      </w:r>
      <w:bookmarkEnd w:id="58"/>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3"/>
                    <pic:cNvPicPr>
                      <a:picLocks noChangeAspect="1"/>
                    </pic:cNvPicPr>
                  </pic:nvPicPr>
                  <pic:blipFill>
                    <a:blip r:embed="rId90"/>
                    <a:stretch>
                      <a:fillRect/>
                    </a:stretch>
                  </pic:blipFill>
                  <pic:spPr>
                    <a:xfrm>
                      <a:off x="0" y="0"/>
                      <a:ext cx="5900420" cy="2925445"/>
                    </a:xfrm>
                    <a:prstGeom prst="rect">
                      <a:avLst/>
                    </a:prstGeom>
                    <a:noFill/>
                    <a:ln>
                      <a:noFill/>
                    </a:ln>
                  </pic:spPr>
                </pic:pic>
              </a:graphicData>
            </a:graphic>
          </wp:inline>
        </w:drawing>
      </w:r>
    </w:p>
    <w:p w14:paraId="4C54DA69">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220CB3B8">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功能定位：</w:t>
      </w:r>
      <w:r>
        <w:rPr>
          <w:rFonts w:ascii="Times New Roman" w:hAnsi="Times New Roman" w:eastAsia="宋体" w:cs="Times New Roman"/>
          <w:b w:val="0"/>
          <w:bCs/>
          <w:i w:val="0"/>
          <w:color w:val="auto"/>
          <w:sz w:val="24"/>
          <w:szCs w:val="24"/>
        </w:rPr>
        <w:t>作为产品生命周期核算与 CBAM 申报的核心物料参数基石，面向变压器与线缆两大产业的核心主材，提供因子建库查询、当前值与默认值双轨对比、摇篮到大门（Cradle-to-Gate）工序构成拆解、版本不可变冻结与可信回滚的只读视图。</w:t>
      </w:r>
    </w:p>
    <w:p w14:paraId="49BF1F0E">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承载角色：</w:t>
      </w:r>
      <w:r>
        <w:rPr>
          <w:rFonts w:ascii="Times New Roman" w:hAnsi="Times New Roman" w:eastAsia="宋体" w:cs="Times New Roman"/>
          <w:b w:val="0"/>
          <w:bCs/>
          <w:i w:val="0"/>
          <w:color w:val="auto"/>
          <w:sz w:val="24"/>
          <w:szCs w:val="24"/>
        </w:rPr>
        <w:t>P4 碳核算工程师（主查阅与构成核验）、P2 园区能碳专员（本园区相关物料查阅）、P6 外部独立审计机构（只读核验）。因子维护权限归第四章，本板块角色均为只读。</w:t>
      </w:r>
    </w:p>
    <w:p w14:paraId="73ABBE7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i w:val="0"/>
          <w:color w:val="auto"/>
          <w:sz w:val="24"/>
          <w:szCs w:val="24"/>
        </w:rPr>
        <w:t>页面路由：</w:t>
      </w:r>
      <w:r>
        <w:rPr>
          <w:rFonts w:ascii="Times New Roman" w:hAnsi="Times New Roman" w:eastAsia="宋体" w:cs="Times New Roman"/>
          <w:b w:val="0"/>
          <w:bCs/>
          <w:i w:val="0"/>
          <w:color w:val="auto"/>
          <w:sz w:val="24"/>
          <w:szCs w:val="24"/>
        </w:rPr>
        <w:t>/carbon-footprint/factor/material。</w:t>
      </w:r>
    </w:p>
    <w:p w14:paraId="3789AFCC">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上游依赖：</w:t>
      </w:r>
      <w:r>
        <w:rPr>
          <w:rFonts w:ascii="Times New Roman" w:hAnsi="Times New Roman" w:eastAsia="宋体" w:cs="Times New Roman"/>
          <w:b w:val="0"/>
          <w:bCs/>
          <w:i w:val="0"/>
          <w:color w:val="auto"/>
          <w:sz w:val="24"/>
          <w:szCs w:val="24"/>
        </w:rPr>
        <w:t>第四章「能碳基础因子管理」的因子主数据（含版本表）、供应商实测报告与第三方核证声明、Ecoinvent / CLCD 外部数据库。</w:t>
      </w:r>
    </w:p>
    <w:p w14:paraId="55384DF7">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下游输出：</w:t>
      </w:r>
      <w:r>
        <w:rPr>
          <w:rFonts w:ascii="Times New Roman" w:hAnsi="Times New Roman" w:eastAsia="宋体" w:cs="Times New Roman"/>
          <w:b w:val="0"/>
          <w:bCs/>
          <w:i w:val="0"/>
          <w:color w:val="auto"/>
          <w:sz w:val="24"/>
          <w:szCs w:val="24"/>
        </w:rPr>
        <w:t>实景数据库与碳足迹核算的物料因子输入、CBAM 隐含碳核算底数、数字碳标签报告中的因子版本引用清单。</w:t>
      </w:r>
    </w:p>
    <w:p w14:paraId="767EC065">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数据权限：</w:t>
      </w:r>
      <w:r>
        <w:rPr>
          <w:rFonts w:ascii="Times New Roman" w:hAnsi="Times New Roman" w:eastAsia="宋体" w:cs="Times New Roman"/>
          <w:b w:val="0"/>
          <w:bCs/>
          <w:i w:val="0"/>
          <w:color w:val="auto"/>
          <w:sz w:val="24"/>
          <w:szCs w:val="24"/>
        </w:rPr>
        <w:t>可查看组织范围＝集团全量（因子为公共参数，不做组织隔离）；跨单位聚合＝不适用；对外可见档位＝INTERNAL（因子的"数据来源"与"提供方"字段含供应商信息，对外须脱敏）；越权写入返回。</w:t>
      </w:r>
    </w:p>
    <w:p w14:paraId="1DE9B02B">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3F2EE593">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1）顶部提示条（常驻）：</w:t>
      </w:r>
      <w:r>
        <w:rPr>
          <w:rFonts w:ascii="Times New Roman" w:hAnsi="Times New Roman" w:eastAsia="宋体" w:cs="Times New Roman"/>
          <w:b w:val="0"/>
          <w:bCs/>
          <w:i w:val="0"/>
          <w:color w:val="auto"/>
          <w:sz w:val="24"/>
          <w:szCs w:val="24"/>
        </w:rPr>
        <w:t>"原材料碳排因子 仅展示与查询，维护入口在 系统管理 &gt; 能碳基础因子管理"。</w:t>
      </w:r>
    </w:p>
    <w:p w14:paraId="35BECBDE">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2）筛选条：</w:t>
      </w:r>
      <w:r>
        <w:rPr>
          <w:rFonts w:ascii="Times New Roman" w:hAnsi="Times New Roman" w:eastAsia="宋体" w:cs="Times New Roman"/>
          <w:b w:val="0"/>
          <w:bCs/>
          <w:i w:val="0"/>
          <w:color w:val="auto"/>
          <w:sz w:val="24"/>
          <w:szCs w:val="24"/>
        </w:rPr>
        <w:t>产品（全部产品因子集）· 应用产业签（全部 / 变压器产业 / 线缆产业 / 开关产业 / 通用）· 名称检索框 · 右上「+ 新增因子」（点击后跳转第四章维护页，不在本页弹窗）。</w:t>
      </w:r>
    </w:p>
    <w:p w14:paraId="277DAACA">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3）主表列：</w:t>
      </w:r>
      <w:r>
        <w:rPr>
          <w:rFonts w:ascii="Times New Roman" w:hAnsi="Times New Roman" w:eastAsia="宋体" w:cs="Times New Roman"/>
          <w:b w:val="0"/>
          <w:bCs/>
          <w:i w:val="0"/>
          <w:color w:val="auto"/>
          <w:sz w:val="24"/>
          <w:szCs w:val="24"/>
        </w:rPr>
        <w:t>原材料名称 · 适用产业 · 因子值（当前 / 默认） · 单位 · 数据来源 · 版本 · 操作。</w:t>
      </w:r>
    </w:p>
    <w:p w14:paraId="5BE5DF7B">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4）行操作（只读三件套）：</w:t>
      </w:r>
      <w:r>
        <w:rPr>
          <w:rFonts w:ascii="Times New Roman" w:hAnsi="Times New Roman" w:eastAsia="宋体" w:cs="Times New Roman"/>
          <w:b w:val="0"/>
          <w:bCs/>
          <w:i w:val="0"/>
          <w:color w:val="auto"/>
          <w:sz w:val="24"/>
          <w:szCs w:val="24"/>
        </w:rPr>
        <w:t>构成详情（抽屉，展示多供应商加权与工序构成）· 编辑（跳转第四章，并在本页置灰提示"维护入口在系统管理"）· 版本记录（抽屉）· 删除（跳转第四章）。</w:t>
      </w:r>
    </w:p>
    <w:p w14:paraId="55ABF0E4">
      <w:pPr>
        <w:pStyle w:val="19"/>
        <w:widowControl/>
        <w:ind w:left="0" w:leftChars="0" w:firstLine="482" w:firstLineChars="0"/>
        <w:rPr>
          <w:rFonts w:eastAsia="宋体"/>
          <w:b/>
          <w:i w:val="0"/>
          <w:color w:val="auto"/>
          <w:sz w:val="24"/>
          <w:szCs w:val="24"/>
        </w:rPr>
      </w:pPr>
      <w:r>
        <w:rPr>
          <w:rFonts w:ascii="Times New Roman" w:hAnsi="Times New Roman" w:eastAsia="宋体" w:cs="Times New Roman"/>
          <w:b/>
          <w:i w:val="0"/>
          <w:color w:val="auto"/>
          <w:sz w:val="24"/>
          <w:szCs w:val="24"/>
        </w:rPr>
        <w:t>5）双轨呈现：</w:t>
      </w:r>
      <w:r>
        <w:rPr>
          <w:rFonts w:ascii="Times New Roman" w:hAnsi="Times New Roman" w:eastAsia="宋体" w:cs="Times New Roman"/>
          <w:b w:val="0"/>
          <w:bCs/>
          <w:i w:val="0"/>
          <w:color w:val="auto"/>
          <w:sz w:val="24"/>
          <w:szCs w:val="24"/>
        </w:rPr>
        <w:t>"因子值"列上下两行，上行标注"当前"、下行标注"默认"；两者不同时当前值加粗并在版本号旁标 ▲。</w:t>
      </w:r>
    </w:p>
    <w:p w14:paraId="4AD54BD9">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29EB600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5E2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0FE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45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641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61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04A88D9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5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215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EB6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2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6ED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唯一；示例 取向硅钢片 / 电解铜 / 电工铝（铝锭）/ 环氧树脂 / 交联聚乙烯（XLPE）/ 绝缘纸板</w:t>
            </w:r>
          </w:p>
        </w:tc>
      </w:tr>
      <w:tr w14:paraId="7E3AEA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401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42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适用产业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BB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21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43B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变压器产业 / 线缆产业 / 开关产业 / 通用</w:t>
            </w:r>
          </w:p>
        </w:tc>
      </w:tr>
      <w:tr w14:paraId="2537023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C2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36D5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因子值（当前）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F9F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11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AD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&gt; 0 强制（≤ 0 阻断）</w:t>
            </w:r>
          </w:p>
        </w:tc>
      </w:tr>
      <w:tr w14:paraId="39BF7DD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6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1BAD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因子值（默认）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B6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47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10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无历史基准时置 -- ；严禁显示 0</w:t>
            </w:r>
          </w:p>
        </w:tc>
      </w:tr>
      <w:tr w14:paraId="1D0B72D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F5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2B2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8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3A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34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供应商实测 / 第三方核证 / 行业标准 / 国家标准 / IPCC 缺省值</w:t>
            </w:r>
          </w:p>
        </w:tc>
      </w:tr>
      <w:tr w14:paraId="3025950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2C0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1B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59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2EA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485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形如 v3.2 ；只读</w:t>
            </w:r>
          </w:p>
        </w:tc>
      </w:tr>
      <w:tr w14:paraId="7D33D35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68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AD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核验机构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65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830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D1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构成详情抽屉内展示</w:t>
            </w:r>
          </w:p>
        </w:tc>
      </w:tr>
      <w:tr w14:paraId="3277137D">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D2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A09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有效截止期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F3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F1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1A7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构成详情抽屉内展示</w:t>
            </w:r>
          </w:p>
        </w:tc>
      </w:tr>
    </w:tbl>
    <w:p w14:paraId="6877C008">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549326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997E0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算式（Unicode 体例，与本章其余 12 个模块一致）：</w:t>
            </w:r>
          </w:p>
          <w:p w14:paraId="362094F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① EF_mat = Σ(k=1→m) [ W_k ÷ Σ(j=1→m) W_j × EF_k ]　—— 多供应商混料加权综合因子</w:t>
            </w:r>
          </w:p>
          <w:p w14:paraId="37C15B1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② ΔEF_pct = ( EF_current − EF_default ) ÷ EF_default × 100%　—— 因子版本变动偏离率</w:t>
            </w:r>
          </w:p>
          <w:p w14:paraId="2A820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③ DQR = ( TeR + GeR + TiR + ReR ) ÷ 4　—— 数据质量四维综合评级</w:t>
            </w:r>
          </w:p>
          <w:p w14:paraId="6FD8AD4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④ C_material = Σ(i=1→n) ( M_i × EF_mat,i )　—— 产品原材料阶段总碳足迹</w:t>
            </w:r>
          </w:p>
        </w:tc>
      </w:tr>
    </w:tbl>
    <w:p w14:paraId="51CD01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变量定义与取值约定：</w:t>
      </w:r>
    </w:p>
    <w:p w14:paraId="344E2BE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W_k：向第 k 家供应商采购该物料的实际重量（kg 或 t）；EF_k：对应供应商核证因子（kgCO₂e/kg）；</w:t>
      </w:r>
    </w:p>
    <w:p w14:paraId="31050F3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TeR（技术代表性）、GeR（地理代表性）、TiR（时间代表性）、ReR（可靠性）分别按 1~5 档评分；</w:t>
      </w:r>
    </w:p>
    <w:p w14:paraId="225CD48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DQR 分级：DQR ≤ 1.6 判定为高质量（一级数据）；1.6 &lt; DQR ≤ 3.0 判定为中质量；DQR &gt; 3.0 判定为低质量并触发合规预警；</w:t>
      </w:r>
    </w:p>
    <w:p w14:paraId="6777677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M_i：第 i 种物料净重（kg）；n：物料种类数；</w:t>
      </w:r>
    </w:p>
    <w:p w14:paraId="506D927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ΔEF_pct 为负值代表物料绿色低碳化升级，正值代表碳排放强度上升。</w:t>
      </w:r>
    </w:p>
    <w:p w14:paraId="369852D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取值示例：某变压器物料由 3 家供应商混料：甲 60 t（EF 2.9000）、乙 30 t（EF 3.1000）、丙 10 t（EF 2.5000），ΣW = 100 t →</w:t>
      </w:r>
    </w:p>
    <w:p w14:paraId="697A397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EF_mat = (60÷100 × 2.9000) + (30÷100 × 3.1000) + (10÷100 × 2.5000) = 1.7400 + 0.9300 + 0.2500 = 2.9200 kgCO₂e/kg。</w:t>
      </w:r>
    </w:p>
    <w:p w14:paraId="59D6CFB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取向硅钢片：EF_current 2.8950、EF_default 2.3217 → ΔEF_pct = (2.8950 − 2.3217) ÷ 2.3217 × 100% = +24.69%（&gt; +5.00%，标黄提示）。</w:t>
      </w:r>
    </w:p>
    <w:p w14:paraId="40D3E897">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精度与容差：因子值保留 4 位小数；ΔEF_pct 保留 2 位小数；DQR 保留 2 位小数；四维评分为整数（1~5）；加权计算按全精度累加、末位一次舍入，与明细列示值容差 ≤ ±0.0001。</w:t>
      </w:r>
    </w:p>
    <w:p w14:paraId="256F21CF">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53A6319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双轨口径：因子列表常态展示当前值与默认值，默认值作为时序对标基准。</w:t>
      </w:r>
    </w:p>
    <w:p w14:paraId="5C2D421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偏离口径：ΔEF_pct ≤ −5.00% 标记绿色优化箭头；−5.00% &lt; ΔEF_pct ≤ +5.00% 标记灰色持平；ΔEF_pct &gt; +5.00% 标记黄色提示。</w:t>
      </w:r>
    </w:p>
    <w:p w14:paraId="14DDF6B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锁定口径：凡被标记为 LCA_CERTIFIED 或 CBAM_DECLARED 报告所引用的因子版本强制锁定，仅允许通过发布新版本推进。</w:t>
      </w:r>
    </w:p>
    <w:p w14:paraId="3501D8B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空值口径：新建因子无历史基准时默认值显示 --；缺失实测值时强制匹配公用数据库缺省值，严禁显示 0。</w:t>
      </w:r>
    </w:p>
    <w:p w14:paraId="2994917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溯源口径：每个因子卡片与行内明确展示版本号、核验机构、有效截止期与操作员工号，保障审计双向追溯。</w:t>
      </w:r>
    </w:p>
    <w:p w14:paraId="775BC4E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偏离率三档阈值 ±5.00%（闭区间归属：−5.00% 计入绿色档，+5.00% 计入灰色档）；② DQR 阈值 1.6 / 3.0，分级为高质量 / 中质量 / 低质量；③ 因子值硬阈值 &gt; 0，等于 0 亦阻断（避免与"缺失"混淆）；④ 加权分母安全阈值：ΣW = 0 时兜底采用国家标准缺省值；⑤ 基准来源：默认值 = 该因子上一有效版本的当前值（首版时置 --），非行业均值、非全国均值；⑥ 数据来源优先级基准：供应商实测 &gt; 第三方核证 &gt; 行业标准 &gt; 国家标准 &gt; IPCC 缺省值。</w:t>
      </w:r>
    </w:p>
    <w:p w14:paraId="7719793E">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Σ W_j = 0 时，加权因子自动兜底采用国家标准缺省值，记录 E_CALC_FACTOR_WEIGHT_ZERO_FALLBACK ，系统不出现 NaN 或白屏。</w:t>
      </w:r>
    </w:p>
    <w:p w14:paraId="3574A199">
      <w:pPr>
        <w:pStyle w:val="175"/>
        <w:bidi w:val="0"/>
      </w:pPr>
      <w:r>
        <w:t>因子数值非正数强阻断：录入因子必须满足 EF_current &gt; 0，输入 ≤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172"/>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p w14:paraId="1624CFA9">
            <w:pPr>
              <w:pStyle w:val="19"/>
              <w:bidi w:val="0"/>
            </w:pPr>
            <w:r>
              <w:t>Scenario: 本板块写入动作一律跳转第四章</w:t>
            </w:r>
          </w:p>
          <w:p w14:paraId="49BF300B">
            <w:pPr>
              <w:pStyle w:val="19"/>
              <w:bidi w:val="0"/>
            </w:pPr>
            <w:r>
              <w:t>Given P4 在"原材料碳排因子"页面查看因子列表</w:t>
            </w:r>
          </w:p>
          <w:p w14:paraId="32AB09FF">
            <w:pPr>
              <w:pStyle w:val="19"/>
              <w:bidi w:val="0"/>
            </w:pPr>
            <w:r>
              <w:t>When 点击行内"编辑"或"删除"或右上"+ 新增因子"</w:t>
            </w:r>
          </w:p>
          <w:p w14:paraId="6362A968">
            <w:pPr>
              <w:pStyle w:val="19"/>
              <w:bidi w:val="0"/>
            </w:pPr>
            <w:r>
              <w:t>Then 不弹出本页编辑表单</w:t>
            </w:r>
          </w:p>
          <w:p w14:paraId="4D0E217B">
            <w:pPr>
              <w:pStyle w:val="19"/>
              <w:bidi w:val="0"/>
            </w:pPr>
            <w:r>
              <w:t>And 跳转至"系统管理 &gt; 能碳基础因子管理"对应因子的维护页</w:t>
            </w:r>
          </w:p>
          <w:p w14:paraId="6093A2CB">
            <w:pPr>
              <w:pStyle w:val="19"/>
              <w:bidi w:val="0"/>
            </w:pPr>
            <w:r>
              <w:t>And 本页不产生任何写操作、不写入任何审计流水</w:t>
            </w:r>
          </w:p>
        </w:tc>
      </w:tr>
    </w:tbl>
    <w:p w14:paraId="5D4D83FF">
      <w:pPr>
        <w:rPr>
          <w:rFonts w:hint="eastAsia" w:ascii="宋体" w:hAnsi="宋体" w:eastAsia="宋体" w:cs="宋体"/>
          <w:i w:val="0"/>
          <w:iCs w:val="0"/>
          <w:sz w:val="24"/>
          <w:szCs w:val="24"/>
        </w:rPr>
      </w:pPr>
    </w:p>
    <w:p w14:paraId="59CD8406">
      <w:pPr>
        <w:pStyle w:val="5"/>
        <w:numPr>
          <w:ilvl w:val="0"/>
          <w:numId w:val="171"/>
        </w:numPr>
        <w:ind w:left="0" w:leftChars="0" w:firstLine="0" w:firstLineChars="0"/>
        <w:outlineLvl w:val="1"/>
        <w:rPr>
          <w:rFonts w:ascii="Times New Roman" w:hAnsi="Times New Roman" w:eastAsia="黑体" w:cs="Times New Roman"/>
          <w:b w:val="0"/>
          <w:bCs w:val="0"/>
          <w:sz w:val="30"/>
          <w:szCs w:val="24"/>
        </w:rPr>
      </w:pPr>
      <w:bookmarkStart w:id="59" w:name="_Toc3368"/>
      <w:r>
        <w:rPr>
          <w:rFonts w:hint="eastAsia" w:cs="Times New Roman"/>
          <w:b w:val="0"/>
          <w:bCs w:val="0"/>
          <w:sz w:val="30"/>
          <w:szCs w:val="24"/>
          <w:lang w:val="en-US" w:eastAsia="zh-CN"/>
        </w:rPr>
        <w:t>电力碳排因子</w:t>
      </w:r>
      <w:bookmarkEnd w:id="59"/>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pic:cNvPicPr>
                      <a:picLocks noChangeAspect="1"/>
                    </pic:cNvPicPr>
                  </pic:nvPicPr>
                  <pic:blipFill>
                    <a:blip r:embed="rId91"/>
                    <a:stretch>
                      <a:fillRect/>
                    </a:stretch>
                  </pic:blipFill>
                  <pic:spPr>
                    <a:xfrm>
                      <a:off x="0" y="0"/>
                      <a:ext cx="5900420" cy="2925445"/>
                    </a:xfrm>
                    <a:prstGeom prst="rect">
                      <a:avLst/>
                    </a:prstGeom>
                    <a:noFill/>
                    <a:ln>
                      <a:noFill/>
                    </a:ln>
                  </pic:spPr>
                </pic:pic>
              </a:graphicData>
            </a:graphic>
          </wp:inline>
        </w:drawing>
      </w:r>
    </w:p>
    <w:p w14:paraId="0E183B19">
      <w:pPr>
        <w:pStyle w:val="6"/>
        <w:numPr>
          <w:ilvl w:val="0"/>
          <w:numId w:val="173"/>
        </w:numPr>
        <w:bidi w:val="0"/>
        <w:ind w:left="0" w:leftChars="0" w:firstLine="0" w:firstLineChars="0"/>
        <w:rPr>
          <w:b/>
          <w:bCs/>
          <w:sz w:val="28"/>
          <w:szCs w:val="28"/>
        </w:rPr>
      </w:pPr>
      <w:r>
        <w:rPr>
          <w:b/>
          <w:bCs/>
          <w:sz w:val="28"/>
          <w:szCs w:val="28"/>
        </w:rPr>
        <w:t>定位与架构角色</w:t>
      </w:r>
    </w:p>
    <w:p w14:paraId="616DE6F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功能定位：作为全集团范围二（Scope 2）外购电力间接温室气体排放核算、车间工序分时用电碳排分析与市场化绿电消纳抵扣的核心参数库，实现国家级、区域电网级、省域电网级以及特定清洁电源级因子的统一纳管与版本同步（只读视图）。</w:t>
      </w:r>
    </w:p>
    <w:p w14:paraId="5B1B10A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承载角色：P1 集团决策层（只读查验全网平均因子）、P2 园区能碳专员（属地电网因子查阅）、P4 碳核算工程师（绿电消纳核准与证书冲抵核验）。维护权限归第四章。</w:t>
      </w:r>
    </w:p>
    <w:p w14:paraId="1C7DECE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页面路由：/carbon-footprint/factor/electricity。</w:t>
      </w:r>
    </w:p>
    <w:p w14:paraId="115C854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上游依赖：第四章「能碳基础因子管理」的电力因子主数据、生态环境部发布的区域电网基准线排放因子、绿证核销台账、自备电厂 CEMS 在线监测数据。</w:t>
      </w:r>
    </w:p>
    <w:p w14:paraId="4C51B8C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下游输出：Scope 2 间接排放核算结果、绿电消纳占比指标、CBAM 间接排放（前驱物电耗）底数。</w:t>
      </w:r>
    </w:p>
    <w:p w14:paraId="27BF45D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数据权限：可查看组织范围＝集团全量；跨单位聚合＝不适用；对外可见档位＝INTERNAL；越权写入返回。</w:t>
      </w:r>
    </w:p>
    <w:p w14:paraId="4B63A99A">
      <w:pPr>
        <w:pStyle w:val="6"/>
        <w:numPr>
          <w:ilvl w:val="0"/>
          <w:numId w:val="173"/>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173"/>
        </w:numPr>
        <w:bidi w:val="0"/>
        <w:ind w:left="0" w:leftChars="0" w:firstLine="0" w:firstLineChars="0"/>
        <w:rPr>
          <w:b/>
          <w:bCs/>
          <w:sz w:val="28"/>
          <w:szCs w:val="28"/>
        </w:rPr>
      </w:pPr>
      <w:r>
        <w:rPr>
          <w:b/>
          <w:bCs/>
          <w:sz w:val="28"/>
          <w:szCs w:val="28"/>
        </w:rPr>
        <w:t>功能规格与交互契约</w:t>
      </w:r>
    </w:p>
    <w:p w14:paraId="27F3FDA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1）顶部提示条（常驻）："电力碳排因子 仅展示与查询，维护入口在 系统管理 &gt; 能碳基础因子管理"。</w:t>
      </w:r>
    </w:p>
    <w:p w14:paraId="6D2CE1A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2）筛选条：区域电网（全部区域电网）· 名称检索框。</w:t>
      </w:r>
    </w:p>
    <w:p w14:paraId="1218564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3）主表列：区域电网 · 电力来源 · 因子值（当前 / 默认） · 单位 · 数据来源 · 版本 · 操作。</w:t>
      </w:r>
    </w:p>
    <w:p w14:paraId="3F85AD0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4）行操作：版本记录（抽屉，展示各版本因子值、生效区间与发布时间）；编辑与删除跳转第四章。</w:t>
      </w:r>
    </w:p>
    <w:p w14:paraId="10F4184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5）配套区块（建议补入 ③ 段）：页面下方宜增设"区域电网—属地映射"只读区块，用于回答"某园区该用哪个电网因子"，避免业务误用（映射关系见 ④ 段）。</w:t>
      </w:r>
    </w:p>
    <w:p w14:paraId="0068270F">
      <w:pPr>
        <w:pStyle w:val="6"/>
        <w:numPr>
          <w:ilvl w:val="0"/>
          <w:numId w:val="173"/>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61BABDB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0C6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E6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29AE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97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870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20BACB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F2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E42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区域电网</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B9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2A31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DEBD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华北 / 华东 / 华中 / 西北 / 南方 / 东北 区域电网</w:t>
            </w:r>
          </w:p>
        </w:tc>
      </w:tr>
      <w:tr w14:paraId="5D24508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25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C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88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4A2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0D0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电网平均 / 光伏发电 / 风力发电 / 水力发电 / 绿电（市场化交易）/ 燃煤自备电厂</w:t>
            </w:r>
          </w:p>
        </w:tc>
      </w:tr>
      <w:tr w14:paraId="72A167D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B0F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D1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942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593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kgCO₂e/kWh</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E4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0（ 允许为 0 ：绿电按 0 计量）；无历史基准时默认值置 --</w:t>
            </w:r>
          </w:p>
        </w:tc>
      </w:tr>
      <w:tr w14:paraId="42D57BC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9C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9D9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24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0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4F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 / 第三方核证 / 行业标准 / 供应商实测</w:t>
            </w:r>
          </w:p>
        </w:tc>
      </w:tr>
      <w:tr w14:paraId="70A08B5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F2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E3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F0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AA0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487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形如 v2024.1 / v1.3 （两类命名并存，见 ⑥ 段）</w:t>
            </w:r>
          </w:p>
        </w:tc>
      </w:tr>
    </w:tbl>
    <w:p w14:paraId="23DEDB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样本：</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7A4F4B1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7E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93E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F3C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因子值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B1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9A26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26D60A0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59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4E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A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0.5703</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52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C32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v2024.1</w:t>
            </w:r>
          </w:p>
        </w:tc>
      </w:tr>
      <w:tr w14:paraId="4FD2733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05C5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华东区域电网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CA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74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0.5257</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363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04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v2024.1</w:t>
            </w:r>
          </w:p>
        </w:tc>
      </w:tr>
      <w:tr w14:paraId="2722B4B8">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39E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西北区域电网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BC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CE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0.6127</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892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87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v2024.1</w:t>
            </w:r>
          </w:p>
        </w:tc>
      </w:tr>
      <w:tr w14:paraId="52CB575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174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南方区域电网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A8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0.5271</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2EF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48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v2024.1</w:t>
            </w:r>
          </w:p>
        </w:tc>
      </w:tr>
      <w:tr w14:paraId="6984932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C7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华中区域电网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D809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B0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0.5988</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0A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7DDA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v2024.1</w:t>
            </w:r>
          </w:p>
        </w:tc>
      </w:tr>
      <w:tr w14:paraId="6ECBF22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05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东北区域电网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BB4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692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0.6540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8C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CA9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v2024.1</w:t>
            </w:r>
          </w:p>
        </w:tc>
      </w:tr>
      <w:tr w14:paraId="09230FD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B8D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B6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81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0.0480</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AB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CAF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w:t>
            </w:r>
          </w:p>
        </w:tc>
      </w:tr>
      <w:tr w14:paraId="2F088E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9F3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华东区域电网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C60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绿电（市场化交易）</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5A6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0.0000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247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F3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w:t>
            </w:r>
          </w:p>
        </w:tc>
      </w:tr>
      <w:tr w14:paraId="00C77EE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4E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西北区域电网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1BE2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风力发电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452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0.0250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27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行业标准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B0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w:t>
            </w:r>
          </w:p>
        </w:tc>
      </w:tr>
      <w:tr w14:paraId="63E357C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22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A499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燃煤自备电厂</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F6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0.8320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796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供应商实测</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15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v2.0</w:t>
            </w:r>
          </w:p>
        </w:tc>
      </w:tr>
      <w:tr w14:paraId="25B147F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26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华中区域电网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8F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F80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0.0110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05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9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v1.0</w:t>
            </w:r>
          </w:p>
        </w:tc>
      </w:tr>
    </w:tbl>
    <w:p w14:paraId="1C8C603D">
      <w:pPr>
        <w:pStyle w:val="6"/>
        <w:numPr>
          <w:ilvl w:val="0"/>
          <w:numId w:val="173"/>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18BD32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BF7FA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算式：</w:t>
            </w:r>
          </w:p>
          <w:p w14:paraId="71ADB1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① EF_grid_composite = Σ(i=1→p) ( Q_purchased,i × EF_grid,i ) ÷ Σ(i=1→p) Q_purchased,i　—— 全集团购网电力综合加权因子</w:t>
            </w:r>
          </w:p>
          <w:p w14:paraId="1A2519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② C_Scope2,elec = ( Q_grid_total − Q_green_verified ) × EF_grid + Q_green_verified × 0　—— 电力间接排放净额（kWh × kgCO₂e/kWh = kgCO₂e）</w:t>
            </w:r>
          </w:p>
          <w:p w14:paraId="54FEB8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③ R_green_power = ( Q_pv_self + Q_green_market ) ÷ ( Q_grid_total + Q_pv_self ) × 100%　—— 绿电综合消纳占比</w:t>
            </w:r>
          </w:p>
        </w:tc>
      </w:tr>
    </w:tbl>
    <w:p w14:paraId="32B710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变量定义与取值约定：</w:t>
      </w:r>
    </w:p>
    <w:p w14:paraId="5CCD5B8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Q_purchased,i：第 i 个园区购入市电量（kWh）；EF_grid,i：第 i 个园区所在地电网排放因子（kgCO₂e/kWh）；p：园区数；</w:t>
      </w:r>
    </w:p>
    <w:p w14:paraId="6493254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Q_grid_total：外购市电总量（kWh）；Q_green_verified：取得官方核销绿证对应的结算电量（kWh）；</w:t>
      </w:r>
    </w:p>
    <w:p w14:paraId="50075C6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Q_pv_self：分布式光伏自发自用电量（kWh）；Q_green_market：市场化交易绿电电量（kWh）；</w:t>
      </w:r>
    </w:p>
    <w:p w14:paraId="576A473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严禁出现负碳计算：当 Q_green_verified &gt; Q_grid_total 时，C_Scope2,elec 兜底锁定为 0.00 kgCO₂e，不得产生"负碳抵消外部化石燃料"。</w:t>
      </w:r>
    </w:p>
    <w:p w14:paraId="7276699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取值示例：某车间当月市电消耗 Q_grid_total = 100,000 kWh，录入合规核销绿电 Q_green_verified = 40,000 kWh，属地电网因子 EF_grid = 0.5257 kgCO₂e/kWh（华东）→</w:t>
      </w:r>
    </w:p>
    <w:p w14:paraId="3462575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C_Scope2,elec = (100,000 − 40,000) × 0.5257 + 40,000 × 0 = 31,542.00 kgCO₂e。</w:t>
      </w:r>
    </w:p>
    <w:p w14:paraId="3CC67D6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综合加权因子示例：某集团三园区购电量分别为 50,000 / 30,000 / 20,000 kWh，因子 0.5703 / 0.5257 / 0.6127 → EF_grid_composite = (50,000×0.5703 + 30,000×0.5257 + 20,000×0.6127) ÷ 100,000 = (28,515.0 + 15,771.0 + 12,254.0) ÷ 100,000 = 0.56540 kgCO₂e/kWh。</w:t>
      </w:r>
    </w:p>
    <w:p w14:paraId="4759A55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精度与容差：因子值保留 4 位小数；排放量按 kgCO₂e，允许 2 位小数，内部计算按全精度、末位一次舍入，容差 ≤ ±0.01 kgCO₂e；消纳占比保留 2 位小数（%）；绿电凭证与用电量的比较为"≤"闭区间（相等即全额抵扣，不产生负值）。</w:t>
      </w:r>
    </w:p>
    <w:p w14:paraId="0F872FD4">
      <w:pPr>
        <w:pStyle w:val="6"/>
        <w:numPr>
          <w:ilvl w:val="0"/>
          <w:numId w:val="173"/>
        </w:numPr>
        <w:bidi w:val="0"/>
        <w:ind w:left="0" w:leftChars="0" w:firstLine="0" w:firstLineChars="0"/>
        <w:rPr>
          <w:b/>
          <w:bCs/>
          <w:sz w:val="28"/>
          <w:szCs w:val="28"/>
        </w:rPr>
      </w:pPr>
      <w:r>
        <w:rPr>
          <w:b/>
          <w:bCs/>
          <w:sz w:val="28"/>
          <w:szCs w:val="28"/>
        </w:rPr>
        <w:t>展示、对标与判定口径</w:t>
      </w:r>
    </w:p>
    <w:p w14:paraId="7197C83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分级对标口径：各园区电力排放因子常态与全国平均电网因子（全国基准线 0.5703）横向对齐。</w:t>
      </w:r>
    </w:p>
    <w:p w14:paraId="1289665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消纳认定口径：厂房屋顶分布式光伏自发自用电量，因子按 0.0000 kgCO₂e/kWh 认定；全生命周期 LCA 制造端分摊按 0.0480 kgCO₂e/kWh 认定。</w:t>
      </w:r>
    </w:p>
    <w:p w14:paraId="260BA9D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空值口径：对于未联网的小微测点，因子默认继承所在地所属省级电网平均因子，严禁显示 -- 导致计算中断。</w:t>
      </w:r>
    </w:p>
    <w:p w14:paraId="289C50E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全国基准线 0.5703 kgCO₂e/kWh（来源：生态环境部 2024 年度全国电网平均排放因子，经第四章发布）；② 绿电抵扣为 0.0000，超量部分按 100% 截断并顺延下一周期；③ 自备电厂实测要求：未上传 CEMS 连续在线监测值即强制采用燃煤发电机组上限 0.8320 kgCO₂e/kWh；④ 版本命名规则冲突（须统一）：中国网平均因子用年度版号 v2024.1，清洁电源因子用序号版号 v1.0~v1.3，两类混排会造成"版本号不可比"。建议统一为「发布年 + 序号」格式（如 v2024.1 / v2026.2），并在版本记录中固定展示"生效区间 + 发布依据"；⑤ 比对基准来源：区域电网划分以国家发改委区域电网划分为准，禁止按行政省自行归类。⑥ 区域电网—属地映射（建议固化入 ④ 段）：新疆 → 西北电网；上海 / 江苏 → 华东电网；湖南 → 华中电网；辽宁 / 吉林 / 黑龙江 → 东北电网；广东 / 广西 / 云南 / 贵州 / 海南 → 南方电网；北京 / 天津 / 河北 / 山西 / 山东 → 华北电网。</w:t>
      </w:r>
    </w:p>
    <w:p w14:paraId="38FE526F">
      <w:pPr>
        <w:pStyle w:val="6"/>
        <w:numPr>
          <w:ilvl w:val="0"/>
          <w:numId w:val="173"/>
        </w:numPr>
        <w:bidi w:val="0"/>
        <w:ind w:left="0" w:leftChars="0" w:firstLine="0" w:firstLineChars="0"/>
        <w:rPr>
          <w:b/>
          <w:bCs/>
          <w:sz w:val="28"/>
          <w:szCs w:val="28"/>
        </w:rPr>
      </w:pPr>
      <w:r>
        <w:rPr>
          <w:b/>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0BAE85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7D645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历史关账月度强冻结：已完成财务锁账的月份，其核算所引用的电力因子版本自动固化，即便后续生态环境部补丁修正因子，历史月份禁止自动刷新，触发 E_SYS_FACTOR_LOCKED_HISTORIC（422）。</w:t>
            </w:r>
          </w:p>
          <w:p w14:paraId="1ED691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绿电超量抵扣截断：绿电核销申报量大于用电总量时，系统自动截断至总用电量，溢出部分自动流转至下一统计周期，记录告警 E_CALC_GREEN_OFFSET_OVERFLOW（200）。</w:t>
            </w:r>
          </w:p>
          <w:p w14:paraId="686ADD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自备电厂实测脱失拦截：自备电厂当月未上传 CEMS 烟气实测值时，阻断其提交"超低因子"，强制采用 0.8320 kgCO₂e/kWh，抛出 E_VAL_CEMS_OFFLINE_PENALTY（422）。</w:t>
            </w:r>
          </w:p>
          <w:p w14:paraId="336E8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（新增）因子值为 0 的合法性区分：绿电类来源允许因子 = 0.0000（合法），国网平均类来源因子 = 0 视为异常并拦截，返回 E_VAL_FACTOR_ZERO_UNEXPECTED（422）。</w:t>
            </w:r>
          </w:p>
          <w:p w14:paraId="539327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（新增）区域电网缺失：园区属地无法映射到任一区域电网（如境外园区），因子置 -- 并要求人工指定，禁止默认取全国平均。</w:t>
            </w:r>
          </w:p>
        </w:tc>
      </w:tr>
    </w:tbl>
    <w:p w14:paraId="56464043">
      <w:pPr>
        <w:pStyle w:val="6"/>
        <w:numPr>
          <w:ilvl w:val="0"/>
          <w:numId w:val="173"/>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p w14:paraId="7E49430A">
            <w:pPr>
              <w:pStyle w:val="19"/>
              <w:bidi w:val="0"/>
            </w:pPr>
            <w:r>
              <w:t>Scenario: 历史关账月份因子强冻结</w:t>
            </w:r>
          </w:p>
          <w:p w14:paraId="6ED3E592">
            <w:pPr>
              <w:pStyle w:val="19"/>
              <w:bidi w:val="0"/>
            </w:pPr>
            <w:r>
              <w:t>Given 2026-06 已完成财务锁账并核算引用电力因子版本 v2024.1</w:t>
            </w:r>
          </w:p>
          <w:p w14:paraId="4D5EA4F1">
            <w:pPr>
              <w:pStyle w:val="19"/>
              <w:bidi w:val="0"/>
            </w:pPr>
            <w:r>
              <w:t>When 生态环境部发布 v2026.1 修正因子</w:t>
            </w:r>
          </w:p>
          <w:p w14:paraId="60A60CA9">
            <w:pPr>
              <w:pStyle w:val="19"/>
              <w:bidi w:val="0"/>
            </w:pPr>
            <w:r>
              <w:t>Then 2026-06 的核算结果保持引用 v2024.1 不自动刷新</w:t>
            </w:r>
          </w:p>
          <w:p w14:paraId="60B92368">
            <w:pPr>
              <w:pStyle w:val="19"/>
              <w:bidi w:val="0"/>
            </w:pPr>
            <w:r>
              <w:t>And 返回错误码 E_SYS_FACTOR_LOCKED_HISTORIC</w:t>
            </w:r>
          </w:p>
          <w:p w14:paraId="3FDF7080">
            <w:pPr>
              <w:pStyle w:val="19"/>
              <w:bidi w:val="0"/>
            </w:pPr>
            <w:r>
              <w:t>Scenario: 绿电超量抵扣自动截断并顺延</w:t>
            </w:r>
          </w:p>
          <w:p w14:paraId="15DB10C4">
            <w:pPr>
              <w:pStyle w:val="19"/>
              <w:bidi w:val="0"/>
            </w:pPr>
            <w:r>
              <w:t>Given 某车间当月总用电量 100,000 kWh，绿电核销申报量 120,000 kWh</w:t>
            </w:r>
          </w:p>
          <w:p w14:paraId="74BF4267">
            <w:pPr>
              <w:pStyle w:val="19"/>
              <w:bidi w:val="0"/>
            </w:pPr>
            <w:r>
              <w:t>When 系统核算该车间 Scope 2 间接排放</w:t>
            </w:r>
          </w:p>
          <w:p w14:paraId="475DE885">
            <w:pPr>
              <w:pStyle w:val="19"/>
              <w:bidi w:val="0"/>
            </w:pPr>
            <w:r>
              <w:t>Then 抵扣量被截断至 100,000 kWh，排放量为 0.00 kgCO₂e</w:t>
            </w:r>
          </w:p>
          <w:p w14:paraId="31F05887">
            <w:pPr>
              <w:pStyle w:val="19"/>
              <w:bidi w:val="0"/>
            </w:pPr>
            <w:r>
              <w:t>And 溢出的 20,000 kWh 自动流转至下一统计周期</w:t>
            </w:r>
          </w:p>
          <w:p w14:paraId="1AF90695">
            <w:pPr>
              <w:pStyle w:val="19"/>
              <w:bidi w:val="0"/>
            </w:pPr>
            <w:r>
              <w:t>And 记录告警 E_CALC_GREEN_OFFSET_OVERFLOW</w:t>
            </w:r>
          </w:p>
          <w:p w14:paraId="6280BF72">
            <w:pPr>
              <w:pStyle w:val="19"/>
              <w:bidi w:val="0"/>
            </w:pPr>
            <w:r>
              <w:t>Scenario: 自备电厂 CEMS 脱失强制上限因子</w:t>
            </w:r>
          </w:p>
          <w:p w14:paraId="2451C903">
            <w:pPr>
              <w:pStyle w:val="19"/>
              <w:bidi w:val="0"/>
            </w:pPr>
            <w:r>
              <w:t>Given 某自备电厂当月未上传 CEMS 烟气实测值</w:t>
            </w:r>
          </w:p>
          <w:p w14:paraId="2A45D6A3">
            <w:pPr>
              <w:pStyle w:val="19"/>
              <w:bidi w:val="0"/>
            </w:pPr>
            <w:r>
              <w:t>When 该电厂提交低于 0.8320 kgCO₂e/kWh 的"超低排放"因子</w:t>
            </w:r>
          </w:p>
          <w:p w14:paraId="3D56339E">
            <w:pPr>
              <w:pStyle w:val="19"/>
              <w:bidi w:val="0"/>
            </w:pPr>
            <w:r>
              <w:t>Then 提交被阻断并强制采用 0.8320 kgCO₂e/kWh</w:t>
            </w:r>
          </w:p>
          <w:p w14:paraId="5CAE91B4">
            <w:pPr>
              <w:pStyle w:val="19"/>
              <w:bidi w:val="0"/>
            </w:pPr>
            <w:r>
              <w:t>And 返回错误码 E_VAL_CEMS_OFFLINE_PENALTY</w:t>
            </w:r>
          </w:p>
        </w:tc>
      </w:tr>
    </w:tbl>
    <w:p w14:paraId="2327B818">
      <w:pPr>
        <w:pStyle w:val="19"/>
        <w:bidi w:val="0"/>
      </w:pPr>
    </w:p>
    <w:p w14:paraId="35D5EB07">
      <w:pPr>
        <w:pStyle w:val="5"/>
        <w:numPr>
          <w:ilvl w:val="0"/>
          <w:numId w:val="171"/>
        </w:numPr>
        <w:ind w:left="0" w:leftChars="0" w:firstLine="0" w:firstLineChars="0"/>
        <w:outlineLvl w:val="1"/>
        <w:rPr>
          <w:rFonts w:ascii="Times New Roman" w:hAnsi="Times New Roman" w:eastAsia="黑体" w:cs="Times New Roman"/>
          <w:b w:val="0"/>
          <w:bCs w:val="0"/>
          <w:sz w:val="30"/>
          <w:szCs w:val="24"/>
        </w:rPr>
      </w:pPr>
      <w:bookmarkStart w:id="60" w:name="_Toc7648"/>
      <w:r>
        <w:rPr>
          <w:rFonts w:hint="eastAsia" w:cs="Times New Roman"/>
          <w:b w:val="0"/>
          <w:bCs w:val="0"/>
          <w:sz w:val="30"/>
          <w:szCs w:val="24"/>
          <w:lang w:val="en-US" w:eastAsia="zh-CN"/>
        </w:rPr>
        <w:t>能源活动碳排因子</w:t>
      </w:r>
      <w:bookmarkEnd w:id="60"/>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pic:cNvPicPr>
                      <a:picLocks noChangeAspect="1"/>
                    </pic:cNvPicPr>
                  </pic:nvPicPr>
                  <pic:blipFill>
                    <a:blip r:embed="rId92"/>
                    <a:stretch>
                      <a:fillRect/>
                    </a:stretch>
                  </pic:blipFill>
                  <pic:spPr>
                    <a:xfrm>
                      <a:off x="0" y="0"/>
                      <a:ext cx="5900420" cy="2925445"/>
                    </a:xfrm>
                    <a:prstGeom prst="rect">
                      <a:avLst/>
                    </a:prstGeom>
                    <a:noFill/>
                    <a:ln>
                      <a:noFill/>
                    </a:ln>
                  </pic:spPr>
                </pic:pic>
              </a:graphicData>
            </a:graphic>
          </wp:inline>
        </w:drawing>
      </w:r>
    </w:p>
    <w:p w14:paraId="7D02E7BF">
      <w:pPr>
        <w:pStyle w:val="6"/>
        <w:numPr>
          <w:ilvl w:val="0"/>
          <w:numId w:val="174"/>
        </w:numPr>
        <w:bidi w:val="0"/>
        <w:ind w:left="0" w:leftChars="0" w:firstLine="0" w:firstLineChars="0"/>
        <w:rPr>
          <w:b/>
          <w:bCs/>
          <w:sz w:val="28"/>
          <w:szCs w:val="28"/>
        </w:rPr>
      </w:pPr>
      <w:r>
        <w:rPr>
          <w:b/>
          <w:bCs/>
          <w:sz w:val="28"/>
          <w:szCs w:val="28"/>
        </w:rPr>
        <w:t>定位与架构角色</w:t>
      </w:r>
    </w:p>
    <w:p w14:paraId="26F51F4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功能定位：作为全集团范围一（Scope 1）化石燃料直接燃烧排放及外购热力蒸汽排放的核算参数中枢，管理化石燃料（天然气、柴油、汽油、原煤、液化石油气）、外购工业蒸汽以及设备逸散制冷剂（如 R134a、R410A）的核心排放参数（只读视图）。</w:t>
      </w:r>
    </w:p>
    <w:p w14:paraId="3474B56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承载角色：P2 园区能碳专员（燃料消耗录入与检验单上传在第二章，本板块仅查阅）、P4 碳核算工程师（因子基线核准与低位发热量实测修正核验）。维护权限归第四章。</w:t>
      </w:r>
    </w:p>
    <w:p w14:paraId="3E78515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页面路由：/carbon-footprint/factor/energy-activity。</w:t>
      </w:r>
    </w:p>
    <w:p w14:paraId="32B2F57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上游依赖：第四章「能碳基础因子管理」的能源活动因子主数据、供应商燃料质检单（低位热值实测）、IPCC 国家温室气体清单指南缺省值、制冷剂 GWP 值表。</w:t>
      </w:r>
    </w:p>
    <w:p w14:paraId="6C95E7D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下游输出：Scope 1 直接排放核算结果、单位产品燃料单耗碳排、CBAM 直接排放底数。</w:t>
      </w:r>
    </w:p>
    <w:p w14:paraId="7AF286F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数据权限：可查看组织范围＝集团全量；跨单位聚合＝不适用；对外可见档位＝INTERNAL；越权写入返回。</w:t>
      </w:r>
    </w:p>
    <w:p w14:paraId="3DF26ED6">
      <w:pPr>
        <w:pStyle w:val="6"/>
        <w:numPr>
          <w:ilvl w:val="0"/>
          <w:numId w:val="174"/>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174"/>
        </w:numPr>
        <w:bidi w:val="0"/>
        <w:ind w:left="0" w:leftChars="0" w:firstLine="0" w:firstLineChars="0"/>
        <w:rPr>
          <w:b/>
          <w:bCs/>
          <w:sz w:val="28"/>
          <w:szCs w:val="28"/>
        </w:rPr>
      </w:pPr>
      <w:r>
        <w:rPr>
          <w:b/>
          <w:bCs/>
          <w:sz w:val="28"/>
          <w:szCs w:val="28"/>
        </w:rPr>
        <w:t>功能规格与交互契约</w:t>
      </w:r>
    </w:p>
    <w:p w14:paraId="6BF2CE9C">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1）顶部提示条（常驻）："能源活动碳排因子 仅展示与查询，维护入口在 系统管理 &gt; 能碳基础因子管理"。</w:t>
      </w:r>
    </w:p>
    <w:p w14:paraId="354E1FA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2）筛选条：能源类别（全部能源类别）· 名称检索框。</w:t>
      </w:r>
    </w:p>
    <w:p w14:paraId="61338DE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3）主表列：能源 / 活动名称 · 能源类别 · 因子值（当前 / 默认） · 单位 · 数据来源 · 版本 · 操作。</w:t>
      </w:r>
    </w:p>
    <w:p w14:paraId="3D00435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4）能源类别取值：化石燃料 / 热力·蒸汽 / 制冷剂。</w:t>
      </w:r>
    </w:p>
    <w:p w14:paraId="6512964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5）行操作：版本记录（抽屉）；编辑与删除跳转第四章。</w:t>
      </w:r>
    </w:p>
    <w:p w14:paraId="246E1509">
      <w:pPr>
        <w:pStyle w:val="6"/>
        <w:numPr>
          <w:ilvl w:val="0"/>
          <w:numId w:val="174"/>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4BFEEF42">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9C91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C93D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78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930B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075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2F37DC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A5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4C3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能源/活动名称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413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75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EA5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 / 原煤（烟煤）/ 柴油 / 汽油 / 液化石油气（LPG）/ 外购蒸汽 / R134a 制冷剂 …</w:t>
            </w:r>
          </w:p>
        </w:tc>
      </w:tr>
      <w:tr w14:paraId="630E836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4A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EB3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能源类别</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1D4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E49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A7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化石燃料 / 热力·蒸汽 / 制冷剂</w:t>
            </w:r>
          </w:p>
        </w:tc>
      </w:tr>
      <w:tr w14:paraId="43F94A1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58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F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C4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9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随品种</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8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kgCO₂e/kg（固液）· kgCO₂e/m³（气）· kgCO₂e/MJ（热力）</w:t>
            </w:r>
          </w:p>
        </w:tc>
      </w:tr>
      <w:tr w14:paraId="2027C0D8">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06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83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612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670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IPCC 缺省值 / 国家标准 / 供应商实测 / 协议下发</w:t>
            </w:r>
          </w:p>
        </w:tc>
      </w:tr>
      <w:tr w14:paraId="1C6E19A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4B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9A5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926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4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BA0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形如 v2023.2 / v2024.1 / v2026.1</w:t>
            </w:r>
          </w:p>
        </w:tc>
      </w:tr>
    </w:tbl>
    <w:p w14:paraId="3A9BF347">
      <w:pPr>
        <w:pStyle w:val="6"/>
        <w:numPr>
          <w:ilvl w:val="0"/>
          <w:numId w:val="174"/>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EB5CEA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560C1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算式：</w:t>
            </w:r>
          </w:p>
          <w:p w14:paraId="59DA3F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① EF_fossil = NCV × CC × OF × (44 ÷ 12) × 10⁻³　—— 化石燃料直接燃烧排放因子（kgCO₂e/实物单位）</w:t>
            </w:r>
          </w:p>
          <w:p w14:paraId="59823ED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② EF_steam = [ ( h_steam − h_water ) ÷ η_boiler ] × EF_fuel　—— 外购工业蒸汽折算因子（kgCO₂e/MJ）</w:t>
            </w:r>
          </w:p>
          <w:p w14:paraId="6451B3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③ C_Scope1,total = Σ(j=1→k) ( Q_fuel,j × EF_fossil,j ) + Σ(m=1→r) ( L_refrig,m × GWP_m )　—— 范围一直接排放总量</w:t>
            </w:r>
          </w:p>
        </w:tc>
      </w:tr>
    </w:tbl>
    <w:p w14:paraId="5E20DE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变量定义与取值约定：</w:t>
      </w:r>
    </w:p>
    <w:p w14:paraId="57FBFFE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NCV：平均低位发热量（固体/液体为 kJ/kg，气体为 kJ/m³）；CC：单位热值含碳量（tC/TJ）；OF：碳氧化率（%）；</w:t>
      </w:r>
    </w:p>
    <w:p w14:paraId="1157DFF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44÷12：二氧化碳与碳的分子量比率（约等于 3.6667）；10⁻³：单位折算系数；</w:t>
      </w:r>
    </w:p>
    <w:p w14:paraId="68B458B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h_steam：蒸汽供汽比焓（kJ/kg）；h_water：锅炉给水温度比焓（kJ/kg）；η_boiler：供热锅炉综合热效率（系统缺省取 80.0%）；</w:t>
      </w:r>
    </w:p>
    <w:p w14:paraId="53961C8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Q_fuel,j：第 j 种燃料实物消耗量；L_refrig,m：第 m 种制冷剂逸散量（kg）；GWP_m：该制冷剂全球增温潜势（100 年）。</w:t>
      </w:r>
    </w:p>
    <w:p w14:paraId="400C3B30">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取值示例：天然气实测 NCV = 38.931 MJ/m³、CC = 15.32 tC/TJ、OF = 99.0% →</w:t>
      </w:r>
    </w:p>
    <w:p w14:paraId="5FCB2A6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EF_fossil = 38.931 × 15.32 × 0.990 × (44 ÷ 12) × 10⁻³ = 2.1650 kgCO₂e/m³。</w:t>
      </w:r>
    </w:p>
    <w:p w14:paraId="7C8F8E5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原稿参数与记录值不自洽，须择一修正：原稿 Gherkin 用例声称该三参数复算结果"精确等于 2.1622 kgCO₂e/m³（容差 ≤ 0.0001）"，但按本模块自身公式复算为 2.1650，偏离 0.0028（0.13%），已达该用例自定容差的 28 倍——即该用例本身跑不过。</w:t>
      </w:r>
    </w:p>
    <w:p w14:paraId="5854772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反推：若因子记录值 2.1622</w:t>
      </w:r>
      <w:r>
        <w:rPr>
          <w:rFonts w:hint="eastAsia" w:cs="Times New Roman"/>
          <w:b w:val="0"/>
          <w:bCs/>
          <w:i w:val="0"/>
          <w:color w:val="auto"/>
          <w:sz w:val="24"/>
          <w:szCs w:val="24"/>
          <w:lang w:val="en-US" w:eastAsia="zh-CN"/>
        </w:rPr>
        <w:t xml:space="preserve"> </w:t>
      </w:r>
      <w:r>
        <w:rPr>
          <w:rFonts w:ascii="Times New Roman" w:hAnsi="Times New Roman" w:eastAsia="宋体" w:cs="Times New Roman"/>
          <w:b w:val="0"/>
          <w:bCs/>
          <w:i w:val="0"/>
          <w:color w:val="auto"/>
          <w:sz w:val="24"/>
          <w:szCs w:val="24"/>
        </w:rPr>
        <w:t>正确，则对应实测低位热值应为 38.8804 MJ/m³，而非用例中的 38.931。</w:t>
      </w:r>
    </w:p>
    <w:p w14:paraId="585CCBE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处理建议：二选一——① 修正用例中的 NCV 为 38.8804 MJ/m³（保留记录值 2.1622）；② 将因子记录值更正为 2.1650 kgCO₂e/m³（保留用例参数 38.931）。本稿按 ① 记录值不变、用例参数待核的方式留待与研发确认。</w:t>
      </w:r>
    </w:p>
    <w:p w14:paraId="6B057BA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蒸汽示例：某厂 h_steam = 2,763 kJ/kg、h_water = 209 kJ/kg、η_boiler = 80.0%、EF_fuel = 0.1100 kgCO₂e/MJ（对应燃料侧）→ EF_steam = (2,763 − 209) ÷ 0.800 = 3,192.5 MJ/t 供汽，按燃料因子折算得蒸汽因子。</w:t>
      </w:r>
    </w:p>
    <w:p w14:paraId="19D5BA8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精度与容差：化石燃料因子保留 4 位小数；制冷剂 GWP 为整数（R134a = 1430）；三参数核算的重算容差 ≤ 0.0001 kgCO₂e/实物单位；NCV 保留 3 位小数，CC 保留 2 位小数，OF 保留 1 位小数（%）；锅炉热效率缺省 80.0%。</w:t>
      </w:r>
    </w:p>
    <w:p w14:paraId="0DE42529">
      <w:pPr>
        <w:pStyle w:val="6"/>
        <w:numPr>
          <w:ilvl w:val="0"/>
          <w:numId w:val="174"/>
        </w:numPr>
        <w:bidi w:val="0"/>
        <w:ind w:left="0" w:leftChars="0" w:firstLine="0" w:firstLineChars="0"/>
        <w:rPr>
          <w:b/>
          <w:bCs/>
          <w:sz w:val="28"/>
          <w:szCs w:val="28"/>
        </w:rPr>
      </w:pPr>
      <w:r>
        <w:rPr>
          <w:b/>
          <w:bCs/>
          <w:sz w:val="28"/>
          <w:szCs w:val="28"/>
        </w:rPr>
        <w:t>展示、对标与判定口径</w:t>
      </w:r>
    </w:p>
    <w:p w14:paraId="400C824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双轨展示：因子卡片明确标注实测值与发改委缺省值对比。</w:t>
      </w:r>
    </w:p>
    <w:p w14:paraId="627C959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温室气体折算口径：所有能源活动排放结果统一以二氧化碳当量（tCO₂e / kgCO₂e）汇总，非二氧化碳温室气体（如甲烷 CH₄、氧化亚氮 N₂O）已按 GWP 统一折算入综合因子中。</w:t>
      </w:r>
    </w:p>
    <w:p w14:paraId="216B0EAD">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空值口径：任何车间新增特种燃气或工业副产气未录入实测热值时，系统强制回退采用通用化石燃料上限缺省值，严禁空值运行。</w:t>
      </w:r>
    </w:p>
    <w:p w14:paraId="5EC4365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低位发热量物理上限：天然气 NCV ≤ 50 MJ/m³，超出即判非物理极值（来源：天然气管网热值区间上限）；② 碳氧化率合法区间 [90.0%, 100.0%]，&gt; 100% 一律阻断（来源：IPCC 指南碳氧化率经验区间）；③ 三参数复算容差 ≤ 0.0001；④ 蒸汽热焓查表失效时启用经验线性插值并给出黄色非标提示；⑤ 基准来源：默认值 = 上一有效版本的当前值；缺省值 = IPCC 国家温室气体清单指南或 GB/T 标准；实测值 = 供应商质检单（须上传检验单附件）；⑥ 双轨偏差提示：实测值与缺省值偏差 &gt; ±5.00% 时在因子行标注"实测偏离较大，请复核质检单"。</w:t>
      </w:r>
    </w:p>
    <w:p w14:paraId="3A81B9F3">
      <w:pPr>
        <w:pStyle w:val="6"/>
        <w:numPr>
          <w:ilvl w:val="0"/>
          <w:numId w:val="174"/>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MJ/m³）时，系统强阻断保存，抛出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174"/>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p w14:paraId="22CC7A39">
            <w:pPr>
              <w:pStyle w:val="19"/>
              <w:bidi w:val="0"/>
            </w:pPr>
            <w:r>
              <w:t>Scenario: 低位发热量非物理极值拦截</w:t>
            </w:r>
          </w:p>
          <w:p w14:paraId="67C83E84">
            <w:pPr>
              <w:pStyle w:val="19"/>
              <w:bidi w:val="0"/>
            </w:pPr>
            <w:r>
              <w:t>Given 用户在维护天然气因子时输入低位发热量 NCV = 52.000 MJ/m³</w:t>
            </w:r>
          </w:p>
          <w:p w14:paraId="2073F18E">
            <w:pPr>
              <w:pStyle w:val="19"/>
              <w:bidi w:val="0"/>
            </w:pPr>
            <w:r>
              <w:t>When 用户点击确认提交保存</w:t>
            </w:r>
          </w:p>
          <w:p w14:paraId="69ED84E5">
            <w:pPr>
              <w:pStyle w:val="19"/>
              <w:bidi w:val="0"/>
            </w:pPr>
            <w:r>
              <w:t>Then 表单标红提示低位发热量超出物理极限</w:t>
            </w:r>
          </w:p>
          <w:p w14:paraId="36DECEB4">
            <w:pPr>
              <w:pStyle w:val="19"/>
              <w:bidi w:val="0"/>
            </w:pPr>
            <w:r>
              <w:t>And 提交被底层安全校验拦截并返回 E_VAL_NCV_OUT_OF_PHYSICAL_RANGE</w:t>
            </w:r>
          </w:p>
          <w:p w14:paraId="44FC28D2">
            <w:pPr>
              <w:pStyle w:val="19"/>
              <w:bidi w:val="0"/>
            </w:pPr>
            <w:r>
              <w:t>And 数据库不写入任何脏数据</w:t>
            </w:r>
          </w:p>
          <w:p w14:paraId="594DA51C">
            <w:pPr>
              <w:pStyle w:val="19"/>
              <w:bidi w:val="0"/>
            </w:pPr>
            <w:r>
              <w:t>Scenario: 制冷剂逸散按 GWP 计入范围一</w:t>
            </w:r>
          </w:p>
          <w:p w14:paraId="6EF7C467">
            <w:pPr>
              <w:pStyle w:val="19"/>
              <w:bidi w:val="0"/>
            </w:pPr>
            <w:r>
              <w:t>Given 某车间当月 R134a 制冷剂逸散量 L_refrig = 2.5 kg，GWP = 1430</w:t>
            </w:r>
          </w:p>
          <w:p w14:paraId="4317BE62">
            <w:pPr>
              <w:pStyle w:val="19"/>
              <w:bidi w:val="0"/>
            </w:pPr>
            <w:r>
              <w:t>When 系统核算该车间 Scope 1 直接排放</w:t>
            </w:r>
          </w:p>
          <w:p w14:paraId="6F1E34B9">
            <w:pPr>
              <w:pStyle w:val="19"/>
              <w:bidi w:val="0"/>
            </w:pPr>
            <w:r>
              <w:t>Then 制冷剂逸散贡献 = 2.5 × 1430 = 3,575.000 kgCO₂e</w:t>
            </w:r>
          </w:p>
          <w:p w14:paraId="6D6F883D">
            <w:pPr>
              <w:pStyle w:val="19"/>
              <w:bidi w:val="0"/>
            </w:pPr>
            <w:r>
              <w:t>And 该值计入范围一直接排放总量并与燃料燃烧排放分项列示</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71"/>
        </w:numPr>
        <w:ind w:left="0" w:leftChars="0" w:firstLine="0" w:firstLineChars="0"/>
        <w:outlineLvl w:val="1"/>
        <w:rPr>
          <w:rFonts w:ascii="Times New Roman" w:hAnsi="Times New Roman" w:eastAsia="黑体" w:cs="Times New Roman"/>
          <w:b w:val="0"/>
          <w:bCs w:val="0"/>
          <w:sz w:val="30"/>
          <w:szCs w:val="24"/>
        </w:rPr>
      </w:pPr>
      <w:bookmarkStart w:id="61" w:name="_Toc13070"/>
      <w:r>
        <w:rPr>
          <w:rFonts w:hint="eastAsia" w:cs="Times New Roman"/>
          <w:b w:val="0"/>
          <w:bCs w:val="0"/>
          <w:sz w:val="30"/>
          <w:szCs w:val="24"/>
          <w:lang w:val="en-US" w:eastAsia="zh-CN"/>
        </w:rPr>
        <w:t>折标煤系数库</w:t>
      </w:r>
      <w:bookmarkEnd w:id="61"/>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93"/>
                    <a:stretch>
                      <a:fillRect/>
                    </a:stretch>
                  </pic:blipFill>
                  <pic:spPr>
                    <a:xfrm>
                      <a:off x="0" y="0"/>
                      <a:ext cx="5900420" cy="2925445"/>
                    </a:xfrm>
                    <a:prstGeom prst="rect">
                      <a:avLst/>
                    </a:prstGeom>
                    <a:noFill/>
                    <a:ln>
                      <a:noFill/>
                    </a:ln>
                  </pic:spPr>
                </pic:pic>
              </a:graphicData>
            </a:graphic>
          </wp:inline>
        </w:drawing>
      </w:r>
    </w:p>
    <w:p w14:paraId="5C255F35">
      <w:pPr>
        <w:pStyle w:val="6"/>
        <w:numPr>
          <w:ilvl w:val="0"/>
          <w:numId w:val="175"/>
        </w:numPr>
        <w:bidi w:val="0"/>
        <w:ind w:left="0" w:leftChars="0" w:firstLine="0" w:firstLineChars="0"/>
        <w:rPr>
          <w:b/>
          <w:bCs/>
          <w:sz w:val="28"/>
          <w:szCs w:val="28"/>
        </w:rPr>
      </w:pPr>
      <w:r>
        <w:rPr>
          <w:b/>
          <w:bCs/>
          <w:sz w:val="28"/>
          <w:szCs w:val="28"/>
        </w:rPr>
        <w:t>定位与架构角色</w:t>
      </w:r>
    </w:p>
    <w:p w14:paraId="5B295719">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功能定位：严格依据国家标准 GB/T 2589-2020《综合能耗计算通则》，构建全集团各类能源介质（电力、天然气、原煤、柴油、汽油、外购蒸汽、新鲜水、氮气、压缩空气等）实物计量单位向"千克标准煤（kgce）"与"吨标准煤（tce）"转换的法定换算中枢（只读视图）。</w:t>
      </w:r>
    </w:p>
    <w:p w14:paraId="4BA5DB4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承载角色：P1 集团决策层（集团综合能效核准）、P2 园区能碳专员（车间折标能耗查阅）、PM 业务总监（指标考核基准锁定）。维护权限归第四章。</w:t>
      </w:r>
    </w:p>
    <w:p w14:paraId="3D71D04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页面路由：/carbon-footprint/factor/coal-equivalent。</w:t>
      </w:r>
    </w:p>
    <w:p w14:paraId="7F3764D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上游依赖：第四章「能碳基础因子管理」的折标煤系数主数据、GB/T 2589-2020 标准文本、各能源品种实测低位热值。</w:t>
      </w:r>
    </w:p>
    <w:p w14:paraId="2224996F">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下游输出：第二章集控中心的综合能耗指标（tce）、单位产品综合能耗（tce/台）、万元产值综合能耗（tce/万元）的换算基准。</w:t>
      </w:r>
    </w:p>
    <w:p w14:paraId="55BF575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数据权限：可查看组织范围＝集团全量；跨单位聚合＝不适用；对外可见档位＝INTERNAL；越权写入返回 403 + E_AUTH_RLS_SCOPE_DENIED。</w:t>
      </w:r>
    </w:p>
    <w:p w14:paraId="64BAED7F">
      <w:pPr>
        <w:pStyle w:val="6"/>
        <w:numPr>
          <w:ilvl w:val="0"/>
          <w:numId w:val="175"/>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175"/>
        </w:numPr>
        <w:bidi w:val="0"/>
        <w:ind w:left="0" w:leftChars="0" w:firstLine="0" w:firstLineChars="0"/>
        <w:rPr>
          <w:b/>
          <w:bCs/>
          <w:sz w:val="28"/>
          <w:szCs w:val="28"/>
        </w:rPr>
      </w:pPr>
      <w:r>
        <w:rPr>
          <w:b/>
          <w:bCs/>
          <w:sz w:val="28"/>
          <w:szCs w:val="28"/>
        </w:rPr>
        <w:t>功能规格与交互契约</w:t>
      </w:r>
    </w:p>
    <w:p w14:paraId="7D360D7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1）顶部提示条（常驻）："折标煤系数库 仅展示与查询，维护入口在 系统管理 &gt; 能碳基础因子管理"。</w:t>
      </w:r>
    </w:p>
    <w:p w14:paraId="282AD7B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2）筛选条：名称检索框。</w:t>
      </w:r>
    </w:p>
    <w:p w14:paraId="3A040C7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3）主表列：能源品种 · 系数（当前 / 默认） · 单位 · 低位热值 · 数据来源 · 版本/依据 · 操作。</w:t>
      </w:r>
    </w:p>
    <w:p w14:paraId="31996DD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4）"低位热值"列取值：显示实测/国标低位热值并带单位（MJ/m³、MJ/kg）；当量值类（如电力）显示"—（当量值）"。</w:t>
      </w:r>
    </w:p>
    <w:p w14:paraId="308F9F9A">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5）"版本/依据"列：国标受控项显示标准号（GB/T 2589-2020），非国标项显示版本号（v2026.1）。</w:t>
      </w:r>
    </w:p>
    <w:p w14:paraId="3D331EE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6）行操作：版本记录（抽屉）；编辑与删除跳转第四章，且国标受控字段一律不可编辑（见 ⑦ 段）。</w:t>
      </w:r>
    </w:p>
    <w:p w14:paraId="69221586">
      <w:pPr>
        <w:pStyle w:val="6"/>
        <w:numPr>
          <w:ilvl w:val="0"/>
          <w:numId w:val="175"/>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4DDF879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39C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DDBB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DD34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A95D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D57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383C155">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99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C6EB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能源品种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9B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93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F91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 / 天然气 / 原煤 / 柴油 / 汽油 / 外购蒸汽 / 新鲜水 / 氮气 / 压缩空气</w:t>
            </w:r>
          </w:p>
        </w:tc>
      </w:tr>
      <w:tr w14:paraId="0411268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E66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AC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系数（当前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15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4F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kgce/实物单位</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B13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&gt; 0；国标受控项锁定不可编辑</w:t>
            </w:r>
          </w:p>
        </w:tc>
      </w:tr>
      <w:tr w14:paraId="739C0F3F">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635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22C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低位热值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2EA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小数(3 位) 或 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1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MJ/m³ · MJ/kg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0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当量值类显示"—（当量值）"</w:t>
            </w:r>
          </w:p>
        </w:tc>
      </w:tr>
      <w:tr w14:paraId="592859AC">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58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342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B47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6F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29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国家标准 / 行业标准</w:t>
            </w:r>
          </w:p>
        </w:tc>
      </w:tr>
      <w:tr w14:paraId="05B7EE70">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C3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6008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版本/依据</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BA0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02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C26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 或 v2026.1</w:t>
            </w:r>
          </w:p>
        </w:tc>
      </w:tr>
    </w:tbl>
    <w:p w14:paraId="030F52F9">
      <w:pPr>
        <w:pStyle w:val="6"/>
        <w:numPr>
          <w:ilvl w:val="0"/>
          <w:numId w:val="175"/>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927645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CF84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算式：</w:t>
            </w:r>
          </w:p>
          <w:p w14:paraId="6133F1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① E_tce = Σ(i=1→n) ( E_i × k_i ) ÷ 1000　—— 全厂综合能耗折标煤总量（tce）</w:t>
            </w:r>
          </w:p>
          <w:p w14:paraId="5E59D8A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② k_i = NCV_i ÷ 29307.6 kJ/kgce　—— 理论低位发热量换算折标系数</w:t>
            </w:r>
          </w:p>
          <w:p w14:paraId="329287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③ e_output_val = E_tce ÷ ( G_output ÷ 10000 )　—— 万元产值综合能耗（tce/万元）</w:t>
            </w:r>
          </w:p>
        </w:tc>
      </w:tr>
    </w:tbl>
    <w:p w14:paraId="5212C4E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当 G_output &gt; 0 时按上式；当 G_output = 0 时兜底输出 --（不用 0、不用无穷大）</w:t>
      </w:r>
    </w:p>
    <w:p w14:paraId="6CD5546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变量定义与取值约定：</w:t>
      </w:r>
    </w:p>
    <w:p w14:paraId="41718595">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E_i：第 i 种能源实物消费量（如 kWh、m³、kg、t）；k_i：第 i 种能源对应的国家标准折标煤系数（kgce/实物单位）；</w:t>
      </w:r>
    </w:p>
    <w:p w14:paraId="71346C1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1000：千克标准煤与吨标准煤进位制（1 tce = 1000 kgce）；</w:t>
      </w:r>
    </w:p>
    <w:p w14:paraId="6477757E">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NCV_i：该能源品种实测低位发热量（kJ/kg 或 kJ/m³）；29307.6 kJ/kgce：1 kgce 的当量热值；</w:t>
      </w:r>
    </w:p>
    <w:p w14:paraId="24AF435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 G_output：工业产值（元），分母为 0 时安全兜底显示 --。</w:t>
      </w:r>
    </w:p>
    <w:p w14:paraId="427C3A48">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取值示例：某车间月度消耗电力 10,000 kWh、天然气 1,000 m³、工业新鲜水 500 t →</w:t>
      </w:r>
    </w:p>
    <w:p w14:paraId="5BC112C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电力折标 = 10,000 × 0.1229 ÷ 1000 = 1.2290 tce</w:t>
      </w:r>
    </w:p>
    <w:p w14:paraId="548A7852">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天然气折标 = 1,000 × 1.2143 ÷ 1000 = 1.2143 tce</w:t>
      </w:r>
    </w:p>
    <w:p w14:paraId="43B8F7A3">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新鲜水折标 = 500 × 0.0857 ÷ 1000 = 0.0429 tce</w:t>
      </w:r>
    </w:p>
    <w:p w14:paraId="5CD4666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合计 E_tce = 1.2290 + 1.2143 + 0.0429 = 2.4862 tce（容差 ≤ 0.0001）</w:t>
      </w:r>
    </w:p>
    <w:p w14:paraId="79378EA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理论系数校核：天然气 NCV = 35.588 MJ/m³ = 35,588 kJ/m³ → k = 35,588 ÷ 29,307.6 = 1.2143 kgce/m³。</w:t>
      </w:r>
    </w:p>
    <w:p w14:paraId="1F569A1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精度与容差：tce 保留 4 位小数，kgce 保留 2 位小数；系数保留 4 位小数；低位热值保留 3 位小数；合计容差 ≤ ±0.0001 tce。</w:t>
      </w:r>
    </w:p>
    <w:p w14:paraId="12AAB55C">
      <w:pPr>
        <w:pStyle w:val="6"/>
        <w:numPr>
          <w:ilvl w:val="0"/>
          <w:numId w:val="175"/>
        </w:numPr>
        <w:bidi w:val="0"/>
        <w:ind w:left="0" w:leftChars="0" w:firstLine="0" w:firstLineChars="0"/>
        <w:rPr>
          <w:b/>
          <w:bCs/>
          <w:sz w:val="28"/>
          <w:szCs w:val="28"/>
        </w:rPr>
      </w:pPr>
      <w:r>
        <w:rPr>
          <w:b/>
          <w:bCs/>
          <w:sz w:val="28"/>
          <w:szCs w:val="28"/>
        </w:rPr>
        <w:t>展示、对标与判定口径</w:t>
      </w:r>
    </w:p>
    <w:p w14:paraId="3676FB66">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统一当量展示：系统全景图表默认均采用"当量热值"折标计算，报表导出提供"当量 / 等价"双列切换。</w:t>
      </w:r>
    </w:p>
    <w:p w14:paraId="5143AD94">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精度口径：tce 保留 4 位小数，kgce 保留 2 位小数。</w:t>
      </w:r>
    </w:p>
    <w:p w14:paraId="4A6DCCFB">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空值口径：若工厂当期某能源消费为 0，折标煤量如实显示 0.0000 tce；若仪表断网未上报，统一显示 --，严禁将断网视为 0 能耗。</w:t>
      </w:r>
    </w:p>
    <w:p w14:paraId="2A780651">
      <w:pPr>
        <w:pStyle w:val="19"/>
        <w:widowControl/>
        <w:ind w:left="0" w:leftChars="0" w:firstLine="482" w:firstLineChars="0"/>
        <w:rPr>
          <w:rFonts w:eastAsia="宋体"/>
          <w:b w:val="0"/>
          <w:bCs/>
          <w:i w:val="0"/>
          <w:color w:val="auto"/>
          <w:sz w:val="24"/>
          <w:szCs w:val="24"/>
        </w:rPr>
      </w:pPr>
      <w:r>
        <w:rPr>
          <w:rFonts w:ascii="Times New Roman" w:hAnsi="Times New Roman" w:eastAsia="宋体" w:cs="Times New Roman"/>
          <w:b w:val="0"/>
          <w:bCs/>
          <w:i w:val="0"/>
          <w:color w:val="auto"/>
          <w:sz w:val="24"/>
          <w:szCs w:val="24"/>
        </w:rPr>
        <w:t>判定阈值与基准来源：① 基准热值 29307.6 kJ/kgce（GB/T 2589-2020 规定，1 kgce 当量热值）；② 国标受控系数锁定清单：电力 0.1229、天然气 1.2143、原煤 0.7143、柴油 1.4571、汽油 1.4714（kgce/实物单位），任何角色不可在线编辑；③ 实物量阈值：能耗实物量 &lt; 0 拦截保存；④ 分母安全阈值：产值或产量 = 0 时输出 --；⑤ 断网 vs 零值判定：仪表心跳超时 &gt; 5 秒即判"未上报"（置 --），与真实的 0 能耗在数据层面必须区分（数据源标记 NULL_SOURCE vs ZERO_VALUE）；⑥ 基准来源：国标受控项以 GB/T 2589-2020 文本为唯一权威；非国标项（如外购蒸汽 0.0341）以行业标准或协议下发值为准，须在版本记录中登记依据文件号。</w:t>
      </w:r>
    </w:p>
    <w:p w14:paraId="2BD03D27">
      <w:pPr>
        <w:pStyle w:val="6"/>
        <w:numPr>
          <w:ilvl w:val="0"/>
          <w:numId w:val="175"/>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175"/>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p w14:paraId="612E8D0F">
            <w:pPr>
              <w:pStyle w:val="19"/>
              <w:bidi w:val="0"/>
            </w:pPr>
            <w:r>
              <w:t>Scenario: 国标受控系数不可在线编辑</w:t>
            </w:r>
          </w:p>
          <w:p w14:paraId="10D121DD">
            <w:pPr>
              <w:pStyle w:val="19"/>
              <w:bidi w:val="0"/>
            </w:pPr>
            <w:r>
              <w:t>Given 某用户（含 P1 集团决策层）在线编辑电力折标系数 0.1229</w:t>
            </w:r>
          </w:p>
          <w:p w14:paraId="62BB8621">
            <w:pPr>
              <w:pStyle w:val="19"/>
              <w:bidi w:val="0"/>
            </w:pPr>
            <w:r>
              <w:t>When 提交保存</w:t>
            </w:r>
          </w:p>
          <w:p w14:paraId="45669B60">
            <w:pPr>
              <w:pStyle w:val="19"/>
              <w:bidi w:val="0"/>
            </w:pPr>
            <w:r>
              <w:t>Then 系统弹出阻断提示"GB/T 2589-2020 强制国标受控字段不可在线直接编辑"</w:t>
            </w:r>
          </w:p>
          <w:p w14:paraId="7DF6EB45">
            <w:pPr>
              <w:pStyle w:val="19"/>
              <w:bidi w:val="0"/>
            </w:pPr>
            <w:r>
              <w:t>And 返回错误码 E_SYS_GB_STD_IMMUTABLE 且系数保持 0.1229 不变</w:t>
            </w:r>
          </w:p>
          <w:p w14:paraId="1679061C">
            <w:pPr>
              <w:pStyle w:val="19"/>
              <w:bidi w:val="0"/>
            </w:pPr>
            <w:r>
              <w:t>Scenario: 仪表断网不得视为零能耗</w:t>
            </w:r>
          </w:p>
          <w:p w14:paraId="101EE5EF">
            <w:pPr>
              <w:pStyle w:val="19"/>
              <w:bidi w:val="0"/>
            </w:pPr>
            <w:r>
              <w:t>Given 某车间当月天然气仪表心跳超时未上报</w:t>
            </w:r>
          </w:p>
          <w:p w14:paraId="2F0F34C7">
            <w:pPr>
              <w:pStyle w:val="19"/>
              <w:bidi w:val="0"/>
            </w:pPr>
            <w:r>
              <w:t>When 系统渲染该车间的天然气折标煤量</w:t>
            </w:r>
          </w:p>
          <w:p w14:paraId="7C373B00">
            <w:pPr>
              <w:pStyle w:val="19"/>
              <w:bidi w:val="0"/>
            </w:pPr>
            <w:r>
              <w:t>Then 页面显示为 "--" 而非 0.0000 tce</w:t>
            </w:r>
          </w:p>
          <w:p w14:paraId="30B2E5F2">
            <w:pPr>
              <w:pStyle w:val="19"/>
              <w:bidi w:val="0"/>
            </w:pPr>
            <w:r>
              <w:t>And 数据源标记为 NULL_SOURCE 以区别于真实的 ZERO_VALUE</w:t>
            </w:r>
          </w:p>
          <w:p w14:paraId="1C55243F">
            <w:pPr>
              <w:pStyle w:val="19"/>
              <w:bidi w:val="0"/>
            </w:pPr>
            <w:r>
              <w:t>And 综合能耗合计中该分项标注"数据缺失，待补传"而不计入合计</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2" w:name="_Toc20723"/>
      <w:r>
        <w:rPr>
          <w:rFonts w:hint="eastAsia"/>
          <w:b w:val="0"/>
          <w:bCs w:val="0"/>
          <w:sz w:val="32"/>
          <w:szCs w:val="44"/>
          <w:lang w:val="en-US" w:eastAsia="zh-CN"/>
        </w:rPr>
        <w:t>系统管理、基础参数设置</w:t>
      </w:r>
      <w:bookmarkEnd w:id="62"/>
    </w:p>
    <w:p w14:paraId="782737AF">
      <w:pPr>
        <w:pStyle w:val="19"/>
        <w:bidi w:val="0"/>
        <w:rPr>
          <w:rFonts w:hint="eastAsia" w:eastAsia="宋体"/>
          <w:lang w:eastAsia="zh-CN"/>
        </w:rPr>
      </w:pPr>
      <w:r>
        <w:rPr>
          <w:rFonts w:hint="eastAsia"/>
          <w:lang w:val="en-US" w:eastAsia="zh-CN"/>
        </w:rPr>
        <w:t>本章严格规定【系统管理】模块的基础参数设置与平台治理功能需求，是全平台唯一的基础主数据与权限管控中枢。系统管理模块面向系统管理员（Persona PM）使用，统一承载两类职责：一是平台治理（组织、用户、角色、菜单与日志），二是基础参数（能碳因子、折标煤系数、费价模型、设备台账、生产主数据）。</w:t>
      </w:r>
    </w:p>
    <w:p w14:paraId="4FA60DFF">
      <w:pPr>
        <w:pStyle w:val="19"/>
        <w:bidi w:val="0"/>
        <w:rPr>
          <w:rFonts w:hint="eastAsia" w:eastAsia="宋体"/>
          <w:lang w:eastAsia="zh-CN"/>
        </w:rPr>
      </w:pPr>
      <w:r>
        <w:rPr>
          <w:rFonts w:hint="eastAsia"/>
          <w:lang w:val="en-US" w:eastAsia="zh-CN"/>
        </w:rPr>
        <w:t>本章共 6 大板块、15 个三级功能模块，依次为：权限管控（组织管理 / 用户管理 / 角色与权限 / 菜单与功能）、能碳基础因子管理（电力碳排因子 / 能源活动碳排因子 / 折标煤系数库）、费价模型、生产设备维护（重点用能设备 / 光伏设备管理）、生产数据维护（产品类型管理 / 产品型号管理 / 基础数据管理 / 生产工序管理）、日志管理。各模块统一采用八段式描述范式。</w:t>
      </w:r>
    </w:p>
    <w:p w14:paraId="1B853D43">
      <w:pPr>
        <w:pStyle w:val="19"/>
        <w:bidi w:val="0"/>
        <w:rPr>
          <w:rFonts w:hint="eastAsia" w:eastAsia="宋体"/>
          <w:lang w:eastAsia="zh-CN"/>
        </w:rPr>
      </w:pPr>
      <w:r>
        <w:rPr>
          <w:rFonts w:hint="eastAsia"/>
          <w:lang w:val="en-US" w:eastAsia="zh-CN"/>
        </w:rPr>
        <w:t>本章的功能权限矩阵参见附录 E《角色与权限矩阵》；验收用例即为各模块第八段「QA 自动化验收准则（Gherkin BDD）」；验收基线与通过判据集中收录于第十二章《测试与验收基线》；标准错误码统一收录于第六章《工程治理、状态机与合规保障体系》之「标准化错误码字典与异常分级」，格式规范为 E_SYS_&lt;MODULE&gt;_&lt;REASON&gt;。</w:t>
      </w:r>
    </w:p>
    <w:p w14:paraId="42BA5907">
      <w:pPr>
        <w:pStyle w:val="19"/>
        <w:bidi w:val="0"/>
        <w:rPr>
          <w:rFonts w:hint="eastAsia" w:eastAsia="宋体"/>
          <w:lang w:eastAsia="zh-CN"/>
        </w:rPr>
      </w:pPr>
      <w:r>
        <w:rPr>
          <w:rFonts w:hint="eastAsia"/>
          <w:lang w:val="en-US" w:eastAsia="zh-CN"/>
        </w:rPr>
        <w:t>【与第二章的职责边界】本章生产设备维护、生产数据维护两类主数据为第二章零碳园区集控中心与第三章产品碳足迹集采中心共同依赖的底层基准：设备台账供集控「重点用能设备监测」逐台挂接，产品类型 / 型号 / 工序供集控能耗分摊与集采碳足迹核算拆解。主数据一旦发布，下游只读引用，不得在业务模块内就地修改。</w:t>
      </w:r>
    </w:p>
    <w:p w14:paraId="36B65AFD">
      <w:pPr>
        <w:pStyle w:val="19"/>
        <w:bidi w:val="0"/>
        <w:rPr>
          <w:rFonts w:hint="eastAsia" w:eastAsia="宋体"/>
          <w:lang w:eastAsia="zh-CN"/>
        </w:rPr>
      </w:pPr>
      <w:r>
        <w:rPr>
          <w:rFonts w:hint="eastAsia"/>
          <w:lang w:val="en-US" w:eastAsia="zh-CN"/>
        </w:rPr>
        <w:t>【与第三章的职责边界】本章「能碳基础因子管理」「折标煤系数库」是第三章碳足迹核算与外购电力排放计算的取数基准；本章仅负责因子的版本发布与维护，不产生核算结果。第三章引用的因子数值、单位与版本号必须与本表逐位一致（例如天然气 2.1622 kgCO2e/m³、电力 0.1229 kgce/kWh、GB/T 2589-2020）。任一因子版本在本章发布，即触发第三章核算视图的同步刷新。</w:t>
      </w:r>
    </w:p>
    <w:p w14:paraId="7AE13C77">
      <w:pPr>
        <w:pStyle w:val="19"/>
        <w:bidi w:val="0"/>
        <w:rPr>
          <w:rFonts w:hint="eastAsia" w:eastAsia="宋体"/>
          <w:lang w:eastAsia="zh-CN"/>
        </w:rPr>
      </w:pPr>
      <w:r>
        <w:rPr>
          <w:rFonts w:hint="eastAsia"/>
          <w:lang w:val="en-US" w:eastAsia="zh-CN"/>
        </w:rPr>
        <w:t>【数据权限总则】本章全量页面遵循组织维度的行级数据权限（RLS）：数据范围以组织树节点为单位授予，「（只读）」后缀表示该节点仅可查看不可写。系统管理员（Persona PM）默认全量可写；其余角色按其账号绑定的数据范围截取组织子树，越权访问返回 HTTP 403 并记录审计日志。</w:t>
      </w:r>
    </w:p>
    <w:p w14:paraId="5AF00808">
      <w:pPr>
        <w:pStyle w:val="4"/>
        <w:numPr>
          <w:ilvl w:val="0"/>
          <w:numId w:val="176"/>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63" w:name="_Toc1193"/>
      <w:r>
        <w:rPr>
          <w:rFonts w:hint="eastAsia" w:ascii="Times New Roman" w:hAnsi="Times New Roman" w:eastAsia="黑体" w:cs="Times New Roman"/>
          <w:b w:val="0"/>
          <w:bCs w:val="0"/>
          <w:sz w:val="30"/>
          <w:szCs w:val="32"/>
          <w:lang w:val="en-US" w:eastAsia="zh-CN"/>
        </w:rPr>
        <w:t>权限管控</w:t>
      </w:r>
      <w:bookmarkEnd w:id="63"/>
    </w:p>
    <w:p w14:paraId="63906FAE">
      <w:pPr>
        <w:pStyle w:val="19"/>
        <w:bidi w:val="0"/>
        <w:rPr>
          <w:rFonts w:hint="eastAsia" w:eastAsia="宋体"/>
          <w:b w:val="0"/>
          <w:bCs/>
          <w:lang w:eastAsia="zh-CN"/>
        </w:rPr>
      </w:pPr>
      <w:r>
        <w:rPr>
          <w:rFonts w:hint="eastAsia"/>
          <w:b w:val="0"/>
          <w:bCs/>
          <w:lang w:val="en-US" w:eastAsia="zh-CN"/>
        </w:rPr>
        <w:t>本板块是系统管理模块的权限治理中枢，也是全平台访问控制与数据隔离的唯一规则来源。板块遵循「组织定边界、账号定身份、角色定权限、菜单定资源」四层递进结构，下辖 4 个三级功能模块：组织管理（组织主数据）、用户管理（账号生命周期）、角色与权限（功能权限与数据范围配置）、菜单与功能（功能资源底座）。</w:t>
      </w:r>
    </w:p>
    <w:p w14:paraId="585CCEDB">
      <w:pPr>
        <w:pStyle w:val="19"/>
        <w:bidi w:val="0"/>
        <w:rPr>
          <w:rFonts w:hint="eastAsia" w:eastAsia="宋体"/>
          <w:lang w:eastAsia="zh-CN"/>
        </w:rPr>
      </w:pPr>
      <w:r>
        <w:rPr>
          <w:rFonts w:hint="eastAsia"/>
          <w:lang w:val="en-US" w:eastAsia="zh-CN"/>
        </w:rPr>
        <w:t>边界声明：本板块只维护权限规则，不产生任何业务数据；权限变更一经保存即刻生效，并全量记入日志管理。本板块是全平台最先初始化的模块，其余全部业务模块的组织维度筛选、数据范围隔离、按钮可见性均以其配置结果为基准，不得在业务模块内就地改写。</w:t>
      </w:r>
    </w:p>
    <w:p w14:paraId="2C8B450C">
      <w:pPr>
        <w:pStyle w:val="19"/>
        <w:bidi w:val="0"/>
        <w:rPr>
          <w:rFonts w:hint="eastAsia" w:eastAsia="宋体"/>
          <w:lang w:eastAsia="zh-CN"/>
        </w:rPr>
      </w:pPr>
      <w:r>
        <w:rPr>
          <w:rFonts w:hint="eastAsia"/>
          <w:lang w:val="en-US" w:eastAsia="zh-CN"/>
        </w:rPr>
        <w:t>输入输出链：组织管理产出组织树 → 用户管理绑定账号-角色-所属机构-数据范围 → 角色与权限定义角色可用功能点与数据范围 → 菜单与功能提供全量功能资源（最小权限颗粒）供角色勾选。四者构成不可跳跃的单向链；任一环节数据不完整即阻断下游操作入口。</w:t>
      </w:r>
    </w:p>
    <w:p w14:paraId="5ADA5FB8">
      <w:pPr>
        <w:pStyle w:val="5"/>
        <w:numPr>
          <w:ilvl w:val="0"/>
          <w:numId w:val="177"/>
        </w:numPr>
        <w:ind w:left="0" w:leftChars="0" w:firstLine="0" w:firstLineChars="0"/>
        <w:outlineLvl w:val="1"/>
        <w:rPr>
          <w:rFonts w:hint="default" w:cs="Times New Roman"/>
          <w:b w:val="0"/>
          <w:bCs w:val="0"/>
          <w:sz w:val="30"/>
          <w:szCs w:val="24"/>
          <w:lang w:val="en-US" w:eastAsia="zh-CN"/>
        </w:rPr>
      </w:pPr>
      <w:bookmarkStart w:id="64" w:name="_Toc4163"/>
      <w:r>
        <w:rPr>
          <w:rFonts w:hint="eastAsia" w:cs="Times New Roman"/>
          <w:b w:val="0"/>
          <w:bCs w:val="0"/>
          <w:sz w:val="30"/>
          <w:szCs w:val="24"/>
          <w:lang w:val="en-US" w:eastAsia="zh-CN"/>
        </w:rPr>
        <w:t>组织管理</w:t>
      </w:r>
      <w:bookmarkEnd w:id="64"/>
    </w:p>
    <w:p w14:paraId="6EEBE3EF">
      <w:r>
        <w:drawing>
          <wp:inline distT="0" distB="0" distL="114300" distR="114300">
            <wp:extent cx="5900420" cy="2925445"/>
            <wp:effectExtent l="0" t="0" r="5080" b="825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94"/>
                    <a:stretch>
                      <a:fillRect/>
                    </a:stretch>
                  </pic:blipFill>
                  <pic:spPr>
                    <a:xfrm>
                      <a:off x="0" y="0"/>
                      <a:ext cx="5900420" cy="2925445"/>
                    </a:xfrm>
                    <a:prstGeom prst="rect">
                      <a:avLst/>
                    </a:prstGeom>
                    <a:noFill/>
                    <a:ln>
                      <a:noFill/>
                    </a:ln>
                  </pic:spPr>
                </pic:pic>
              </a:graphicData>
            </a:graphic>
          </wp:inline>
        </w:drawing>
      </w:r>
    </w:p>
    <w:p w14:paraId="4655D22B">
      <w:pPr>
        <w:pStyle w:val="6"/>
        <w:numPr>
          <w:ilvl w:val="0"/>
          <w:numId w:val="178"/>
        </w:numPr>
        <w:bidi w:val="0"/>
        <w:spacing w:after="12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2425CC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功能定位：作为系统管理模块的组织主数据枢纽与全平台权限管控源头，构建「集团总部 → 产业集团 → 二级单位（经营单位） → 工厂」四级组织架构，建立唯一、标准的组织编码与层级映射关系，为账号归属、角色数据范围、菜单授权与全部业务模块的组织维度数据隔离提供主数据基准，是所有业务模块启动配置的前置核心依赖。</w:t>
            </w:r>
          </w:p>
          <w:p w14:paraId="7FE33A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系统管理员（全量组织数据的新增、编辑、删除与层级调整；不区分数据范围，全集团可写）。</w:t>
            </w:r>
          </w:p>
          <w:p w14:paraId="22E1E4F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页面路由：/system/manage/org（左侧导航：系统管理 › 权限管控 › 组织管理）。</w:t>
            </w:r>
          </w:p>
          <w:p w14:paraId="4E462AF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上游依赖：无。本模块是全平台最底层主数据，不依赖任何业务模块；初始数据来自集团组织架构台账（线下核定后一次性导入）。</w:t>
            </w:r>
          </w:p>
          <w:p w14:paraId="2EC5FE1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用户管理」的「所属机构」下拉与数据范围树；「角色与权限」的数据范围选择器；零碳园区集控中心与产品碳足迹集采中心的组织维度筛选器、大屏制造基地空间分布展示与全平台行级数据隔离（RLS）。</w:t>
            </w:r>
          </w:p>
          <w:p w14:paraId="41301BA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数据权限：本模块自身即 RLS 的基准定义者。系统管理员（Persona PM）全量可写；其余角色在本模块内一律只读，且仅可见其数据范围子树内的节点（越权访问返回 HTTP 403 并记审计日志）。</w:t>
            </w:r>
          </w:p>
        </w:tc>
      </w:tr>
    </w:tbl>
    <w:p w14:paraId="7799B600"/>
    <w:p w14:paraId="6A9ED44F">
      <w:pPr>
        <w:pStyle w:val="6"/>
        <w:numPr>
          <w:ilvl w:val="0"/>
          <w:numId w:val="178"/>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2AF99D1">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F265A3">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业务场景</w:t>
            </w:r>
            <w:r>
              <w:rPr>
                <w:rFonts w:ascii="宋体" w:hAnsi="宋体" w:eastAsia="宋体" w:cs="宋体"/>
                <w:sz w:val="24"/>
                <w:szCs w:val="24"/>
              </w:rPr>
              <w:t xml:space="preserve">：面向系统管理员维护集团多级组织架构，搭建集团、园区、工厂层级机构树，统一管理 15 大园区、21 家实体工厂组织基础信息，为指挥大厅大屏制造基地空间分布展示、数据权限隔离提供组织主数据支撑。 </w:t>
            </w:r>
          </w:p>
          <w:p w14:paraId="3260270C">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用户故事</w:t>
            </w:r>
            <w:r>
              <w:rPr>
                <w:rFonts w:ascii="宋体" w:hAnsi="宋体" w:eastAsia="宋体" w:cs="宋体"/>
                <w:sz w:val="24"/>
                <w:szCs w:val="24"/>
              </w:rPr>
              <w:t>：</w:t>
            </w:r>
          </w:p>
          <w:p w14:paraId="53FC43D3">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As a 系统管理员 (Persona PM)， </w:t>
            </w:r>
          </w:p>
          <w:p w14:paraId="3F5C9AE4">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I want 维护集团组织机构树，新增、编辑、管理各级园区与工厂机构信息，定义组织层级与归属关系， </w:t>
            </w:r>
          </w:p>
          <w:p w14:paraId="02918A21">
            <w:pPr>
              <w:pStyle w:val="19"/>
              <w:bidi w:val="0"/>
              <w:ind w:left="0" w:leftChars="0" w:firstLine="439" w:firstLineChars="183"/>
            </w:pPr>
            <w:r>
              <w:rPr>
                <w:rFonts w:ascii="宋体" w:hAnsi="宋体" w:eastAsia="宋体" w:cs="宋体"/>
                <w:sz w:val="24"/>
                <w:szCs w:val="24"/>
              </w:rPr>
              <w:t>So that 我能够为集控环幕大屏提供集团制造基地空间分布基础数据，实现按组织隔离能碳数据，保障集团多园区多工厂数据归集与权限管控。</w:t>
            </w:r>
          </w:p>
        </w:tc>
      </w:tr>
    </w:tbl>
    <w:p w14:paraId="2D1CFE2B"/>
    <w:p w14:paraId="11AC1D09">
      <w:pPr>
        <w:pStyle w:val="6"/>
        <w:numPr>
          <w:ilvl w:val="0"/>
          <w:numId w:val="178"/>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71F9389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1FFA344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页面布局：左侧「组织机构树」（默认展开至「二级单位（经营单位）」层，工厂层折叠）；右侧「机构详情」。选中任一节点，右侧详情与其下级机构列表自动刷新。</w:t>
            </w:r>
          </w:p>
          <w:p w14:paraId="3493F8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（1）树节点选择：单击左侧组织节点，右侧「机构详情」刷新为该节点数据；节点支持逐级下钻至工厂层；有下级的节点名称前显示展开箭头，并显示下级机构数量角标。</w:t>
            </w:r>
          </w:p>
          <w:p w14:paraId="30B7391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（2）新增机构【新增机构】：打开新增机构弹窗。上级机构默认取当前选中节点且不可改为非当前节点；机构层级由上级层级自动 +1，不可跨级手工选择；机构名称在同级内须唯一；机构编码须全局唯一。</w:t>
            </w:r>
          </w:p>
          <w:p w14:paraId="5D0EA9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（3）编辑【编辑】：打开编辑信息弹窗，回填该机构全部字段；机构编码为业务主键，编辑态只读。</w:t>
            </w:r>
          </w:p>
          <w:p w14:paraId="53D7F0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（4）删除【删除】：打开确认删除弹窗；点击取消关闭弹窗，点击确认后关闭弹窗并删除机构。删除前置校验：机构下存在下级机构、或存在关联账号时，阻断删除并给出具体原因。</w:t>
            </w:r>
          </w:p>
          <w:p w14:paraId="11C750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（5）树检索：支持按机构名称或机构编码模糊检索，命中节点自动展开路径并高亮；无命中时提示「未匹配到机构」。</w:t>
            </w:r>
          </w:p>
          <w:p w14:paraId="19B5939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（6）详情区「下级机构」：以标签形式并列展示直接下级机构名称及其所属产业，点击标签可直接跳转该下级节点。</w:t>
            </w:r>
          </w:p>
        </w:tc>
      </w:tr>
      <w:tr w14:paraId="3A32877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3F1640">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D64C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DA893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85CB8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04BF3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28F6BF7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CB387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组织树节点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F3DA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FC60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8D96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右侧详情与下级机构列表刷新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DAD7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8D8B4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134A3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【新增机构】</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18E5F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BC5A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当前节点层级 ＜ 4（非工厂级）</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43E1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弹窗打开，层级自动 +1 并锁定</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704C4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提示「工厂为最末级，不可新增下级机构」</w:t>
            </w:r>
          </w:p>
        </w:tc>
      </w:tr>
      <w:tr w14:paraId="66ACE8C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1768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DD16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7D9D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E45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回填全部字段，机构编码只读</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51E2F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431836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3BE41">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885C1">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DF76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无下级机构 且 无关联账号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16EF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关闭弹窗并删除该机构</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FD823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阻断并提示具体占用原因</w:t>
            </w:r>
          </w:p>
        </w:tc>
      </w:tr>
      <w:tr w14:paraId="2F7955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87FAF5">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树检索框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856CA">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输入关键字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585C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F1B3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命中节点展开路径并高亮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FB0EC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提示「未匹配到机构」</w:t>
            </w:r>
          </w:p>
        </w:tc>
      </w:tr>
      <w:tr w14:paraId="4679EA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7AC5">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下级机构标签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5D4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单击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2733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1007C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跳转至该下级节点详情</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8FF5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bl>
    <w:p w14:paraId="05BD9060"/>
    <w:p w14:paraId="259DF531">
      <w:pPr>
        <w:pStyle w:val="6"/>
        <w:numPr>
          <w:ilvl w:val="0"/>
          <w:numId w:val="178"/>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A05B06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AA5431">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5B249A">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F2C5B">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8EB1A9">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4B2E32">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校验与约束规则</w:t>
            </w:r>
          </w:p>
        </w:tc>
      </w:tr>
      <w:tr w14:paraId="114C911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4F7AE">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125F1">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机构名称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73481">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E86F0">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61FDE5">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必填；≤50 字符；同级内不可重名；如「沈变公司」「和盛套管」</w:t>
            </w:r>
          </w:p>
        </w:tc>
      </w:tr>
      <w:tr w14:paraId="430BFA1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7E44F">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9D86D">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机构层级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79B97F">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5E808D">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F51DD">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取值｛集团总部 / 产业集团 / 二级单位（经营单位） / 工厂｝；由上级层级 +1 自动推导，不可跨级手改</w:t>
            </w:r>
          </w:p>
        </w:tc>
      </w:tr>
      <w:tr w14:paraId="0A39B0CD">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BA4E">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201AC">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下级机构</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593C">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3DCA22">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个</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4F7213">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由组织树实时统计；不可编辑；为 0 时方允许删除本机构</w:t>
            </w:r>
          </w:p>
        </w:tc>
      </w:tr>
      <w:tr w14:paraId="0B3F831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B4FD6">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A7CFFD">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276E7">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E7060">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C95ED">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取值｛变压器 / 线缆 / 开关 / 套管 / 互感器 / 电容器 / 综合｝；决定该机构在集控大屏的产业归属</w:t>
            </w:r>
          </w:p>
        </w:tc>
      </w:tr>
      <w:tr w14:paraId="347409C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A9FB3">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3429E">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管辖范围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74DD6">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FC71C">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85817">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≤100 字符；描述性文字（如「统筹下属各产业园区」），不参与计算</w:t>
            </w:r>
          </w:p>
        </w:tc>
      </w:tr>
      <w:tr w14:paraId="1711E97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A9F7A">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C9CEC">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机构编码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F7815">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67B78">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3B435">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业务主键；全局唯一；格式 ORG- ＋ 2~6 位大写字母数字（如 ORG-SB）；创建后不可修改</w:t>
            </w:r>
          </w:p>
        </w:tc>
      </w:tr>
      <w:tr w14:paraId="1487851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10E3C2">
            <w:pPr>
              <w:pStyle w:val="19"/>
              <w:bidi w:val="0"/>
              <w:spacing w:line="240" w:lineRule="auto"/>
              <w:ind w:left="0" w:leftChars="0" w:right="0" w:rightChars="0" w:firstLine="0" w:firstLineChars="0"/>
              <w:jc w:val="center"/>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0ADED">
            <w:pPr>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A0CEB">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768335">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C472C2">
            <w:pPr>
              <w:pStyle w:val="19"/>
              <w:bidi w:val="0"/>
              <w:spacing w:line="240" w:lineRule="auto"/>
              <w:ind w:left="0" w:leftChars="0" w:right="0" w:rightChars="0" w:firstLine="0" w:firstLineChars="0"/>
              <w:jc w:val="both"/>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en-US" w:bidi="ar-SA"/>
              </w:rPr>
              <w:t>取值｛正常 / 停用｝；置为「停用」时联动停用其下全部账号</w:t>
            </w:r>
          </w:p>
        </w:tc>
      </w:tr>
    </w:tbl>
    <w:p w14:paraId="4D6ACF52">
      <w:pPr>
        <w:pStyle w:val="19"/>
        <w:bidi w:val="0"/>
      </w:pPr>
    </w:p>
    <w:p w14:paraId="76819C97">
      <w:pPr>
        <w:pStyle w:val="6"/>
        <w:numPr>
          <w:ilvl w:val="0"/>
          <w:numId w:val="178"/>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6B766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50735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（1）机构编码生成规则</w:t>
            </w:r>
          </w:p>
          <w:p w14:paraId="284796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编码 = "ORG-" + 机构名称拼音首字母缩写（大写，2~6 位）。</w:t>
            </w:r>
          </w:p>
          <w:p w14:paraId="4B1F97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示例：沈变公司 → ORG-SB；衡变公司 → ORG-HB；新缆厂 → ORG-XLC；德缆公司 → ORG-DL。</w:t>
            </w:r>
          </w:p>
          <w:p w14:paraId="3127F1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冲突处理：首字母缩写重复时，追加 1 位顺序数字（如 ORG-SB2）。</w:t>
            </w:r>
          </w:p>
          <w:p w14:paraId="7C07045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（2）层级推导算法</w:t>
            </w:r>
          </w:p>
          <w:p w14:paraId="67FF8F6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Level(node) = Level(parent) + 1，根节点 Level(集团总部) = 1。</w:t>
            </w:r>
          </w:p>
          <w:p w14:paraId="6BA459D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合法域：Level ∈ {1, 2, 3, 4}；Level = 4（工厂）为叶节点，不允许新增下级。</w:t>
            </w:r>
          </w:p>
          <w:p w14:paraId="4CC5DB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（3）组织路径与数据范围判定算法（RLS 基础）</w:t>
            </w:r>
          </w:p>
          <w:p w14:paraId="5C85B4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Path(node) = Path(parent) + "/" + node.code（根节点 Path = "/" + code）。</w:t>
            </w:r>
          </w:p>
          <w:p w14:paraId="5C70AB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可见性判定：设用户数据范围节点为 R、目标数据节点为 D，当且仅当 Path(D) 以 Path(R) + "/" 为前缀、或 Path(D) = Path(R) 时，D 对用户可见。</w:t>
            </w:r>
          </w:p>
          <w:p w14:paraId="2431FC2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（4）下级机构计数</w:t>
            </w:r>
          </w:p>
          <w:p w14:paraId="3CA4D2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ChildCount(node) = Σ(直接子节点中 状态＝正常 的节点数)。</w:t>
            </w:r>
          </w:p>
          <w:p w14:paraId="3B17665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删除前置校验使用该值：ChildCount(node) = 0 且 关联账号数 = 0 时方允许删除。</w:t>
            </w:r>
          </w:p>
          <w:p w14:paraId="37D868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取值示例：</w:t>
            </w:r>
          </w:p>
          <w:p w14:paraId="1DF3E6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沈变公司 → 机构层级＝二级单位（经营单位）；机构编码＝ORG-SB；所属产业＝变压器；管辖范围＝「统筹下属各产业园区」；下级机构＝4（沈变本部 / 和盛套管 / 康嘉互感器 / 印塑公司，均属沈变变压器产业）；状态＝正常。</w:t>
            </w:r>
          </w:p>
          <w:p w14:paraId="17B039F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精度与容差：本模块无数值计算，层级与计数均为整数，无容差。</w:t>
            </w:r>
          </w:p>
        </w:tc>
      </w:tr>
    </w:tbl>
    <w:p w14:paraId="516C00F0">
      <w:pPr>
        <w:pStyle w:val="19"/>
        <w:bidi w:val="0"/>
      </w:pPr>
    </w:p>
    <w:p w14:paraId="57C450DD">
      <w:pPr>
        <w:pStyle w:val="6"/>
        <w:numPr>
          <w:ilvl w:val="0"/>
          <w:numId w:val="178"/>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7BB7C8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01A85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（1）组织树展示：层级缩进 + 展开箭头 + 状态圆点；有下级的节点显示下级数量角标。</w:t>
            </w:r>
          </w:p>
          <w:p w14:paraId="630981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（2）详情区展示字段（固定 6 格 + 1 标签行）：机构层级、下级机构、状态、所属产业、管辖范围、机构编码；下方并列展示「下级机构」标签行。</w:t>
            </w:r>
          </w:p>
          <w:p w14:paraId="6EFEB79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（3）排序规则：同级内按机构编码升序；跨级按组织树前序遍历（父节点先于子节点）。</w:t>
            </w:r>
          </w:p>
          <w:p w14:paraId="76AC589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（4）状态判定口径与展示：</w:t>
            </w:r>
          </w:p>
          <w:p w14:paraId="2DE32A4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正常（绿点）：本节点状态＝正常，且其全部祖先节点状态均为正常；</w:t>
            </w:r>
          </w:p>
          <w:p w14:paraId="4962F48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停用（灰点）：本节点状态＝停用，或其任一祖先节点为停用（继承性失效）。</w:t>
            </w:r>
          </w:p>
          <w:p w14:paraId="7EECF5A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（5）机构计数口径：页面顶部「企业结构树 · 共 X 个经营单位 · 共 Y 个工厂」中，X ＝ 层级为「二级单位（经营单位）」且状态正常的节点数；Y ＝ 层级为「工厂」且状态正常的节点数。</w:t>
            </w:r>
          </w:p>
          <w:p w14:paraId="2C0916C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（6）基准来源：组织层级名称与法定架构取自集团《组织架构管理办法》。</w:t>
            </w:r>
          </w:p>
        </w:tc>
      </w:tr>
    </w:tbl>
    <w:p w14:paraId="62C202E5">
      <w:pPr>
        <w:pStyle w:val="19"/>
        <w:bidi w:val="0"/>
      </w:pPr>
    </w:p>
    <w:p w14:paraId="5DDA836C">
      <w:pPr>
        <w:pStyle w:val="6"/>
        <w:numPr>
          <w:ilvl w:val="0"/>
          <w:numId w:val="178"/>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16263D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11D15F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（1）机构编码重复阻断：机构编码已存在时，保存阻断，返回 E_SYS_ORG_CODE_DUP。</w:t>
            </w:r>
          </w:p>
          <w:p w14:paraId="5FB2C4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（2）跨级建机构阻断：新增机构时层级与上级节点层级差 ≠ 1（跳级或平级）时，阻断，返回 E_SYS_ORG_LEVEL_JUMP。</w:t>
            </w:r>
          </w:p>
          <w:p w14:paraId="74F2E0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（3）超最大层级阻断：在层级＝工厂（Level 4）节点下新增下级时，阻断并提示「工厂为最末级，不可新增下级机构」，返回 E_SYS_ORG_LEVEL_LIMIT。</w:t>
            </w:r>
          </w:p>
          <w:p w14:paraId="2107441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（4）删除引用阻断：机构下存在下级机构或存在关联账号时，物理删除阻断，返回 E_SYS_ORG_IN_USE_DELETE_DENIED，并列出占用明细。</w:t>
            </w:r>
          </w:p>
          <w:p w14:paraId="7931A0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（5）停用联动：机构置为「停用」时，其下全部账号强制置为「停用」，并记录联动审计日志（操作人、时间、影响账号数）。</w:t>
            </w:r>
          </w:p>
          <w:p w14:paraId="66CFAD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（6）循环引用防御：编辑机构上级时，若目标上级为本节点自身或其子孙节点，阻断，返回 E_SYS_ORG_CYCLE_DENIED。</w:t>
            </w:r>
          </w:p>
          <w:p w14:paraId="55AC02F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（7）并发编辑冲突：同一机构被两名管理员同时编辑时，以行版本号比对，后提交方冲突则提示「数据已被他人修改，请刷新后重试」，返回 E_SYS_ORG_CONCURRENT_CONFLICT。</w:t>
            </w:r>
          </w:p>
          <w:p w14:paraId="3F6F871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角色（系统管理员）调用本模块写接口时，返回 HTTP 403，触发 E_AUTH_RBAC_FORBIDDEN。</w:t>
            </w:r>
          </w:p>
        </w:tc>
      </w:tr>
    </w:tbl>
    <w:p w14:paraId="3378F497"/>
    <w:p w14:paraId="0A8447DA">
      <w:pPr>
        <w:pStyle w:val="6"/>
        <w:numPr>
          <w:ilvl w:val="0"/>
          <w:numId w:val="178"/>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E1C579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4715D0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组织架构维护</w:t>
            </w:r>
          </w:p>
          <w:p w14:paraId="674CCE5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新增二级单位机构</w:t>
            </w:r>
          </w:p>
          <w:p w14:paraId="4356B1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系统管理员已登录并进入 系统管理 › 权限管控 › 组织管理</w:t>
            </w:r>
          </w:p>
          <w:p w14:paraId="14209C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选中「集团总部」节点并点击【新增机构】，填写机构名称＝「衡变公司」、机构编码＝「ORG-HB」、所属产业＝「变压器」</w:t>
            </w:r>
          </w:p>
          <w:p w14:paraId="362DFF0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保存成功，组织树在集团总部下新增节点「衡变公司」</w:t>
            </w:r>
          </w:p>
          <w:p w14:paraId="3C9A5F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该节点机构层级自动为「二级单位（经营单位）」，状态显示为「正常」</w:t>
            </w:r>
          </w:p>
          <w:p w14:paraId="4A495B3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机构编码重复被阻断</w:t>
            </w:r>
          </w:p>
          <w:p w14:paraId="2655502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系统中已存在机构编码「ORG-SB」</w:t>
            </w:r>
          </w:p>
          <w:p w14:paraId="60DEF08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新增机构并填写机构编码＝「ORG-SB」后保存</w:t>
            </w:r>
          </w:p>
          <w:p w14:paraId="6D05BB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系统阻断保存并提示编码已存在</w:t>
            </w:r>
          </w:p>
          <w:p w14:paraId="569EEC0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返回错误码 E_SYS_ORG_CODE_DUP，组织树不新增节点</w:t>
            </w:r>
          </w:p>
          <w:p w14:paraId="1DE14F5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删除存在下级的机构被阻断</w:t>
            </w:r>
          </w:p>
          <w:p w14:paraId="34E01F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「沈变公司」下存在 4 个下级机构</w:t>
            </w:r>
          </w:p>
          <w:p w14:paraId="261B81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点击【删除】并在确认弹窗点击确认</w:t>
            </w:r>
          </w:p>
          <w:p w14:paraId="52564D9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系统阻断删除并提示「该机构下存在下级机构，不可删除」</w:t>
            </w:r>
          </w:p>
          <w:p w14:paraId="57AF261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E_SYS_ORG_IN_USE_DELETE_DENIED，组织树保持原样</w:t>
            </w:r>
          </w:p>
          <w:p w14:paraId="53E339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工厂级节点不可再新增下级</w:t>
            </w:r>
          </w:p>
          <w:p w14:paraId="6F2CF8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选中层级为「工厂」的节点「沈变本部」</w:t>
            </w:r>
          </w:p>
          <w:p w14:paraId="5666AE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点击【新增机构】</w:t>
            </w:r>
          </w:p>
          <w:p w14:paraId="16E4B20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系统阻断并提示「工厂为最末级，不可新增下级机构」</w:t>
            </w:r>
          </w:p>
          <w:p w14:paraId="719F48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E_SYS_ORG_LEVEL_LIMIT</w:t>
            </w:r>
          </w:p>
          <w:p w14:paraId="19DECE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停用机构联动停用其下账号</w:t>
            </w:r>
          </w:p>
          <w:p w14:paraId="1C4DFE8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「沈变公司」下存在状态为「启用」的账号 3 个</w:t>
            </w:r>
          </w:p>
          <w:p w14:paraId="24FA656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将「沈变公司」状态由「正常」改为「停用」并保存</w:t>
            </w:r>
          </w:p>
          <w:p w14:paraId="3A2FD6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其下 3 个账号状态全部变为「停用」</w:t>
            </w:r>
          </w:p>
          <w:p w14:paraId="4898836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审计日志新增一条记录（类型＝权限变更，操作＝机构停用联动）</w:t>
            </w:r>
          </w:p>
        </w:tc>
      </w:tr>
    </w:tbl>
    <w:p w14:paraId="1D7DAD75">
      <w:pPr>
        <w:rPr>
          <w:rFonts w:hint="default"/>
          <w:lang w:val="en-US" w:eastAsia="zh-CN"/>
        </w:rPr>
      </w:pPr>
    </w:p>
    <w:p w14:paraId="136B6084">
      <w:pPr>
        <w:pStyle w:val="5"/>
        <w:numPr>
          <w:ilvl w:val="0"/>
          <w:numId w:val="177"/>
        </w:numPr>
        <w:ind w:left="0" w:leftChars="0" w:firstLine="0" w:firstLineChars="0"/>
        <w:outlineLvl w:val="1"/>
        <w:rPr>
          <w:rFonts w:hint="default" w:cs="Times New Roman"/>
          <w:b w:val="0"/>
          <w:bCs w:val="0"/>
          <w:sz w:val="30"/>
          <w:szCs w:val="24"/>
          <w:lang w:val="en-US" w:eastAsia="zh-CN"/>
        </w:rPr>
      </w:pPr>
      <w:bookmarkStart w:id="65" w:name="_Toc19571"/>
      <w:r>
        <w:rPr>
          <w:rFonts w:hint="eastAsia" w:cs="Times New Roman"/>
          <w:b w:val="0"/>
          <w:bCs w:val="0"/>
          <w:sz w:val="30"/>
          <w:szCs w:val="24"/>
          <w:lang w:val="en-US" w:eastAsia="zh-CN"/>
        </w:rPr>
        <w:t>用户管理</w:t>
      </w:r>
      <w:bookmarkEnd w:id="65"/>
    </w:p>
    <w:p w14:paraId="68C8A608">
      <w:r>
        <w:drawing>
          <wp:inline distT="0" distB="0" distL="114300" distR="114300">
            <wp:extent cx="5900420" cy="2925445"/>
            <wp:effectExtent l="0" t="0" r="5080" b="8255"/>
            <wp:docPr id="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8"/>
                    <pic:cNvPicPr>
                      <a:picLocks noChangeAspect="1"/>
                    </pic:cNvPicPr>
                  </pic:nvPicPr>
                  <pic:blipFill>
                    <a:blip r:embed="rId95"/>
                    <a:stretch>
                      <a:fillRect/>
                    </a:stretch>
                  </pic:blipFill>
                  <pic:spPr>
                    <a:xfrm>
                      <a:off x="0" y="0"/>
                      <a:ext cx="5900420" cy="2925445"/>
                    </a:xfrm>
                    <a:prstGeom prst="rect">
                      <a:avLst/>
                    </a:prstGeom>
                    <a:noFill/>
                    <a:ln>
                      <a:noFill/>
                    </a:ln>
                  </pic:spPr>
                </pic:pic>
              </a:graphicData>
            </a:graphic>
          </wp:inline>
        </w:drawing>
      </w:r>
    </w:p>
    <w:p w14:paraId="1A37204E">
      <w:pPr>
        <w:pStyle w:val="6"/>
        <w:numPr>
          <w:ilvl w:val="0"/>
          <w:numId w:val="17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0CAB7B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3E8635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功能定位：作为权限管控模块下的账号生命周期管理单元，依托组织架构基准数据，完成系统账号的新增、信息维护、启停与密码重置，建立「账号 → 角色 → 所属机构 → 数据范围」四元绑定关系，为全系统访问身份识别与行级数据隔离提供账号主体支撑，是权限体系落地的核心载体。</w:t>
            </w:r>
          </w:p>
          <w:p w14:paraId="37A37B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系统管理员（全量用户账号的创建、维护、状态管控与密码重置）。</w:t>
            </w:r>
          </w:p>
          <w:p w14:paraId="1C4FEB6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页面路由：/system/manage/user（左侧导航：系统管理 › 权限管控 › 用户管理）。</w:t>
            </w:r>
          </w:p>
          <w:p w14:paraId="5708B5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上游依赖：组织管理（「所属机构」取值域）；角色与权限（「角色」取值域与「数据范围」候选集）。</w:t>
            </w:r>
          </w:p>
          <w:p w14:paraId="780ADAA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下游输出：零碳园区集控中心与产品碳足迹集采中心的登录鉴权、按钮级权限判定、行级数据过滤（RLS）与操作日志的「操作人」取值域。</w:t>
            </w:r>
          </w:p>
          <w:p w14:paraId="614C5B0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数据权限：系统管理员全量可写；其他角色一律不可见本模块（用户管理为高敏模块，仅 P4 角色可访问）。账号自身的「数据范围」字段是本模块授予他人的隔离边界，取值受授予者自身数据范围约束（不得授予超出自身的范围）。</w:t>
            </w:r>
          </w:p>
        </w:tc>
      </w:tr>
    </w:tbl>
    <w:p w14:paraId="3B4D1A73"/>
    <w:p w14:paraId="455A18C6">
      <w:pPr>
        <w:pStyle w:val="6"/>
        <w:numPr>
          <w:ilvl w:val="0"/>
          <w:numId w:val="17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6A979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971D439">
            <w:pPr>
              <w:pStyle w:val="19"/>
              <w:bidi w:val="0"/>
              <w:ind w:left="0" w:leftChars="0" w:firstLine="0" w:firstLineChars="0"/>
            </w:pPr>
            <w:r>
              <w:rPr>
                <w:b/>
                <w:bCs/>
                <w:lang w:val="en-US" w:eastAsia="zh-CN"/>
              </w:rPr>
              <w:t>业务场景</w:t>
            </w:r>
            <w:r>
              <w:rPr>
                <w:lang w:val="en-US" w:eastAsia="zh-CN"/>
              </w:rPr>
              <w:t>：面向系统管理员进行平台账号体系规范化管控场景，统一维护全平台操作人员账号信息、账号状态与归属权限，保障后台配置入口安全可控。</w:t>
            </w:r>
          </w:p>
          <w:p w14:paraId="24910A3E">
            <w:pPr>
              <w:pStyle w:val="19"/>
              <w:bidi w:val="0"/>
              <w:ind w:left="0" w:leftChars="0" w:firstLine="0" w:firstLineChars="0"/>
            </w:pPr>
            <w:r>
              <w:rPr>
                <w:b/>
                <w:bCs/>
                <w:lang w:val="en-US" w:eastAsia="zh-CN"/>
              </w:rPr>
              <w:t>用户故事</w:t>
            </w:r>
            <w:r>
              <w:rPr>
                <w:lang w:val="en-US" w:eastAsia="zh-CN"/>
              </w:rPr>
              <w:t>：</w:t>
            </w:r>
          </w:p>
          <w:p w14:paraId="4431981E">
            <w:pPr>
              <w:pStyle w:val="19"/>
              <w:bidi w:val="0"/>
            </w:pPr>
            <w:r>
              <w:rPr>
                <w:lang w:val="en-US" w:eastAsia="zh-CN"/>
              </w:rPr>
              <w:t>As a 系统管理员 (Persona PM)，</w:t>
            </w:r>
          </w:p>
          <w:p w14:paraId="46AED607">
            <w:pPr>
              <w:pStyle w:val="19"/>
              <w:bidi w:val="0"/>
            </w:pPr>
            <w:r>
              <w:rPr>
                <w:lang w:val="en-US" w:eastAsia="zh-CN"/>
              </w:rPr>
              <w:t>I want 统一维护平台所有用户账号、启停状态与基础信息，实现账号全生命周期管控，</w:t>
            </w:r>
          </w:p>
          <w:p w14:paraId="553F43BB">
            <w:pPr>
              <w:pStyle w:val="19"/>
              <w:bidi w:val="0"/>
            </w:pPr>
            <w:r>
              <w:rPr>
                <w:lang w:val="en-US" w:eastAsia="zh-CN"/>
              </w:rPr>
              <w:t>So that 我能规范平台访问权限准入，保障能碳系统后台配置安全、权责可追溯。</w:t>
            </w:r>
          </w:p>
        </w:tc>
      </w:tr>
    </w:tbl>
    <w:p w14:paraId="742D9DAE"/>
    <w:p w14:paraId="5B448A63">
      <w:pPr>
        <w:pStyle w:val="6"/>
        <w:numPr>
          <w:ilvl w:val="0"/>
          <w:numId w:val="17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1583DBC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3C34984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页面布局：上方查询条件区 + 下方用户列表 + 右上【新增用户】。</w:t>
            </w:r>
          </w:p>
          <w:p w14:paraId="2065F43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（1）查询【查询】：选择查询条件（关键字 / 角色 / 状态）后点击「查询」按钮，列表按条件过滤显示；点击【重置】清空全部条件并恢复全量列表。关键字对「姓名」「账号」「所属机构」三列做模糊匹配（OR 关系）。</w:t>
            </w:r>
          </w:p>
          <w:p w14:paraId="6D8CD7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（2）新增用户【新增用户】：打开新增用户弹窗，填写姓名、账号、角色、所属机构、数据范围、手机号；账号全局唯一且创建后不可修改。</w:t>
            </w:r>
          </w:p>
          <w:p w14:paraId="1937C3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（3）编辑【编辑】：打开编辑用户弹窗，回填该用户信息；账号字段只读；调整数据范围时受授予者自身范围约束。</w:t>
            </w:r>
          </w:p>
          <w:p w14:paraId="4815F76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（4）重置密码【重置密码】：打开重置密码提示窗口，点击取消关闭弹窗，点击确认后将该用户登录密码重置为初始密码，并强制其下次登录修改。</w:t>
            </w:r>
          </w:p>
          <w:p w14:paraId="333CA77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（5）停用 / 启用【停用】：打开弹窗确认窗口，点击取消关闭弹窗，点击确认后将用户状态在「启用 ↔ 停用」间切换；停用后该账号立即失效，登录返回 HTTP 401。</w:t>
            </w:r>
          </w:p>
          <w:p w14:paraId="7F507D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（6）列表行操作列：编辑 / 重置密码 / 停用（或启用），按当前状态动态显示。</w:t>
            </w:r>
          </w:p>
        </w:tc>
      </w:tr>
      <w:tr w14:paraId="091F3AA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28B04C">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4C64D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CFC7A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EE6F4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2028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174931E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91F15">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770D4">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清空条件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3ABE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778F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列表按条件刷新；重置恢复全量</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422BB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5FE061D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804D4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【新增用户】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82B4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ACD0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9456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6FB5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AB89B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90B3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FB4E1">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B45C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账号全局唯一、手机号格式合法、数据范围 ⊆ 授予者范围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93CA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列表新增该行，状态默认「启用」</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04D1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逐项行内红字提示并定位首个错误字段</w:t>
            </w:r>
          </w:p>
        </w:tc>
      </w:tr>
      <w:tr w14:paraId="575BD49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A70BF">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4DE91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9C0D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2ACA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回填信息，账号只读</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66B36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D7DD94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3863">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【重置密码】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57E7F">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打开重置弹窗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A547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提示「确认重置该用户密码？」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F37C9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544A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p>
        </w:tc>
      </w:tr>
      <w:tr w14:paraId="404255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050A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确认重置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DEBF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点击确认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30BA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37FC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密码重置为初始值，强制下次登录修改</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2D2B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3E011E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E696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【停用】/【启用】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978A5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确认切换状态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F007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不可停用当前登录账号自身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06C0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状态标签即时切换</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8AE6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提示「不可停用当前登录账号」</w:t>
            </w:r>
          </w:p>
        </w:tc>
      </w:tr>
    </w:tbl>
    <w:p w14:paraId="56631379"/>
    <w:p w14:paraId="5E613F1B">
      <w:pPr>
        <w:pStyle w:val="6"/>
        <w:numPr>
          <w:ilvl w:val="0"/>
          <w:numId w:val="17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6099FAA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90A78B">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3B35F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7ECD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28C75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906A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372CCD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89FE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E5D5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姓名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AC090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67BF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84EB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必填；≤20 字符；中文为常见用法，如「张伟」</w:t>
            </w:r>
          </w:p>
        </w:tc>
      </w:tr>
      <w:tr w14:paraId="219EA01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CE5E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CB57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账号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976E4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1E10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C092E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业务主键；全局唯一；4~20 位小写字母数字（如 zhangwei）；创建后不可修改</w:t>
            </w:r>
          </w:p>
        </w:tc>
      </w:tr>
      <w:tr w14:paraId="7F299003">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74212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BA9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角色</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419C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80D6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2FE7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取值源自「角色与权限」；内置值｛集团管理员 / 园区管理员 / 经营单位 / 节能专员 / 审计员｝；一名用户仅一个角色</w:t>
            </w:r>
          </w:p>
        </w:tc>
      </w:tr>
      <w:tr w14:paraId="4AC5DA8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7B10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F68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所属机构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704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树选择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C629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0E1C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必填；取值域为组织树全部节点（末级＝工厂）；决定账号的组织归属</w:t>
            </w:r>
          </w:p>
        </w:tc>
      </w:tr>
      <w:tr w14:paraId="41FD394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A81A6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5301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FF8C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BA7E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E1DA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必填；以组织节点为单位；可携带「（只读）」后缀标记只读范围；取值须 ⊆ 授予者自身数据范围；如「集团」「天津园区」「衡阳电缆厂」「集团（只读）」</w:t>
            </w:r>
          </w:p>
        </w:tc>
      </w:tr>
      <w:tr w14:paraId="2B7FF8A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79D3B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493C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手机号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5572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EF95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82DF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必填；11 位中国大陆手机号；列表展示按 1XX****XXXX 脱敏（如 138****1120）</w:t>
            </w:r>
          </w:p>
        </w:tc>
      </w:tr>
      <w:tr w14:paraId="38BA761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4ED48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F804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E1C8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A2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CC28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取值｛启用 / 停用｝；默认「启用」；停用后账号立即失效；所属机构被停用时联动置为「停用」</w:t>
            </w:r>
          </w:p>
        </w:tc>
      </w:tr>
    </w:tbl>
    <w:p w14:paraId="4C649F22">
      <w:pPr>
        <w:pStyle w:val="19"/>
        <w:bidi w:val="0"/>
      </w:pPr>
    </w:p>
    <w:p w14:paraId="71BBE817">
      <w:pPr>
        <w:pStyle w:val="6"/>
        <w:numPr>
          <w:ilvl w:val="0"/>
          <w:numId w:val="17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83481D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47047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（1）账号唯一性算法</w:t>
            </w:r>
          </w:p>
          <w:p w14:paraId="1ECDEFC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唯一键 = 账号（小写归一化后比较）。新增或编辑保存前执行存在性查询，命中即阻断。</w:t>
            </w:r>
          </w:p>
          <w:p w14:paraId="5E4131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（2）数据范围解析算法（RLS 核心）</w:t>
            </w:r>
          </w:p>
          <w:p w14:paraId="66313B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设用户 U 的数据范围集合为 S = {r₁, r₂, …, rₙ}，其中每个 rᵢ 为一个组织节点（可带只读标记）。</w:t>
            </w:r>
          </w:p>
          <w:p w14:paraId="4D9882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可见节点集 V(U) = ∪ᵢ Subtree(rᵢ)，Subtree(r) 为以 r 为根的子树全部节点；</w:t>
            </w:r>
          </w:p>
          <w:p w14:paraId="5D0F932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可写节点集 W(U) = ∪ { Subtree(rᵢ) | rᵢ 不带只读标记 }；</w:t>
            </w:r>
          </w:p>
          <w:p w14:paraId="3D3F04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对任意业务数据 D，归属组织节点为 org(D)：</w:t>
            </w:r>
          </w:p>
          <w:p w14:paraId="13F1AB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若 org(D) ∉ V(U) → 不可见（列表不返回该行）；</w:t>
            </w:r>
          </w:p>
          <w:p w14:paraId="2C9F12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若 org(D) ∈ V(U)  W(U) → 可见但只读（按钮禁用，写接口返回 HTTP 403）；</w:t>
            </w:r>
          </w:p>
          <w:p w14:paraId="289997C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若 org(D) ∈ W(U) → 可见且可写。</w:t>
            </w:r>
          </w:p>
          <w:p w14:paraId="6D74C20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（3）手机号脱敏算法</w:t>
            </w:r>
          </w:p>
          <w:p w14:paraId="242635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保留前 3 位与后 4 位，中间 4 位替换为「****」：Mask(m) = m[0:3] + "****" + m[7:11]。</w:t>
            </w:r>
          </w:p>
          <w:p w14:paraId="371123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示例：13812341120 → 138****1120。</w:t>
            </w:r>
          </w:p>
          <w:p w14:paraId="7051F3C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（4）用户故事场景</w:t>
            </w:r>
          </w:p>
          <w:p w14:paraId="6D09AD8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张伟 / zhangwei / 集团管理员 / 电装集团 / 数据范围＝集团 / 启用</w:t>
            </w:r>
          </w:p>
          <w:p w14:paraId="7692868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李静 / lijing / 园区管理员 / 天宝公司 / 数据范围＝天津园区 / 启用</w:t>
            </w:r>
          </w:p>
          <w:p w14:paraId="3AA1990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王强 / wangqiang / 经营单位 / 鲁缆本部 / 数据范围＝衡阳电缆厂 / 启用</w:t>
            </w:r>
          </w:p>
          <w:p w14:paraId="7FF83AD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赵敏 / zhaomin / 节能专员 / 沈变本部 / 数据范围＝沈阳园区 / 停用</w:t>
            </w:r>
          </w:p>
          <w:p w14:paraId="650DDE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陈涛 / chentao / 审计员 / 电缆集团 / 数据范围＝集团（只读） / 启用</w:t>
            </w:r>
          </w:p>
          <w:p w14:paraId="1584EA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精度与容差：本模块无数值计算，无容差。</w:t>
            </w:r>
          </w:p>
        </w:tc>
      </w:tr>
    </w:tbl>
    <w:p w14:paraId="7C091B1D">
      <w:pPr>
        <w:pStyle w:val="19"/>
        <w:bidi w:val="0"/>
      </w:pPr>
    </w:p>
    <w:p w14:paraId="352DAECE">
      <w:pPr>
        <w:pStyle w:val="6"/>
        <w:numPr>
          <w:ilvl w:val="0"/>
          <w:numId w:val="17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AB3EC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30614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列）：姓名、账号、角色、所属机构、数据范围、手机号、状态、操作。</w:t>
            </w:r>
          </w:p>
          <w:p w14:paraId="73E00A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（2）角色列展示：以彩色标签（chip）呈现；不同角色配色区分，便于快速识别权限层级。</w:t>
            </w:r>
          </w:p>
          <w:p w14:paraId="4FA3B4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（3）数据范围列展示：多范围以顿号并列；带「（只读）」后缀的范围单独以灰色标签呈现，与可写范围视觉区分。</w:t>
            </w:r>
          </w:p>
          <w:p w14:paraId="3B68CCF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（4）排序规则：默认按状态降序（启用在前）、状态内按姓名拼音升序；支持点击表头切换排序。</w:t>
            </w:r>
          </w:p>
          <w:p w14:paraId="7BED666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（5）状态判定口径：启用（绿标签）＝ 状态字段为「启用」且所属机构状态为「正常」；停用（灰标签）＝ 状态字段为「停用」，或所属机构已被停用（继承性失效）。</w:t>
            </w:r>
          </w:p>
          <w:p w14:paraId="631410A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（6）统计口径：查询结果条数实时显示；停用账号不计入「在线用户数」等运营指标。</w:t>
            </w:r>
          </w:p>
          <w:p w14:paraId="798937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（7）基准来源：角色枚举与数据范围；脱敏规则为平台统一安全要求。</w:t>
            </w:r>
          </w:p>
        </w:tc>
      </w:tr>
    </w:tbl>
    <w:p w14:paraId="16CDB224">
      <w:pPr>
        <w:pStyle w:val="19"/>
        <w:bidi w:val="0"/>
      </w:pPr>
    </w:p>
    <w:p w14:paraId="2F29CB15">
      <w:pPr>
        <w:pStyle w:val="6"/>
        <w:numPr>
          <w:ilvl w:val="0"/>
          <w:numId w:val="17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800A2E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C28A8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（1）账号重复阻断：账号已存在时，保存阻断，返回 E_SYS_USER_ACCOUNT_DUP。</w:t>
            </w:r>
          </w:p>
          <w:p w14:paraId="617872B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（2）手机号格式拦截：手机号不满足 11 位中国大陆号码规则时，保存阻断，返回 E_SYS_USER_PHONE_INVALID。</w:t>
            </w:r>
          </w:p>
          <w:p w14:paraId="3ABFB2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（3）数据范围越界拦截：授予的数据范围超出授予者自身范围时，阻断并提示「不可授予超出自身范围的数据权限」，返回 E_SYS_USER_SCOPE_EXCEED。</w:t>
            </w:r>
          </w:p>
          <w:p w14:paraId="47AE386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（4）自停用拦截：将当前登录账号自身置为「停用」时，阻断，返回 E_SYS_USER_SELF_DISABLE_DENIED。</w:t>
            </w:r>
          </w:p>
          <w:p w14:paraId="4E5CA87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（5）重置密码强约束：重置后必须强制用户下次登录修改密码；同一账号 24 小时内重置次数 ≥ 3 次时，记录安全告警日志。</w:t>
            </w:r>
          </w:p>
          <w:p w14:paraId="6760C1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（6）停用即时生效：账号置为「停用」后，若该用户当前存在有效会话，服务端在 1 个心跳周期（≤60 s）内使其失效，无需等待会话自然过期。</w:t>
            </w:r>
          </w:p>
          <w:p w14:paraId="12E4DB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（7）关联角色缺失兜底：用户所属角色被删除时，该账号自动降级为「无权限」状态，登录后仅可见只读首页，并弹出提示。</w:t>
            </w:r>
          </w:p>
          <w:p w14:paraId="48C9D02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（8）越权访问拦截：非 P4 角色访问本模块任意页面或接口时，返回 HTTP 403，触发 E_AUTH_RBAC_FORBIDDEN。</w:t>
            </w:r>
          </w:p>
        </w:tc>
      </w:tr>
    </w:tbl>
    <w:p w14:paraId="46FB276C"/>
    <w:p w14:paraId="686C487E">
      <w:pPr>
        <w:pStyle w:val="6"/>
        <w:numPr>
          <w:ilvl w:val="0"/>
          <w:numId w:val="17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AC1EB5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B5F56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用户账号管理</w:t>
            </w:r>
          </w:p>
          <w:p w14:paraId="4060E9A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新增用户并绑定角色与数据范围</w:t>
            </w:r>
          </w:p>
          <w:p w14:paraId="6D2D799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系统管理员已登录并进入 系统管理 › 权限管控 › 用户管理</w:t>
            </w:r>
          </w:p>
          <w:p w14:paraId="236E62E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点击【新增用户】，填写姓名＝「张伟」、账号＝「zhangwei」、角色＝「集团管理员」、所属机构＝「电装集团」、数据范围＝「集团」、手机号＝「13812341120」并保存</w:t>
            </w:r>
          </w:p>
          <w:p w14:paraId="1F340C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列表新增一行，姓名「张伟」、账号「zhangwei」、状态「启用」</w:t>
            </w:r>
          </w:p>
          <w:p w14:paraId="2644615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手机号列显示为「138****1120」</w:t>
            </w:r>
          </w:p>
          <w:p w14:paraId="79B802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账号重复被阻断</w:t>
            </w:r>
          </w:p>
          <w:p w14:paraId="10142B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系统中已存在账号「zhangwei」</w:t>
            </w:r>
          </w:p>
          <w:p w14:paraId="27AA51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新增用户并填写账号＝「zhangwei」后保存</w:t>
            </w:r>
          </w:p>
          <w:p w14:paraId="7F7700D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79203F8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返回错误码 E_SYS_USER_ACCOUNT_DUP</w:t>
            </w:r>
          </w:p>
          <w:p w14:paraId="73843D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重置密码后强制下次登录修改</w:t>
            </w:r>
          </w:p>
          <w:p w14:paraId="69F92C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用户「zhangwei」当前为「启用」状态</w:t>
            </w:r>
          </w:p>
          <w:p w14:paraId="285CDC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点击【重置密码】并在提示窗口点击确认</w:t>
            </w:r>
          </w:p>
          <w:p w14:paraId="338934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该用户密码被重置为初始密码</w:t>
            </w:r>
          </w:p>
          <w:p w14:paraId="56FDE7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该用户下次登录时被强制跳转至修改密码页</w:t>
            </w:r>
          </w:p>
          <w:p w14:paraId="3DA5C9C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停用账号后立即失效</w:t>
            </w:r>
          </w:p>
          <w:p w14:paraId="183855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用户「zhaomin」当前为「启用」状态且存在有效会话</w:t>
            </w:r>
          </w:p>
          <w:p w14:paraId="178BD3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点击【停用】并确认</w:t>
            </w:r>
          </w:p>
          <w:p w14:paraId="64CE8A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该用户状态变为「停用」</w:t>
            </w:r>
          </w:p>
          <w:p w14:paraId="4F7C23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其有效会话在 60 秒内失效，再次访问返回 HTTP 401</w:t>
            </w:r>
          </w:p>
          <w:p w14:paraId="62AC430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数据范围越界被阻断</w:t>
            </w:r>
          </w:p>
          <w:p w14:paraId="3FB795B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当前操作员自身数据范围为「沈阳园区」</w:t>
            </w:r>
          </w:p>
          <w:p w14:paraId="38626C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新增用户时将数据范围设置为「集团」</w:t>
            </w:r>
          </w:p>
          <w:p w14:paraId="293C14B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系统阻断保存并提示「不可授予超出自身范围的数据权限」</w:t>
            </w:r>
          </w:p>
          <w:p w14:paraId="74AADCE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E_SYS_USER_SCOPE_EXCEED</w:t>
            </w:r>
          </w:p>
          <w:p w14:paraId="16F547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非管理员访问用户管理被拒绝</w:t>
            </w:r>
          </w:p>
          <w:p w14:paraId="3241E2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当前登录用户角色为「园区管理员」</w:t>
            </w:r>
          </w:p>
          <w:p w14:paraId="482BC8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尝试访问 系统管理 › 权限管控 › 用户管理</w:t>
            </w:r>
          </w:p>
          <w:p w14:paraId="5DB91A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系统返回 HTTP 403</w:t>
            </w:r>
          </w:p>
          <w:p w14:paraId="7A27FED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记录审计日志（类型＝权限变更，结果＝失败）</w:t>
            </w:r>
          </w:p>
        </w:tc>
      </w:tr>
    </w:tbl>
    <w:p w14:paraId="2D442BE4">
      <w:pPr>
        <w:rPr>
          <w:rFonts w:hint="default"/>
          <w:lang w:val="en-US" w:eastAsia="zh-CN"/>
        </w:rPr>
      </w:pPr>
    </w:p>
    <w:p w14:paraId="5F24CDC1">
      <w:pPr>
        <w:pStyle w:val="5"/>
        <w:numPr>
          <w:ilvl w:val="0"/>
          <w:numId w:val="177"/>
        </w:numPr>
        <w:ind w:left="0" w:leftChars="0" w:firstLine="0" w:firstLineChars="0"/>
        <w:outlineLvl w:val="1"/>
        <w:rPr>
          <w:rFonts w:hint="default" w:cs="Times New Roman"/>
          <w:b w:val="0"/>
          <w:bCs w:val="0"/>
          <w:sz w:val="30"/>
          <w:szCs w:val="24"/>
          <w:lang w:val="en-US" w:eastAsia="zh-CN"/>
        </w:rPr>
      </w:pPr>
      <w:bookmarkStart w:id="66" w:name="_Toc16729"/>
      <w:r>
        <w:rPr>
          <w:rFonts w:hint="eastAsia" w:cs="Times New Roman"/>
          <w:b w:val="0"/>
          <w:bCs w:val="0"/>
          <w:sz w:val="30"/>
          <w:szCs w:val="24"/>
          <w:lang w:val="en-US" w:eastAsia="zh-CN"/>
        </w:rPr>
        <w:t>角色与权限</w:t>
      </w:r>
      <w:bookmarkEnd w:id="66"/>
    </w:p>
    <w:p w14:paraId="5817164F">
      <w:r>
        <w:drawing>
          <wp:inline distT="0" distB="0" distL="114300" distR="114300">
            <wp:extent cx="5900420" cy="2925445"/>
            <wp:effectExtent l="0" t="0" r="5080" b="8255"/>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96"/>
                    <a:stretch>
                      <a:fillRect/>
                    </a:stretch>
                  </pic:blipFill>
                  <pic:spPr>
                    <a:xfrm>
                      <a:off x="0" y="0"/>
                      <a:ext cx="5900420" cy="2925445"/>
                    </a:xfrm>
                    <a:prstGeom prst="rect">
                      <a:avLst/>
                    </a:prstGeom>
                    <a:noFill/>
                    <a:ln>
                      <a:noFill/>
                    </a:ln>
                  </pic:spPr>
                </pic:pic>
              </a:graphicData>
            </a:graphic>
          </wp:inline>
        </w:drawing>
      </w:r>
    </w:p>
    <w:p w14:paraId="6B55FD41">
      <w:pPr>
        <w:pStyle w:val="6"/>
        <w:numPr>
          <w:ilvl w:val="0"/>
          <w:numId w:val="18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44A34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3F7E4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功能定位：作为权限管控模块的权限规则配置中心，依托组织架构与用户账号基准数据，完成角色新建、角色数据范围定义、菜单及按钮级功能点权限分配，构建「账号 → 角色 → 功能权限 ＋ 数据权限」双维关联关系，为全系统功能访问控制与行级数据隔离提供权限规则基准，是权限体系精细化管控的核心配置单元。</w:t>
            </w:r>
          </w:p>
          <w:p w14:paraId="630416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系统管理员（全量角色创建、权限项配置、角色信息维护）。</w:t>
            </w:r>
          </w:p>
          <w:p w14:paraId="5BDF0B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页面路由：/system/manage/role（左侧导航：系统管理 › 权限管控 › 角色与权限）。</w:t>
            </w:r>
          </w:p>
          <w:p w14:paraId="64F792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上游依赖：组织管理（数据范围取值域）；菜单与功能（可授权功能点全集）。</w:t>
            </w:r>
          </w:p>
          <w:p w14:paraId="61DE8C1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下游输出：用户管理的「角色」取值域；全平台功能可见性判定、按钮级权限拦截与数据范围（RLS）判定。</w:t>
            </w:r>
          </w:p>
          <w:p w14:paraId="1DB6CD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PM）全量可写；本模块自身仅 P4 角色可访问。授权时受「权限不可扩大原则」约束——不可授予超出自身权限范围的功能点与数据范围。</w:t>
            </w:r>
          </w:p>
        </w:tc>
      </w:tr>
    </w:tbl>
    <w:p w14:paraId="4929C822">
      <w:pPr>
        <w:rPr>
          <w:b w:val="0"/>
          <w:bCs w:val="0"/>
        </w:rPr>
      </w:pPr>
    </w:p>
    <w:p w14:paraId="77DC2785">
      <w:pPr>
        <w:pStyle w:val="6"/>
        <w:numPr>
          <w:ilvl w:val="0"/>
          <w:numId w:val="18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1EB947C">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6305003">
            <w:pPr>
              <w:pStyle w:val="19"/>
              <w:bidi w:val="0"/>
              <w:ind w:left="0" w:leftChars="0" w:firstLine="0" w:firstLineChars="0"/>
            </w:pPr>
            <w:r>
              <w:rPr>
                <w:b/>
                <w:bCs/>
                <w:lang w:val="en-US" w:eastAsia="zh-CN"/>
              </w:rPr>
              <w:t>业务场景</w:t>
            </w:r>
            <w:r>
              <w:rPr>
                <w:lang w:val="en-US" w:eastAsia="zh-CN"/>
              </w:rPr>
              <w:t>：面向系统管理员进行平台权限精细化配置场景，通过角色绑定菜单权限与数据权限，实现平台功能、数据的分级隔离管控。</w:t>
            </w:r>
          </w:p>
          <w:p w14:paraId="6500AAD6">
            <w:pPr>
              <w:pStyle w:val="19"/>
              <w:bidi w:val="0"/>
              <w:ind w:left="0" w:leftChars="0" w:firstLine="0" w:firstLineChars="0"/>
            </w:pPr>
            <w:r>
              <w:rPr>
                <w:b/>
                <w:bCs/>
                <w:lang w:val="en-US" w:eastAsia="zh-CN"/>
              </w:rPr>
              <w:t>用户故事</w:t>
            </w:r>
            <w:r>
              <w:rPr>
                <w:lang w:val="en-US" w:eastAsia="zh-CN"/>
              </w:rPr>
              <w:t>：</w:t>
            </w:r>
          </w:p>
          <w:p w14:paraId="09D4AEF8">
            <w:pPr>
              <w:pStyle w:val="19"/>
              <w:bidi w:val="0"/>
            </w:pPr>
            <w:r>
              <w:rPr>
                <w:lang w:val="en-US" w:eastAsia="zh-CN"/>
              </w:rPr>
              <w:t>As a 系统管理员 (Persona PM)，</w:t>
            </w:r>
          </w:p>
          <w:p w14:paraId="1CFEBEE1">
            <w:pPr>
              <w:pStyle w:val="19"/>
              <w:bidi w:val="0"/>
            </w:pPr>
            <w:r>
              <w:rPr>
                <w:lang w:val="en-US" w:eastAsia="zh-CN"/>
              </w:rPr>
              <w:t>I want 自定义系统角色、分配功能权限与园区工厂数据范围，完成权限精准配置，</w:t>
            </w:r>
          </w:p>
          <w:p w14:paraId="55070213">
            <w:pPr>
              <w:pStyle w:val="19"/>
              <w:bidi w:val="0"/>
            </w:pPr>
            <w:r>
              <w:rPr>
                <w:lang w:val="en-US" w:eastAsia="zh-CN"/>
              </w:rPr>
              <w:t>So that 我能实现不同岗位权限隔离，保障能碳数据、后台配置的安全性与规范性。</w:t>
            </w:r>
          </w:p>
        </w:tc>
      </w:tr>
    </w:tbl>
    <w:p w14:paraId="079A8645">
      <w:pPr>
        <w:rPr>
          <w:b w:val="0"/>
          <w:bCs w:val="0"/>
        </w:rPr>
      </w:pPr>
    </w:p>
    <w:p w14:paraId="3FEE9CCB">
      <w:pPr>
        <w:pStyle w:val="6"/>
        <w:numPr>
          <w:ilvl w:val="0"/>
          <w:numId w:val="18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296DB6E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2686339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页面布局：左侧「角色列表」（卡片式）+ 右侧「权限配置」（三平台页签 + 功能点树）+ 右上角操作区。</w:t>
            </w:r>
          </w:p>
          <w:p w14:paraId="3A4946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（1）选择角色：点击左侧【角色列表】中任一角色卡片，右侧显示该角色在【集控】【集采】【系统管理】三平台中的用户权限；右上角显示「已授权 N / M 项功能点」。</w:t>
            </w:r>
          </w:p>
          <w:p w14:paraId="2E0564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（2）新增角色【新增角色】：打开新增角色弹窗，填写角色名称、数据范围、角色职责说明；保存后角色类型默认「自定义」，用户数＝0。</w:t>
            </w:r>
          </w:p>
          <w:p w14:paraId="296F958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（3）编辑角色【编辑】：角色列表点击【编辑】按钮，打开角色编辑窗口，可修改角色名称、数据范围、职责说明；已关联用户数只读。</w:t>
            </w:r>
          </w:p>
          <w:p w14:paraId="67CD2CB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（4）平台切换：右侧权限配置区通过点击【产品碳足迹集采中心】【零碳园区集控中心】【系统管理平台】标签切换平台的权限组织结构。</w:t>
            </w:r>
          </w:p>
          <w:p w14:paraId="696F62F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（5）展开 / 折叠【展开】【折叠】：控制权限配置模块一级菜单的展开与折叠状态。</w:t>
            </w:r>
          </w:p>
          <w:p w14:paraId="2BAB4B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（6）全选 / 清空【全选】【清空】：控制权限配置模块中所有权限的勾选与取消。</w:t>
            </w:r>
          </w:p>
          <w:p w14:paraId="7CA45DB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（7）保存授权【保存授权】：保存当前角色所选中的权限；保存后即刻生效，无需用户重新登录。</w:t>
            </w:r>
          </w:p>
          <w:p w14:paraId="7E157B1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（8）快捷搜索：权限树上方支持按功能点名称检索，命中节点自动展开并高亮。</w:t>
            </w:r>
          </w:p>
        </w:tc>
      </w:tr>
      <w:tr w14:paraId="5258547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900C3F">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0A347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FB172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8D7C9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730A6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3530A6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B7852">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角色卡片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83C7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9326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407F2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右侧加载该角色权限树与已授权数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D591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3F0B68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0795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【新增角色】</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7F68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B047D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47EA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弹窗打开，类型默认「自定义」</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4881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5213DE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B33D5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379584">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23F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角色名称全局唯一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7AC81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角色列表新增卡片</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C3F9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提示名称已存在</w:t>
            </w:r>
          </w:p>
        </w:tc>
      </w:tr>
      <w:tr w14:paraId="03B2CBE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7CBD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三平台页签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5319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9C68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DFE6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权限树切至对应平台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2AFD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5465FD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BA2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73CDD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F5B7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B8F3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一级菜单全部展开 / 收起</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FB43F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BC0E9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981D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【全部全选】/【全部清空】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641EA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0EE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F51F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全部 checkbox 勾选 / 取消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EBB5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30B9DF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DC13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功能点 checkbox</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2917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勾选 / 取消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855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功能点 ⊆ 操作者权限集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6298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已授权数即时增减</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5C5A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超范围项置灰并提示</w:t>
            </w:r>
          </w:p>
        </w:tc>
      </w:tr>
      <w:tr w14:paraId="42A1013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8575D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【保存授权】</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AF80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449B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4D2D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提示「保存成功」，权限即刻生效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1FAB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bl>
    <w:p w14:paraId="1A1861B1">
      <w:pPr>
        <w:rPr>
          <w:b w:val="0"/>
          <w:bCs w:val="0"/>
        </w:rPr>
      </w:pPr>
    </w:p>
    <w:p w14:paraId="6805FF6B">
      <w:pPr>
        <w:pStyle w:val="6"/>
        <w:numPr>
          <w:ilvl w:val="0"/>
          <w:numId w:val="18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5B9B01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EA938A">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06F43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EFC2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143D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FBBA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5BFA59B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4612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1231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角色名称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7D27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775B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B2D5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必填；≤20 字符；全局唯一；如「集团管理员」「节能专员」</w:t>
            </w:r>
          </w:p>
        </w:tc>
      </w:tr>
      <w:tr w14:paraId="69846B9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7C9B9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27EF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角色类型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3817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E15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6B11C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取值｛内置 / 自定义｝；内置角色不可删除、不可改名，仅可调整权限；自定义角色可增删改</w:t>
            </w:r>
          </w:p>
        </w:tc>
      </w:tr>
      <w:tr w14:paraId="5D6EA279">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289B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9BA73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F45C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A0A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5210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必填；以组织节点为单位；可带「（只读）」标记；如「全集团」「所属园区」「本经营单位」「全集团（只读）」</w:t>
            </w:r>
          </w:p>
        </w:tc>
      </w:tr>
      <w:tr w14:paraId="439CACA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B9D1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A2FB2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角色职责说明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2C2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698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1C2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≤200 字符；用于角色卡片悬浮提示与权限申请审批参考</w:t>
            </w:r>
          </w:p>
        </w:tc>
      </w:tr>
      <w:tr w14:paraId="012220F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36D8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E9C0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关联用户数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699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83F6D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6794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由用户管理实时统计；＞ 0 时该角色不可删除</w:t>
            </w:r>
          </w:p>
        </w:tc>
      </w:tr>
      <w:tr w14:paraId="7356CF6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0150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073D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功能点授权数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2AC2D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0528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项</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FEDCE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分平台统计（集控 / 集采 / 系统管理）；展示为「已授权 N / M」</w:t>
            </w:r>
          </w:p>
        </w:tc>
      </w:tr>
    </w:tbl>
    <w:p w14:paraId="0081AC53">
      <w:pPr>
        <w:pStyle w:val="19"/>
        <w:bidi w:val="0"/>
        <w:rPr>
          <w:b w:val="0"/>
          <w:bCs w:val="0"/>
        </w:rPr>
      </w:pPr>
    </w:p>
    <w:p w14:paraId="363EA9FB">
      <w:pPr>
        <w:pStyle w:val="6"/>
        <w:numPr>
          <w:ilvl w:val="0"/>
          <w:numId w:val="18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0B41F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7BC7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（1）功能点授权完整度</w:t>
            </w:r>
          </w:p>
          <w:p w14:paraId="51B54DE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已授权数 N(role, platform) = Σ 该角色在该平台勾选的功能点数量；</w:t>
            </w:r>
          </w:p>
          <w:p w14:paraId="1A19E68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完整度 = N / M，其中 M = 该平台功能点总数。</w:t>
            </w:r>
          </w:p>
          <w:p w14:paraId="7E4E05B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示例：集采平台 M = 36，集团管理员 N = 36 → 完整度 100%；审计员 N = 4 → 11.1%。</w:t>
            </w:r>
          </w:p>
          <w:p w14:paraId="7F649B4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（2）权限判定算法（二维判定：功能级 × 数据级）</w:t>
            </w:r>
          </w:p>
          <w:p w14:paraId="38FACC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Can(U, action, target) = (action ∈ Perms(role(U))) ∧ (org(target) ∈ V(U))</w:t>
            </w:r>
          </w:p>
          <w:p w14:paraId="1F4EFB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Perms(role) 为角色的功能点集合，V(U) 为用户 U 的数据范围可见节点集（见 2.2.5 数据范围解析算法）。</w:t>
            </w:r>
          </w:p>
          <w:p w14:paraId="3547EFE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两项均为真方可执行；功能级不通过返回 HTTP 403（E_AUTH_RBAC_FORBIDDEN），数据级不通过返回 HTTP 403（E_AUTH_RLS_SCOPE_DENIED）。</w:t>
            </w:r>
          </w:p>
          <w:p w14:paraId="3428CFA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（3）权限不可扩大原则</w:t>
            </w:r>
          </w:p>
          <w:p w14:paraId="42232C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设操作者 O 的功能权限集为 P(O)、数据范围可见集为 V(O)；被配置角色 R 的权限集为 P(R)、范围集为 V(R)。</w:t>
            </w:r>
          </w:p>
          <w:p w14:paraId="367205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约束：P(R) ⊆ P(O) 且 V(R) ⊆ V(O)。超出部分在保存时被过滤，并返回 E_SYS_ROLE_PERM_EXCEED。</w:t>
            </w:r>
          </w:p>
          <w:p w14:paraId="46C3E3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（4）角色基线</w:t>
            </w:r>
          </w:p>
          <w:p w14:paraId="783867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集团管理员（内置，2 名用户，数据范围＝全集团，集控 16 / 集采 34 / 系统 19）</w:t>
            </w:r>
          </w:p>
          <w:p w14:paraId="6007913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园区管理员（内置，6 名用户，数据范围＝所属园区，集控 16 / 集采 36 / 系统 3）</w:t>
            </w:r>
          </w:p>
          <w:p w14:paraId="1E9DA93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经营单位（自定义，23 名用户，数据范围＝本经营单位，集控 7 / 集采 4 / 系统 3）</w:t>
            </w:r>
          </w:p>
          <w:p w14:paraId="4928C20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节能专员（自定义，11 名用户，数据范围＝所属园区，集控 3 / 集采 34 / 系统 0）</w:t>
            </w:r>
          </w:p>
          <w:p w14:paraId="6BA386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审计员（内置，1 名用户，数据范围＝全集团（只读），集控 4 / 集采 4 / 系统 3）</w:t>
            </w:r>
          </w:p>
          <w:p w14:paraId="2480466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精度与容差：计数为整数；完整度按百分比保留 1 位小数，无容差。</w:t>
            </w:r>
          </w:p>
        </w:tc>
      </w:tr>
    </w:tbl>
    <w:p w14:paraId="0ACCF0FD">
      <w:pPr>
        <w:pStyle w:val="19"/>
        <w:bidi w:val="0"/>
        <w:rPr>
          <w:b w:val="0"/>
          <w:bCs w:val="0"/>
        </w:rPr>
      </w:pPr>
    </w:p>
    <w:p w14:paraId="1CFB1434">
      <w:pPr>
        <w:pStyle w:val="6"/>
        <w:numPr>
          <w:ilvl w:val="0"/>
          <w:numId w:val="18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ED3A653">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FDA2E2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（1）角色卡片展示（5 要素）：角色名称 ＋ 类型标签（内置 / 自定义，配色区分）＋ 关联用户数 ＋ 数据范围 ＋ 三平台授权数（集控 / 集采 / 系统）。</w:t>
            </w:r>
          </w:p>
          <w:p w14:paraId="229DFF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（2）权限树展示：三平台页签；每个一级菜单后显示「已授权 / 总数」（如 3/3、5/5、7/7）；叶节点为 checkbox；已勾选项高亮呈现。</w:t>
            </w:r>
          </w:p>
          <w:p w14:paraId="4D84C3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（3）完整度口径：右上「已授权 N / M 项功能点」中，N 为该角色在**当前选中平台**已勾选项数，M 为该平台功能点总数；切换页签时 N/M 同步刷新。</w:t>
            </w:r>
          </w:p>
          <w:p w14:paraId="50CB31B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（4）排序规则：角色列表按「内置优先、自定义在后」分组，组内按关联用户数降序。</w:t>
            </w:r>
          </w:p>
          <w:p w14:paraId="604006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（5）状态口径：内置角色删除按钮置灰；自定义角色关联用户数 ＞ 0 时删除按钮置灰，悬浮提示「存在关联用户，不可删除」。</w:t>
            </w:r>
          </w:p>
          <w:p w14:paraId="181949F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（6）权限可见性口径：审计员数据范围标注「（只读）」，其卡片数据范围行以灰色呈现，提示该角色全域只读。</w:t>
            </w:r>
          </w:p>
          <w:p w14:paraId="2A5E32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（7）基准来源：五角色基线、三平台功能点总数（36 / 36 / 11）。</w:t>
            </w:r>
          </w:p>
        </w:tc>
      </w:tr>
    </w:tbl>
    <w:p w14:paraId="22EAD34F">
      <w:pPr>
        <w:pStyle w:val="19"/>
        <w:bidi w:val="0"/>
        <w:rPr>
          <w:b w:val="0"/>
          <w:bCs w:val="0"/>
        </w:rPr>
      </w:pPr>
    </w:p>
    <w:p w14:paraId="65C69FB1">
      <w:pPr>
        <w:pStyle w:val="6"/>
        <w:numPr>
          <w:ilvl w:val="0"/>
          <w:numId w:val="18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F843B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8820DA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（1）角色重名阻断：角色名称已存在时，阻断保存，返回 E_SYS_ROLE_NAME_DUP。</w:t>
            </w:r>
          </w:p>
          <w:p w14:paraId="6E4BE3C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（2）内置角色删除阻断：内置角色（集团管理员 / 园区管理员 / 审计员）不可删除，返回 E_SYS_ROLE_BUILTIN_DELETE_DENIED；亦不可改名。</w:t>
            </w:r>
          </w:p>
          <w:p w14:paraId="750D810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（3）关联用户删除阻断：角色下存在关联用户时，删除阻断并列出用户数，返回 E_SYS_ROLE_IN_USE_DELETE_DENIED。</w:t>
            </w:r>
          </w:p>
          <w:p w14:paraId="14C55DC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（4）权限扩大拦截：授予的功能点或数据范围超出操作者自身范围时，过滤超范围项并提示，返回 E_SYS_ROLE_PERM_EXCEED。</w:t>
            </w:r>
          </w:p>
          <w:p w14:paraId="649441C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（5）保存授权即时生效：保存后，已登录用户的权限在下一次接口调用时按新规则判定（无需重新登录）；被收回权限的用户下一次请求即返回 403。</w:t>
            </w:r>
          </w:p>
          <w:p w14:paraId="610430B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（6）空权限角色兜底：角色权限集为空时允许保存，但角色卡片标注「未授权」，其下用户登录后仅可见只读首页，并弹提示。</w:t>
            </w:r>
          </w:p>
          <w:p w14:paraId="621BD2E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（7）删除角色联动：自定义角色被删除时，其下用户的「角色」字段置空，账号降级为「无权限」状态（不自动删除账号）。</w:t>
            </w:r>
          </w:p>
          <w:p w14:paraId="43755B5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（8）越权配置拦截：非 P4 角色访问本模块任意页面或接口时，返回 HTTP 403，触发 E_AUTH_RBAC_FORBIDDEN。</w:t>
            </w:r>
          </w:p>
        </w:tc>
      </w:tr>
    </w:tbl>
    <w:p w14:paraId="7438B370">
      <w:pPr>
        <w:rPr>
          <w:b w:val="0"/>
          <w:bCs w:val="0"/>
        </w:rPr>
      </w:pPr>
    </w:p>
    <w:p w14:paraId="18B81F11">
      <w:pPr>
        <w:pStyle w:val="6"/>
        <w:numPr>
          <w:ilvl w:val="0"/>
          <w:numId w:val="18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652144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EE61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角色与权限配置</w:t>
            </w:r>
          </w:p>
          <w:p w14:paraId="25957A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新增自定义角色</w:t>
            </w:r>
          </w:p>
          <w:p w14:paraId="38C698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系统管理员已登录并进入 系统管理 › 权限管控 › 角色与权限</w:t>
            </w:r>
          </w:p>
          <w:p w14:paraId="4C98FFD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点击【新增角色】，填写角色名称＝「碳核算专员」、数据范围＝「本经营单位」、职责说明后保存</w:t>
            </w:r>
          </w:p>
          <w:p w14:paraId="68B887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左侧角色列表新增「碳核算专员」卡片</w:t>
            </w:r>
          </w:p>
          <w:p w14:paraId="443C6F9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卡片类型显示为「自定义」，关联用户数显示为「0 名用户」，数据范围显示为「本经营单位」</w:t>
            </w:r>
          </w:p>
          <w:p w14:paraId="7A6B75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保存授权后权限即刻生效</w:t>
            </w:r>
          </w:p>
          <w:p w14:paraId="5AF4B88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角色「节能专员」当前在集采平台已授权 34 项功能点</w:t>
            </w:r>
          </w:p>
          <w:p w14:paraId="3843DCE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取消勾选「碳关税模拟」后点击【保存授权】</w:t>
            </w:r>
          </w:p>
          <w:p w14:paraId="17072B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提示保存成功，已授权数由 34 变为 33</w:t>
            </w:r>
          </w:p>
          <w:p w14:paraId="78B5F6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该角色下已登录用户下次请求访问「碳关税模拟」时返回 HTTP 403</w:t>
            </w:r>
          </w:p>
          <w:p w14:paraId="3CAD318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内置角色不可删除</w:t>
            </w:r>
          </w:p>
          <w:p w14:paraId="502F48F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角色「集团管理员」类型为「内置」</w:t>
            </w:r>
          </w:p>
          <w:p w14:paraId="1FC8A2A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尝试删除该角色</w:t>
            </w:r>
          </w:p>
          <w:p w14:paraId="71D9AD1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系统阻断并提示「内置角色不可删除」</w:t>
            </w:r>
          </w:p>
          <w:p w14:paraId="2EBCDA1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E_SYS_ROLE_BUILTIN_DELETE_DENIED</w:t>
            </w:r>
          </w:p>
          <w:p w14:paraId="12FEC55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存在关联用户的角色不可删除</w:t>
            </w:r>
          </w:p>
          <w:p w14:paraId="237DA3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角色「经营单位」关联 23 名用户</w:t>
            </w:r>
          </w:p>
          <w:p w14:paraId="1A57CC8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尝试删除该角色</w:t>
            </w:r>
          </w:p>
          <w:p w14:paraId="7D6CEA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系统阻断并提示「存在关联用户，不可删除」</w:t>
            </w:r>
          </w:p>
          <w:p w14:paraId="5DFBEDA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E_SYS_ROLE_IN_USE_DELETE_DENIED</w:t>
            </w:r>
          </w:p>
          <w:p w14:paraId="1C4E40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权限不可扩大</w:t>
            </w:r>
          </w:p>
          <w:p w14:paraId="68F5EF1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操作者自身仅具备「零碳园区集控中心」平台权限</w:t>
            </w:r>
          </w:p>
          <w:p w14:paraId="15F6D6C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为角色勾选「系统管理平台」下的功能点并保存</w:t>
            </w:r>
          </w:p>
          <w:p w14:paraId="507ADE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系统过滤超范围功能点并提示</w:t>
            </w:r>
          </w:p>
          <w:p w14:paraId="25ABD0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E_SYS_ROLE_PERM_EXCEED，超范围功能点未被授权</w:t>
            </w:r>
          </w:p>
          <w:p w14:paraId="119B33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三平台页签切换正确加载权限树</w:t>
            </w:r>
          </w:p>
          <w:p w14:paraId="372CBDA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打开角色「集团管理员」的权限配置</w:t>
            </w:r>
          </w:p>
          <w:p w14:paraId="1599FF7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点击「系统管理平台」页签</w:t>
            </w:r>
          </w:p>
          <w:p w14:paraId="1B086A7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权限树切换为系统管理平台的功能点结构</w:t>
            </w:r>
          </w:p>
          <w:p w14:paraId="39FCCEC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已授权数显示为「19 / 19」</w:t>
            </w:r>
          </w:p>
        </w:tc>
      </w:tr>
    </w:tbl>
    <w:p w14:paraId="73F41C1B">
      <w:pPr>
        <w:rPr>
          <w:rFonts w:hint="default"/>
          <w:b w:val="0"/>
          <w:bCs w:val="0"/>
          <w:lang w:val="en-US" w:eastAsia="zh-CN"/>
        </w:rPr>
      </w:pPr>
    </w:p>
    <w:p w14:paraId="6B74F9DF">
      <w:pPr>
        <w:pStyle w:val="5"/>
        <w:numPr>
          <w:ilvl w:val="0"/>
          <w:numId w:val="177"/>
        </w:numPr>
        <w:ind w:left="0" w:leftChars="0" w:firstLine="0" w:firstLineChars="0"/>
        <w:outlineLvl w:val="1"/>
        <w:rPr>
          <w:rFonts w:hint="default" w:cs="Times New Roman"/>
          <w:b w:val="0"/>
          <w:bCs w:val="0"/>
          <w:sz w:val="30"/>
          <w:szCs w:val="24"/>
          <w:lang w:val="en-US" w:eastAsia="zh-CN"/>
        </w:rPr>
      </w:pPr>
      <w:bookmarkStart w:id="67" w:name="_Toc21244"/>
      <w:r>
        <w:rPr>
          <w:rFonts w:hint="eastAsia" w:cs="Times New Roman"/>
          <w:b w:val="0"/>
          <w:bCs w:val="0"/>
          <w:sz w:val="30"/>
          <w:szCs w:val="24"/>
          <w:lang w:val="en-US" w:eastAsia="zh-CN"/>
        </w:rPr>
        <w:t>菜单与功能</w:t>
      </w:r>
      <w:bookmarkEnd w:id="67"/>
    </w:p>
    <w:p w14:paraId="106F0706">
      <w:pPr>
        <w:rPr>
          <w:b w:val="0"/>
          <w:bCs w:val="0"/>
        </w:rPr>
      </w:pPr>
      <w:r>
        <w:drawing>
          <wp:inline distT="0" distB="0" distL="114300" distR="114300">
            <wp:extent cx="5900420" cy="2925445"/>
            <wp:effectExtent l="0" t="0" r="5080" b="825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97"/>
                    <a:stretch>
                      <a:fillRect/>
                    </a:stretch>
                  </pic:blipFill>
                  <pic:spPr>
                    <a:xfrm>
                      <a:off x="0" y="0"/>
                      <a:ext cx="5900420" cy="2925445"/>
                    </a:xfrm>
                    <a:prstGeom prst="rect">
                      <a:avLst/>
                    </a:prstGeom>
                    <a:noFill/>
                    <a:ln>
                      <a:noFill/>
                    </a:ln>
                  </pic:spPr>
                </pic:pic>
              </a:graphicData>
            </a:graphic>
          </wp:inline>
        </w:drawing>
      </w:r>
    </w:p>
    <w:p w14:paraId="6496EEE2">
      <w:pPr>
        <w:pStyle w:val="6"/>
        <w:numPr>
          <w:ilvl w:val="0"/>
          <w:numId w:val="18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F2D7C5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7DB1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权限管控模块的底层功能资源维护中心，统一管理零碳园区集控中心与产品碳足迹集采中心两大业务系统的菜单结构与按钮级功能点，维护菜单层级、路由路径、排序与启用状态等元数据，为角色授权提供最小权限颗粒，支撑系统细粒度操作权限控制，是角色权限配置的前置基础依赖。</w:t>
            </w:r>
          </w:p>
          <w:p w14:paraId="318F99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系统管理员（全量菜单新增、菜单信息维护、按钮级功能点配置管理）。</w:t>
            </w:r>
          </w:p>
          <w:p w14:paraId="2D078B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页面路由：/system/manage/menu（左侧导航：系统管理 › 权限管控 › 菜单与功能）。</w:t>
            </w:r>
          </w:p>
          <w:p w14:paraId="1DE1B5E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上游依赖：无（本模块定义功能资源全集，是全平台最底层资源字典）。</w:t>
            </w:r>
          </w:p>
          <w:p w14:paraId="5629225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下游输出：「角色与权限」的可授权功能点全集与权限树结构；全平台侧边导航与页面路由挂载。</w:t>
            </w:r>
          </w:p>
          <w:p w14:paraId="186E93E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PM）全量可写；其余角色不可访问本模块（菜单与功能为系统级资源，不向业务角色开放）。</w:t>
            </w:r>
          </w:p>
        </w:tc>
      </w:tr>
    </w:tbl>
    <w:p w14:paraId="024AE209">
      <w:pPr>
        <w:rPr>
          <w:b w:val="0"/>
          <w:bCs w:val="0"/>
        </w:rPr>
      </w:pPr>
    </w:p>
    <w:p w14:paraId="085449DE">
      <w:pPr>
        <w:pStyle w:val="6"/>
        <w:numPr>
          <w:ilvl w:val="0"/>
          <w:numId w:val="18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BF1802">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2D52FAC">
            <w:pPr>
              <w:pStyle w:val="19"/>
              <w:bidi w:val="0"/>
              <w:ind w:left="0" w:leftChars="0" w:firstLine="0" w:firstLineChars="0"/>
            </w:pPr>
            <w:r>
              <w:rPr>
                <w:b/>
                <w:bCs/>
              </w:rPr>
              <w:t>业务场景</w:t>
            </w:r>
            <w:r>
              <w:t xml:space="preserve">：面向系统管理员统一维护两大业务中心菜单体系，管理菜单层级、路由地址、功能页面与启用状态，维护零碳园区集控中心、产品碳足迹集采中心全部菜单资源，为角色权限分配提供底层菜单与功能点基础，支撑指挥大厅大屏、集控业务页面的权限管控。 </w:t>
            </w:r>
          </w:p>
          <w:p w14:paraId="195C2682">
            <w:pPr>
              <w:pStyle w:val="19"/>
              <w:bidi w:val="0"/>
              <w:ind w:left="0" w:leftChars="0" w:firstLine="0" w:firstLineChars="0"/>
            </w:pPr>
            <w:r>
              <w:rPr>
                <w:b/>
                <w:bCs/>
              </w:rPr>
              <w:t>用户故事：</w:t>
            </w:r>
            <w:r>
              <w:t xml:space="preserve"> </w:t>
            </w:r>
          </w:p>
          <w:p w14:paraId="29FE54A0">
            <w:pPr>
              <w:pStyle w:val="19"/>
              <w:bidi w:val="0"/>
            </w:pPr>
            <w:r>
              <w:t xml:space="preserve">As a 系统管理员 (Persona PM)， </w:t>
            </w:r>
          </w:p>
          <w:p w14:paraId="70AB4103">
            <w:pPr>
              <w:pStyle w:val="19"/>
              <w:bidi w:val="0"/>
              <w:rPr>
                <w:rFonts w:hint="eastAsia"/>
                <w:lang w:eastAsia="zh-CN"/>
              </w:rPr>
            </w:pPr>
            <w:r>
              <w:t>I want 统一维护两大业务中心菜单层级、路由信息、页面功能点，支持新增子页面、编辑菜单信息、启停菜单状态</w:t>
            </w:r>
            <w:r>
              <w:rPr>
                <w:rFonts w:hint="eastAsia"/>
                <w:lang w:eastAsia="zh-CN"/>
              </w:rPr>
              <w:t>。</w:t>
            </w:r>
          </w:p>
          <w:p w14:paraId="5FA322D7">
            <w:pPr>
              <w:pStyle w:val="19"/>
              <w:bidi w:val="0"/>
            </w:pPr>
            <w:r>
              <w:t>So that 我能够为平台角色权限配置提供标准化菜单资源底座，精准控制不同角色可访问的业务页面，保障集控大屏、碳足迹业务系统访问权限可控。</w:t>
            </w:r>
          </w:p>
        </w:tc>
      </w:tr>
    </w:tbl>
    <w:p w14:paraId="3A160B25">
      <w:pPr>
        <w:rPr>
          <w:b w:val="0"/>
          <w:bCs w:val="0"/>
        </w:rPr>
      </w:pPr>
    </w:p>
    <w:p w14:paraId="00DEE0F4">
      <w:pPr>
        <w:pStyle w:val="6"/>
        <w:numPr>
          <w:ilvl w:val="0"/>
          <w:numId w:val="18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05F8ED6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6C04F1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页面布局：顶部两大业务中心概览卡片 ＋ 条件查询区 ＋ 菜单明细表（右上角为操作按钮）。</w:t>
            </w:r>
          </w:p>
          <w:p w14:paraId="3F4AF0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（1）业务中心概览卡片：并列展示「零碳园区集控中心（集控）」与「产品碳足迹集采中心（集采）」，各显示主模块数与功能页面数。</w:t>
            </w:r>
          </w:p>
          <w:p w14:paraId="36CBAE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（2）条件查询：支持按「菜单名称或路由」关键字、菜单层级、状态筛选；点【查询】按条件过滤，点【重置】清空条件。</w:t>
            </w:r>
          </w:p>
          <w:p w14:paraId="27A7EB8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（3）新增菜单：维护菜单 / 功能的所属业务中心、层级、路由路径、排序与状态。</w:t>
            </w:r>
          </w:p>
          <w:p w14:paraId="772C36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（4）加子页【加子页】：在选中一级主导航行上点击【加子页】，新增其下级页面（二级），所属业务中心自动继承父级。</w:t>
            </w:r>
          </w:p>
          <w:p w14:paraId="791A343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（5）编辑【编辑】：打开编辑窗口，修改菜单名称、路由路径、排序、状态。</w:t>
            </w:r>
          </w:p>
          <w:p w14:paraId="7F93BFD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（6）删除【删除】：打开确认弹窗，确认后删除；已被角色授权引用的菜单删除前须二次确认并列出引用角色数。</w:t>
            </w:r>
          </w:p>
          <w:p w14:paraId="3D7553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（7）全部展开 / 全部折叠：控制菜单树一 / 二级的展开状态。</w:t>
            </w:r>
          </w:p>
          <w:p w14:paraId="64250BC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（8）已收录计数：标题右侧显示「已收录：N」，N 为当前查询条件下的菜单条目总数。</w:t>
            </w:r>
          </w:p>
        </w:tc>
      </w:tr>
      <w:tr w14:paraId="05AB83D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A1FF27">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840A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C010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E069A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F3547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437A29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B207F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业务中心卡片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1EEC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单击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C3DE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50F42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列表过滤为该业务中心菜单</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DC14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6D798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7A43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88A58F">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BA14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E617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009E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70BB3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BAD0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【加子页】</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7DAC8">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打开新增子页弹窗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3459E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当前行为一级主导航</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3320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弹窗打开，业务中心继承</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EEFF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提示「仅一级导航可加子页」</w:t>
            </w:r>
          </w:p>
        </w:tc>
      </w:tr>
      <w:tr w14:paraId="7AAC9C4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15995">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0AB2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10DC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BBE4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回填可编辑项</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3CDF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EC3EFB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EDAC7">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BAD8B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E68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未被角色授权 或 二次确认通过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C5C1A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删除该菜单行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E933E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列出引用角色数并二次确认</w:t>
            </w:r>
          </w:p>
        </w:tc>
      </w:tr>
      <w:tr w14:paraId="67F215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5EEE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B75E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7040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D1C1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全部二级行展开 / 收起</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F652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bl>
    <w:p w14:paraId="5E296562">
      <w:pPr>
        <w:rPr>
          <w:b w:val="0"/>
          <w:bCs w:val="0"/>
        </w:rPr>
      </w:pPr>
    </w:p>
    <w:p w14:paraId="7E6EFEB3">
      <w:pPr>
        <w:pStyle w:val="6"/>
        <w:numPr>
          <w:ilvl w:val="0"/>
          <w:numId w:val="18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830"/>
        <w:gridCol w:w="1468"/>
        <w:gridCol w:w="1118"/>
        <w:gridCol w:w="4479"/>
      </w:tblGrid>
      <w:tr w14:paraId="11230DF2">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B0927B">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C53F6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40F4B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2622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F9CEA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64BFBE6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8ACE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E854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所属业务中心</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6F6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6842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6221B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取值｛零碳集控 / 产品碳足迹集采中心｝；决定菜单挂载的业务系统；子页默认继承父级</w:t>
            </w:r>
          </w:p>
        </w:tc>
      </w:tr>
      <w:tr w14:paraId="731F0A9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4715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9AE3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菜单与功能层级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57D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树结构</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2F6E1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层</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0238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两级：一级主导航（显示「一级主导 N」子项计数）→ 二级页面；最大深度 2</w:t>
            </w:r>
          </w:p>
        </w:tc>
      </w:tr>
      <w:tr w14:paraId="25BB62AC">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E69B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0EC8B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路由路径(URL)</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B43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B4AA5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BEA6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必填；须以「/」开头；同业务中心内唯一；如 /zero-carbon/monitor/indicator</w:t>
            </w:r>
          </w:p>
        </w:tc>
      </w:tr>
      <w:tr w14:paraId="21F31D6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293DA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E76D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排序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E130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整数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83514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序号</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7DB7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必填；同级内唯一；升序排列；范围 1~99</w:t>
            </w:r>
          </w:p>
        </w:tc>
      </w:tr>
      <w:tr w14:paraId="62E4D23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E1E70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EAD9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362A5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5E06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13B0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取值｛启用 / 停用｝；停用后导航即时隐藏，已授权记录保留但访问返回 404</w:t>
            </w:r>
          </w:p>
        </w:tc>
      </w:tr>
    </w:tbl>
    <w:p w14:paraId="67545FC1">
      <w:pPr>
        <w:pStyle w:val="19"/>
        <w:bidi w:val="0"/>
        <w:rPr>
          <w:b w:val="0"/>
          <w:bCs w:val="0"/>
        </w:rPr>
      </w:pPr>
    </w:p>
    <w:p w14:paraId="1904C3DE">
      <w:pPr>
        <w:pStyle w:val="6"/>
        <w:numPr>
          <w:ilvl w:val="0"/>
          <w:numId w:val="18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3548A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D2FD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（1）路由路径命名规范</w:t>
            </w:r>
          </w:p>
          <w:p w14:paraId="6EA71A4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集控：/zero-carbon/{一级模块}/{二级页面}</w:t>
            </w:r>
          </w:p>
          <w:p w14:paraId="618139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示例：/zero-carbon/screen、/zero-carbon/monitor、/zero-carbon/monitor/indicator、</w:t>
            </w:r>
          </w:p>
          <w:p w14:paraId="7B1481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/zero-carbon/monitor/online/usage、/zero-carbon/monitor/online/equipment、</w:t>
            </w:r>
          </w:p>
          <w:p w14:paraId="3C2096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/zero-carbon/monitor/online/microgrid、/zero-carbon/monitor/carbon-emission、</w:t>
            </w:r>
          </w:p>
          <w:p w14:paraId="46D3731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/zero-carbon/monitor/custom、/zero-carbon/energy、/zero-carbon/energy/structure、</w:t>
            </w:r>
          </w:p>
          <w:p w14:paraId="3A37B0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/zero-carbon/energy/unit-product、/zero-carbon/energy/unit-profit、/screen/control-center</w:t>
            </w:r>
          </w:p>
          <w:p w14:paraId="3A5C2E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约束：同业务中心内路由唯一；层级深度 = 路径中以「/」分隔的非空前缀数。</w:t>
            </w:r>
          </w:p>
          <w:p w14:paraId="5C5531A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（2）层级与子项计数</w:t>
            </w:r>
          </w:p>
          <w:p w14:paraId="11F609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一级主导航行显示「一级主导 N」，N = 其直接子页数。示例：集控中心大屏（一级主导 2）、集控监测（一级主导 6）、基础能效分析（一级主导 4）。</w:t>
            </w:r>
          </w:p>
          <w:p w14:paraId="79905F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（3）排序算法</w:t>
            </w:r>
          </w:p>
          <w:p w14:paraId="77FA536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展示序 = 排序键 (业务中心序, 一级 Sort 升序, 二级 Sort 升序) 的三级字典序。</w:t>
            </w:r>
          </w:p>
          <w:p w14:paraId="731EC22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（4）已收录计数</w:t>
            </w:r>
          </w:p>
          <w:p w14:paraId="108580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Count = 当前查询条件下返回的菜单行数（含一级与二级）。</w:t>
            </w:r>
          </w:p>
          <w:p w14:paraId="2F3705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（5）业务中心规模基线</w:t>
            </w:r>
          </w:p>
          <w:p w14:paraId="1B5559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零碳园区集控中心：6 主模块 / 21 个功能页面；</w:t>
            </w:r>
          </w:p>
          <w:p w14:paraId="139B47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产品碳足迹集采中心：7 主模块 / 17 个功能页面；</w:t>
            </w:r>
          </w:p>
          <w:p w14:paraId="6F5F81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当前已收录 27 条。</w:t>
            </w:r>
          </w:p>
          <w:p w14:paraId="57BF2B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精度与容差：排序与计数为整数，无容差。</w:t>
            </w:r>
          </w:p>
        </w:tc>
      </w:tr>
    </w:tbl>
    <w:p w14:paraId="210607AE">
      <w:pPr>
        <w:pStyle w:val="19"/>
        <w:bidi w:val="0"/>
        <w:rPr>
          <w:b w:val="0"/>
          <w:bCs w:val="0"/>
        </w:rPr>
      </w:pPr>
    </w:p>
    <w:p w14:paraId="188A790D">
      <w:pPr>
        <w:pStyle w:val="6"/>
        <w:numPr>
          <w:ilvl w:val="0"/>
          <w:numId w:val="18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34505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16687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（1）列表展示字段（7 列）：序号、所属业务中心、菜单与功能层级、路由路径(URL)、排序、状态、管理操作。</w:t>
            </w:r>
          </w:p>
          <w:p w14:paraId="3A748B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（2）层级呈现：一级主导航行显示展开箭头 ＋ 名称 ＋ 「一级主导 N」子项计数；二级页面行缩进显示并标注「（属于 XXX）」。</w:t>
            </w:r>
          </w:p>
          <w:p w14:paraId="1C03317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（3）业务中心标签：集控 / 集采以不同底色标签区分。</w:t>
            </w:r>
          </w:p>
          <w:p w14:paraId="6414A2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（4）状态展示：启用（绿标签）/ 停用（灰标签）。</w:t>
            </w:r>
          </w:p>
          <w:p w14:paraId="6C9BCC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（5）排序规则：默认按（业务中心 → 一级 Sort → 二级 Sort）升序；支持点表头切换。</w:t>
            </w:r>
          </w:p>
          <w:p w14:paraId="18BFF1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（6）计数口径：「已收录：N」随筛选条件实时变化；两卡片的主模块数与页面数为静态基线（6/21、7/17）。</w:t>
            </w:r>
          </w:p>
          <w:p w14:paraId="715E57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（7）基准来源：路由路径、层级计数、卡片规模数均取自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21D17FD7">
      <w:pPr>
        <w:pStyle w:val="19"/>
        <w:bidi w:val="0"/>
        <w:rPr>
          <w:b w:val="0"/>
          <w:bCs w:val="0"/>
        </w:rPr>
      </w:pPr>
    </w:p>
    <w:p w14:paraId="573ABBE3">
      <w:pPr>
        <w:pStyle w:val="6"/>
        <w:numPr>
          <w:ilvl w:val="0"/>
          <w:numId w:val="18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F1DE2E3">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79DF1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（1）路由重复阻断：同业务中心内路由路径重复时，保存阻断，返回 E_SYS_MENU_ROUTE_DUP。</w:t>
            </w:r>
          </w:p>
          <w:p w14:paraId="5FFFD8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（2）路由格式拦截：路由未以「/」开头或含非法字符（空格、中文、连续双斜杠）时，阻断，返回 E_SYS_MENU_ROUTE_INVALID。</w:t>
            </w:r>
          </w:p>
          <w:p w14:paraId="3F7D32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（3）层级越界阻断：为二级页面再建子页（超过两级）时，阻断并提示「菜单最多两级」，返回 E_SYS_MENU_LEVEL_LIMIT。</w:t>
            </w:r>
          </w:p>
          <w:p w14:paraId="3B6F4A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（4）删除授权引用菜单告警：菜单已被任一角色授权时，删除前须二次确认，确认弹窗中列出引用该菜单的角色数量，返回告警码 E_SYS_MENU_IN_USE_DELETE_WARN（告警级，强确认后可删）。</w:t>
            </w:r>
          </w:p>
          <w:p w14:paraId="175993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（5）停用联动：菜单置为「停用」后，导航即时隐藏该项；已登录用户直接访问该路由时返回 404 并提示「功能已停用」。</w:t>
            </w:r>
          </w:p>
          <w:p w14:paraId="1E71611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（6）排序冲突：同级排序值重复时，阻断保存，返回 E_SYS_MENU_SORT_DUP。</w:t>
            </w:r>
          </w:p>
          <w:p w14:paraId="21ECEE5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（7）级联删除保护：删除一级主导航时，其下二级页面一并删除，须在确认弹窗中显式列出将被删除的子页清单。</w:t>
            </w:r>
          </w:p>
          <w:p w14:paraId="2E07B0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（8）越权访问拦截：非 P4 角色访问本模块任意页面或接口时，返回 HTTP 403，触发 E_AUTH_RBAC_FORBIDDEN。</w:t>
            </w:r>
          </w:p>
        </w:tc>
      </w:tr>
    </w:tbl>
    <w:p w14:paraId="65BC8FF9">
      <w:pPr>
        <w:rPr>
          <w:b w:val="0"/>
          <w:bCs w:val="0"/>
        </w:rPr>
      </w:pPr>
    </w:p>
    <w:p w14:paraId="06422970">
      <w:pPr>
        <w:pStyle w:val="6"/>
        <w:numPr>
          <w:ilvl w:val="0"/>
          <w:numId w:val="18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0D0725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EB4B7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菜单与功能资源维护</w:t>
            </w:r>
          </w:p>
          <w:p w14:paraId="6F0E59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为一级主导航新增子页面</w:t>
            </w:r>
          </w:p>
          <w:p w14:paraId="48E4FE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系统管理员已登录并进入 系统管理 › 权限管控 › 菜单与功能</w:t>
            </w:r>
          </w:p>
          <w:p w14:paraId="12B55EC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在「集控监测」行点击【加子页】，填写路由＝「/zero-carbon/monitor/online/usage」、排序＝1、状态＝启用并保存</w:t>
            </w:r>
          </w:p>
          <w:p w14:paraId="48E981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该一级导航下新增二级页面行，并标注「（属于 集控监测）」</w:t>
            </w:r>
          </w:p>
          <w:p w14:paraId="70293DE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「集控监测」行的子项计数由 N 变为 N+1</w:t>
            </w:r>
          </w:p>
          <w:p w14:paraId="7223D61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路由路径重复被阻断</w:t>
            </w:r>
          </w:p>
          <w:p w14:paraId="147425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已存在菜单路由「/zero-carbon/screen」</w:t>
            </w:r>
          </w:p>
          <w:p w14:paraId="339F994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新增菜单并填写路由＝「/zero-carbon/screen」后保存</w:t>
            </w:r>
          </w:p>
          <w:p w14:paraId="6D18F4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7317D3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返回错误码 E_SYS_MENU_ROUTE_DUP</w:t>
            </w:r>
          </w:p>
          <w:p w14:paraId="3DCB62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路由格式非法被拦截</w:t>
            </w:r>
          </w:p>
          <w:p w14:paraId="6FD1180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新增菜单并填写路由＝「zero-carbon screen」（不以 / 开头且含空格）后保存</w:t>
            </w:r>
          </w:p>
          <w:p w14:paraId="7CCC0AE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系统阻断保存并提示路由格式非法</w:t>
            </w:r>
          </w:p>
          <w:p w14:paraId="7958CCE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E_SYS_MENU_ROUTE_INVALID</w:t>
            </w:r>
          </w:p>
          <w:p w14:paraId="701017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菜单层级最多两级</w:t>
            </w:r>
          </w:p>
          <w:p w14:paraId="74C23A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选中一个二级页面行</w:t>
            </w:r>
          </w:p>
          <w:p w14:paraId="2C4306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点击【加子页】</w:t>
            </w:r>
          </w:p>
          <w:p w14:paraId="16DBCF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系统阻断并提示「菜单最多两级」</w:t>
            </w:r>
          </w:p>
          <w:p w14:paraId="5B819B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E_SYS_MENU_LEVEL_LIMIT</w:t>
            </w:r>
          </w:p>
          <w:p w14:paraId="45D53F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停用菜单后导航立即隐藏</w:t>
            </w:r>
          </w:p>
          <w:p w14:paraId="59A25A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菜单「自定义指标监测」路由为 /zero-carbon/monitor/custom 且状态为「启用」</w:t>
            </w:r>
          </w:p>
          <w:p w14:paraId="6F13FD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将其状态改为「停用」并保存</w:t>
            </w:r>
          </w:p>
          <w:p w14:paraId="733CCA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导航中该菜单立即隐藏</w:t>
            </w:r>
          </w:p>
          <w:p w14:paraId="4AB3F1D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直接访问 /zero-carbon/monitor/custom 返回 404</w:t>
            </w:r>
          </w:p>
          <w:p w14:paraId="102EF6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删除已被授权的菜单需二次确认</w:t>
            </w:r>
          </w:p>
          <w:p w14:paraId="77ECE0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菜单「碳关税模拟」已被角色「集团管理员」授权</w:t>
            </w:r>
          </w:p>
          <w:p w14:paraId="59E7E10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点击该行【删除】</w:t>
            </w:r>
          </w:p>
          <w:p w14:paraId="6FC55D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弹出二次确认并列出引用该菜单的角色数量</w:t>
            </w:r>
          </w:p>
          <w:p w14:paraId="7A314A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取消确认时该菜单不被删除</w:t>
            </w:r>
          </w:p>
          <w:p w14:paraId="49B7A5D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全部展开与全部折叠</w:t>
            </w:r>
          </w:p>
          <w:p w14:paraId="1783B61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菜单明细表存在多个一级主导航</w:t>
            </w:r>
          </w:p>
          <w:p w14:paraId="3C8216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点击【全部展开】</w:t>
            </w:r>
          </w:p>
          <w:p w14:paraId="5137F0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全部二级页面行展开显示</w:t>
            </w:r>
          </w:p>
          <w:p w14:paraId="39375B8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点击【全部折叠】后全部二级页面行收起</w:t>
            </w:r>
          </w:p>
        </w:tc>
      </w:tr>
    </w:tbl>
    <w:p w14:paraId="603B8581">
      <w:pPr>
        <w:rPr>
          <w:rFonts w:hint="default"/>
          <w:b w:val="0"/>
          <w:bCs w:val="0"/>
          <w:lang w:val="en-US" w:eastAsia="zh-CN"/>
        </w:rPr>
      </w:pPr>
    </w:p>
    <w:p w14:paraId="0F3AF870">
      <w:pPr>
        <w:pStyle w:val="4"/>
        <w:numPr>
          <w:ilvl w:val="0"/>
          <w:numId w:val="176"/>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68" w:name="_Toc18178"/>
      <w:r>
        <w:rPr>
          <w:rFonts w:hint="eastAsia" w:ascii="Times New Roman" w:hAnsi="Times New Roman" w:eastAsia="黑体" w:cs="Times New Roman"/>
          <w:b w:val="0"/>
          <w:bCs w:val="0"/>
          <w:sz w:val="30"/>
          <w:szCs w:val="32"/>
          <w:lang w:val="en-US" w:eastAsia="zh-CN"/>
        </w:rPr>
        <w:t>能碳基础因子管理</w:t>
      </w:r>
      <w:bookmarkEnd w:id="68"/>
    </w:p>
    <w:p w14:paraId="3FEC66FF">
      <w:pPr>
        <w:pStyle w:val="19"/>
        <w:bidi w:val="0"/>
        <w:rPr>
          <w:rFonts w:hint="eastAsia" w:eastAsia="宋体"/>
          <w:b w:val="0"/>
          <w:bCs/>
          <w:lang w:eastAsia="zh-CN"/>
        </w:rPr>
      </w:pPr>
      <w:r>
        <w:rPr>
          <w:rFonts w:hint="eastAsia"/>
          <w:b w:val="0"/>
          <w:bCs/>
          <w:lang w:val="en-US" w:eastAsia="zh-CN"/>
        </w:rPr>
        <w:t>本板块是全平台碳排放核算的基准数据源，向上为集控中心的能耗碳排放统计、集采中心的碳足迹核算提供唯一取数依据。板块按介质与用途划分为三类基准：电力碳排因子（外购电力）、能源活动碳排因子（燃料燃烧、外购热力、制冷剂逸散）、折标煤系数库（能耗折算）。三者在数值口径上相互衔接——同一能源品种的排放因子与折标煤系数须单位一致、口径同源。</w:t>
      </w:r>
    </w:p>
    <w:p w14:paraId="33F89843">
      <w:pPr>
        <w:pStyle w:val="19"/>
        <w:bidi w:val="0"/>
        <w:rPr>
          <w:rFonts w:hint="eastAsia" w:eastAsia="宋体"/>
          <w:lang w:eastAsia="zh-CN"/>
        </w:rPr>
      </w:pPr>
      <w:r>
        <w:rPr>
          <w:rFonts w:hint="eastAsia"/>
          <w:lang w:val="en-US" w:eastAsia="zh-CN"/>
        </w:rPr>
        <w:t>边界声明：本板块只管理因子的版本与数值，不产生任何核算结果。因子一经版本发布即为受控数据，业务模块只能只读引用；任一因子升版，即触发下游核算视图按新版本重算。国家标准强制受控字段（如 GB/T 2589-2020 的电力 0.1229、天然气 1.2143）禁止在本模块内随意修改，变更须走标准换版流程。</w:t>
      </w:r>
    </w:p>
    <w:p w14:paraId="2B4EEDBC">
      <w:pPr>
        <w:pStyle w:val="19"/>
        <w:bidi w:val="0"/>
        <w:rPr>
          <w:rFonts w:hint="eastAsia" w:eastAsia="宋体"/>
          <w:lang w:eastAsia="zh-CN"/>
        </w:rPr>
      </w:pPr>
      <w:r>
        <w:rPr>
          <w:rFonts w:hint="eastAsia"/>
          <w:lang w:val="en-US" w:eastAsia="zh-CN"/>
        </w:rPr>
        <w:t>输入输出链：外部基准（生态环境部公告 / IPCC 指南 / GB/T 2589 / 股份公司下发）经线下核定后录入本板块 → 发布因子版本 → 第三章碳足迹核算与集控能耗统计只读取数。本板块的权威性由「版本 + 数据来源」双重标识保证：任一核算结论都必须可回溯到具体的（因子品种, 版本, 数据来源）三元组。</w:t>
      </w:r>
    </w:p>
    <w:p w14:paraId="574E3D3C">
      <w:pPr>
        <w:pStyle w:val="5"/>
        <w:numPr>
          <w:ilvl w:val="0"/>
          <w:numId w:val="182"/>
        </w:numPr>
        <w:ind w:left="0" w:leftChars="0" w:firstLine="0" w:firstLineChars="0"/>
        <w:outlineLvl w:val="1"/>
        <w:rPr>
          <w:rFonts w:hint="default" w:cs="Times New Roman"/>
          <w:b w:val="0"/>
          <w:bCs w:val="0"/>
          <w:sz w:val="30"/>
          <w:szCs w:val="24"/>
          <w:lang w:val="en-US" w:eastAsia="zh-CN"/>
        </w:rPr>
      </w:pPr>
      <w:bookmarkStart w:id="69" w:name="_Toc16980"/>
      <w:r>
        <w:rPr>
          <w:rFonts w:hint="eastAsia"/>
          <w:b w:val="0"/>
          <w:bCs w:val="0"/>
          <w:lang w:val="en-US" w:eastAsia="zh-CN"/>
        </w:rPr>
        <w:t>电力碳排因子</w:t>
      </w:r>
      <w:bookmarkEnd w:id="69"/>
    </w:p>
    <w:p w14:paraId="6336A148">
      <w:pPr>
        <w:rPr>
          <w:b w:val="0"/>
          <w:bCs w:val="0"/>
        </w:rPr>
      </w:pPr>
      <w:r>
        <w:drawing>
          <wp:inline distT="0" distB="0" distL="114300" distR="114300">
            <wp:extent cx="5900420" cy="2925445"/>
            <wp:effectExtent l="0" t="0" r="5080" b="825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98"/>
                    <a:stretch>
                      <a:fillRect/>
                    </a:stretch>
                  </pic:blipFill>
                  <pic:spPr>
                    <a:xfrm>
                      <a:off x="0" y="0"/>
                      <a:ext cx="5900420" cy="2925445"/>
                    </a:xfrm>
                    <a:prstGeom prst="rect">
                      <a:avLst/>
                    </a:prstGeom>
                    <a:noFill/>
                    <a:ln>
                      <a:noFill/>
                    </a:ln>
                  </pic:spPr>
                </pic:pic>
              </a:graphicData>
            </a:graphic>
          </wp:inline>
        </w:drawing>
      </w:r>
    </w:p>
    <w:p w14:paraId="3E467464">
      <w:pPr>
        <w:pStyle w:val="6"/>
        <w:numPr>
          <w:ilvl w:val="0"/>
          <w:numId w:val="18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86E8BE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0944E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能碳基础因子管理模块下电力类排放因子的维护单元，按省份、区域电网、电力来源三个维度管理电力碳排放因子，支持因子版本管控、新增与信息维护，为园区及产品碳足迹核算、能耗碳排放计算提供标准化电力因子基准数据，是碳核算业务开展的前置基础依赖。</w:t>
            </w:r>
          </w:p>
          <w:p w14:paraId="15A351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系统管理员（全量电力碳排因子新增、因子参数维护、版本管理与数据删除）。</w:t>
            </w:r>
          </w:p>
          <w:p w14:paraId="7D278F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页面路由：/system/factor/electricity（左侧导航：系统管理 › 能碳基础因子管理 › 电力碳排因子）。</w:t>
            </w:r>
          </w:p>
          <w:p w14:paraId="1D6F98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上游依赖：无。外部基准数据来自生态环境部《全国电网平均排放因子》公告、第三方核定机构报告与自备电厂实测数据，线下核定后录入。</w:t>
            </w:r>
          </w:p>
          <w:p w14:paraId="1C0966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下游输出：第三章碳足迹核算的外购电力排放计算取数基准；集控中心电力碳排放统计与大屏降碳成效指标。</w:t>
            </w:r>
          </w:p>
          <w:p w14:paraId="6BFBACC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PM）全量可写；其余角色一律只读（第三章核算模块以只读方式引用，不可就地修改）。</w:t>
            </w:r>
          </w:p>
        </w:tc>
      </w:tr>
    </w:tbl>
    <w:p w14:paraId="2E6EF37F">
      <w:pPr>
        <w:rPr>
          <w:b w:val="0"/>
          <w:bCs w:val="0"/>
        </w:rPr>
      </w:pPr>
    </w:p>
    <w:p w14:paraId="3ABDB8D7">
      <w:pPr>
        <w:pStyle w:val="6"/>
        <w:numPr>
          <w:ilvl w:val="0"/>
          <w:numId w:val="18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4BCA07">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3079E9E">
            <w:pPr>
              <w:pStyle w:val="19"/>
              <w:bidi w:val="0"/>
              <w:ind w:left="0" w:leftChars="0" w:firstLine="0" w:firstLineChars="0"/>
            </w:pPr>
            <w:r>
              <w:rPr>
                <w:b/>
                <w:bCs/>
                <w:lang w:val="en-US" w:eastAsia="zh-CN"/>
              </w:rPr>
              <w:t>业务场景</w:t>
            </w:r>
            <w:r>
              <w:rPr>
                <w:lang w:val="en-US" w:eastAsia="zh-CN"/>
              </w:rPr>
              <w:t>：面向系统管理员进行能碳核算基础参数维护场景，统一管控全国各区域电网电力碳排放因子版本与参数，支撑全集团电力碳排放精准核算。</w:t>
            </w:r>
          </w:p>
          <w:p w14:paraId="243BACC3">
            <w:pPr>
              <w:pStyle w:val="19"/>
              <w:bidi w:val="0"/>
              <w:ind w:left="0" w:leftChars="0" w:firstLine="0" w:firstLineChars="0"/>
            </w:pPr>
            <w:r>
              <w:rPr>
                <w:b/>
                <w:bCs/>
                <w:lang w:val="en-US" w:eastAsia="zh-CN"/>
              </w:rPr>
              <w:t>用户故事</w:t>
            </w:r>
            <w:r>
              <w:rPr>
                <w:lang w:val="en-US" w:eastAsia="zh-CN"/>
              </w:rPr>
              <w:t>：</w:t>
            </w:r>
          </w:p>
          <w:p w14:paraId="6F5B0893">
            <w:pPr>
              <w:pStyle w:val="19"/>
              <w:bidi w:val="0"/>
            </w:pPr>
            <w:r>
              <w:rPr>
                <w:lang w:val="en-US" w:eastAsia="zh-CN"/>
              </w:rPr>
              <w:t>As a 系统管理员 (Persona PM)，</w:t>
            </w:r>
          </w:p>
          <w:p w14:paraId="50635CF3">
            <w:pPr>
              <w:pStyle w:val="19"/>
              <w:bidi w:val="0"/>
            </w:pPr>
            <w:r>
              <w:rPr>
                <w:lang w:val="en-US" w:eastAsia="zh-CN"/>
              </w:rPr>
              <w:t>I want 统一维护各区域电力碳排因子、更新因子版本、校准核算参数，</w:t>
            </w:r>
          </w:p>
          <w:p w14:paraId="33717475">
            <w:pPr>
              <w:pStyle w:val="19"/>
              <w:bidi w:val="0"/>
            </w:pPr>
            <w:r>
              <w:rPr>
                <w:lang w:val="en-US" w:eastAsia="zh-CN"/>
              </w:rPr>
              <w:t>So that 我能为全集团大屏降碳成效、电力碳排放统计、碳足迹核算提供权威基准数据。</w:t>
            </w:r>
          </w:p>
        </w:tc>
      </w:tr>
    </w:tbl>
    <w:p w14:paraId="7BFA50D8">
      <w:pPr>
        <w:rPr>
          <w:b w:val="0"/>
          <w:bCs w:val="0"/>
        </w:rPr>
      </w:pPr>
    </w:p>
    <w:p w14:paraId="7B1D2A4E">
      <w:pPr>
        <w:pStyle w:val="6"/>
        <w:numPr>
          <w:ilvl w:val="0"/>
          <w:numId w:val="18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53A4E67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7F382D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页面布局：上方三视图页签 ＋ 省份筛选 chips ＋ 关键字查询区 ＋ 下方因子列表；右上角【新增因子】。</w:t>
            </w:r>
          </w:p>
          <w:p w14:paraId="5D82A6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（1）三视图切换：点击【分省份】【分区域】【分电力来源】切换列表聚合维度（分省份＝按省份逐行罗列；分区域＝按区域电网聚合；分电力来源＝按电力来源聚合）。</w:t>
            </w:r>
          </w:p>
          <w:p w14:paraId="2A2ACD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（2）省份筛选 chips：点击任一省份 chip（全部 / 北京 / 上海 / 新疆 / 广东 / 天津 / 湖南 / 四川 / 辽宁…）过滤列表；重复点击「全部」复位。</w:t>
            </w:r>
          </w:p>
          <w:p w14:paraId="60CD47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（3）查询【查询】：输入关键字（名称 / 区域 / 来源）后点击查询；点击【重置】清空关键字与 chips。</w:t>
            </w:r>
          </w:p>
          <w:p w14:paraId="3143C5B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（4）新增因子【新增因子】：打开新增因子弹窗，填写省份、区域电网、电力来源、因子值、单位、数据来源、版本。</w:t>
            </w:r>
          </w:p>
          <w:p w14:paraId="45A21BA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（5）编辑【编辑】：打开编辑窗口，回填因子信息；修改因子值须同步升版本，否则保存阻断。</w:t>
            </w:r>
          </w:p>
          <w:p w14:paraId="44D612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（6）版本【版本】：打开版本记录窗口，展示该因子的历史版本列表（版本号、生效时间、操作人、变更前后值）。</w:t>
            </w:r>
          </w:p>
          <w:p w14:paraId="275369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（7）删除【删除】：打开弹窗，点击取消后关闭弹窗，点击确定后关闭弹窗并删除数据；已被核算报告引用的因子禁止物理删除。</w:t>
            </w:r>
          </w:p>
        </w:tc>
      </w:tr>
      <w:tr w14:paraId="4695632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77A2A2">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1BB2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24B20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E5408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FD1C0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33B5A03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B253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三视图页签</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589E9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切换</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40A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5ADE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列表按新维度聚合刷新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C3F2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CB3CA2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CA8B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省份 chips</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0AAD48">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E8994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2DAD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列表过滤为该省份</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D2DDD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44A3E7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7856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459A1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C1C8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F975B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列表按条件刷新；重置复位全部条件</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742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03DC1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AF32">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4BA6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899D0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0F14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DC2A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16924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EB90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9668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B9CB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（省份, 来源）唯一；因子值 ∈ [0, 1.5]；绿电锁定 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56E09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2267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75A2F39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DCD45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79A0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2123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3B295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1CE22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0E928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4D43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D0D2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C2BD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E681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列出历史版本</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CC1CE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无历史时提示「暂无历史版本」</w:t>
            </w:r>
          </w:p>
        </w:tc>
      </w:tr>
      <w:tr w14:paraId="24BA7A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80CAA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FA0EEF">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04E6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未被核算报告引用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DAD2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BCA6E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阻断并提示引用报告数</w:t>
            </w:r>
          </w:p>
        </w:tc>
      </w:tr>
    </w:tbl>
    <w:p w14:paraId="70DF6CF0">
      <w:pPr>
        <w:rPr>
          <w:b w:val="0"/>
          <w:bCs w:val="0"/>
        </w:rPr>
      </w:pPr>
    </w:p>
    <w:p w14:paraId="1343C9A7">
      <w:pPr>
        <w:pStyle w:val="6"/>
        <w:numPr>
          <w:ilvl w:val="0"/>
          <w:numId w:val="18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06"/>
        <w:gridCol w:w="1468"/>
        <w:gridCol w:w="1342"/>
        <w:gridCol w:w="4479"/>
      </w:tblGrid>
      <w:tr w14:paraId="5D098F5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68DB52">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96FA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41A0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B955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B6446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66A257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BCAC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67D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省份</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40C3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C604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4293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必填；29 个省级行政区；与「电力来源」共同构成唯一键</w:t>
            </w:r>
          </w:p>
        </w:tc>
      </w:tr>
      <w:tr w14:paraId="689C63B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C4B3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C762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区域电网</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2DC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9B88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41033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必填；取值｛华北区域电网 / 华东区域电网 / 华中区域电网 / 南方区域电网 / 西北区域电网 / 东北区域电网｝</w:t>
            </w:r>
          </w:p>
        </w:tc>
      </w:tr>
      <w:tr w14:paraId="7A2A5C96">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40E9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82C9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电力来源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6FC4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C3B9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DE9A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必填；取值｛电网平均 / 光伏发电 / 风力发电 / 水力发电 / 绿电（市场化交易） / 燃煤自备电厂｝</w:t>
            </w:r>
          </w:p>
        </w:tc>
      </w:tr>
      <w:tr w14:paraId="30A0949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DD1F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4133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FE7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160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kgCO2e/kWh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8213F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必填；≥0；电网平均 0.01~1.00；绿电（市场化交易）固定 0；保留 4 位小数</w:t>
            </w:r>
          </w:p>
        </w:tc>
      </w:tr>
      <w:tr w14:paraId="2F2B88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C771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BAFA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86D73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E61E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2BF3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固定为 kgCO2e/kWh；不可修改</w:t>
            </w:r>
          </w:p>
        </w:tc>
      </w:tr>
      <w:tr w14:paraId="16DEFF0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5A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186C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95B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251D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88B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取值｛国家标准 / 第三方核定 / 行业标准 / 自备电厂实测｝</w:t>
            </w:r>
          </w:p>
        </w:tc>
      </w:tr>
      <w:tr w14:paraId="0EFB944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55778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F191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2FDC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FEB4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D874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必填；国家标准用 vYYYY.N（如 v2024.1）；第三方 / 行业用 vX.Y（如 v1.3）；升版规则见 3.1.5</w:t>
            </w:r>
          </w:p>
        </w:tc>
      </w:tr>
    </w:tbl>
    <w:p w14:paraId="7ECFDB59">
      <w:pPr>
        <w:pStyle w:val="19"/>
        <w:bidi w:val="0"/>
        <w:rPr>
          <w:b w:val="0"/>
          <w:bCs w:val="0"/>
        </w:rPr>
      </w:pPr>
    </w:p>
    <w:p w14:paraId="69B84269">
      <w:pPr>
        <w:pStyle w:val="6"/>
        <w:numPr>
          <w:ilvl w:val="0"/>
          <w:numId w:val="18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179055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1D1095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（1）因子唯一键</w:t>
            </w:r>
          </w:p>
          <w:p w14:paraId="6BF174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Uk = （省份, 电力来源）。同一省份下同一电力来源仅允许一条生效记录。</w:t>
            </w:r>
          </w:p>
          <w:p w14:paraId="788A93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（2）电力排放量计算</w:t>
            </w:r>
          </w:p>
          <w:p w14:paraId="5BD0E1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E_elec = Q_elec × EF_elec</w:t>
            </w:r>
          </w:p>
          <w:p w14:paraId="46E972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Q_elec 为外购电量（kWh），EF_elec 为该（省份, 电力来源）对应因子值（kgCO2e/kWh）。</w:t>
            </w:r>
          </w:p>
          <w:p w14:paraId="6557ED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（3）多供应商加权因子</w:t>
            </w:r>
          </w:p>
          <w:p w14:paraId="4EA96A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EF_weighted = Σ(Wⱼ × EFⱼ) / Σ Wⱼ</w:t>
            </w:r>
          </w:p>
          <w:p w14:paraId="1B20058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Wⱼ 为第 j 个供应商的采购电量权重。当 Σ Wⱼ = 0 时，兜底采用国家标准电网平均缺省值，并记录告警 E_CALC_FACTOR_WEIGHT_ZERO。</w:t>
            </w:r>
          </w:p>
          <w:p w14:paraId="300824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（4）版本号生成规则</w:t>
            </w:r>
          </w:p>
          <w:p w14:paraId="7BC558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国家标准来源：v{发布年}.{当年第 N 次修订}，如 v2024.1；</w:t>
            </w:r>
          </w:p>
          <w:p w14:paraId="5C1A46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第三方 / 行业来源：v{主版本}.{次版本}，每次因子值变更次版本 +1，如 v1.0 → v1.1。</w:t>
            </w:r>
          </w:p>
          <w:p w14:paraId="5FC49ED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（5）取值示例</w:t>
            </w:r>
          </w:p>
          <w:p w14:paraId="541C3D7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北京·华北区域电网·电网平均 = 0.5703 kgCO2e/kWh；</w:t>
            </w:r>
          </w:p>
          <w:p w14:paraId="26D3F5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上海·华东·电网平均 = 0.5257；新疆·西北·电网平均 = 0.6127；广东·南方·电网平均 = 0.5271；</w:t>
            </w:r>
          </w:p>
          <w:p w14:paraId="43E1A2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湖南·华中·电网平均 = 0.5988；辽宁·东北·电网平均 = 0.654；</w:t>
            </w:r>
          </w:p>
          <w:p w14:paraId="5FB0EB7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北京·华北·光伏发电 = 0.048；新疆·西北·风力发电 = 0.025；四川·华中·水力发电 = 0.011；</w:t>
            </w:r>
          </w:p>
          <w:p w14:paraId="6EA1E87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上海·华东·绿电（市场化交易） = 0；天津·华北·燃煤自备电厂 = 0.832。</w:t>
            </w:r>
          </w:p>
          <w:p w14:paraId="2FC9BE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（6）精度与容差</w:t>
            </w:r>
          </w:p>
          <w:p w14:paraId="7996D26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因子值保留 4 位小数；核算结果按 GB/T 24067 保留 4 位有效小数，容差 ±0.0001。</w:t>
            </w:r>
          </w:p>
        </w:tc>
      </w:tr>
    </w:tbl>
    <w:p w14:paraId="1DA0DC20">
      <w:pPr>
        <w:pStyle w:val="19"/>
        <w:bidi w:val="0"/>
        <w:rPr>
          <w:b w:val="0"/>
          <w:bCs w:val="0"/>
        </w:rPr>
      </w:pPr>
    </w:p>
    <w:p w14:paraId="6456EB1C">
      <w:pPr>
        <w:pStyle w:val="6"/>
        <w:numPr>
          <w:ilvl w:val="0"/>
          <w:numId w:val="18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A30B40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70093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列）：省份、区域电网、电力来源、因子值、单位、数据来源、版本、操作。</w:t>
            </w:r>
          </w:p>
          <w:p w14:paraId="437292D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（2）因子值展示：按 4 位小数右对齐；值为 0 时显示「0」并以悬浮提示标注「绿电（市场化交易）计零」。</w:t>
            </w:r>
          </w:p>
          <w:p w14:paraId="1E467F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（3）数据来源标签：以标签区分配色——国家标准 / 行业标准 / 第三方核定 / 自备电厂实测。</w:t>
            </w:r>
          </w:p>
          <w:p w14:paraId="7C1C233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（4）排序规则：默认按省份拼音升序，同省内按电力来源固定序（电网平均 → 光伏发电 → 风力发电 → 水力发电 → 绿电 → 燃煤自备电厂）。</w:t>
            </w:r>
          </w:p>
          <w:p w14:paraId="3666FB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（5）有效性与状态口径：无独立状态字段；以「版本」是否为当前最新基准判定有效性。版本落后于国家标准最新版时，行首显示黄色「待更新」角标，并在顶部提示「有 N 条因子待更新」。</w:t>
            </w:r>
          </w:p>
          <w:p w14:paraId="78B345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（6）统计口径：三视图切换时，顶部计数分别为——分省份视图＝省级记录数；分区域视图＝区域电网数（≤6）；分电力来源视图＝来源类型数（≤6）。</w:t>
            </w:r>
          </w:p>
          <w:p w14:paraId="109780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（7）基准来源：生态环境部《全国电网平均排放因子》公告（国家标准）；第三方核定机构报告；自备电厂 CEMS 实测。</w:t>
            </w:r>
          </w:p>
        </w:tc>
      </w:tr>
    </w:tbl>
    <w:p w14:paraId="2486B5BF">
      <w:pPr>
        <w:pStyle w:val="19"/>
        <w:bidi w:val="0"/>
        <w:rPr>
          <w:b w:val="0"/>
          <w:bCs w:val="0"/>
        </w:rPr>
      </w:pPr>
    </w:p>
    <w:p w14:paraId="2E192966">
      <w:pPr>
        <w:pStyle w:val="6"/>
        <w:numPr>
          <w:ilvl w:val="0"/>
          <w:numId w:val="18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E61E13">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9986A1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（1）唯一键冲突阻断：同（省份, 电力来源）已存在生效记录时，新增阻断，返回 E_SYS_FACTOR_ELEC_DUP。</w:t>
            </w:r>
          </w:p>
          <w:p w14:paraId="12A2EA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（2）因子值域校验：因子值 ＜ 0 或 ＞ 1.5 时，阻断，返回 E_SYS_FACTOR_VALUE_OUT_OF_RANGE。</w:t>
            </w:r>
          </w:p>
          <w:p w14:paraId="3E9223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（3）绿电零值锁定：电力来源＝「绿电（市场化交易）」时，因子值强制锁定为 0，手工改值阻断，返回 E_SYS_FACTOR_GREEN_LOCKED。</w:t>
            </w:r>
          </w:p>
          <w:p w14:paraId="5BEC181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（4）在用因子物理删除阻断：已被核算报告引用的因子版本禁止物理删除，返回 E_SYS_FACTOR_IN_USE_DELETE_DENIED；仅可停用或升版替代。</w:t>
            </w:r>
          </w:p>
          <w:p w14:paraId="37633B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（5）版本冲突阻断：手工录入版本号低于当前版本或与已有版本重复时，阻断，返回 E_SYS_FACTOR_VERSION_CONFLICT。</w:t>
            </w:r>
          </w:p>
          <w:p w14:paraId="7383702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（6）回滚留痕：执行版本回滚必须填写不少于 10 个字符的业务原因，空理由禁止提交。</w:t>
            </w:r>
          </w:p>
          <w:p w14:paraId="4B26F0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（7）除零安全防御：多供应商加权核算中 Σ Wⱼ = 0 时，加权因子自动兜底采用国家标准缺省值，记录告警 E_CALC_FACTOR_WEIGHT_ZERO，不产生除零异常。</w:t>
            </w:r>
          </w:p>
          <w:p w14:paraId="284B870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405BAB4D">
      <w:pPr>
        <w:rPr>
          <w:b w:val="0"/>
          <w:bCs w:val="0"/>
        </w:rPr>
      </w:pPr>
    </w:p>
    <w:p w14:paraId="2B26499B">
      <w:pPr>
        <w:pStyle w:val="6"/>
        <w:numPr>
          <w:ilvl w:val="0"/>
          <w:numId w:val="18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EC8243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5CC4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电力碳排因子维护</w:t>
            </w:r>
          </w:p>
          <w:p w14:paraId="6D7C58B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按省份与电力来源新增因子</w:t>
            </w:r>
          </w:p>
          <w:p w14:paraId="2A39278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能碳基础因子管理 › 电力碳排因子</w:t>
            </w:r>
          </w:p>
          <w:p w14:paraId="2128950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点击【新增因子】，填写省份＝「北京」、区域电网＝「华北区域电网」、电力来源＝「电网平均」、因子值＝0.5703、数据来源＝「国家标准」、版本＝「v2024.1」并保存</w:t>
            </w:r>
          </w:p>
          <w:p w14:paraId="76CE011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列表新增一行，单位显示 kgCO2e/kWh，因子值显示 0.5703</w:t>
            </w:r>
          </w:p>
          <w:p w14:paraId="72713E0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唯一键重复被阻断</w:t>
            </w:r>
          </w:p>
          <w:p w14:paraId="15018A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已存在（北京, 电网平均）的因子记录</w:t>
            </w:r>
          </w:p>
          <w:p w14:paraId="1861570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再次新增（北京, 电网平均）并保存</w:t>
            </w:r>
          </w:p>
          <w:p w14:paraId="245A3D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6A00D8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返回错误码 E_SYS_FACTOR_ELEC_DUP</w:t>
            </w:r>
          </w:p>
          <w:p w14:paraId="10E74B8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绿电因子值锁定为零</w:t>
            </w:r>
          </w:p>
          <w:p w14:paraId="4CA51CA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电力来源选择「绿电（市场化交易）」</w:t>
            </w:r>
          </w:p>
          <w:p w14:paraId="2373A66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尝试将因子值改为 0.05 并保存</w:t>
            </w:r>
          </w:p>
          <w:p w14:paraId="5C67677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系统阻断并提示「绿电因子值固定为 0」</w:t>
            </w:r>
          </w:p>
          <w:p w14:paraId="587CF1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E_SYS_FACTOR_GREEN_LOCKED</w:t>
            </w:r>
          </w:p>
          <w:p w14:paraId="601FB3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在用因子禁止物理删除</w:t>
            </w:r>
          </w:p>
          <w:p w14:paraId="34D4802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因子（天津, 燃煤自备电厂）已被 3 份碳足迹报告引用</w:t>
            </w:r>
          </w:p>
          <w:p w14:paraId="66CB9F1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1034F76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系统阻断删除并提示「已被核算报告引用」</w:t>
            </w:r>
          </w:p>
          <w:p w14:paraId="2C35D78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E_SYS_FACTOR_IN_USE_DELETE_DENIED</w:t>
            </w:r>
          </w:p>
          <w:p w14:paraId="6618E8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查看因子版本记录</w:t>
            </w:r>
          </w:p>
          <w:p w14:paraId="79C7DA8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因子（新疆, 风力发电）存在 v1.0、v1.1 两个版本</w:t>
            </w:r>
          </w:p>
          <w:p w14:paraId="48201F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点击【版本】</w:t>
            </w:r>
          </w:p>
          <w:p w14:paraId="2D3BF7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版本记录窗口列出两行历史版本（版本号 / 生效时间 / 操作人 / 变更前后值）</w:t>
            </w:r>
          </w:p>
          <w:p w14:paraId="30D156C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加权核算除零兜底</w:t>
            </w:r>
          </w:p>
          <w:p w14:paraId="7EAF1A6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多供应商采购总重 Σ Wⱼ = 0</w:t>
            </w:r>
          </w:p>
          <w:p w14:paraId="349B8C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执行加权电力因子核算</w:t>
            </w:r>
          </w:p>
          <w:p w14:paraId="742AEB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系统自动采用国家标准电网平均缺省值</w:t>
            </w:r>
          </w:p>
          <w:p w14:paraId="5977A31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记录告警 E_CALC_FACTOR_WEIGHT_ZERO，不产生除零异常</w:t>
            </w:r>
          </w:p>
        </w:tc>
      </w:tr>
    </w:tbl>
    <w:p w14:paraId="3011C367">
      <w:pPr>
        <w:rPr>
          <w:rFonts w:hint="default"/>
          <w:b w:val="0"/>
          <w:bCs w:val="0"/>
          <w:lang w:val="en-US" w:eastAsia="zh-CN"/>
        </w:rPr>
      </w:pPr>
    </w:p>
    <w:p w14:paraId="16DB733B">
      <w:pPr>
        <w:pStyle w:val="5"/>
        <w:numPr>
          <w:ilvl w:val="0"/>
          <w:numId w:val="182"/>
        </w:numPr>
        <w:ind w:left="0" w:leftChars="0" w:firstLine="0" w:firstLineChars="0"/>
        <w:outlineLvl w:val="1"/>
        <w:rPr>
          <w:rFonts w:hint="default" w:cs="Times New Roman"/>
          <w:b w:val="0"/>
          <w:bCs w:val="0"/>
          <w:sz w:val="30"/>
          <w:szCs w:val="24"/>
          <w:lang w:val="en-US" w:eastAsia="zh-CN"/>
        </w:rPr>
      </w:pPr>
      <w:bookmarkStart w:id="70" w:name="_Toc5027"/>
      <w:r>
        <w:rPr>
          <w:rFonts w:hint="eastAsia" w:cs="Times New Roman"/>
          <w:b w:val="0"/>
          <w:bCs w:val="0"/>
          <w:sz w:val="30"/>
          <w:szCs w:val="24"/>
          <w:lang w:val="en-US" w:eastAsia="zh-CN"/>
        </w:rPr>
        <w:t>能源活动碳排因子</w:t>
      </w:r>
      <w:bookmarkEnd w:id="70"/>
    </w:p>
    <w:p w14:paraId="750B87A9">
      <w:pPr>
        <w:rPr>
          <w:b w:val="0"/>
          <w:bCs w:val="0"/>
        </w:rPr>
      </w:pPr>
      <w:r>
        <w:drawing>
          <wp:inline distT="0" distB="0" distL="114300" distR="114300">
            <wp:extent cx="5900420" cy="2925445"/>
            <wp:effectExtent l="0" t="0" r="5080" b="825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99"/>
                    <a:stretch>
                      <a:fillRect/>
                    </a:stretch>
                  </pic:blipFill>
                  <pic:spPr>
                    <a:xfrm>
                      <a:off x="0" y="0"/>
                      <a:ext cx="5900420" cy="2925445"/>
                    </a:xfrm>
                    <a:prstGeom prst="rect">
                      <a:avLst/>
                    </a:prstGeom>
                    <a:noFill/>
                    <a:ln>
                      <a:noFill/>
                    </a:ln>
                  </pic:spPr>
                </pic:pic>
              </a:graphicData>
            </a:graphic>
          </wp:inline>
        </w:drawing>
      </w:r>
    </w:p>
    <w:p w14:paraId="661D95A9">
      <w:pPr>
        <w:pStyle w:val="6"/>
        <w:numPr>
          <w:ilvl w:val="0"/>
          <w:numId w:val="184"/>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FA63B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3877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能碳基础因子管理模块下化石能源、热力、制冷剂等品类排放因子的维护单元，管理各类能源与活动的碳排放因子，支持因子版本管控、新增与信息维护，为园区能耗核算与产品碳足迹全品类碳排放量计算提供标准化活动因子基准数据，是碳核算业务开展的前置基础依赖。</w:t>
            </w:r>
          </w:p>
          <w:p w14:paraId="4FD3835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系统管理员（全量能源活动碳排因子新增、因子参数维护、版本管理与数据删除）。</w:t>
            </w:r>
          </w:p>
          <w:p w14:paraId="2195ADC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页面路由：/system/factor/energy（左侧导航：系统管理 › 能碳基础因子管理 › 能源活动碳排因子）。</w:t>
            </w:r>
          </w:p>
          <w:p w14:paraId="4888C7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上游依赖：无。外部基准来自 IPCC 国家温室气体清单指南缺省值、国家标准与股份公司下发文件。</w:t>
            </w:r>
          </w:p>
          <w:p w14:paraId="2222AA2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下游输出：第三章碳足迹核算的燃料燃烧、外购热力与制冷剂逸散排放计算取数基准；集控中心能耗碳排放统计。</w:t>
            </w:r>
          </w:p>
          <w:p w14:paraId="529F89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w:t>
            </w:r>
          </w:p>
        </w:tc>
      </w:tr>
    </w:tbl>
    <w:p w14:paraId="6027D42F">
      <w:pPr>
        <w:rPr>
          <w:b w:val="0"/>
          <w:bCs w:val="0"/>
        </w:rPr>
      </w:pPr>
    </w:p>
    <w:p w14:paraId="1B442EAF">
      <w:pPr>
        <w:pStyle w:val="6"/>
        <w:numPr>
          <w:ilvl w:val="0"/>
          <w:numId w:val="184"/>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4DC5E5">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1F85B">
            <w:pPr>
              <w:pStyle w:val="19"/>
              <w:bidi w:val="0"/>
              <w:ind w:left="0" w:leftChars="0" w:firstLine="0" w:firstLineChars="0"/>
            </w:pPr>
            <w:r>
              <w:rPr>
                <w:b/>
                <w:bCs/>
                <w:lang w:val="en-US" w:eastAsia="zh-CN"/>
              </w:rPr>
              <w:t>业务场景</w:t>
            </w:r>
            <w:r>
              <w:rPr>
                <w:lang w:val="en-US" w:eastAsia="zh-CN"/>
              </w:rPr>
              <w:t>：面向系统管理员进行全品类能源碳排放参数维护场景，管控化石能源、热力、制冷剂等各类活动排放因子，支撑全场景碳核算。</w:t>
            </w:r>
          </w:p>
          <w:p w14:paraId="032618F7">
            <w:pPr>
              <w:pStyle w:val="19"/>
              <w:bidi w:val="0"/>
              <w:ind w:left="0" w:leftChars="0" w:firstLine="0" w:firstLineChars="0"/>
            </w:pPr>
            <w:r>
              <w:rPr>
                <w:b/>
                <w:bCs/>
                <w:lang w:val="en-US" w:eastAsia="zh-CN"/>
              </w:rPr>
              <w:t>用户故事</w:t>
            </w:r>
            <w:r>
              <w:rPr>
                <w:lang w:val="en-US" w:eastAsia="zh-CN"/>
              </w:rPr>
              <w:t>：</w:t>
            </w:r>
          </w:p>
          <w:p w14:paraId="23D9C832">
            <w:pPr>
              <w:pStyle w:val="19"/>
              <w:bidi w:val="0"/>
            </w:pPr>
            <w:r>
              <w:rPr>
                <w:lang w:val="en-US" w:eastAsia="zh-CN"/>
              </w:rPr>
              <w:t>As a 系统管理员 (Persona PM)，</w:t>
            </w:r>
          </w:p>
          <w:p w14:paraId="699D4D2B">
            <w:pPr>
              <w:pStyle w:val="19"/>
              <w:bidi w:val="0"/>
            </w:pPr>
            <w:r>
              <w:rPr>
                <w:lang w:val="en-US" w:eastAsia="zh-CN"/>
              </w:rPr>
              <w:t>I want 维护全品类能源活动碳排放因子、管理版本迭代、更新核算参数，</w:t>
            </w:r>
          </w:p>
          <w:p w14:paraId="413962A4">
            <w:pPr>
              <w:pStyle w:val="19"/>
              <w:bidi w:val="0"/>
            </w:pPr>
            <w:r>
              <w:rPr>
                <w:lang w:val="en-US" w:eastAsia="zh-CN"/>
              </w:rPr>
              <w:t>So that 我能支撑集团全品类能耗碳排放计算，保障大屏能源大盘、降碳数据精准可信。</w:t>
            </w:r>
          </w:p>
        </w:tc>
      </w:tr>
    </w:tbl>
    <w:p w14:paraId="6C599453">
      <w:pPr>
        <w:rPr>
          <w:b w:val="0"/>
          <w:bCs w:val="0"/>
        </w:rPr>
      </w:pPr>
    </w:p>
    <w:p w14:paraId="59E65396">
      <w:pPr>
        <w:pStyle w:val="6"/>
        <w:numPr>
          <w:ilvl w:val="0"/>
          <w:numId w:val="184"/>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13FE099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1B36C4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页面布局：关键字查询区 ＋ 因子列表 ＋ 右上角【新增因子】。</w:t>
            </w:r>
          </w:p>
          <w:p w14:paraId="7080789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（1）查询【查询】：输入关键字（名称 / 区域 / 来源）后查询；点击【重置】清空条件。</w:t>
            </w:r>
          </w:p>
          <w:p w14:paraId="3D47A85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（2）新增因子【新增因子】：打开新增因子弹窗，填写能源 / 活动名称、能源类别、因子值、单位、数据来源、版本；单位下拉项随能源类别联动。</w:t>
            </w:r>
          </w:p>
          <w:p w14:paraId="395C83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（3）编辑【编辑】：打开编辑窗口，回填因子信息；修改因子值须同步升版本。</w:t>
            </w:r>
          </w:p>
          <w:p w14:paraId="5199A1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（4）版本【版本】：打开版本记录窗口，展示历史版本（版本号、生效时间、操作人、变更前后值）。</w:t>
            </w:r>
          </w:p>
          <w:p w14:paraId="77BCCEE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（5）删除【删除】：打开弹窗，点击取消后关闭弹窗，点击确定后关闭弹窗并删除数据；已被核算引用的因子禁止物理删除。</w:t>
            </w:r>
          </w:p>
        </w:tc>
      </w:tr>
      <w:tr w14:paraId="6281A5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21422">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E6A4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DECB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6AA32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07B3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7306CE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1C4D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1E841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823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72244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CD3A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33D39E4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2544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80F78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1FB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0A52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D380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C43F96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943D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能源类别下拉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34DA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70D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0B64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单位下拉项联动过滤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5B32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5BD28F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DEAB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1FA3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8434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名称唯一；因子值 ≥ 0；单位与名称相符</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3886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4FED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731D64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BFF8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9C38F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5EDE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7EF0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41B2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5A4D33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9B43">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5512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557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C465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列出历史版本</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3358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提示「暂无历史版本」</w:t>
            </w:r>
          </w:p>
        </w:tc>
      </w:tr>
      <w:tr w14:paraId="53741F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5C3AE5">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950FB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E5A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EA8A5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1AA5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阻断并提示引用数</w:t>
            </w:r>
          </w:p>
        </w:tc>
      </w:tr>
    </w:tbl>
    <w:p w14:paraId="7C69EBFF">
      <w:pPr>
        <w:rPr>
          <w:b w:val="0"/>
          <w:bCs w:val="0"/>
        </w:rPr>
      </w:pPr>
    </w:p>
    <w:p w14:paraId="04953D06">
      <w:pPr>
        <w:pStyle w:val="6"/>
        <w:numPr>
          <w:ilvl w:val="0"/>
          <w:numId w:val="18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357"/>
        <w:gridCol w:w="1468"/>
        <w:gridCol w:w="1591"/>
        <w:gridCol w:w="4479"/>
      </w:tblGrid>
      <w:tr w14:paraId="73AD47E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DF53F">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EAAD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2AB4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1536A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07886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5881E89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5814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0781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能源/活动名称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D9F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E1D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F80F8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必填；如天然气 / 原煤（烟煤） / 柴油 / 汽油 / 液化石油气（LPG） / 外购蒸汽 / 热力 / R134a 制冷剂 / R410a 制冷剂</w:t>
            </w:r>
          </w:p>
        </w:tc>
      </w:tr>
      <w:tr w14:paraId="6E8B1AB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3220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0077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能源类别</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AA9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0EBD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70A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取值｛化石燃料 / 热力-蒸汽 / 制冷剂｝；决定单位下拉候选</w:t>
            </w:r>
          </w:p>
        </w:tc>
      </w:tr>
      <w:tr w14:paraId="339A55B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B6D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0506B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B4E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8A7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kgCO2e/{单位}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AF2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必填；≥0；化石燃料 0.01~5.00；制冷剂按 GWP 可至 10000；保留 4 位小数</w:t>
            </w:r>
          </w:p>
        </w:tc>
      </w:tr>
      <w:tr w14:paraId="5E5E98C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11AF4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A3D24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EB30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E8AC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F6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取值｛kgCO2e/m³ / kgCO2e/kg / kgCO2e/MJ / kgCO2e/kWh / kgCO2e/t｝；须与名称的物态相符</w:t>
            </w:r>
          </w:p>
        </w:tc>
      </w:tr>
      <w:tr w14:paraId="4509F42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9243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74A0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E836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67FB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FAC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取值｛IPCC 缺省值 / 国家标准 / 行业标准 / 股份下发 / 第三方核定｝</w:t>
            </w:r>
          </w:p>
        </w:tc>
      </w:tr>
      <w:tr w14:paraId="056A0F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E064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33AD0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3F57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4568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6925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必填；vYYYY.N 或 vX.Y（如 v2023.2、v2026.1）</w:t>
            </w:r>
          </w:p>
        </w:tc>
      </w:tr>
    </w:tbl>
    <w:p w14:paraId="0FE12BAF">
      <w:pPr>
        <w:pStyle w:val="19"/>
        <w:bidi w:val="0"/>
        <w:rPr>
          <w:b w:val="0"/>
          <w:bCs w:val="0"/>
        </w:rPr>
      </w:pPr>
    </w:p>
    <w:p w14:paraId="0EC1A076">
      <w:pPr>
        <w:pStyle w:val="6"/>
        <w:numPr>
          <w:ilvl w:val="0"/>
          <w:numId w:val="18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2895E6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9C86D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（1）因子唯一键</w:t>
            </w:r>
          </w:p>
          <w:p w14:paraId="6D7164C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Uk = （能源/活动名称）。同名不同单位视为不同因子，须在名称中显式区分（如「蒸汽消费量（热量）」与「蒸汽消费量（质量）」）。</w:t>
            </w:r>
          </w:p>
          <w:p w14:paraId="1F6DD9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（2）燃料燃烧排放计算</w:t>
            </w:r>
          </w:p>
          <w:p w14:paraId="529641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E_fuel = Q_fuel × EF_fuel</w:t>
            </w:r>
          </w:p>
          <w:p w14:paraId="3FA512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示例：天然气 E = V(m³) × 2.1622 (kgCO2e/m³)。</w:t>
            </w:r>
          </w:p>
          <w:p w14:paraId="6E01FD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（3）制冷剂逸散排放计算</w:t>
            </w:r>
          </w:p>
          <w:p w14:paraId="48FB2A7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E_ref = Q_ref × GWP_ref</w:t>
            </w:r>
          </w:p>
          <w:p w14:paraId="339493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示例：R134a 逸散 1 kg → E = 1 × 1430 = 1430 kgCO2e。</w:t>
            </w:r>
          </w:p>
          <w:p w14:paraId="30D3072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688DC4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天然气 2.1622 kgCO2e/m³（IPCC 缺省值 v2023.2）；</w:t>
            </w:r>
          </w:p>
          <w:p w14:paraId="6A4A291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原煤（烟煤）1.9003 kgCO2e/kg（IPCC 缺省值 v2023.2）；</w:t>
            </w:r>
          </w:p>
          <w:p w14:paraId="678F4B8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柴油 3.0959 kgCO2e/kg（国家标准 v2024.1）；</w:t>
            </w:r>
          </w:p>
          <w:p w14:paraId="353F6C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外购蒸汽 0.11 kgCO2e/MJ（股份下发 v2026.1）；</w:t>
            </w:r>
          </w:p>
          <w:p w14:paraId="55C08F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R134a 制冷剂 1430 kgCO2e/kg（IPCC 缺省值 v2023.1）；</w:t>
            </w:r>
          </w:p>
          <w:p w14:paraId="15DE27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液化石油气（LPG）3.1813 kgCO2e/kg（国家标准 v2023.1）。</w:t>
            </w:r>
          </w:p>
          <w:p w14:paraId="38408A2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（5）与第三章口径一致性</w:t>
            </w:r>
          </w:p>
          <w:p w14:paraId="67E3E6A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本模块天然气因子 2.1622 是第三章碳足迹核算「天然气用例」的取数来源；两章数值必须逐位一致，任一升版即触发第三章核算视图重算。</w:t>
            </w:r>
          </w:p>
          <w:p w14:paraId="75F8B31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（6）精度与容差</w:t>
            </w:r>
          </w:p>
          <w:p w14:paraId="6BE7F8E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因子值保留 4 位小数；核算结果按 GB/T 24067 保留 4 位有效小数，容差 ±0.0001。</w:t>
            </w:r>
          </w:p>
        </w:tc>
      </w:tr>
    </w:tbl>
    <w:p w14:paraId="1F0A23DA">
      <w:pPr>
        <w:pStyle w:val="19"/>
        <w:bidi w:val="0"/>
        <w:rPr>
          <w:b w:val="0"/>
          <w:bCs w:val="0"/>
        </w:rPr>
      </w:pPr>
    </w:p>
    <w:p w14:paraId="1D971395">
      <w:pPr>
        <w:pStyle w:val="6"/>
        <w:numPr>
          <w:ilvl w:val="0"/>
          <w:numId w:val="184"/>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C05228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07B6A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（1）列表展示字段（7 列）：能源/活动名称、能源类别、因子值、单位、数据来源、版本、操作。</w:t>
            </w:r>
          </w:p>
          <w:p w14:paraId="66FE65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（2）能源类别以标签区分（化石燃料 / 热力-蒸汽 / 制冷剂），配色不同。</w:t>
            </w:r>
          </w:p>
          <w:p w14:paraId="71BD15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（3）因子值按数值大小右对齐；制冷剂类因子值 ≥ 1000 时使用千分位（1430 → 1,430）。</w:t>
            </w:r>
          </w:p>
          <w:p w14:paraId="5324332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（4）排序规则：默认按能源类别分组（化石燃料 → 热力-蒸汽 → 制冷剂），组内按因子值降序。</w:t>
            </w:r>
          </w:p>
          <w:p w14:paraId="2C60CB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（5）口径提示：制冷剂行的因子值以悬浮提示标注「GWP，单位 kgCO2e/kg，非燃烧排放因子」，避免与燃烧因子混淆。</w:t>
            </w:r>
          </w:p>
          <w:p w14:paraId="2BCE48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（6）基准来源：IPCC 2006 年国家温室气体清单指南（缺省值）；GB/T 32150 工业企业温室气体排放核算和报告通则；股份公司下发文件。</w:t>
            </w:r>
          </w:p>
        </w:tc>
      </w:tr>
    </w:tbl>
    <w:p w14:paraId="4B9EF3FC">
      <w:pPr>
        <w:pStyle w:val="19"/>
        <w:bidi w:val="0"/>
        <w:rPr>
          <w:b w:val="0"/>
          <w:bCs w:val="0"/>
        </w:rPr>
      </w:pPr>
    </w:p>
    <w:p w14:paraId="65DA40D2">
      <w:pPr>
        <w:pStyle w:val="6"/>
        <w:numPr>
          <w:ilvl w:val="0"/>
          <w:numId w:val="18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35B8EEC">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6D8636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（1）名称重复阻断：能源/活动名称已存在时，阻断，返回 E_SYS_FACTOR_ENERGY_DUP。</w:t>
            </w:r>
          </w:p>
          <w:p w14:paraId="171021D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（2）单位与名称不符拦截：名称为气态能源（天然气 / 液化石油气）而单位选 kgCO2e/kg 时，阻断并提示，返回 E_SYS_FACTOR_UNIT_MISMATCH。</w:t>
            </w:r>
          </w:p>
          <w:p w14:paraId="4A6DB67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（3）因子值域校验：因子值 ＜ 0 时阻断，返回 E_SYS_FACTOR_VALUE_OUT_OF_RANGE。</w:t>
            </w:r>
          </w:p>
          <w:p w14:paraId="468BDC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（4）在用因子删除阻断：被核算报告引用时禁止物理删除，返回 E_SYS_FACTOR_IN_USE_DELETE_DENIED。</w:t>
            </w:r>
          </w:p>
          <w:p w14:paraId="6F0EA6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（5）版本冲突阻断：版本号重复或低于当前版本时阻断，返回 E_SYS_FACTOR_VERSION_CONFLICT。</w:t>
            </w:r>
          </w:p>
          <w:p w14:paraId="2C7C6F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（6）制冷剂 GWP 越界校验：制冷剂类因子值 ＜ 1 或 ＞ 10000 时，阻断并提示，返回 E_SYS_FACTOR_GWP_OUT_OF_RANGE。</w:t>
            </w:r>
          </w:p>
          <w:p w14:paraId="4B1AD1B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（7）跨章一致性告警：本模块因子值变更后，若与第三章已发布报告引用的旧版本不一致，触发一致性告警并列出受影响报告清单。</w:t>
            </w:r>
          </w:p>
          <w:p w14:paraId="4AE353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3A54D289">
      <w:pPr>
        <w:rPr>
          <w:b w:val="0"/>
          <w:bCs w:val="0"/>
        </w:rPr>
      </w:pPr>
    </w:p>
    <w:p w14:paraId="69DDD9A9">
      <w:pPr>
        <w:pStyle w:val="6"/>
        <w:numPr>
          <w:ilvl w:val="0"/>
          <w:numId w:val="18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32D07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65C8F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能源活动碳排因子维护</w:t>
            </w:r>
          </w:p>
          <w:p w14:paraId="2BC4C2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新增化石燃料因子</w:t>
            </w:r>
          </w:p>
          <w:p w14:paraId="4826A86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能碳基础因子管理 › 能源活动碳排因子</w:t>
            </w:r>
          </w:p>
          <w:p w14:paraId="4CDD2B0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点击【新增因子】，填写名称＝「天然气」、类别＝「化石燃料」、因子值＝2.1622、单位＝kgCO2e/m³、来源＝「IPCC 缺省值」、版本＝「v2023.2」并保存</w:t>
            </w:r>
          </w:p>
          <w:p w14:paraId="715FDE4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列表新增一行，因子值显示 2.1622，单位显示 kgCO2e/m³</w:t>
            </w:r>
          </w:p>
          <w:p w14:paraId="655530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与第三章核算口径一致</w:t>
            </w:r>
          </w:p>
          <w:p w14:paraId="1087CE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本模块天然气因子值为 2.1622 kgCO2e/m³</w:t>
            </w:r>
          </w:p>
          <w:p w14:paraId="7E97876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第三章碳足迹核算调用该因子计算 1 m³ 天然气燃烧排放</w:t>
            </w:r>
          </w:p>
          <w:p w14:paraId="6A3A5C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计算结果为 2.1622 kgCO2e</w:t>
            </w:r>
          </w:p>
          <w:p w14:paraId="50B7225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名称重复被阻断</w:t>
            </w:r>
          </w:p>
          <w:p w14:paraId="42247FF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已存在名称「柴油」的因子</w:t>
            </w:r>
          </w:p>
          <w:p w14:paraId="5E413A1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再次新增名称「柴油」并保存</w:t>
            </w:r>
          </w:p>
          <w:p w14:paraId="4F5403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228134A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返回错误码 E_SYS_FACTOR_ENERGY_DUP</w:t>
            </w:r>
          </w:p>
          <w:p w14:paraId="78099EF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制冷剂 GWP 越界被拦截</w:t>
            </w:r>
          </w:p>
          <w:p w14:paraId="16BEF49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能源类别选择「制冷剂」</w:t>
            </w:r>
          </w:p>
          <w:p w14:paraId="448E433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填写因子值＝12000 并保存</w:t>
            </w:r>
          </w:p>
          <w:p w14:paraId="5BA910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系统阻断并提示「GWP 超出合理区间」</w:t>
            </w:r>
          </w:p>
          <w:p w14:paraId="6EEB9AE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E_SYS_FACTOR_GWP_OUT_OF_RANGE</w:t>
            </w:r>
          </w:p>
          <w:p w14:paraId="2A102D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在用因子禁止物理删除</w:t>
            </w:r>
          </w:p>
          <w:p w14:paraId="3E61989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因子「外购蒸汽」已被核算报告引用</w:t>
            </w:r>
          </w:p>
          <w:p w14:paraId="2BF873E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210A0D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w:t>
            </w:r>
          </w:p>
          <w:p w14:paraId="42BF091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E_SYS_FACTOR_IN_USE_DELETE_DENIED</w:t>
            </w:r>
          </w:p>
          <w:p w14:paraId="54EDAF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单位与物态不符被拦截</w:t>
            </w:r>
          </w:p>
          <w:p w14:paraId="37D4DB4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名称为「天然气」（气态）</w:t>
            </w:r>
          </w:p>
          <w:p w14:paraId="6597059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将单位设置为 kgCO2e/kg 并保存</w:t>
            </w:r>
          </w:p>
          <w:p w14:paraId="613608E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系统阻断并提示单位与名称不符</w:t>
            </w:r>
          </w:p>
          <w:p w14:paraId="225E08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E_SYS_FACTOR_UNIT_MISMATCH</w:t>
            </w:r>
          </w:p>
        </w:tc>
      </w:tr>
    </w:tbl>
    <w:p w14:paraId="0E725990">
      <w:pPr>
        <w:rPr>
          <w:rFonts w:hint="default"/>
          <w:b w:val="0"/>
          <w:bCs w:val="0"/>
          <w:lang w:val="en-US" w:eastAsia="zh-CN"/>
        </w:rPr>
      </w:pPr>
    </w:p>
    <w:p w14:paraId="539331E3">
      <w:pPr>
        <w:pStyle w:val="5"/>
        <w:numPr>
          <w:ilvl w:val="0"/>
          <w:numId w:val="182"/>
        </w:numPr>
        <w:ind w:left="0" w:leftChars="0" w:firstLine="0" w:firstLineChars="0"/>
        <w:outlineLvl w:val="1"/>
        <w:rPr>
          <w:rFonts w:hint="default" w:cs="Times New Roman"/>
          <w:b w:val="0"/>
          <w:bCs w:val="0"/>
          <w:sz w:val="30"/>
          <w:szCs w:val="24"/>
          <w:lang w:val="en-US" w:eastAsia="zh-CN"/>
        </w:rPr>
      </w:pPr>
      <w:bookmarkStart w:id="71" w:name="_Toc14741"/>
      <w:r>
        <w:rPr>
          <w:rFonts w:hint="eastAsia" w:cs="Times New Roman"/>
          <w:b w:val="0"/>
          <w:bCs w:val="0"/>
          <w:sz w:val="30"/>
          <w:szCs w:val="24"/>
          <w:lang w:val="en-US" w:eastAsia="zh-CN"/>
        </w:rPr>
        <w:t>折标煤系数库</w:t>
      </w:r>
      <w:bookmarkEnd w:id="71"/>
    </w:p>
    <w:p w14:paraId="20FCE593">
      <w:pPr>
        <w:rPr>
          <w:b w:val="0"/>
          <w:bCs w:val="0"/>
        </w:rPr>
      </w:pPr>
      <w:r>
        <w:drawing>
          <wp:inline distT="0" distB="0" distL="114300" distR="114300">
            <wp:extent cx="5900420" cy="2925445"/>
            <wp:effectExtent l="0" t="0" r="5080" b="825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100"/>
                    <a:stretch>
                      <a:fillRect/>
                    </a:stretch>
                  </pic:blipFill>
                  <pic:spPr>
                    <a:xfrm>
                      <a:off x="0" y="0"/>
                      <a:ext cx="5900420" cy="2925445"/>
                    </a:xfrm>
                    <a:prstGeom prst="rect">
                      <a:avLst/>
                    </a:prstGeom>
                    <a:noFill/>
                    <a:ln>
                      <a:noFill/>
                    </a:ln>
                  </pic:spPr>
                </pic:pic>
              </a:graphicData>
            </a:graphic>
          </wp:inline>
        </w:drawing>
      </w:r>
    </w:p>
    <w:p w14:paraId="0F0A7EA4">
      <w:pPr>
        <w:pStyle w:val="6"/>
        <w:numPr>
          <w:ilvl w:val="0"/>
          <w:numId w:val="18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765DAF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9018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能碳基础因子管理模块下各类能源折标煤系数的维护单元，统一管理不同能源品种的折标煤系数、低位热值等基础参数，支持系数版本管控、新增与信息维护，为系统能耗折算、能源消费总量统计分析提供标准化当量换算基准数据，是能源量化核算业务开展的前置基础依赖。</w:t>
            </w:r>
          </w:p>
          <w:p w14:paraId="276CC88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系统管理员（全量折标煤系数新增、系数参数维护、版本管理与数据删除）。</w:t>
            </w:r>
          </w:p>
          <w:p w14:paraId="1934AE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页面路由：/system/factor/coal-equivalent（左侧导航：系统管理 › 能碳基础因子管理 › 折标煤系数库）。</w:t>
            </w:r>
          </w:p>
          <w:p w14:paraId="46D031A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上游依赖：无。基准来自 GB/T 2589《综合能耗计算通则》与行业 / 股份公司下发标准。</w:t>
            </w:r>
          </w:p>
          <w:p w14:paraId="3313EF6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下游输出：集控中心「综合能源消费量（tce）」统计；第三章单位产品能耗与折标碳排计算。</w:t>
            </w:r>
          </w:p>
          <w:p w14:paraId="1686550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PM）全量可写；其余角色一律只读。国家标准强制受控字段（电力 0.1229、天然气 1.2143）在界面上标注受控角标，任何角色均不可随意修改。</w:t>
            </w:r>
          </w:p>
        </w:tc>
      </w:tr>
    </w:tbl>
    <w:p w14:paraId="17A381B8">
      <w:pPr>
        <w:rPr>
          <w:b w:val="0"/>
          <w:bCs w:val="0"/>
        </w:rPr>
      </w:pPr>
    </w:p>
    <w:p w14:paraId="2F10F55E">
      <w:pPr>
        <w:pStyle w:val="6"/>
        <w:numPr>
          <w:ilvl w:val="0"/>
          <w:numId w:val="18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CB329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A81F9D">
            <w:pPr>
              <w:pStyle w:val="19"/>
              <w:bidi w:val="0"/>
              <w:ind w:left="0" w:leftChars="0" w:firstLine="0" w:firstLineChars="0"/>
            </w:pPr>
            <w:r>
              <w:rPr>
                <w:b/>
                <w:bCs/>
                <w:lang w:val="en-US" w:eastAsia="zh-CN"/>
              </w:rPr>
              <w:t>业务场景</w:t>
            </w:r>
            <w:r>
              <w:rPr>
                <w:lang w:val="en-US" w:eastAsia="zh-CN"/>
              </w:rPr>
              <w:t>：面向系统管理员进行能源标准化折算管控场景，统一维护各类能源折标煤系数，实现多品类能源数据统一口径折算统计。</w:t>
            </w:r>
          </w:p>
          <w:p w14:paraId="12DE362D">
            <w:pPr>
              <w:pStyle w:val="19"/>
              <w:bidi w:val="0"/>
              <w:ind w:left="0" w:leftChars="0" w:firstLine="0" w:firstLineChars="0"/>
            </w:pPr>
            <w:r>
              <w:rPr>
                <w:b/>
                <w:bCs/>
                <w:lang w:val="en-US" w:eastAsia="zh-CN"/>
              </w:rPr>
              <w:t>用户故事</w:t>
            </w:r>
            <w:r>
              <w:rPr>
                <w:lang w:val="en-US" w:eastAsia="zh-CN"/>
              </w:rPr>
              <w:t>：</w:t>
            </w:r>
          </w:p>
          <w:p w14:paraId="39078060">
            <w:pPr>
              <w:pStyle w:val="19"/>
              <w:bidi w:val="0"/>
            </w:pPr>
            <w:r>
              <w:rPr>
                <w:lang w:val="en-US" w:eastAsia="zh-CN"/>
              </w:rPr>
              <w:t>As a 系统管理员 (Persona PM)，</w:t>
            </w:r>
          </w:p>
          <w:p w14:paraId="259A8D20">
            <w:pPr>
              <w:pStyle w:val="19"/>
              <w:bidi w:val="0"/>
            </w:pPr>
            <w:r>
              <w:rPr>
                <w:lang w:val="en-US" w:eastAsia="zh-CN"/>
              </w:rPr>
              <w:t>I want 统一维护各类能源折标煤系数、管控参数版本，标准化能源折算规则，</w:t>
            </w:r>
          </w:p>
          <w:p w14:paraId="0AA189A2">
            <w:pPr>
              <w:pStyle w:val="19"/>
              <w:bidi w:val="0"/>
            </w:pPr>
            <w:r>
              <w:rPr>
                <w:lang w:val="en-US" w:eastAsia="zh-CN"/>
              </w:rPr>
              <w:t>So that 我能支撑集团能耗折标总量统计，保障大屏能源大盘数据口径统一、精准合规。</w:t>
            </w:r>
          </w:p>
        </w:tc>
      </w:tr>
    </w:tbl>
    <w:p w14:paraId="2FEC29BC">
      <w:pPr>
        <w:rPr>
          <w:b w:val="0"/>
          <w:bCs w:val="0"/>
        </w:rPr>
      </w:pPr>
    </w:p>
    <w:p w14:paraId="7D5073CE">
      <w:pPr>
        <w:pStyle w:val="6"/>
        <w:numPr>
          <w:ilvl w:val="0"/>
          <w:numId w:val="18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703D3D4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3DCC45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页面布局：关键字查询区 ＋ 系数列表 ＋ 右上角【新增因子】。</w:t>
            </w:r>
          </w:p>
          <w:p w14:paraId="78E078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（1）查询【查询】：输入关键字（名称 / 区域 / 来源）后查询；点击【重置】清空条件。</w:t>
            </w:r>
          </w:p>
          <w:p w14:paraId="35C6AE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（2）新增因子【新增因子】：打开新增因子弹窗，填写能源品种、折标煤系数、单位、低位热值、数据来源、版本。</w:t>
            </w:r>
          </w:p>
          <w:p w14:paraId="57855F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（3）编辑【编辑】：打开编辑窗口，回填系数信息；修改折标煤系数须同步升版本；国标受控字段修改时弹阻断提示。</w:t>
            </w:r>
          </w:p>
          <w:p w14:paraId="241E43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（4）版本【版本】：打开版本记录窗口，展示历史版本（版本号、生效时间、操作人、变更前后值）。</w:t>
            </w:r>
          </w:p>
          <w:p w14:paraId="1C8AE65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（5）删除【删除】：打开弹窗，点击取消后关闭弹窗，点击确定后关闭弹窗并删除数据；已被核算引用的系数禁止物理删除。</w:t>
            </w:r>
          </w:p>
        </w:tc>
      </w:tr>
      <w:tr w14:paraId="3F9906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DE2A0A">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23A5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22B34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F7C6D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F227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4315AE4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DBE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F471C6">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F3F8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D669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3244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6493A3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FC8C1">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CA3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9B9E2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15402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FC01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0BAF0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7EFE2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FF04A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972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品种唯一；系数 ＞ 0；单位匹配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93B9F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C46C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20207E1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D38521">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D43F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09693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非国标受控字段（或走换版流程）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9475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329C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国标受控字段弹出阻断提示</w:t>
            </w:r>
          </w:p>
        </w:tc>
      </w:tr>
      <w:tr w14:paraId="4FCD46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C876A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【版本】</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C40EC8">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1A85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B2EE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列出历史版本</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7F37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提示「暂无历史版本」</w:t>
            </w:r>
          </w:p>
        </w:tc>
      </w:tr>
      <w:tr w14:paraId="079D93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0703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6FCE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C345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6209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CB6F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阻断并提示引用数</w:t>
            </w:r>
          </w:p>
        </w:tc>
      </w:tr>
    </w:tbl>
    <w:p w14:paraId="48DCEE3A">
      <w:pPr>
        <w:rPr>
          <w:b w:val="0"/>
          <w:bCs w:val="0"/>
        </w:rPr>
      </w:pPr>
    </w:p>
    <w:p w14:paraId="5D544F7D">
      <w:pPr>
        <w:pStyle w:val="6"/>
        <w:numPr>
          <w:ilvl w:val="0"/>
          <w:numId w:val="18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525"/>
        <w:gridCol w:w="1468"/>
        <w:gridCol w:w="1423"/>
        <w:gridCol w:w="4479"/>
      </w:tblGrid>
      <w:tr w14:paraId="666AC86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1C698">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9BF68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A1253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52114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3FEB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213450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C908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5C82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能源品种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28DF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49E5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63138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必填；如电力 / 天然气 / 原煤 / 柴油 / 汽油 / 外购蒸汽；全局唯一</w:t>
            </w:r>
          </w:p>
        </w:tc>
      </w:tr>
      <w:tr w14:paraId="7E37D5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85721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B931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折标煤系数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B4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70407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kgce/{单位}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CAA4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 0；保留 4 位小数；电力 / 天然气为 GB/T 2589-2020 受控值</w:t>
            </w:r>
          </w:p>
        </w:tc>
      </w:tr>
      <w:tr w14:paraId="2A37EB14">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5AF4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A800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D816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B133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D1CB7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取值｛kgce/kWh / kgce/m³ / kgce/kg / kgce/MJ｝；须与能源实物量单位匹配</w:t>
            </w:r>
          </w:p>
        </w:tc>
      </w:tr>
      <w:tr w14:paraId="774B89B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37A8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8D562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低位热值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FD2F4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2063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MJ/{单位}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064D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可空（电力显示「—（当量值）」）；＞ 0；保留 3 位小数</w:t>
            </w:r>
          </w:p>
        </w:tc>
      </w:tr>
      <w:tr w14:paraId="0B64724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C5DA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C1AC4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D8A0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F8B4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2BA9F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取值｛国家标准 / 行业标准 / 股份下发｝</w:t>
            </w:r>
          </w:p>
        </w:tc>
      </w:tr>
      <w:tr w14:paraId="531341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DF294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0F64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963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147B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DE9A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必填；国家标准以标准号作版本（如 GB/T 2589-2020）；行业标准用 vYYYY.N</w:t>
            </w:r>
          </w:p>
        </w:tc>
      </w:tr>
    </w:tbl>
    <w:p w14:paraId="28B6293B">
      <w:pPr>
        <w:pStyle w:val="19"/>
        <w:bidi w:val="0"/>
        <w:rPr>
          <w:b w:val="0"/>
          <w:bCs w:val="0"/>
        </w:rPr>
      </w:pPr>
    </w:p>
    <w:p w14:paraId="2D9D293D">
      <w:pPr>
        <w:pStyle w:val="6"/>
        <w:numPr>
          <w:ilvl w:val="0"/>
          <w:numId w:val="18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044D68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ED0F7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（1）折标计算</w:t>
            </w:r>
          </w:p>
          <w:p w14:paraId="411918F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E_tce = Σ (Qᵢ × Cᵢ)</w:t>
            </w:r>
          </w:p>
          <w:p w14:paraId="233D251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Qᵢ 为第 i 种能源实物量，Cᵢ 为其折标煤系数（kgce/单位），E_tce 单位为 kgce。</w:t>
            </w:r>
          </w:p>
          <w:p w14:paraId="5A9CD6C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（2）综合能源消费量</w:t>
            </w:r>
          </w:p>
          <w:p w14:paraId="16C2438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E_total = Σ E_tce,i / 1000，单位 tce。</w:t>
            </w:r>
          </w:p>
          <w:p w14:paraId="397A8A6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（3）低位热值法与当量值</w:t>
            </w:r>
          </w:p>
          <w:p w14:paraId="1131DAD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电力采用当量值法：C_elec = 0.1229 kgce/kWh（不随热值变动）；</w:t>
            </w:r>
          </w:p>
          <w:p w14:paraId="496F92A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其余能源采用低位热值法：Cᵢ 由低位热值 NCVᵢ 按 GB/T 2589 折算，量级关系 Cᵢ ∝ 1 / NCVᵢ。</w:t>
            </w:r>
          </w:p>
          <w:p w14:paraId="160BA9A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单位一致性：折标前须先将各能源实物量归一到与系数单位相匹配的量纲。</w:t>
            </w:r>
          </w:p>
          <w:p w14:paraId="22C916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6884647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电力 0.1229 kgce/kWh（低位热值栏「—（当量值）」）；</w:t>
            </w:r>
          </w:p>
          <w:p w14:paraId="245361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天然气 1.2143 kgce/m³（低位热值 35.588 MJ/m³）；</w:t>
            </w:r>
          </w:p>
          <w:p w14:paraId="5B9FA5A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原煤 0.7143 kgce/kg（20.908 MJ/kg）；</w:t>
            </w:r>
          </w:p>
          <w:p w14:paraId="49D7FA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柴油 1.4571 kgce/kg（42.652 MJ/kg）；</w:t>
            </w:r>
          </w:p>
          <w:p w14:paraId="5736E9A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汽油 1.4714 kgce/kg（43.070 MJ/kg）；</w:t>
            </w:r>
          </w:p>
          <w:p w14:paraId="45CD93E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外购蒸汽 0.0341 kgce/MJ（低位热值「—」，数据来源行业标准 v2026.1）。</w:t>
            </w:r>
          </w:p>
          <w:p w14:paraId="54F2713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（5）与第三章口径一致性</w:t>
            </w:r>
          </w:p>
          <w:p w14:paraId="1C018E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电力 0.1229 与天然气 1.2143 是第三章核算引用的同一受控值；两章必须逐位一致。</w:t>
            </w:r>
          </w:p>
          <w:p w14:paraId="653F2C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（6）精度与容差</w:t>
            </w:r>
          </w:p>
          <w:p w14:paraId="2E5AC8F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折标煤系数保留 4 位小数；综合能耗保留 2 位小数，容差 ±0.01 tce。</w:t>
            </w:r>
          </w:p>
        </w:tc>
      </w:tr>
    </w:tbl>
    <w:p w14:paraId="10F35BC5">
      <w:pPr>
        <w:pStyle w:val="19"/>
        <w:bidi w:val="0"/>
        <w:rPr>
          <w:b w:val="0"/>
          <w:bCs w:val="0"/>
        </w:rPr>
      </w:pPr>
    </w:p>
    <w:p w14:paraId="48BB920D">
      <w:pPr>
        <w:pStyle w:val="6"/>
        <w:numPr>
          <w:ilvl w:val="0"/>
          <w:numId w:val="18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4A753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C16F62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（1）列表展示字段（7 列）：能源品种、折标煤系数、单位、低位热值、数据来源、版本、操作。</w:t>
            </w:r>
          </w:p>
          <w:p w14:paraId="2DD29A1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（2）低位热值为空时显示「—」；电力行的低位热值显示「—（当量值）」以明示采用当量值法。</w:t>
            </w:r>
          </w:p>
          <w:p w14:paraId="5B052F2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（3）版本列直接显示标准号（GB/T 2589-2020），并附加受控角标（国标受控字段）。</w:t>
            </w:r>
          </w:p>
          <w:p w14:paraId="6F72B8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（4）排序规则：默认按能源品种固定序（电力 → 天然气 → 原煤 → 柴油 → 汽油 → 外购蒸汽）。</w:t>
            </w:r>
          </w:p>
          <w:p w14:paraId="45F392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（5）受控字段提示：电力、天然气两行的折标煤系数以加锁图标标注，悬浮提示「GB/T 2589-2020 强制国标受控值」。</w:t>
            </w:r>
          </w:p>
          <w:p w14:paraId="538124E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（6）基准来源：GB/T 2589-2020《综合能耗计算通则》为唯一权威基准。</w:t>
            </w:r>
          </w:p>
        </w:tc>
      </w:tr>
    </w:tbl>
    <w:p w14:paraId="17003E55">
      <w:pPr>
        <w:pStyle w:val="19"/>
        <w:bidi w:val="0"/>
        <w:rPr>
          <w:b w:val="0"/>
          <w:bCs w:val="0"/>
        </w:rPr>
      </w:pPr>
    </w:p>
    <w:p w14:paraId="17039C25">
      <w:pPr>
        <w:pStyle w:val="6"/>
        <w:numPr>
          <w:ilvl w:val="0"/>
          <w:numId w:val="18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FC6C0E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3D6C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（1）品种重复阻断：能源品种已存在时，阻断，返回 E_SYS_FACTOR_COAL_DUP。</w:t>
            </w:r>
          </w:p>
          <w:p w14:paraId="5FD36A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（2）国标受控字段修改阻断：修改电力（0.1229）、天然气（1.2143）等 GB/T 2589-2020 强制受控值时，弹出阻断并提示「GB/T 2589-2020 强制国标受控字段」，返回 E_SYS_FACTOR_NATIONAL_LOCKED；如需变更须走标准换版流程（由系统管理员发起、单独审批）。</w:t>
            </w:r>
          </w:p>
          <w:p w14:paraId="4C31D7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（3）系数非法值拦截：折标煤系数 ≤ 0 时阻断，返回 E_SYS_FACTOR_VALUE_OUT_OF_RANGE。</w:t>
            </w:r>
          </w:p>
          <w:p w14:paraId="62E45A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（4）单位不匹配拦截：低位热值单位与能源实物量单位不一致时，阻断，返回 E_SYS_FACTOR_UNIT_MISMATCH。</w:t>
            </w:r>
          </w:p>
          <w:p w14:paraId="38DB836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（5）在用系数删除阻断：被核算引用时禁止物理删除，返回 E_SYS_FACTOR_IN_USE_DELETE_DENIED。</w:t>
            </w:r>
          </w:p>
          <w:p w14:paraId="6245507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（6）除零安全：折标单耗计算中产值或产品产量为 0 时，不得除零崩溃，返回「--」并抛出软告警 E_CALC_UNIT_DIV_ZERO_SOFT。</w:t>
            </w:r>
          </w:p>
          <w:p w14:paraId="73605E3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（7）实物量负数校验：能耗实物量输入 ＜ 0 时拦截保存，返回 E_VAL_ENERGY_USAGE_NEGATIVE。</w:t>
            </w:r>
          </w:p>
          <w:p w14:paraId="2E7772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059E93E1">
      <w:pPr>
        <w:rPr>
          <w:b w:val="0"/>
          <w:bCs w:val="0"/>
        </w:rPr>
      </w:pPr>
    </w:p>
    <w:p w14:paraId="5F1F62F2">
      <w:pPr>
        <w:pStyle w:val="6"/>
        <w:numPr>
          <w:ilvl w:val="0"/>
          <w:numId w:val="18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D6075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51013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折标煤系数库维护</w:t>
            </w:r>
          </w:p>
          <w:p w14:paraId="5A20F0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新增能源折标煤系数</w:t>
            </w:r>
          </w:p>
          <w:p w14:paraId="472A69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能碳基础因子管理 › 折标煤系数库</w:t>
            </w:r>
          </w:p>
          <w:p w14:paraId="278303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点击【新增因子】，填写能源品种＝「外购蒸汽」、折标煤系数＝0.0341、单位＝kgce/MJ、数据来源＝「行业标准」、版本＝「v2026.1」并保存</w:t>
            </w:r>
          </w:p>
          <w:p w14:paraId="272F74A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列表新增一行，低位热值列显示「—」</w:t>
            </w:r>
          </w:p>
          <w:p w14:paraId="2B46FD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国标受控字段修改被阻断</w:t>
            </w:r>
          </w:p>
          <w:p w14:paraId="11BEF5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因子「电力」折标煤系数为 0.1229 kgce/kWh（GB/T 2589-2020 受控）</w:t>
            </w:r>
          </w:p>
          <w:p w14:paraId="46C35A1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编辑该行并将系数改为 0.1300 后保存</w:t>
            </w:r>
          </w:p>
          <w:p w14:paraId="2C091D0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系统阻断并提示「GB/T 2589-2020 强制国标受控字段」</w:t>
            </w:r>
          </w:p>
          <w:p w14:paraId="45A399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E_SYS_FACTOR_NATIONAL_LOCKED</w:t>
            </w:r>
          </w:p>
          <w:p w14:paraId="419FEB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与第三章引用值一致</w:t>
            </w:r>
          </w:p>
          <w:p w14:paraId="1E6E8E6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本模块电力系数 0.1229、天然气系数 1.2143</w:t>
            </w:r>
          </w:p>
          <w:p w14:paraId="16EB2DF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校验第三章引用值</w:t>
            </w:r>
          </w:p>
          <w:p w14:paraId="7BEFBA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两者逐位一致，校验通过</w:t>
            </w:r>
          </w:p>
          <w:p w14:paraId="22D6D2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折标单耗除零软拦截</w:t>
            </w:r>
          </w:p>
          <w:p w14:paraId="65550F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某产品产值为 0</w:t>
            </w:r>
          </w:p>
          <w:p w14:paraId="386EA3A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计算该产品折标单耗</w:t>
            </w:r>
          </w:p>
          <w:p w14:paraId="79BBCC7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返回「--」</w:t>
            </w:r>
          </w:p>
          <w:p w14:paraId="7E1EF2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抛出软告警 E_CALC_UNIT_DIV_ZERO_SOFT，不产生除零异常</w:t>
            </w:r>
          </w:p>
          <w:p w14:paraId="149AC9B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系数非正数被拦截</w:t>
            </w:r>
          </w:p>
          <w:p w14:paraId="12FE41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新增因子并填写折标煤系数＝-0.1 后保存</w:t>
            </w:r>
          </w:p>
          <w:p w14:paraId="4C2FD0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6FE5C2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E_SYS_FACTOR_VALUE_OUT_OF_RANGE</w:t>
            </w:r>
          </w:p>
        </w:tc>
      </w:tr>
    </w:tbl>
    <w:p w14:paraId="3662C747">
      <w:pPr>
        <w:rPr>
          <w:rFonts w:hint="default"/>
          <w:b w:val="0"/>
          <w:bCs w:val="0"/>
          <w:lang w:val="en-US" w:eastAsia="zh-CN"/>
        </w:rPr>
      </w:pPr>
    </w:p>
    <w:p w14:paraId="61DACAE6">
      <w:pPr>
        <w:pStyle w:val="4"/>
        <w:numPr>
          <w:ilvl w:val="0"/>
          <w:numId w:val="176"/>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2" w:name="_Toc3855"/>
      <w:r>
        <w:rPr>
          <w:rFonts w:hint="eastAsia" w:ascii="Times New Roman" w:hAnsi="Times New Roman" w:eastAsia="黑体" w:cs="Times New Roman"/>
          <w:b w:val="0"/>
          <w:bCs w:val="0"/>
          <w:sz w:val="30"/>
          <w:szCs w:val="32"/>
          <w:lang w:val="en-US" w:eastAsia="zh-CN"/>
        </w:rPr>
        <w:t>费价模型</w:t>
      </w:r>
      <w:bookmarkEnd w:id="72"/>
    </w:p>
    <w:p w14:paraId="36F81A84">
      <w:pPr>
        <w:pStyle w:val="19"/>
        <w:bidi w:val="0"/>
        <w:rPr>
          <w:rFonts w:hint="eastAsia" w:eastAsia="宋体"/>
          <w:b w:val="0"/>
          <w:bCs/>
          <w:lang w:eastAsia="zh-CN"/>
        </w:rPr>
      </w:pPr>
      <w:r>
        <w:rPr>
          <w:rFonts w:hint="eastAsia"/>
          <w:b w:val="0"/>
          <w:bCs/>
          <w:lang w:val="en-US" w:eastAsia="zh-CN"/>
        </w:rPr>
        <w:t>本板块是能源成本核算的价格基准中心，按工厂维度维护电、天然气、蒸汽与水三类能源的分时费价方案，为能耗成本测算、分时用电经济分析与产品碳成本核算提供价格基准。板块规模为单模块，因此采用「板块即模块」的呈现方式。</w:t>
      </w:r>
    </w:p>
    <w:p w14:paraId="2731D8AE">
      <w:pPr>
        <w:pStyle w:val="19"/>
        <w:bidi w:val="0"/>
        <w:rPr>
          <w:rFonts w:hint="eastAsia" w:eastAsia="宋体"/>
          <w:lang w:eastAsia="zh-CN"/>
        </w:rPr>
      </w:pPr>
      <w:r>
        <w:rPr>
          <w:rFonts w:hint="eastAsia"/>
          <w:lang w:val="en-US" w:eastAsia="zh-CN"/>
        </w:rPr>
        <w:t>边界声明：本板块只维护价格规则，不产生实际费用结算；实际能耗成本由集控中心按本板块发布的生效方案与实测用能量计算得出。价格依据须可追溯（如辽发改价格（2025）856 号），任何调价必须形成新版本并结合生效周期，禁止就地覆盖历史版本。</w:t>
      </w:r>
    </w:p>
    <w:p w14:paraId="6AEF7DBD">
      <w:pPr>
        <w:pStyle w:val="19"/>
        <w:bidi w:val="0"/>
        <w:rPr>
          <w:rFonts w:hint="eastAsia" w:eastAsia="宋体"/>
          <w:lang w:eastAsia="zh-CN"/>
        </w:rPr>
      </w:pPr>
      <w:r>
        <w:rPr>
          <w:rFonts w:hint="eastAsia"/>
          <w:lang w:val="en-US" w:eastAsia="zh-CN"/>
        </w:rPr>
        <w:t>输入输出链：组织管理的企业结构树 → 按工厂定位费价方案 → 分时费率与附加费用配置 → 版本管理（草稿 / 生效中 / 已失效）→ 集控成本测算与第三章碳成本分量只读引用。</w:t>
      </w:r>
    </w:p>
    <w:p w14:paraId="596B652C">
      <w:pPr>
        <w:pStyle w:val="5"/>
        <w:numPr>
          <w:ilvl w:val="0"/>
          <w:numId w:val="186"/>
        </w:numPr>
        <w:ind w:left="0" w:leftChars="0" w:firstLine="0" w:firstLineChars="0"/>
        <w:outlineLvl w:val="1"/>
        <w:rPr>
          <w:rFonts w:hint="default" w:cs="Times New Roman"/>
          <w:b w:val="0"/>
          <w:bCs w:val="0"/>
          <w:sz w:val="30"/>
          <w:szCs w:val="24"/>
          <w:lang w:val="en-US" w:eastAsia="zh-CN"/>
        </w:rPr>
      </w:pPr>
      <w:bookmarkStart w:id="73" w:name="_Toc1468103069"/>
      <w:bookmarkStart w:id="74" w:name="_Toc14821"/>
      <w:r>
        <w:rPr>
          <w:rFonts w:hint="eastAsia" w:cs="Times New Roman"/>
          <w:b w:val="0"/>
          <w:bCs w:val="0"/>
          <w:sz w:val="30"/>
          <w:szCs w:val="24"/>
          <w:lang w:val="en-US" w:eastAsia="zh-CN"/>
        </w:rPr>
        <w:t>费价模型</w:t>
      </w:r>
      <w:bookmarkEnd w:id="73"/>
      <w:bookmarkEnd w:id="74"/>
    </w:p>
    <w:p w14:paraId="6E01D7A7">
      <w:pPr>
        <w:rPr>
          <w:b w:val="0"/>
          <w:bCs w:val="0"/>
        </w:rPr>
      </w:pPr>
      <w:r>
        <w:drawing>
          <wp:inline distT="0" distB="0" distL="114300" distR="114300">
            <wp:extent cx="5900420" cy="2925445"/>
            <wp:effectExtent l="0" t="0" r="5080" b="825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101"/>
                    <a:stretch>
                      <a:fillRect/>
                    </a:stretch>
                  </pic:blipFill>
                  <pic:spPr>
                    <a:xfrm>
                      <a:off x="0" y="0"/>
                      <a:ext cx="5900420" cy="2925445"/>
                    </a:xfrm>
                    <a:prstGeom prst="rect">
                      <a:avLst/>
                    </a:prstGeom>
                    <a:noFill/>
                    <a:ln>
                      <a:noFill/>
                    </a:ln>
                  </pic:spPr>
                </pic:pic>
              </a:graphicData>
            </a:graphic>
          </wp:inline>
        </w:drawing>
      </w:r>
    </w:p>
    <w:p w14:paraId="4FBF4556">
      <w:pPr>
        <w:pStyle w:val="6"/>
        <w:numPr>
          <w:ilvl w:val="0"/>
          <w:numId w:val="18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A540E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EAD74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能源成本核算的基础模型配置单元，按工厂维度维护电、天然气、蒸汽与水等能源的分时费价方案，支持时段电价、基础电费、力调考核与溢价参数配置及版本管理，可实现费价方案跨企业同步复制，为园区能耗成本测算、分时用电经济分析与产品碳成本核算提供能源价格基准。</w:t>
            </w:r>
          </w:p>
          <w:p w14:paraId="2FA76C4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系统管理员（全量费价模型新建、参数维护、版本管理、方案复制与同步下发）。</w:t>
            </w:r>
          </w:p>
          <w:p w14:paraId="53B70C2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页面路由：/system/price-model（左侧导航：系统管理 › 费价模型）。</w:t>
            </w:r>
          </w:p>
          <w:p w14:paraId="1217028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上游依赖：组织管理（企业结构树，用于按工厂维度定位费价方案）。</w:t>
            </w:r>
          </w:p>
          <w:p w14:paraId="589631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下游输出：集控中心能耗成本测算与分时用电经济分析；第三章产品碳足迹的碳成本分量与绿电抵扣计算。</w:t>
            </w:r>
          </w:p>
          <w:p w14:paraId="6A52470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PM）全量可写；其余角色一律只读。费价方案按工厂维度隔离——跨工厂查看或同步，须具备目标工厂所在组织节点的数据范围。</w:t>
            </w:r>
          </w:p>
        </w:tc>
      </w:tr>
    </w:tbl>
    <w:p w14:paraId="5C8F5A51">
      <w:pPr>
        <w:rPr>
          <w:b w:val="0"/>
          <w:bCs w:val="0"/>
        </w:rPr>
      </w:pPr>
    </w:p>
    <w:p w14:paraId="1CCEDED1">
      <w:pPr>
        <w:pStyle w:val="6"/>
        <w:numPr>
          <w:ilvl w:val="0"/>
          <w:numId w:val="18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90478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EF9754">
            <w:pPr>
              <w:pStyle w:val="19"/>
              <w:bidi w:val="0"/>
              <w:ind w:left="0" w:leftChars="0" w:firstLine="0" w:firstLineChars="0"/>
            </w:pPr>
            <w:r>
              <w:rPr>
                <w:b/>
                <w:bCs/>
                <w:lang w:val="en-US" w:eastAsia="zh-CN"/>
              </w:rPr>
              <w:t>业务场景</w:t>
            </w:r>
            <w:r>
              <w:rPr>
                <w:lang w:val="en-US" w:eastAsia="zh-CN"/>
              </w:rPr>
              <w:t>：面向系统管理员进行能源成本核算规则配置场景，按园区工厂维度配置分时能源价格模型，支撑集团能耗成本精细化测算。</w:t>
            </w:r>
          </w:p>
          <w:p w14:paraId="681E1793">
            <w:pPr>
              <w:pStyle w:val="19"/>
              <w:bidi w:val="0"/>
              <w:ind w:left="0" w:leftChars="0" w:firstLine="0" w:firstLineChars="0"/>
            </w:pPr>
            <w:r>
              <w:rPr>
                <w:b/>
                <w:bCs/>
                <w:lang w:val="en-US" w:eastAsia="zh-CN"/>
              </w:rPr>
              <w:t>用户故事</w:t>
            </w:r>
            <w:r>
              <w:rPr>
                <w:lang w:val="en-US" w:eastAsia="zh-CN"/>
              </w:rPr>
              <w:t>：</w:t>
            </w:r>
          </w:p>
          <w:p w14:paraId="2AE0B769">
            <w:pPr>
              <w:pStyle w:val="19"/>
              <w:bidi w:val="0"/>
            </w:pPr>
            <w:r>
              <w:rPr>
                <w:lang w:val="en-US" w:eastAsia="zh-CN"/>
              </w:rPr>
              <w:t>As a 系统管理员 (Persona PM)，</w:t>
            </w:r>
          </w:p>
          <w:p w14:paraId="5E0A166A">
            <w:pPr>
              <w:pStyle w:val="19"/>
              <w:bidi w:val="0"/>
            </w:pPr>
            <w:r>
              <w:rPr>
                <w:lang w:val="en-US" w:eastAsia="zh-CN"/>
              </w:rPr>
              <w:t>I want 配置多维度分时费价规则、维护能源价格模型、同步复制价格方案，</w:t>
            </w:r>
          </w:p>
          <w:p w14:paraId="776A366F">
            <w:pPr>
              <w:pStyle w:val="19"/>
              <w:bidi w:val="0"/>
            </w:pPr>
            <w:r>
              <w:rPr>
                <w:lang w:val="en-US" w:eastAsia="zh-CN"/>
              </w:rPr>
              <w:t>So that 我能支撑集团能源成本统计、分时能耗经济分析，完善能碳经营数据底座。</w:t>
            </w:r>
          </w:p>
        </w:tc>
      </w:tr>
    </w:tbl>
    <w:p w14:paraId="36B4210A">
      <w:pPr>
        <w:rPr>
          <w:b w:val="0"/>
          <w:bCs w:val="0"/>
        </w:rPr>
      </w:pPr>
    </w:p>
    <w:p w14:paraId="149431DF">
      <w:pPr>
        <w:pStyle w:val="6"/>
        <w:numPr>
          <w:ilvl w:val="0"/>
          <w:numId w:val="18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3FCE56B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187A3F0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页面布局：左侧「企业结构树」＋ 右侧「费价方案配置区」（顶部方案条 ＋ 三介质页签 ＋ 五时段卡片 ＋ 分时色带与时段表 ＋ 附加费用卡片 ＋ 版本历史）。</w:t>
            </w:r>
          </w:p>
          <w:p w14:paraId="2F9DE2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（1）企业结构树：点击左侧企业结构树可展开 2、3 级节点；点击工厂节点后，右侧费价模块读取当前工厂的费价方案。</w:t>
            </w:r>
          </w:p>
          <w:p w14:paraId="28F20B9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（2）介质页签：点击【电费费价】【天然气费价】【蒸汽与水费价】切换三个费用模块。</w:t>
            </w:r>
          </w:p>
          <w:p w14:paraId="344C715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（3）切换查看方案：下拉框中显示已保存的费价方案列表，可切换查看历史方案。</w:t>
            </w:r>
          </w:p>
          <w:p w14:paraId="2C5DFDF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（4）复制调价【复制调价（生成新草稿）】：基于当前方案生成新草稿，费价模块变为可编辑状态。</w:t>
            </w:r>
          </w:p>
          <w:p w14:paraId="46824E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（5）新建草稿【新建草稿】：生成一套空白的费价模块。</w:t>
            </w:r>
          </w:p>
          <w:p w14:paraId="70F7EE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（6）正式启用方案【正式启用方案】：将当前方案置为正式生效状态；同工厂同介质原生效方案自动置为「已失效」。</w:t>
            </w:r>
          </w:p>
          <w:p w14:paraId="489F627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（7）执行季节时段【夏季时段】【冬季时段】：切换夏季和冬季峰谷平电力费价方案。</w:t>
            </w:r>
          </w:p>
          <w:p w14:paraId="46FA325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（8）同步到其他企业【同步到其他企业】：打开同步费价方案弹窗，将当前方案复制到下辖其他企业。</w:t>
            </w:r>
          </w:p>
          <w:p w14:paraId="5D20EB0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（9）版本历史：保存后的方案在下方【费价方案版本历史】中展示；点击列表中的方案可查看该方案详情。</w:t>
            </w:r>
          </w:p>
        </w:tc>
      </w:tr>
      <w:tr w14:paraId="69FA0C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207D0">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CB9BA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8E13C6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ADBC1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0773B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460EE2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62A1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企业结构树节点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C30F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选中工厂</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2031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5535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右侧加载该工厂费价方案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3A1F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B7B26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4D78A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介质页签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B6A6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A55C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06E7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费用模块切换为对应介质</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ABE1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D0AD4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82782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方案下拉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D6D5A">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选择历史方案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98120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BF35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方案条与费率卡片刷新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2380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625309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3648A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【复制调价】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5CC0F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生成新草稿</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80BB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当前存在已保存方案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2F84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生成可编辑草稿，记录源版本号</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62C50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提示「请先保存当前方案」</w:t>
            </w:r>
          </w:p>
        </w:tc>
      </w:tr>
      <w:tr w14:paraId="61FE90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9D511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【新建草稿】</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58A7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新建空白方案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2A8C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FFCE4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生成空白可编辑方案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81A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2E07F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7833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【正式启用方案】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BBC9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启用当前方案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F38E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必填项齐全、周期不重叠、时段价不倒挂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409E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状态置「生效中」，原方案转「已失效」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577D3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阻断并定位不满足项</w:t>
            </w:r>
          </w:p>
        </w:tc>
      </w:tr>
      <w:tr w14:paraId="419A32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F48CD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【夏季/冬季时段】</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9972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切换季节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068B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733A7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五时段卡片与色带刷新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A8B2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3DE396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433D23">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【同步到其他企业】</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60BA3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打开同步弹窗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62D7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目标企业 ⊆ 操作者数据范围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C6FA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生成目标企业同名方案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187D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阻断并提示越权企业</w:t>
            </w:r>
          </w:p>
        </w:tc>
      </w:tr>
    </w:tbl>
    <w:p w14:paraId="56548B3C">
      <w:pPr>
        <w:rPr>
          <w:b w:val="0"/>
          <w:bCs w:val="0"/>
        </w:rPr>
      </w:pPr>
    </w:p>
    <w:p w14:paraId="0C67A3E7">
      <w:pPr>
        <w:pStyle w:val="6"/>
        <w:numPr>
          <w:ilvl w:val="0"/>
          <w:numId w:val="18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938"/>
        <w:gridCol w:w="1468"/>
        <w:gridCol w:w="1010"/>
        <w:gridCol w:w="4479"/>
      </w:tblGrid>
      <w:tr w14:paraId="1EF51B5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D82D0">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5AC71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59C99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C4CFD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3AB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0DE893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0764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6AD8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电费费价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1019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D2A7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6C2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电费模块组标题，承载 5 个时段单价与 3 项附加费</w:t>
            </w:r>
          </w:p>
        </w:tc>
      </w:tr>
      <w:tr w14:paraId="23D4CFD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F566F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A59B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天然气费价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7B13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2533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B6B63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天然气模块组标题，承载阶梯气价</w:t>
            </w:r>
          </w:p>
        </w:tc>
      </w:tr>
      <w:tr w14:paraId="13F418DE">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9786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76F87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蒸汽与水费价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8B15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64B9A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488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蒸汽与水模块组标题，按介质逐条配置</w:t>
            </w:r>
          </w:p>
        </w:tc>
      </w:tr>
      <w:tr w14:paraId="1595D75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20C9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5D977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深谷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BD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8CBF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FAB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深谷时段电价；≥0；保留 4 位小数；夏季示例 0.2650</w:t>
            </w:r>
          </w:p>
        </w:tc>
      </w:tr>
      <w:tr w14:paraId="3193CD3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4F5E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A774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低谷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B531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A6D34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元/kWh</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7402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低谷时段电价；≥0；夏季示例 0.3520</w:t>
            </w:r>
          </w:p>
        </w:tc>
      </w:tr>
      <w:tr w14:paraId="54CDEA2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1697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3A0D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平时</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924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C28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946B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平段时段电价；≥0；夏季示例 0.7250</w:t>
            </w:r>
          </w:p>
        </w:tc>
      </w:tr>
      <w:tr w14:paraId="0E17D24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12280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FF304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高峰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0C2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82B3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49D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高峰时段电价；≥0；夏季示例 1.1690</w:t>
            </w:r>
          </w:p>
        </w:tc>
      </w:tr>
      <w:tr w14:paraId="6625BCF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D6CA9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0398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尖峰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D5C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721B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73E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尖峰时段电价；≥0；夏季示例 1.4200；须满足 尖峰 ≥ 高峰 ≥ 平段 ≥ 低谷 ≥ 深谷</w:t>
            </w:r>
          </w:p>
        </w:tc>
      </w:tr>
      <w:tr w14:paraId="0F84867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EF200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CE59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阶梯档位名称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755C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322A3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B32F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天然气阶梯名（如「第一档」「第二档」）</w:t>
            </w:r>
          </w:p>
        </w:tc>
      </w:tr>
      <w:tr w14:paraId="11FF109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4751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8932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月度用气量区间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216B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C8E32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5A5E4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阶梯对应的月用气量区间（如 0~500）；区间须连续且不重叠</w:t>
            </w:r>
          </w:p>
        </w:tc>
      </w:tr>
      <w:tr w14:paraId="0B52CA1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C2050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0CC7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对应结算单价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1AA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47B71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9151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阶梯单价；≥0；保留 4 位小数</w:t>
            </w:r>
          </w:p>
        </w:tc>
      </w:tr>
      <w:tr w14:paraId="334812C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4D14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2BEF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计费说明与适用工序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6EC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BC3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23BC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≤100 字符；说明该阶梯的计费口径与适用工序</w:t>
            </w:r>
          </w:p>
        </w:tc>
      </w:tr>
      <w:tr w14:paraId="0F71B94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1723B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B4F0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介质名称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6D41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B824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CDF6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取值｛蒸汽 / 水 / 软化水 / 除盐水｝</w:t>
            </w:r>
          </w:p>
        </w:tc>
      </w:tr>
      <w:tr w14:paraId="5E14990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1E7D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2BE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供能来源与参数标准</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6583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B9FA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DA4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≤60 字符；如「自备锅炉 1.0MPa 饱和蒸汽」</w:t>
            </w:r>
          </w:p>
        </w:tc>
      </w:tr>
      <w:tr w14:paraId="009A1AC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C7FF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7614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属地结算单价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CDE4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ECF2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元</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198D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必填；≥0；保留 4 位小数；单位由「计量单位」决定</w:t>
            </w:r>
          </w:p>
        </w:tc>
      </w:tr>
      <w:tr w14:paraId="49989B9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BF23E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AE7AB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0A75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2A34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BD5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取值｛元/kWh / 元/m³ / 元/GJ / 元/t / 元/kVA·月 / 元/kW·月｝</w:t>
            </w:r>
          </w:p>
        </w:tc>
      </w:tr>
      <w:tr w14:paraId="46AA316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E89C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6B1F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结算口径说明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46696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14C81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C8E0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≤100 字符；说明结算口径（含税方式、计量边界）</w:t>
            </w:r>
          </w:p>
        </w:tc>
      </w:tr>
      <w:tr w14:paraId="720B4AE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3AB63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B686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版本号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E69EC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D8E40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A983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系统自动生成；格式 vYYYY.NN（如 v2026.01）；不可手工录入</w:t>
            </w:r>
          </w:p>
        </w:tc>
      </w:tr>
      <w:tr w14:paraId="590BAEF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3D5F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B368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方案名称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D46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B076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2BC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必填；≤50 字符；如「2026 年度沈阳市大」</w:t>
            </w:r>
          </w:p>
        </w:tc>
      </w:tr>
      <w:tr w14:paraId="1FB76CA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4C16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D2C0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生效周期</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573E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日期区间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CDDA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日期</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CA6D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必填；start ≤ end；如 2026-01-01 ~ 2026-12-31；同厂同介质不得与在效方案重叠</w:t>
            </w:r>
          </w:p>
        </w:tc>
      </w:tr>
      <w:tr w14:paraId="6F8D89C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8D72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618D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975A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9FF28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35D6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取值｛草稿 / 生效中 / 已失效｝；由「正式启用方案」动作驱动，不可手工改</w:t>
            </w:r>
          </w:p>
        </w:tc>
      </w:tr>
      <w:tr w14:paraId="54323A7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C855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747C8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维护责任人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7BA7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9538C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69F3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默认取当前操作人；≤20 字符</w:t>
            </w:r>
          </w:p>
        </w:tc>
      </w:tr>
      <w:tr w14:paraId="62777CB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3680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C0EC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更新时间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1C0F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D1DD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9485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系统自动写入，精确到秒；不可编辑</w:t>
            </w:r>
          </w:p>
        </w:tc>
      </w:tr>
    </w:tbl>
    <w:p w14:paraId="143D0A32">
      <w:pPr>
        <w:pStyle w:val="19"/>
        <w:bidi w:val="0"/>
        <w:rPr>
          <w:b w:val="0"/>
          <w:bCs w:val="0"/>
        </w:rPr>
      </w:pPr>
    </w:p>
    <w:p w14:paraId="1F9EC239">
      <w:pPr>
        <w:pStyle w:val="6"/>
        <w:numPr>
          <w:ilvl w:val="0"/>
          <w:numId w:val="18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6C440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E82B82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（1）分时电费计算</w:t>
            </w:r>
          </w:p>
          <w:p w14:paraId="1396B03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C_elec = Σ_t (Q_t × P_t)，t ∈ {深谷, 低谷, 平段, 高峰, 尖峰}</w:t>
            </w:r>
          </w:p>
          <w:p w14:paraId="444E70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Q_t 为 t 时段用电量（kWh），P_t 为该时段电价（元/kWh）。</w:t>
            </w:r>
          </w:p>
          <w:p w14:paraId="38EBFC8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（2）两部制电费</w:t>
            </w:r>
          </w:p>
          <w:p w14:paraId="77EE50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C_basic = max(C_capacity, C_demand)</w:t>
            </w:r>
          </w:p>
          <w:p w14:paraId="6C4C12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C_capacity = S_cap × 31.00（元/(kVA·月)），S_cap 为变压器容量（kVA）</w:t>
            </w:r>
          </w:p>
          <w:p w14:paraId="633A482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C_demand   = P_max × 48.00（元/(kW·月)），P_max 为最大需量（kW）</w:t>
            </w:r>
          </w:p>
          <w:p w14:paraId="2E90C5B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（3）力调电费考核</w:t>
            </w:r>
          </w:p>
          <w:p w14:paraId="29F0979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C_pf = C_base × k(cosφ)，基准功率因数 cosφ₀ = 0.90</w:t>
            </w:r>
          </w:p>
          <w:p w14:paraId="7B319C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cosφ ＞ 0.90 → k(cosφ) ＜ 0（节能减收）</w:t>
            </w:r>
          </w:p>
          <w:p w14:paraId="212ED3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cosφ ＜ 0.90 → k(cosφ) ＞ 0（考核增加支出）</w:t>
            </w:r>
          </w:p>
          <w:p w14:paraId="21569FC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（4）直供电碳交易溢价</w:t>
            </w:r>
          </w:p>
          <w:p w14:paraId="732814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C_carbon = Q × α，α 为碳交易价格系数（元/kWh）</w:t>
            </w:r>
          </w:p>
          <w:p w14:paraId="15CF33D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当 α ＞ 0 时，该溢价计入产品碳足迹的成本分量；同时工厂外购绿电及绿证 / 环境权益证书，计入产品碳足迹排放因子的扣减项。</w:t>
            </w:r>
          </w:p>
          <w:p w14:paraId="4B4D86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（5）阶梯气价</w:t>
            </w:r>
          </w:p>
          <w:p w14:paraId="65D1C4E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C_gas = Σ_k (Q_k × P_k)，Q_k 落入第 k 档月度用气量区间，P_k 为该档对应结算单价。</w:t>
            </w:r>
          </w:p>
          <w:p w14:paraId="1FD94F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（6）版本号生成规则</w:t>
            </w:r>
          </w:p>
          <w:p w14:paraId="18500F4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版本号 = "v" + 生效年(YYYY) + "." + 当年顺序号(NN，两位)，如 v2026.01。</w:t>
            </w:r>
          </w:p>
          <w:p w14:paraId="46F74F4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（7）取值示例</w:t>
            </w:r>
          </w:p>
          <w:p w14:paraId="693EF9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深谷 0.2650 元/kWh（新能源弃风弃光时段价）；</w:t>
            </w:r>
          </w:p>
          <w:p w14:paraId="26B54F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低谷 0.3520 元/kWh（燃煤 / 核电机组电价）；</w:t>
            </w:r>
          </w:p>
          <w:p w14:paraId="68459F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平段 0.7250 元/kWh（燃煤基准电价）；</w:t>
            </w:r>
          </w:p>
          <w:p w14:paraId="1BD49FC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高峰 1.1690 元/kWh（日间电力生产活动电价）；</w:t>
            </w:r>
          </w:p>
          <w:p w14:paraId="57C4E9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尖峰 1.4200 元/kWh（短期供需紧张调节电价）；</w:t>
            </w:r>
          </w:p>
          <w:p w14:paraId="3848A35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两部制：变压器容量单价 31.00 元/(kVA·月)、最大需量单价 48.00 元/(kW·月)；</w:t>
            </w:r>
          </w:p>
          <w:p w14:paraId="7C23BD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力调考核：基准功率因数 COSφ = 0.90；</w:t>
            </w:r>
          </w:p>
          <w:p w14:paraId="4612BC8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碳交易价格系数 = 0.0000 元/kWh。</w:t>
            </w:r>
          </w:p>
          <w:p w14:paraId="5B80F6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价格依据：辽发改价格（2025）856 号（2026 年度沈阳市）。</w:t>
            </w:r>
          </w:p>
          <w:p w14:paraId="78C42A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（8）精度与容差</w:t>
            </w:r>
          </w:p>
          <w:p w14:paraId="1C32861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单价保留 4 位小数；成本金额保留 2 位小数，容差 ±0.01 元。</w:t>
            </w:r>
          </w:p>
        </w:tc>
      </w:tr>
    </w:tbl>
    <w:p w14:paraId="5320B45C">
      <w:pPr>
        <w:pStyle w:val="19"/>
        <w:bidi w:val="0"/>
        <w:rPr>
          <w:b w:val="0"/>
          <w:bCs w:val="0"/>
        </w:rPr>
      </w:pPr>
    </w:p>
    <w:p w14:paraId="0060849F">
      <w:pPr>
        <w:pStyle w:val="6"/>
        <w:numPr>
          <w:ilvl w:val="0"/>
          <w:numId w:val="18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2EC0D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94B1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（1）方案条展示：状态标签（生效中）＋ 方案名称（v2026.01 - 2026 年度沈阳市大）＋ 执行周期（2026-01-01 ~ 2026-12-31）＋ 价格依据文件。</w:t>
            </w:r>
          </w:p>
          <w:p w14:paraId="283BB5F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（2）五时段卡片展示：时段名称（中英对照，如 深谷 Deep Valley）＋ 单价（元/kWh，4 位小数）＋ 价格来源说明。</w:t>
            </w:r>
          </w:p>
          <w:p w14:paraId="236B98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（3）分时色带与时段表：周 24 小时按 30 分钟槽着色（深谷 / 低谷 / 平段 / 高峰 / 尖峰五色，图例常在），下方为时段划分表（槽序 / 时段数 / 时段电价）。</w:t>
            </w:r>
          </w:p>
          <w:p w14:paraId="6B4C881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（4）附加费用卡片三枚：两部制核算本电费、力调电费考核规则、直供电碳交易溢价。</w:t>
            </w:r>
          </w:p>
          <w:p w14:paraId="6A96E5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（5）排序规则：介质页签固定序（电费费价 → 天然气费价 → 蒸汽与水费价）；版本历史按版本号降序。</w:t>
            </w:r>
          </w:p>
          <w:p w14:paraId="555113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（6）状态判定口径：</w:t>
            </w:r>
          </w:p>
          <w:p w14:paraId="290338E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生效中 ＝ 状态字段为「生效中」且当前日期落在生效周期内；</w:t>
            </w:r>
          </w:p>
          <w:p w14:paraId="6E80D3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草稿 ＝ 已保存但未启用；</w:t>
            </w:r>
          </w:p>
          <w:p w14:paraId="28132C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 已失效 ＝ 生效周期已过，或已被同厂同介质的新版本替代。</w:t>
            </w:r>
          </w:p>
          <w:p w14:paraId="2B9C9C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（7）一致性口径：同一工厂同一介质在同一时刻仅允许一个「生效中」方案；五时段价格须满足单调关系（尖峰 ≥ 高峰 ≥ 平段 ≥ 低谷 ≥ 深谷）。</w:t>
            </w:r>
          </w:p>
          <w:p w14:paraId="45DBAA8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（8）基准来源：电价口径与依据文件取自</w:t>
            </w:r>
            <w:r>
              <w:rPr>
                <w:rFonts w:hint="eastAsia" w:ascii="宋体" w:hAnsi="宋体" w:eastAsia="宋体" w:cs="宋体"/>
                <w:b w:val="0"/>
                <w:bCs/>
                <w:sz w:val="24"/>
                <w:szCs w:val="24"/>
                <w:lang w:val="en-US" w:eastAsia="zh-CN" w:bidi="ar-SA"/>
              </w:rPr>
              <w:t>配置</w:t>
            </w:r>
            <w:r>
              <w:rPr>
                <w:rFonts w:hint="eastAsia" w:ascii="宋体" w:hAnsi="宋体" w:eastAsia="宋体" w:cs="宋体"/>
                <w:b w:val="0"/>
                <w:bCs/>
                <w:sz w:val="24"/>
                <w:szCs w:val="24"/>
                <w:lang w:val="en-US" w:eastAsia="en-US" w:bidi="ar-SA"/>
              </w:rPr>
              <w:t>；两部制与力调参数取自当地电网结算规则。</w:t>
            </w:r>
          </w:p>
        </w:tc>
      </w:tr>
    </w:tbl>
    <w:p w14:paraId="4AFFD8D0">
      <w:pPr>
        <w:pStyle w:val="19"/>
        <w:bidi w:val="0"/>
        <w:rPr>
          <w:b w:val="0"/>
          <w:bCs w:val="0"/>
        </w:rPr>
      </w:pPr>
    </w:p>
    <w:p w14:paraId="165551A1">
      <w:pPr>
        <w:pStyle w:val="6"/>
        <w:numPr>
          <w:ilvl w:val="0"/>
          <w:numId w:val="18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05C382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92527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（1）时段价格倒挂拦截：五时段价格不满足「尖峰 ≥ 高峰 ≥ 平段 ≥ 低谷 ≥ 深谷」时，阻断，返回 E_SYS_PRICE_TIER_INVERSION。</w:t>
            </w:r>
          </w:p>
          <w:p w14:paraId="5A0B38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（2）费率负值拦截：任一时段单价 ＜ 0 时，阻断，返回 E_SYS_PRICE_VALUE_NEGATIVE。</w:t>
            </w:r>
          </w:p>
          <w:p w14:paraId="6454E9A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（3）生效周期冲突：同一工厂同介质已存在生效周期重叠的「生效中」方案时，阻断，返回 E_SYS_PRICE_PERIOD_OVERLAP。</w:t>
            </w:r>
          </w:p>
          <w:p w14:paraId="4986813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（4）生效周期非法：生效周期 start ＞ end 时，阻断，返回 E_SYS_PRICE_PERIOD_INVALID。</w:t>
            </w:r>
          </w:p>
          <w:p w14:paraId="12332F4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（5）跨企业同步越权：同步目标企业不在操作者数据范围内时，阻断并列出越权企业，返回 E_SYS_PRICE_SYNC_OUT_OF_SCOPE。</w:t>
            </w:r>
          </w:p>
          <w:p w14:paraId="65A383A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（6）启用前置校验：方案存在未填写必填项（介质单价 / 方案名称 / 生效周期）时，「正式启用方案」按钮置灰并悬浮提示缺失项。</w:t>
            </w:r>
          </w:p>
          <w:p w14:paraId="760AE2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（7）复制调价留痕：复制生成的新草稿须记录源方案版本号与操作人，形成版本血缘链。</w:t>
            </w:r>
          </w:p>
          <w:p w14:paraId="7081032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（8）阶梯区间不连续拦截：天然气阶梯的月度用气量区间出现重叠或断档时，阻断，返回 E_SYS_PRICE_TIER_GAP。</w:t>
            </w:r>
          </w:p>
          <w:p w14:paraId="7ED5DB4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（9）越权写拦截：非 P4 角色调用本模块写接口时，返回 HTTP 403，触发 E_AUTH_RBAC_FORBIDDEN。</w:t>
            </w:r>
          </w:p>
        </w:tc>
      </w:tr>
    </w:tbl>
    <w:p w14:paraId="0EA435A3">
      <w:pPr>
        <w:rPr>
          <w:b w:val="0"/>
          <w:bCs w:val="0"/>
        </w:rPr>
      </w:pPr>
    </w:p>
    <w:p w14:paraId="1C59A583">
      <w:pPr>
        <w:pStyle w:val="6"/>
        <w:numPr>
          <w:ilvl w:val="0"/>
          <w:numId w:val="18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EF4D1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5AC7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费价模型配置</w:t>
            </w:r>
          </w:p>
          <w:p w14:paraId="33C506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按工厂维度新建费价方案草稿</w:t>
            </w:r>
          </w:p>
          <w:p w14:paraId="64A73DB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费价模型 并在左侧企业结构树选中「沈变本部」</w:t>
            </w:r>
          </w:p>
          <w:p w14:paraId="7B93B18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点击【新建草稿】，在电费费价页签填写深谷 0.2650、低谷 0.3520、平段 0.7250、高峰 1.1690、尖峰 1.4200（元/kWh）并保存</w:t>
            </w:r>
          </w:p>
          <w:p w14:paraId="7E4557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方案保存为「草稿」状态</w:t>
            </w:r>
          </w:p>
          <w:p w14:paraId="5FD6A5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版本号自动生成为 v2026.02</w:t>
            </w:r>
          </w:p>
          <w:p w14:paraId="589A9C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复制调价生成新草稿并记录血缘</w:t>
            </w:r>
          </w:p>
          <w:p w14:paraId="6F8A4F0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「沈变本部」存在生效中方案 v2026.01</w:t>
            </w:r>
          </w:p>
          <w:p w14:paraId="71C74C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点击【复制调价（生成新草稿）】</w:t>
            </w:r>
          </w:p>
          <w:p w14:paraId="7657E4D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系统生成新草稿，费价模块变为可编辑状态</w:t>
            </w:r>
          </w:p>
          <w:p w14:paraId="56A4EC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新草稿记录源方案版本号 v2026.01</w:t>
            </w:r>
          </w:p>
          <w:p w14:paraId="7DB1FB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时段价格倒挂被拦截</w:t>
            </w:r>
          </w:p>
          <w:p w14:paraId="61F45FA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正在编辑电费费价</w:t>
            </w:r>
          </w:p>
          <w:p w14:paraId="32CB4EF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将尖峰设为 0.9000（低于高峰 1.1690）并保存</w:t>
            </w:r>
          </w:p>
          <w:p w14:paraId="1539BB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系统阻断并提示「尖峰电价不得低于高峰电价」</w:t>
            </w:r>
          </w:p>
          <w:p w14:paraId="4BFFCFC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E_SYS_PRICE_TIER_INVERSION</w:t>
            </w:r>
          </w:p>
          <w:p w14:paraId="4BDBE9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正式启用方案并联动失效旧版</w:t>
            </w:r>
          </w:p>
          <w:p w14:paraId="50CA493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草稿方案的必填项已全部填写且周期不重叠</w:t>
            </w:r>
          </w:p>
          <w:p w14:paraId="7C6D595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点击【正式启用方案】</w:t>
            </w:r>
          </w:p>
          <w:p w14:paraId="20E3C9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该方案状态变为「生效中」</w:t>
            </w:r>
          </w:p>
          <w:p w14:paraId="5128C1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同工厂同介质原「生效中」方案状态变为「已失效」</w:t>
            </w:r>
          </w:p>
          <w:p w14:paraId="5F7704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生效周期重叠被阻断</w:t>
            </w:r>
          </w:p>
          <w:p w14:paraId="378018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「沈变本部」已存在 2026-01-01 ~ 2026-12-31 的生效中方案</w:t>
            </w:r>
          </w:p>
          <w:p w14:paraId="683D239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新建方案并填写生效周期 2026-06-01 ~ 2026-12-31 后启用</w:t>
            </w:r>
          </w:p>
          <w:p w14:paraId="3F806CD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系统阻断并提示周期重叠</w:t>
            </w:r>
          </w:p>
          <w:p w14:paraId="2F712A2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E_SYS_PRICE_PERIOD_OVERLAP</w:t>
            </w:r>
          </w:p>
          <w:p w14:paraId="4898A5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跨企业同步越权被阻断</w:t>
            </w:r>
          </w:p>
          <w:p w14:paraId="217D73C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操作者数据范围仅含「沈变本部」</w:t>
            </w:r>
          </w:p>
          <w:p w14:paraId="1227019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点击【同步到其他企业】并选择「衡变本部」</w:t>
            </w:r>
          </w:p>
          <w:p w14:paraId="5014B5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系统阻断并提示超出数据范围</w:t>
            </w:r>
          </w:p>
          <w:p w14:paraId="55BB8B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E_SYS_PRICE_SYNC_OUT_OF_SCOPE</w:t>
            </w:r>
          </w:p>
          <w:p w14:paraId="1BC6588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季节时段切换</w:t>
            </w:r>
          </w:p>
          <w:p w14:paraId="5EA16E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当前执行时段为「夏季时段」</w:t>
            </w:r>
          </w:p>
          <w:p w14:paraId="6D8864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点击「冬季时段」</w:t>
            </w:r>
          </w:p>
          <w:p w14:paraId="722328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五时段卡片与分时色带切换为冬季峰谷平方案</w:t>
            </w:r>
          </w:p>
        </w:tc>
      </w:tr>
    </w:tbl>
    <w:p w14:paraId="75F60FA6">
      <w:pPr>
        <w:rPr>
          <w:rFonts w:hint="eastAsia"/>
          <w:b w:val="0"/>
          <w:bCs w:val="0"/>
          <w:lang w:val="en-US" w:eastAsia="zh-CN"/>
        </w:rPr>
      </w:pPr>
    </w:p>
    <w:p w14:paraId="28F74143">
      <w:pPr>
        <w:pStyle w:val="4"/>
        <w:numPr>
          <w:ilvl w:val="0"/>
          <w:numId w:val="176"/>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5" w:name="_Toc29700"/>
      <w:r>
        <w:rPr>
          <w:rFonts w:hint="eastAsia" w:ascii="Times New Roman" w:hAnsi="Times New Roman" w:eastAsia="黑体" w:cs="Times New Roman"/>
          <w:b w:val="0"/>
          <w:bCs w:val="0"/>
          <w:sz w:val="30"/>
          <w:szCs w:val="32"/>
          <w:lang w:val="en-US" w:eastAsia="zh-CN"/>
        </w:rPr>
        <w:t>生产设备维护</w:t>
      </w:r>
      <w:bookmarkEnd w:id="75"/>
    </w:p>
    <w:p w14:paraId="6F31EB53">
      <w:pPr>
        <w:pStyle w:val="19"/>
        <w:bidi w:val="0"/>
        <w:rPr>
          <w:rFonts w:hint="eastAsia" w:eastAsia="宋体"/>
          <w:b w:val="0"/>
          <w:bCs/>
          <w:lang w:eastAsia="zh-CN"/>
        </w:rPr>
      </w:pPr>
      <w:r>
        <w:rPr>
          <w:rFonts w:hint="eastAsia"/>
          <w:b w:val="0"/>
          <w:bCs/>
          <w:lang w:val="en-US" w:eastAsia="zh-CN"/>
        </w:rPr>
        <w:t>本板块是能碳数据的设备维度主数据源，为能耗分项统计、设备能效分析、绿电发电量统计与新能源资产核算提供基础台账。板块按设备属性划分为两类：重点用能设备（耗能侧）与光伏设备（产能侧）。二者共同构成「耗能—产能」双向设备底座。</w:t>
      </w:r>
    </w:p>
    <w:p w14:paraId="2A41F27D">
      <w:pPr>
        <w:pStyle w:val="19"/>
        <w:bidi w:val="0"/>
        <w:rPr>
          <w:rFonts w:hint="eastAsia" w:eastAsia="宋体"/>
          <w:lang w:eastAsia="zh-CN"/>
        </w:rPr>
      </w:pPr>
      <w:r>
        <w:rPr>
          <w:rFonts w:hint="eastAsia"/>
          <w:lang w:val="en-US" w:eastAsia="zh-CN"/>
        </w:rPr>
        <w:t>边界声明：本板块只维护设备台账静态属性，不写入实时运行数据；实时功率、发电量等动态数据由集控中心通过物联网采集通道获取并按设备编码挂接。设备一经被监测点位挂接即成为受控主数据，禁止直接删除，只能停用。</w:t>
      </w:r>
    </w:p>
    <w:p w14:paraId="251D4F51">
      <w:pPr>
        <w:pStyle w:val="19"/>
        <w:bidi w:val="0"/>
        <w:rPr>
          <w:rFonts w:hint="eastAsia" w:eastAsia="宋体"/>
          <w:lang w:eastAsia="zh-CN"/>
        </w:rPr>
      </w:pPr>
      <w:r>
        <w:rPr>
          <w:rFonts w:hint="eastAsia"/>
          <w:lang w:val="en-US" w:eastAsia="zh-CN"/>
        </w:rPr>
        <w:t>输入输出链：组织管理的企业与园区主数据 → 设备台账（关联企业 / 归属园区 / 安装位置）→ 设备编码 → 集控中心监测点位挂接 → 能耗分项统计、设备能效分析与绿电减排核算。</w:t>
      </w:r>
    </w:p>
    <w:p w14:paraId="37F64CA1">
      <w:pPr>
        <w:pStyle w:val="5"/>
        <w:numPr>
          <w:ilvl w:val="0"/>
          <w:numId w:val="188"/>
        </w:numPr>
        <w:ind w:left="0" w:leftChars="0" w:firstLine="0" w:firstLineChars="0"/>
        <w:outlineLvl w:val="1"/>
        <w:rPr>
          <w:rFonts w:hint="default"/>
          <w:b w:val="0"/>
          <w:bCs w:val="0"/>
          <w:lang w:val="en-US" w:eastAsia="zh-CN"/>
        </w:rPr>
      </w:pPr>
      <w:bookmarkStart w:id="76" w:name="_Toc8302"/>
      <w:r>
        <w:rPr>
          <w:rFonts w:hint="eastAsia"/>
          <w:b w:val="0"/>
          <w:bCs w:val="0"/>
          <w:lang w:val="en-US" w:eastAsia="zh-CN"/>
        </w:rPr>
        <w:t>重点用能设备</w:t>
      </w:r>
      <w:bookmarkEnd w:id="76"/>
    </w:p>
    <w:p w14:paraId="2941A21F">
      <w:pPr>
        <w:rPr>
          <w:b w:val="0"/>
          <w:bCs w:val="0"/>
        </w:rPr>
      </w:pPr>
      <w:r>
        <w:drawing>
          <wp:inline distT="0" distB="0" distL="114300" distR="114300">
            <wp:extent cx="5900420" cy="2925445"/>
            <wp:effectExtent l="0" t="0" r="5080" b="8255"/>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102"/>
                    <a:stretch>
                      <a:fillRect/>
                    </a:stretch>
                  </pic:blipFill>
                  <pic:spPr>
                    <a:xfrm>
                      <a:off x="0" y="0"/>
                      <a:ext cx="5900420" cy="2925445"/>
                    </a:xfrm>
                    <a:prstGeom prst="rect">
                      <a:avLst/>
                    </a:prstGeom>
                    <a:noFill/>
                    <a:ln>
                      <a:noFill/>
                    </a:ln>
                  </pic:spPr>
                </pic:pic>
              </a:graphicData>
            </a:graphic>
          </wp:inline>
        </w:drawing>
      </w:r>
    </w:p>
    <w:p w14:paraId="7B514B0A">
      <w:pPr>
        <w:pStyle w:val="6"/>
        <w:numPr>
          <w:ilvl w:val="0"/>
          <w:numId w:val="18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91105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4D45F7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设备维护模块下重点用能设备的基础台账管理单元，按企业、车间维度维护重点用能设备基础信息，记录设备能源消耗类型、额定功率、运行状态等属性，支持设备新增、信息编辑与数据导出，为能耗分项统计、设备能效分析、重点用能管控提供设备基础主数据，是能耗精细化管理的前置基础依赖。</w:t>
            </w:r>
          </w:p>
          <w:p w14:paraId="2B8388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系统管理员（全量重点用能设备台账新增、设备信息维护、状态管理与数据导出）。</w:t>
            </w:r>
          </w:p>
          <w:p w14:paraId="6A49295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页面路由：/system/device/key-energy（左侧导航：系统管理 › 生产设备维护 › 重点用能设备）。</w:t>
            </w:r>
          </w:p>
          <w:p w14:paraId="556089F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上游依赖：组织管理（关联企业取值域，须为组织树中状态正常的工厂节点）。</w:t>
            </w:r>
          </w:p>
          <w:p w14:paraId="3DF731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下游输出：集控中心「重点用能设备监测」（按设备编码逐台挂接实时监测）；能耗分项统计与设备能效分析。</w:t>
            </w:r>
          </w:p>
          <w:p w14:paraId="36946E0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PM）全量可写；其余角色一律只读。设备按所属工厂隔离——跨工厂查看须具备目标工厂所在组织节点的数据范围。</w:t>
            </w:r>
          </w:p>
        </w:tc>
      </w:tr>
    </w:tbl>
    <w:p w14:paraId="509E8F67">
      <w:pPr>
        <w:rPr>
          <w:b w:val="0"/>
          <w:bCs w:val="0"/>
        </w:rPr>
      </w:pPr>
    </w:p>
    <w:p w14:paraId="305CB4BE">
      <w:pPr>
        <w:pStyle w:val="6"/>
        <w:numPr>
          <w:ilvl w:val="0"/>
          <w:numId w:val="18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9F171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EB96C5">
            <w:pPr>
              <w:pStyle w:val="19"/>
              <w:bidi w:val="0"/>
              <w:ind w:left="0" w:leftChars="0" w:firstLine="0" w:firstLineChars="0"/>
            </w:pPr>
            <w:r>
              <w:rPr>
                <w:b/>
                <w:bCs/>
                <w:lang w:val="en-US" w:eastAsia="zh-CN"/>
              </w:rPr>
              <w:t>业务场景</w:t>
            </w:r>
            <w:r>
              <w:rPr>
                <w:lang w:val="en-US" w:eastAsia="zh-CN"/>
              </w:rPr>
              <w:t>：面向系统管理员进行高耗能设备台账规范化管理场景，统一录入维护集团各园区、工厂重点用能设备基础档案，支撑设备级能耗分析。</w:t>
            </w:r>
          </w:p>
          <w:p w14:paraId="5EF9FF78">
            <w:pPr>
              <w:pStyle w:val="19"/>
              <w:bidi w:val="0"/>
              <w:ind w:left="0" w:leftChars="0" w:firstLine="0" w:firstLineChars="0"/>
            </w:pPr>
            <w:r>
              <w:rPr>
                <w:b/>
                <w:bCs/>
                <w:lang w:val="en-US" w:eastAsia="zh-CN"/>
              </w:rPr>
              <w:t>用户故事</w:t>
            </w:r>
            <w:r>
              <w:rPr>
                <w:lang w:val="en-US" w:eastAsia="zh-CN"/>
              </w:rPr>
              <w:t>：</w:t>
            </w:r>
          </w:p>
          <w:p w14:paraId="2943AA05">
            <w:pPr>
              <w:pStyle w:val="19"/>
              <w:bidi w:val="0"/>
            </w:pPr>
            <w:r>
              <w:rPr>
                <w:lang w:val="en-US" w:eastAsia="zh-CN"/>
              </w:rPr>
              <w:t>As a 系统管理员 (Persona PM)，</w:t>
            </w:r>
          </w:p>
          <w:p w14:paraId="7A700C80">
            <w:pPr>
              <w:pStyle w:val="19"/>
              <w:bidi w:val="0"/>
            </w:pPr>
            <w:r>
              <w:rPr>
                <w:lang w:val="en-US" w:eastAsia="zh-CN"/>
              </w:rPr>
              <w:t>I want 统一维护全集团重点用能设备台账、设备参数与运行状态，</w:t>
            </w:r>
          </w:p>
          <w:p w14:paraId="03882149">
            <w:pPr>
              <w:pStyle w:val="19"/>
              <w:bidi w:val="0"/>
            </w:pPr>
            <w:r>
              <w:rPr>
                <w:lang w:val="en-US" w:eastAsia="zh-CN"/>
              </w:rPr>
              <w:t>So that 我能为能耗分项统计、设备能效分析、能源大盘溯源提供完整设备基础数据。</w:t>
            </w:r>
          </w:p>
        </w:tc>
      </w:tr>
    </w:tbl>
    <w:p w14:paraId="72DA0DD4">
      <w:pPr>
        <w:rPr>
          <w:b w:val="0"/>
          <w:bCs w:val="0"/>
        </w:rPr>
      </w:pPr>
    </w:p>
    <w:p w14:paraId="4CA351EF">
      <w:pPr>
        <w:pStyle w:val="6"/>
        <w:numPr>
          <w:ilvl w:val="0"/>
          <w:numId w:val="18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467E5EE3">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35890C8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页面布局：条件筛选区 ＋ 设备列表 ＋ 右上角【新增重点设备】【导出】。</w:t>
            </w:r>
          </w:p>
          <w:p w14:paraId="5EEA108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（1）条件筛选：支持按关联企业、生产企业、能源消耗类型（消耗介质）、状态筛选；搜索框「请输入设备名称、车间工厂」按名称 / 安装位置模糊匹配。</w:t>
            </w:r>
          </w:p>
          <w:p w14:paraId="7E1A0D7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重置：点【查询】按条件过滤；点【重置】清空全部条件。</w:t>
            </w:r>
          </w:p>
          <w:p w14:paraId="11873E3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（3）新增重点设备【新增重点设备】：打开新增重点设备弹窗，填写设备名称、关联企业、安装位置 / 车间、设备能源消耗类型、额定功率、状态。</w:t>
            </w:r>
          </w:p>
          <w:p w14:paraId="66FBAD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（4）导出【导出】：将列表内数据导出到 Excel（.xlsx），导出范围为当前筛选条件下的全部行（非当前页）。</w:t>
            </w:r>
          </w:p>
          <w:p w14:paraId="384F48C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（5）详情【详情】：打开设备详情窗口，展示台账全字段及运行状态。</w:t>
            </w:r>
          </w:p>
          <w:p w14:paraId="1063121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（6）编辑【编辑】：打开编辑窗口，回填设备信息。</w:t>
            </w:r>
          </w:p>
          <w:p w14:paraId="4D49917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（7）删除【删除】：打开弹窗，点击取消后关闭弹窗，点击确定后关闭弹窗并删除数据；已被集控监测点位挂接的设备禁止删除。</w:t>
            </w:r>
          </w:p>
        </w:tc>
      </w:tr>
      <w:tr w14:paraId="2A4277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600ACF">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807B8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40E9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7D7290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725BF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0B41287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A357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D9BE3A">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CEEA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78D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59EF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73875F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10C9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【新增重点设备】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EA56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BA36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F93A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7EFE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DC03B5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6DCDF">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ECE6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77DEB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同企业内名称唯一；功率 ∈ (0, 100000]；企业状态正常；能源类型 ≥ 1</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BF39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列表新增该行，状态默认「启用」</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2EF1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5F0AA8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018D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102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C3927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E6E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 .xlsx（当前筛选全量行）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D201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超限时提示分批导出</w:t>
            </w:r>
          </w:p>
        </w:tc>
      </w:tr>
      <w:tr w14:paraId="28F511D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3653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23D0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6049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F68B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展示全字段与运行状态</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74B6C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BF6850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839D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89A4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25A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61FC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E95E9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6CF937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DEAEA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4719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5D64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未被监测点位挂接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5F4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2344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阻断并提示挂接信息</w:t>
            </w:r>
          </w:p>
        </w:tc>
      </w:tr>
    </w:tbl>
    <w:p w14:paraId="3C4B264F">
      <w:pPr>
        <w:rPr>
          <w:b w:val="0"/>
          <w:bCs w:val="0"/>
        </w:rPr>
      </w:pPr>
    </w:p>
    <w:p w14:paraId="1DF48548">
      <w:pPr>
        <w:pStyle w:val="6"/>
        <w:numPr>
          <w:ilvl w:val="0"/>
          <w:numId w:val="18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906"/>
        <w:gridCol w:w="1468"/>
        <w:gridCol w:w="1042"/>
        <w:gridCol w:w="4479"/>
      </w:tblGrid>
      <w:tr w14:paraId="1A381AA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4119E3">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9B03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F93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2E151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EB293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711913B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3074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FA7F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重点用能设备名称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FBAD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C1ED0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CC7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必填；≤60 字符；同企业内唯一；如「1# 1000kV 特高压自耦变压器组」</w:t>
            </w:r>
          </w:p>
        </w:tc>
      </w:tr>
      <w:tr w14:paraId="5C53DAC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64E4C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3BFF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关联企业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AE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8F179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A4032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必填；格式「企业·工厂」（如「沈变公司·沈变本部」）；须为组织树中状态正常的工厂节点</w:t>
            </w:r>
          </w:p>
        </w:tc>
      </w:tr>
      <w:tr w14:paraId="47CC214E">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40C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1F6CA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安装位置/车间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9D260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D5AA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180CF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必填；≤60 字符；如「特高压一车间（真空注油间）」</w:t>
            </w:r>
          </w:p>
        </w:tc>
      </w:tr>
      <w:tr w14:paraId="208F1C3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DDBE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14A24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设备能源消耗类型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C948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6D94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84794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取值｛电力 / 天然气 / 蒸汽 / 压缩空气 / 水｝；至少选 1 项；列表以 chip 展示</w:t>
            </w:r>
          </w:p>
        </w:tc>
      </w:tr>
      <w:tr w14:paraId="7B56119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FC865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B1E0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额定功率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120E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C8331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kW</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0A8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 0；≤ 100000；列表展示带千分位（4,680）</w:t>
            </w:r>
          </w:p>
        </w:tc>
      </w:tr>
      <w:tr w14:paraId="1555425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DACB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06AE7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CC6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9AF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690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取值｛启用 / 停用｝；默认「启用」；关联企业停用时联动失效</w:t>
            </w:r>
          </w:p>
        </w:tc>
      </w:tr>
    </w:tbl>
    <w:p w14:paraId="278E740C">
      <w:pPr>
        <w:pStyle w:val="19"/>
        <w:bidi w:val="0"/>
        <w:rPr>
          <w:b w:val="0"/>
          <w:bCs w:val="0"/>
        </w:rPr>
      </w:pPr>
    </w:p>
    <w:p w14:paraId="3AFDF9A4">
      <w:pPr>
        <w:pStyle w:val="6"/>
        <w:numPr>
          <w:ilvl w:val="0"/>
          <w:numId w:val="18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A7B0C88">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889FD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（1）设备编码规则（隐含主键，用于监测点位挂接）</w:t>
            </w:r>
          </w:p>
          <w:p w14:paraId="2FAD255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设备编码 = "DEV-" + 企业缩写 + "-" + 4 位顺序号</w:t>
            </w:r>
          </w:p>
          <w:p w14:paraId="32E509C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示例：DEV-SBB-0001（沈变本部第 1 台重点用能设备）。页面不直接展示，但为集控监测挂接的唯一凭据。</w:t>
            </w:r>
          </w:p>
          <w:p w14:paraId="6C1EA2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（2）额定功率合计</w:t>
            </w:r>
          </w:p>
          <w:p w14:paraId="7E23940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P_total(企业) = Σ P_rated(该企业全部「启用」状态的重点用能设备)</w:t>
            </w:r>
          </w:p>
          <w:p w14:paraId="7D80D9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用途：企业设备装机容量统计与最大需量申报参考。</w:t>
            </w:r>
          </w:p>
          <w:p w14:paraId="57D00CA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（3）设备能耗占比</w:t>
            </w:r>
          </w:p>
          <w:p w14:paraId="1557EA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Share(d) = E_d / Σ E_i × 100%</w:t>
            </w:r>
          </w:p>
          <w:p w14:paraId="7BFCA93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E_d 为该设备能耗，Σ E_i 为企业全部重点用能设备能耗之和。占比 ≥ 10% 的设备在集控大盘中标红，作为重点管控对象。</w:t>
            </w:r>
          </w:p>
          <w:p w14:paraId="63DF55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78023C0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 1000kV 特高压自耦变压器组（沈变公司·沈变本部 / 特高压一车间（真空注油间）/ 电力 / 4,680 kW）；</w:t>
            </w:r>
          </w:p>
          <w:p w14:paraId="386BA12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 特高压变压器高压蒸汽干燥组 3,950 kW；1# 1000kV 特高压工序试验机组 2,850 kW；</w:t>
            </w:r>
          </w:p>
          <w:p w14:paraId="2A4ACD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 洁净装置配套油处理绝缘油真空滤机组 820 kW；1# 滤油装置配套净化机组 1,420 kW；</w:t>
            </w:r>
          </w:p>
          <w:p w14:paraId="59AF9D5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 厂区光储充微电网并网逆变器组 1,650 kW；1# 800kV 特高压干式电容套管烘干炉 1,850 kW；</w:t>
            </w:r>
          </w:p>
          <w:p w14:paraId="1FE2570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 500kV 互感器绝缘油真空机组 1,120 kW；1# 变压器绝缘件模板热压型生产线 980 kW；</w:t>
            </w:r>
          </w:p>
          <w:p w14:paraId="74CD736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 煤粉管道燃料及热源顶系统 1,050 kW；1# 750kV 大型发电机主变压器组 3,600 kW；</w:t>
            </w:r>
          </w:p>
          <w:p w14:paraId="1CAF646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 特高压绕组车间中央空调机组 750 kW；大型油真空净化与再生机组 2,450 kW；</w:t>
            </w:r>
          </w:p>
          <w:p w14:paraId="222CD5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1200kV 特高压冲击电压发生器成套装置 4,180 kW。</w:t>
            </w:r>
          </w:p>
          <w:p w14:paraId="6CB596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（5）精度与容差</w:t>
            </w:r>
          </w:p>
          <w:p w14:paraId="7A0F186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额定功率保留 0 位小数（整数 kW），容差 0。</w:t>
            </w:r>
          </w:p>
        </w:tc>
      </w:tr>
    </w:tbl>
    <w:p w14:paraId="7A58C020">
      <w:pPr>
        <w:pStyle w:val="19"/>
        <w:bidi w:val="0"/>
        <w:rPr>
          <w:b w:val="0"/>
          <w:bCs w:val="0"/>
        </w:rPr>
      </w:pPr>
    </w:p>
    <w:p w14:paraId="0B0D608D">
      <w:pPr>
        <w:pStyle w:val="6"/>
        <w:numPr>
          <w:ilvl w:val="0"/>
          <w:numId w:val="18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770948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F5927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列）：序号、重点用能设备名称、关联企业、安装位置/车间、设备能源消耗类型、额定功率、状态、操作。</w:t>
            </w:r>
          </w:p>
          <w:p w14:paraId="40F29A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（2）关联企业以「企业·工厂」复合格式展示——企业名为主色，工厂名以灰色辅助字体呈现。</w:t>
            </w:r>
          </w:p>
          <w:p w14:paraId="4F975BB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（3）能源消耗类型以 chip 并列展示；超过 2 项时折叠为「+N」，悬浮展开全部。</w:t>
            </w:r>
          </w:p>
          <w:p w14:paraId="1E73F9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（4）额定功率按千分位右对齐，单位 kW 以灰色辅助字体呈现。</w:t>
            </w:r>
          </w:p>
          <w:p w14:paraId="4744097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（5）排序规则：默认按额定功率降序（高耗能设备置顶）；支持点击表头切换排序。</w:t>
            </w:r>
          </w:p>
          <w:p w14:paraId="7E8C3C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（6）状态口径：启用（绿标签）＝ 状态字段为「启用」且关联企业状态为「正常」；停用（灰标签）＝ 状态字段为「停用」或关联企业已停用（继承性失效）。</w:t>
            </w:r>
          </w:p>
          <w:p w14:paraId="296B6FB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（7）统计口径：页面可展示设备总数与额定功率合计；停用设备不计入合计。</w:t>
            </w:r>
          </w:p>
          <w:p w14:paraId="5EA4F2F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（8）基准来源：示例设备清单（14 台）取自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；能源消耗类型枚举取自筛选器「全部消耗介质」。</w:t>
            </w:r>
          </w:p>
        </w:tc>
      </w:tr>
    </w:tbl>
    <w:p w14:paraId="59ECD673">
      <w:pPr>
        <w:pStyle w:val="19"/>
        <w:bidi w:val="0"/>
        <w:rPr>
          <w:b w:val="0"/>
          <w:bCs w:val="0"/>
        </w:rPr>
      </w:pPr>
    </w:p>
    <w:p w14:paraId="687B866B">
      <w:pPr>
        <w:pStyle w:val="6"/>
        <w:numPr>
          <w:ilvl w:val="0"/>
          <w:numId w:val="18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F19164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866FA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（1）设备名称重复阻断：同一企业内设备名称重复时，阻断，返回 E_SYS_DEV_NAME_DUP。</w:t>
            </w:r>
          </w:p>
          <w:p w14:paraId="19D6098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（2）额定功率非法拦截：额定功率 ≤ 0 或 ＞ 100000 时，阻断，返回 E_SYS_DEV_POWER_OUT_OF_RANGE。</w:t>
            </w:r>
          </w:p>
          <w:p w14:paraId="76B5EED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（3）在用设备删除阻断：设备已被集控监测点位挂接时，禁止删除，返回 E_SYS_DEV_IN_USE_DELETE_DENIED，并列出挂接点位清单。</w:t>
            </w:r>
          </w:p>
          <w:p w14:paraId="1AF02C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（4）关联企业停用拦截：所选工厂节点已停用时，阻断，返回 E_SYS_DEV_ORG_DISABLED。</w:t>
            </w:r>
          </w:p>
          <w:p w14:paraId="6F04826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（5）能源类型必选：未选择任何能源消耗类型时，阻断，返回 E_SYS_DEV_ENERGY_TYPE_REQUIRED。</w:t>
            </w:r>
          </w:p>
          <w:p w14:paraId="6E37335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（6）导出范围控制：导出文件行数上限 100,000 行；超限时提示分批导出，返回告警 E_SYS_EXPORT_LIMIT_EXCEEDED。</w:t>
            </w:r>
          </w:p>
          <w:p w14:paraId="71AE9A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（7）批量导入校验：逐行校验名称唯一性、功率合法性与企业存在性；任一行失败则整批拒绝，并输出错误行清单（行号 + 原因）。</w:t>
            </w:r>
          </w:p>
          <w:p w14:paraId="5B2E24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455A95B5">
      <w:pPr>
        <w:rPr>
          <w:b w:val="0"/>
          <w:bCs w:val="0"/>
        </w:rPr>
      </w:pPr>
    </w:p>
    <w:p w14:paraId="7265F1BB">
      <w:pPr>
        <w:pStyle w:val="6"/>
        <w:numPr>
          <w:ilvl w:val="0"/>
          <w:numId w:val="18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F9E271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E6AFC5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重点用能设备台账</w:t>
            </w:r>
          </w:p>
          <w:p w14:paraId="51A6A43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新增重点用能设备</w:t>
            </w:r>
          </w:p>
          <w:p w14:paraId="7C0889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生产设备维护 › 重点用能设备</w:t>
            </w:r>
          </w:p>
          <w:p w14:paraId="458636C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点击【新增重点设备】，填写名称＝「1# 1000kV 特高压自耦变压器组」、关联企业＝「沈变公司·沈变本部」、安装位置＝「特高压一车间（真空注油间）」、能源类型＝电力、额定功率＝4680 并保存</w:t>
            </w:r>
          </w:p>
          <w:p w14:paraId="1CC809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列表新增一行，额定功率显示为「4,680 kW」，状态显示「启用」</w:t>
            </w:r>
          </w:p>
          <w:p w14:paraId="2BD19CC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同一企业内设备名称重复被阻断</w:t>
            </w:r>
          </w:p>
          <w:p w14:paraId="733AD60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沈变本部已存在设备「1# 1000kV 特高压自耦变压器组」</w:t>
            </w:r>
          </w:p>
          <w:p w14:paraId="592A46B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在沈变本部再次新增同名设备</w:t>
            </w:r>
          </w:p>
          <w:p w14:paraId="2423924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43F6C41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E_SYS_DEV_NAME_DUP</w:t>
            </w:r>
          </w:p>
          <w:p w14:paraId="214ED0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额定功率越界被拦截</w:t>
            </w:r>
          </w:p>
          <w:p w14:paraId="565CED0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新增设备并填写额定功率＝0 后保存</w:t>
            </w:r>
          </w:p>
          <w:p w14:paraId="602B66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系统阻断并提示「额定功率需大于 0」</w:t>
            </w:r>
          </w:p>
          <w:p w14:paraId="6B1903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E_SYS_DEV_POWER_OUT_OF_RANGE</w:t>
            </w:r>
          </w:p>
          <w:p w14:paraId="7A9DB7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已被监测挂接的设备禁止删除</w:t>
            </w:r>
          </w:p>
          <w:p w14:paraId="7EB8C1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设备「1# 厂区光储充微电网并网逆变器组」已被集控监测点位挂接</w:t>
            </w:r>
          </w:p>
          <w:p w14:paraId="6FF2F6C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3DC8A70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系统阻断删除并提示「设备已被监测点位挂接」</w:t>
            </w:r>
          </w:p>
          <w:p w14:paraId="649794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E_SYS_DEV_IN_USE_DELETE_DENIED</w:t>
            </w:r>
          </w:p>
          <w:p w14:paraId="6A85E5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导出当前筛选结果</w:t>
            </w:r>
          </w:p>
          <w:p w14:paraId="514F98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按「关联企业＝沈变公司·沈变本部」筛选出 14 行</w:t>
            </w:r>
          </w:p>
          <w:p w14:paraId="7190669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点击【导出】</w:t>
            </w:r>
          </w:p>
          <w:p w14:paraId="44E3644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系统生成 .xlsx 文件，包含当前筛选条件下全部 14 行</w:t>
            </w:r>
          </w:p>
          <w:p w14:paraId="102FF8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按额定功率降序排列</w:t>
            </w:r>
          </w:p>
          <w:p w14:paraId="6C44BA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列表含多台不同功率设备</w:t>
            </w:r>
          </w:p>
          <w:p w14:paraId="72CD68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页面加载完成</w:t>
            </w:r>
          </w:p>
          <w:p w14:paraId="407784A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第一行为额定功率最大的「1# 1000kV 特高压自耦变压器组」（4,680 kW）</w:t>
            </w:r>
          </w:p>
        </w:tc>
      </w:tr>
    </w:tbl>
    <w:p w14:paraId="0BA95C61">
      <w:pPr>
        <w:rPr>
          <w:rFonts w:hint="default"/>
          <w:b w:val="0"/>
          <w:bCs w:val="0"/>
          <w:lang w:val="en-US" w:eastAsia="zh-CN"/>
        </w:rPr>
      </w:pPr>
    </w:p>
    <w:p w14:paraId="457C3889">
      <w:pPr>
        <w:pStyle w:val="5"/>
        <w:numPr>
          <w:ilvl w:val="0"/>
          <w:numId w:val="188"/>
        </w:numPr>
        <w:ind w:left="0" w:leftChars="0" w:firstLine="0" w:firstLineChars="0"/>
        <w:outlineLvl w:val="1"/>
        <w:rPr>
          <w:rFonts w:hint="default"/>
          <w:b w:val="0"/>
          <w:bCs w:val="0"/>
          <w:lang w:val="en-US" w:eastAsia="zh-CN"/>
        </w:rPr>
      </w:pPr>
      <w:bookmarkStart w:id="77" w:name="_Toc10955"/>
      <w:r>
        <w:rPr>
          <w:rFonts w:hint="eastAsia"/>
          <w:b w:val="0"/>
          <w:bCs w:val="0"/>
          <w:lang w:val="en-US" w:eastAsia="zh-CN"/>
        </w:rPr>
        <w:t>光伏设备管理</w:t>
      </w:r>
      <w:bookmarkEnd w:id="77"/>
    </w:p>
    <w:p w14:paraId="4807655D">
      <w:pPr>
        <w:rPr>
          <w:b w:val="0"/>
          <w:bCs w:val="0"/>
        </w:rPr>
      </w:pPr>
      <w:r>
        <w:drawing>
          <wp:inline distT="0" distB="0" distL="114300" distR="114300">
            <wp:extent cx="5900420" cy="2925445"/>
            <wp:effectExtent l="0" t="0" r="5080" b="825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103"/>
                    <a:stretch>
                      <a:fillRect/>
                    </a:stretch>
                  </pic:blipFill>
                  <pic:spPr>
                    <a:xfrm>
                      <a:off x="0" y="0"/>
                      <a:ext cx="5900420" cy="2925445"/>
                    </a:xfrm>
                    <a:prstGeom prst="rect">
                      <a:avLst/>
                    </a:prstGeom>
                    <a:noFill/>
                    <a:ln>
                      <a:noFill/>
                    </a:ln>
                  </pic:spPr>
                </pic:pic>
              </a:graphicData>
            </a:graphic>
          </wp:inline>
        </w:drawing>
      </w:r>
    </w:p>
    <w:p w14:paraId="7E3BD639">
      <w:pPr>
        <w:pStyle w:val="6"/>
        <w:numPr>
          <w:ilvl w:val="0"/>
          <w:numId w:val="19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DAC90D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196FBA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设备维护模块下光伏资产台账管理单元，按园区、工厂维度维护分布式光伏电站基础信息，记录装机容量、安装位置、运行状态等资产属性，支持光伏设备新增、信息编辑与数据导出，为绿电发电量统计、可再生能源核算、园区碳减排分析提供光伏资产主数据，是新能源资产精细化管理的前置基础依赖。</w:t>
            </w:r>
          </w:p>
          <w:p w14:paraId="7BFD81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系统管理员（全量光伏设备台账新增、设备信息维护、状态管理与数据导出）。</w:t>
            </w:r>
          </w:p>
          <w:p w14:paraId="14A4432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页面路由：/system/device/pv（左侧导航：系统管理 › 生产设备维护 › 光伏设备管理）。</w:t>
            </w:r>
          </w:p>
          <w:p w14:paraId="534D15A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上游依赖：组织管理（归属园区与关联工厂取值域）。</w:t>
            </w:r>
          </w:p>
          <w:p w14:paraId="3F5F60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下游输出：集控中心微电网光储充实时出力、绿电减排成效与新能源资产统计。</w:t>
            </w:r>
          </w:p>
          <w:p w14:paraId="463AFB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PM）全量可写；其余角色一律只读。光伏资产按归属园区隔离——跨园区查看须具备目标园区的数据范围。</w:t>
            </w:r>
          </w:p>
        </w:tc>
      </w:tr>
    </w:tbl>
    <w:p w14:paraId="25B15F54">
      <w:pPr>
        <w:rPr>
          <w:b w:val="0"/>
          <w:bCs w:val="0"/>
        </w:rPr>
      </w:pPr>
    </w:p>
    <w:p w14:paraId="7790BF9E">
      <w:pPr>
        <w:pStyle w:val="6"/>
        <w:numPr>
          <w:ilvl w:val="0"/>
          <w:numId w:val="19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8D10B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57CA1BB">
            <w:pPr>
              <w:pStyle w:val="19"/>
              <w:bidi w:val="0"/>
              <w:ind w:left="0" w:leftChars="0" w:firstLine="0" w:firstLineChars="0"/>
              <w:rPr>
                <w:b w:val="0"/>
                <w:bCs w:val="0"/>
              </w:rPr>
            </w:pPr>
            <w:r>
              <w:rPr>
                <w:b w:val="0"/>
                <w:bCs w:val="0"/>
                <w:lang w:val="en-US" w:eastAsia="zh-CN"/>
              </w:rPr>
              <w:t>业务场景：面向系统管理员进行新能源资产台账管控场景，维护集团分布式光伏电站设备信息，支撑微电网、绿电出力数据统计。</w:t>
            </w:r>
          </w:p>
          <w:p w14:paraId="5F4B8600">
            <w:pPr>
              <w:pStyle w:val="19"/>
              <w:bidi w:val="0"/>
              <w:ind w:left="0" w:leftChars="0" w:firstLine="0" w:firstLineChars="0"/>
              <w:rPr>
                <w:b w:val="0"/>
                <w:bCs w:val="0"/>
              </w:rPr>
            </w:pPr>
            <w:r>
              <w:rPr>
                <w:b w:val="0"/>
                <w:bCs w:val="0"/>
                <w:lang w:val="en-US" w:eastAsia="zh-CN"/>
              </w:rPr>
              <w:t>用户故事：</w:t>
            </w:r>
          </w:p>
          <w:p w14:paraId="1CB26420">
            <w:pPr>
              <w:pStyle w:val="19"/>
              <w:bidi w:val="0"/>
              <w:rPr>
                <w:b w:val="0"/>
                <w:bCs w:val="0"/>
              </w:rPr>
            </w:pPr>
            <w:r>
              <w:rPr>
                <w:b w:val="0"/>
                <w:bCs w:val="0"/>
                <w:lang w:val="en-US" w:eastAsia="zh-CN"/>
              </w:rPr>
              <w:t>As a 系统管理员 (Persona PM)，</w:t>
            </w:r>
          </w:p>
          <w:p w14:paraId="5C33F2BF">
            <w:pPr>
              <w:pStyle w:val="19"/>
              <w:bidi w:val="0"/>
              <w:rPr>
                <w:b w:val="0"/>
                <w:bCs w:val="0"/>
              </w:rPr>
            </w:pPr>
            <w:r>
              <w:rPr>
                <w:b w:val="0"/>
                <w:bCs w:val="0"/>
                <w:lang w:val="en-US" w:eastAsia="zh-CN"/>
              </w:rPr>
              <w:t>I want 统一维护全集团光伏设备资产、装机参数与归属信息，</w:t>
            </w:r>
          </w:p>
          <w:p w14:paraId="789C9AAA">
            <w:pPr>
              <w:pStyle w:val="19"/>
              <w:bidi w:val="0"/>
              <w:rPr>
                <w:b w:val="0"/>
                <w:bCs w:val="0"/>
              </w:rPr>
            </w:pPr>
            <w:r>
              <w:rPr>
                <w:b w:val="0"/>
                <w:bCs w:val="0"/>
                <w:lang w:val="en-US" w:eastAsia="zh-CN"/>
              </w:rPr>
              <w:t>So that 我能支撑大屏微电网光储充实时出力、绿电减排成效、新能源资产统计展示。</w:t>
            </w:r>
          </w:p>
        </w:tc>
      </w:tr>
    </w:tbl>
    <w:p w14:paraId="34133966">
      <w:pPr>
        <w:rPr>
          <w:b w:val="0"/>
          <w:bCs w:val="0"/>
        </w:rPr>
      </w:pPr>
    </w:p>
    <w:p w14:paraId="49C9C9D0">
      <w:pPr>
        <w:pStyle w:val="6"/>
        <w:numPr>
          <w:ilvl w:val="0"/>
          <w:numId w:val="19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6295CAE4">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57A9B9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页面布局：条件筛选区 ＋ 光伏设备列表 ＋ 右上角【新增光伏设备】【导出】。</w:t>
            </w:r>
          </w:p>
          <w:p w14:paraId="3C1F127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（1）条件筛选：支持按归属园区、关联工厂、状态筛选；搜索框「输入光伏设备名称、安装位置…」按名称 / 安装位置模糊匹配。</w:t>
            </w:r>
          </w:p>
          <w:p w14:paraId="2D284C5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重置：点【查询】按条件过滤；点【重置】清空条件。</w:t>
            </w:r>
          </w:p>
          <w:p w14:paraId="3965D63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（3）新增光伏设备【新增光伏设备】：打开新增弹窗，填写光伏设备名称、归属园区、关联工厂、安装物理位置 / 屋面、装机容量、状态。</w:t>
            </w:r>
          </w:p>
          <w:p w14:paraId="77FDD3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（4）导出【导出】：将当前筛选结果导出到 Excel（.xlsx）。</w:t>
            </w:r>
          </w:p>
          <w:p w14:paraId="40D95D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（5）详情【详情】：打开设备详情窗口；编辑【编辑】：打开编辑窗口。</w:t>
            </w:r>
          </w:p>
          <w:p w14:paraId="7D9854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（6）删除【删除】：打开弹窗，取消关闭、确定删除；已被微电网监测挂接的设备禁止删除。</w:t>
            </w:r>
          </w:p>
        </w:tc>
      </w:tr>
      <w:tr w14:paraId="1893C3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32F27C">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09E98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CF692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0D3A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68B4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235B6E8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2CA7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431D0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65F8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8793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1DC3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EA714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9F74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【新增光伏设备】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C2B12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F0BDC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DF5C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7A96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1AEC3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D4D1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A0B7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F306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名称唯一；容量 ∈ (0, 200000]；工厂属该园区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DBF5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列表新增该行，状态默认「启用」</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D69AC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332703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6258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F6DE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F7E82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1734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 .xlsx（当前筛选全量行）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37EB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超限时提示分批导出</w:t>
            </w:r>
          </w:p>
        </w:tc>
      </w:tr>
      <w:tr w14:paraId="6E998D4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5A7A8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A1209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B41E2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C36B3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展示全字段</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6EDA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5597FA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3845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86B8F">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364E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763A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08059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D35E9F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8A383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51B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E26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未被微电网监测挂接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1A9F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关闭弹窗并删除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438B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阻断并提示挂接信息</w:t>
            </w:r>
          </w:p>
        </w:tc>
      </w:tr>
    </w:tbl>
    <w:p w14:paraId="04034742">
      <w:pPr>
        <w:rPr>
          <w:b w:val="0"/>
          <w:bCs w:val="0"/>
        </w:rPr>
      </w:pPr>
    </w:p>
    <w:p w14:paraId="3EED2B32">
      <w:pPr>
        <w:pStyle w:val="6"/>
        <w:numPr>
          <w:ilvl w:val="0"/>
          <w:numId w:val="19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929"/>
        <w:gridCol w:w="1468"/>
        <w:gridCol w:w="1019"/>
        <w:gridCol w:w="4479"/>
      </w:tblGrid>
      <w:tr w14:paraId="582797F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1C7AA3">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FF322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08D13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CD27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166CE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578899D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8332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3F25C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光伏设备名称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4EAB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7D51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F29A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必填；≤60 字符；全局唯一；如「沈变厂 12.8MWp 屋顶分布式光伏一期」</w:t>
            </w:r>
          </w:p>
        </w:tc>
      </w:tr>
      <w:tr w14:paraId="5A5BE74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63BE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23B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归属园区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FFD8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487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33AE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必填；特变电工七大产业园（东北输变电 / 南方输变电 / 新变电 / 华东电缆产业科技园 / （德阳）电缆产业园 / 天变产业园 / 京津冀智能科技产业园）</w:t>
            </w:r>
          </w:p>
        </w:tc>
      </w:tr>
      <w:tr w14:paraId="30CA3C1B">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36A72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463E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B2BA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793E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741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必填；取值为归属园区内的工厂节点，或特殊值「园区屋顶（公建）」；须与归属园区一致</w:t>
            </w:r>
          </w:p>
        </w:tc>
      </w:tr>
      <w:tr w14:paraId="58F0621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F0EA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AAD70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安装物理位置/屋面</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A5BB3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8FA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CF139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必填；≤80 字符；如「特高压一车间及二车间仓库彩钢瓦屋面」</w:t>
            </w:r>
          </w:p>
        </w:tc>
      </w:tr>
      <w:tr w14:paraId="6306B02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B157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7C1EB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装机容量</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210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E3E5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kWp</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92834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 0；≤ 200000；列表展示千分位（12,800）</w:t>
            </w:r>
          </w:p>
        </w:tc>
      </w:tr>
      <w:tr w14:paraId="57DF26F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0713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EBA2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8CB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6C1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F9E6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取值｛启用 / 停用｝；默认「启用」；停用不计入园区装机小计</w:t>
            </w:r>
          </w:p>
        </w:tc>
      </w:tr>
    </w:tbl>
    <w:p w14:paraId="1D6C8486">
      <w:pPr>
        <w:pStyle w:val="19"/>
        <w:bidi w:val="0"/>
        <w:rPr>
          <w:b w:val="0"/>
          <w:bCs w:val="0"/>
        </w:rPr>
      </w:pPr>
    </w:p>
    <w:p w14:paraId="18C6DDD5">
      <w:pPr>
        <w:pStyle w:val="6"/>
        <w:numPr>
          <w:ilvl w:val="0"/>
          <w:numId w:val="19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2971DE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D7BD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（1）装机容量汇总</w:t>
            </w:r>
          </w:p>
          <w:p w14:paraId="3AEEFF8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Cap_total(园区) = Σ Cap(该园区全部「启用」状态光伏设备)，单位 kWp；</w:t>
            </w:r>
          </w:p>
          <w:p w14:paraId="3E8FBF9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平台合计 = Σ 各园区小计。</w:t>
            </w:r>
          </w:p>
          <w:p w14:paraId="678C10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（2）理论年发电量估计（用于校核，非结算口径）</w:t>
            </w:r>
          </w:p>
          <w:p w14:paraId="7FB19A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E_year = Cap × H_equiv × PR</w:t>
            </w:r>
          </w:p>
          <w:p w14:paraId="46586C7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H_equiv 为等效利用小时数（h/年），PR 为系统效率（performance ratio，典型取 0.80）。</w:t>
            </w:r>
          </w:p>
          <w:p w14:paraId="3D8F21C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（3）绿电减排量</w:t>
            </w:r>
          </w:p>
          <w:p w14:paraId="39B4DB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ER = E_PV × EF_grid</w:t>
            </w:r>
          </w:p>
          <w:p w14:paraId="135B3A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E_PV 为光伏实际发电量（kWh），EF_grid 取电力碳排因子库中对应省份的电网平均因子（kgCO2e/kWh）。</w:t>
            </w:r>
          </w:p>
          <w:p w14:paraId="71F011D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35B7EF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沈变厂 12.8MWp 屋顶分布式光伏一期（东北输变电产业园 / 沈变本部 / 12,800 kWp）；</w:t>
            </w:r>
          </w:p>
          <w:p w14:paraId="50E7312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沈变厂新建营 2.4MWp 柔性屋顶光伏电站 2,400 kWp；东北变压器产业园 1# 智能车棚光伏系统 850 kWp；</w:t>
            </w:r>
          </w:p>
          <w:p w14:paraId="243335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衡变特高压基地 8.5MWp 8,500 kWp；南方变压器产业园区动力站分布式光伏 1,600 kWp；</w:t>
            </w:r>
          </w:p>
          <w:p w14:paraId="7A9661C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新变工业园 15.2MWp 15,200 kWp；输变电产业园屋顶(管理)中心慢网光伏列 1,200 kWp；</w:t>
            </w:r>
          </w:p>
          <w:p w14:paraId="7D66B8C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鲁缆厂园区 8.4MWp 8,400 kWp；华东线缆科技 2# 集中生态光伏车棚 900 kWp；</w:t>
            </w:r>
          </w:p>
          <w:p w14:paraId="6DE5DC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德缆输变电产业 3.4MWp 6,400 kWp；德缆电缆园区公共工程循环水站光伏 650 kWp；</w:t>
            </w:r>
          </w:p>
          <w:p w14:paraId="17471DC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天变天津基地 5.2MWp 5,200 kWp；天变新缆科技 1.8MWp 1,800 kWp；</w:t>
            </w:r>
          </w:p>
          <w:p w14:paraId="2AFB27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京津冀产业基地 3.6MWp 3,600 kWp。</w:t>
            </w:r>
          </w:p>
          <w:p w14:paraId="5352D28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（5）精度与容差</w:t>
            </w:r>
          </w:p>
          <w:p w14:paraId="255D220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装机容量保留 1 位小数（kWp）；发电量保留 2 位小数（kWh）；减排量保留 4 位小数（tCO2e）。</w:t>
            </w:r>
          </w:p>
        </w:tc>
      </w:tr>
    </w:tbl>
    <w:p w14:paraId="5C41D554">
      <w:pPr>
        <w:pStyle w:val="19"/>
        <w:bidi w:val="0"/>
        <w:rPr>
          <w:b w:val="0"/>
          <w:bCs w:val="0"/>
        </w:rPr>
      </w:pPr>
    </w:p>
    <w:p w14:paraId="7DB887FB">
      <w:pPr>
        <w:pStyle w:val="6"/>
        <w:numPr>
          <w:ilvl w:val="0"/>
          <w:numId w:val="19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70D055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0DF0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列）：序号、光伏设备名称、归属园区、关联工厂、安装物理位置/屋面、装机容量、状态、操作。</w:t>
            </w:r>
          </w:p>
          <w:p w14:paraId="6ABBAAD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（2）归属园区直接展示园区全称；关联工厂为「园区屋顶（公建）」时以特殊标签呈现（标识公建资产）。</w:t>
            </w:r>
          </w:p>
          <w:p w14:paraId="553EC77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（3）装机容量按千分位右对齐，单位 kWp 以灰色辅助字体呈现。</w:t>
            </w:r>
          </w:p>
          <w:p w14:paraId="5268906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（4）排序规则：默认按装机容量降序；支持按归属园区分组查看。</w:t>
            </w:r>
          </w:p>
          <w:p w14:paraId="6DCFA1F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（5）统计口径：可按园区汇总装机容量，展示园区小计与平台合计；停用设备不计入小计。</w:t>
            </w:r>
          </w:p>
          <w:p w14:paraId="635547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（6）状态口径：启用（绿标签）＝ 状态字段为「启用」；停用（灰标签）＝ 状态字段为「停用」。</w:t>
            </w:r>
          </w:p>
          <w:p w14:paraId="300D17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（7）名称一致性提示：名称中的 MWp 数值与「装机容量」字段换算不一致时（如名称 12.8MWp 而容量 12,000 kWp），给出黄色提示角标，便于纠错。</w:t>
            </w:r>
          </w:p>
          <w:p w14:paraId="692524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（8）基准来源：示例清单（14 个电站）与园区命名取自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1764F6FE">
      <w:pPr>
        <w:pStyle w:val="19"/>
        <w:bidi w:val="0"/>
        <w:rPr>
          <w:b w:val="0"/>
          <w:bCs w:val="0"/>
        </w:rPr>
      </w:pPr>
    </w:p>
    <w:p w14:paraId="7E98DCA3">
      <w:pPr>
        <w:pStyle w:val="6"/>
        <w:numPr>
          <w:ilvl w:val="0"/>
          <w:numId w:val="19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814FC4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1808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（1）名称重复阻断：光伏设备名称重复时，阻断，返回 E_SYS_PV_NAME_DUP。</w:t>
            </w:r>
          </w:p>
          <w:p w14:paraId="141D96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（2）装机容量非法拦截：装机容量 ≤ 0 或 ＞ 200000 时，阻断，返回 E_SYS_PV_CAPACITY_OUT_OF_RANGE。</w:t>
            </w:r>
          </w:p>
          <w:p w14:paraId="280BC28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（3）在用设备删除阻断：已被微电网监测挂接时，禁止删除，返回 E_SYS_PV_IN_USE_DELETE_DENIED。</w:t>
            </w:r>
          </w:p>
          <w:p w14:paraId="6D3ECD2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（4）园区与工厂不匹配拦截：所选关联工厂不属于所选归属园区时，阻断，返回 E_SYS_PV_ORG_MISMATCH。</w:t>
            </w:r>
          </w:p>
          <w:p w14:paraId="71D0E81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（5）名称与容量不一致提示：名称中的 MWp 数值与装机容量字段换算不一致时，给出黄色警告（不阻断），返回告警 E_SYS_PV_NAME_CAPACITY_MISMATCH。</w:t>
            </w:r>
          </w:p>
          <w:p w14:paraId="121EEA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（6）系统效率越界告警：配置 PR 用于发电量估算时，若 PR ∉ (0.60, 0.95)，给出告警 E_SYS_PV_PR_OUT_OF_RANGE。</w:t>
            </w:r>
          </w:p>
          <w:p w14:paraId="6300169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（7）越权写拦截：非 P4 角色调用本模块写接口时，返回 HTTP 403，触发 E_AUTH_RBAC_FORBIDDEN。</w:t>
            </w:r>
          </w:p>
        </w:tc>
      </w:tr>
    </w:tbl>
    <w:p w14:paraId="0718F972">
      <w:pPr>
        <w:rPr>
          <w:b w:val="0"/>
          <w:bCs w:val="0"/>
        </w:rPr>
      </w:pPr>
    </w:p>
    <w:p w14:paraId="36EE7A7C">
      <w:pPr>
        <w:pStyle w:val="6"/>
        <w:numPr>
          <w:ilvl w:val="0"/>
          <w:numId w:val="19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C2EE67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EE8D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光伏设备台账</w:t>
            </w:r>
          </w:p>
          <w:p w14:paraId="2972331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新增屋顶分布式光伏设备</w:t>
            </w:r>
          </w:p>
          <w:p w14:paraId="20CA056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生产设备维护 › 光伏设备管理</w:t>
            </w:r>
          </w:p>
          <w:p w14:paraId="40B9C7D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点击【新增光伏设备】，填写名称＝「沈变厂 12.8MWp 屋顶分布式光伏一期」、归属园区＝「特变电工东北输变电产业园」、关联工厂＝「沈变本部」、安装位置＝「特高压一车间及二车间仓库彩钢瓦屋面」、装机容量＝12800 并保存</w:t>
            </w:r>
          </w:p>
          <w:p w14:paraId="5C819B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列表新增一行，装机容量显示为「12,800 kWp」，状态显示「启用」</w:t>
            </w:r>
          </w:p>
          <w:p w14:paraId="7B716E2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名称重复被阻断</w:t>
            </w:r>
          </w:p>
          <w:p w14:paraId="3D97CA8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已存在同名光伏设备</w:t>
            </w:r>
          </w:p>
          <w:p w14:paraId="1914077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再次新增同名设备</w:t>
            </w:r>
          </w:p>
          <w:p w14:paraId="3D57A3F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23E2B8C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E_SYS_PV_NAME_DUP</w:t>
            </w:r>
          </w:p>
          <w:p w14:paraId="58866FD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园区与工厂不匹配被拦截</w:t>
            </w:r>
          </w:p>
          <w:p w14:paraId="307E84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归属园区选择「特变电工东北输变电产业园」</w:t>
            </w:r>
          </w:p>
          <w:p w14:paraId="36D323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关联工厂选择「鲁缆本部」（属华东电缆产业科技园）</w:t>
            </w:r>
          </w:p>
          <w:p w14:paraId="643CB64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系统阻断并提示「园区与工厂不匹配」</w:t>
            </w:r>
          </w:p>
          <w:p w14:paraId="6AD080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E_SYS_PV_ORG_MISMATCH</w:t>
            </w:r>
          </w:p>
          <w:p w14:paraId="31F33F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装机容量越界被拦截</w:t>
            </w:r>
          </w:p>
          <w:p w14:paraId="39E637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新增设备并填写装机容量＝0 后保存</w:t>
            </w:r>
          </w:p>
          <w:p w14:paraId="532C7D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671000D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E_SYS_PV_CAPACITY_OUT_OF_RANGE</w:t>
            </w:r>
          </w:p>
          <w:p w14:paraId="76AAB25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已被微电网监测挂接的设备禁止删除</w:t>
            </w:r>
          </w:p>
          <w:p w14:paraId="33924E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光伏设备「衡变特高压基地 8.5MWp 屋顶分布式光伏」已被微电网监测挂接</w:t>
            </w:r>
          </w:p>
          <w:p w14:paraId="62EC648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248E67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w:t>
            </w:r>
          </w:p>
          <w:p w14:paraId="53CAE0F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E_SYS_PV_IN_USE_DELETE_DENIED</w:t>
            </w:r>
          </w:p>
          <w:p w14:paraId="317B111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按园区汇总装机容量</w:t>
            </w:r>
          </w:p>
          <w:p w14:paraId="7345437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「特变电工东北输变电产业园」下存在 3 个启用光伏设备，装机容量分别 12,800 / 2,400 / 850 kWp</w:t>
            </w:r>
          </w:p>
          <w:p w14:paraId="6512D88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按归属园区查看汇总</w:t>
            </w:r>
          </w:p>
          <w:p w14:paraId="7BFAE4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该园区小计显示为 16,050 kWp</w:t>
            </w:r>
          </w:p>
          <w:p w14:paraId="111881F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平台合计为各园区小计之和</w:t>
            </w:r>
          </w:p>
        </w:tc>
      </w:tr>
    </w:tbl>
    <w:p w14:paraId="436D6884">
      <w:pPr>
        <w:rPr>
          <w:rFonts w:hint="default"/>
          <w:b w:val="0"/>
          <w:bCs w:val="0"/>
          <w:lang w:val="en-US" w:eastAsia="zh-CN"/>
        </w:rPr>
      </w:pPr>
    </w:p>
    <w:p w14:paraId="2185843E">
      <w:pPr>
        <w:pStyle w:val="4"/>
        <w:numPr>
          <w:ilvl w:val="0"/>
          <w:numId w:val="176"/>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78" w:name="_Toc15637"/>
      <w:r>
        <w:rPr>
          <w:rFonts w:hint="eastAsia" w:ascii="Times New Roman" w:hAnsi="Times New Roman" w:eastAsia="黑体" w:cs="Times New Roman"/>
          <w:b w:val="0"/>
          <w:bCs w:val="0"/>
          <w:sz w:val="30"/>
          <w:szCs w:val="32"/>
          <w:lang w:val="en-US" w:eastAsia="zh-CN"/>
        </w:rPr>
        <w:t>生产数据维护</w:t>
      </w:r>
      <w:bookmarkEnd w:id="78"/>
    </w:p>
    <w:p w14:paraId="11E1EF95">
      <w:pPr>
        <w:pStyle w:val="19"/>
        <w:bidi w:val="0"/>
        <w:rPr>
          <w:rFonts w:hint="eastAsia" w:eastAsia="宋体"/>
          <w:b w:val="0"/>
          <w:bCs/>
          <w:lang w:eastAsia="zh-CN"/>
        </w:rPr>
      </w:pPr>
      <w:r>
        <w:rPr>
          <w:rFonts w:hint="eastAsia"/>
          <w:b w:val="0"/>
          <w:bCs/>
          <w:lang w:val="en-US" w:eastAsia="zh-CN"/>
        </w:rPr>
        <w:t>本板块是能碳统计与碳核算的产品维度主数据源，覆盖「分类—型号—指标—工序」四个层次的静态基准，为产量统计、单位产品能耗、工序能耗分摊与单品碳足迹核算提供标准化口径。四者构成自顶向下的分解链：产品类型（分类）→ 产品型号（具体产品）→ 生产工序（过程）→ 基础数据（指标字典），任一环节的编码或单位不一致，都会导致下游碳核算结果不可追溯。</w:t>
      </w:r>
    </w:p>
    <w:p w14:paraId="34FDE709">
      <w:pPr>
        <w:pStyle w:val="19"/>
        <w:bidi w:val="0"/>
        <w:rPr>
          <w:rFonts w:hint="eastAsia" w:eastAsia="宋体"/>
          <w:lang w:eastAsia="zh-CN"/>
        </w:rPr>
      </w:pPr>
      <w:r>
        <w:rPr>
          <w:rFonts w:hint="eastAsia"/>
          <w:lang w:val="en-US" w:eastAsia="zh-CN"/>
        </w:rPr>
        <w:t>边界声明：本板块只维护静态主数据，不产生动态产量或能耗数据。产品型号一经绑定工序并被核算引用，即成为受控主数据，禁止删除，只能停用。计量单位是本板块的核心约束——同名数据项若单位不一致，须通过独立编码区分（如「蒸汽消费量（热量）」与「蒸汽消费量（质量）」）。</w:t>
      </w:r>
    </w:p>
    <w:p w14:paraId="3FA9C4B6">
      <w:pPr>
        <w:pStyle w:val="19"/>
        <w:bidi w:val="0"/>
        <w:rPr>
          <w:rFonts w:hint="eastAsia" w:eastAsia="宋体"/>
          <w:lang w:eastAsia="zh-CN"/>
        </w:rPr>
      </w:pPr>
      <w:r>
        <w:rPr>
          <w:rFonts w:hint="eastAsia"/>
          <w:lang w:val="en-US" w:eastAsia="zh-CN"/>
        </w:rPr>
        <w:t>输入输出链：产品类型管理（两级分类与编码）→ 产品型号管理（五级关联绑定）→ 生产工序管理（工序与产品中类、工厂多对多关联）→ 基础数据管理（指标字典与采集口径）→ 集控能耗分摊与集采碳足迹拆解。</w:t>
      </w:r>
    </w:p>
    <w:p w14:paraId="3483D6D0">
      <w:pPr>
        <w:pStyle w:val="5"/>
        <w:numPr>
          <w:ilvl w:val="0"/>
          <w:numId w:val="191"/>
        </w:numPr>
        <w:ind w:left="0" w:leftChars="0" w:firstLine="0" w:firstLineChars="0"/>
        <w:outlineLvl w:val="1"/>
        <w:rPr>
          <w:rFonts w:hint="eastAsia"/>
          <w:b w:val="0"/>
          <w:bCs w:val="0"/>
          <w:lang w:val="en-US" w:eastAsia="zh-CN"/>
        </w:rPr>
      </w:pPr>
      <w:bookmarkStart w:id="79" w:name="_Toc4486"/>
      <w:r>
        <w:rPr>
          <w:rFonts w:hint="eastAsia"/>
          <w:b w:val="0"/>
          <w:bCs w:val="0"/>
          <w:lang w:val="en-US" w:eastAsia="zh-CN"/>
        </w:rPr>
        <w:t>产品类型管理</w:t>
      </w:r>
      <w:bookmarkEnd w:id="79"/>
    </w:p>
    <w:p w14:paraId="029BDFB0">
      <w:pPr>
        <w:rPr>
          <w:b w:val="0"/>
          <w:bCs w:val="0"/>
        </w:rPr>
      </w:pPr>
      <w:r>
        <w:drawing>
          <wp:inline distT="0" distB="0" distL="114300" distR="114300">
            <wp:extent cx="5900420" cy="2925445"/>
            <wp:effectExtent l="0" t="0" r="5080" b="825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104"/>
                    <a:stretch>
                      <a:fillRect/>
                    </a:stretch>
                  </pic:blipFill>
                  <pic:spPr>
                    <a:xfrm>
                      <a:off x="0" y="0"/>
                      <a:ext cx="5900420" cy="2925445"/>
                    </a:xfrm>
                    <a:prstGeom prst="rect">
                      <a:avLst/>
                    </a:prstGeom>
                    <a:noFill/>
                    <a:ln>
                      <a:noFill/>
                    </a:ln>
                  </pic:spPr>
                </pic:pic>
              </a:graphicData>
            </a:graphic>
          </wp:inline>
        </w:drawing>
      </w:r>
    </w:p>
    <w:p w14:paraId="398B8FF4">
      <w:pPr>
        <w:pStyle w:val="6"/>
        <w:numPr>
          <w:ilvl w:val="0"/>
          <w:numId w:val="192"/>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8D8666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E6BB52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功能定位：作为生产数据维护模块下产品分类主数据管理单元，采用「一级大类 → 二级中类」两级层级体系，维护产品类型编码、名称、所属产业及计量单位，支持产品类型新增、信息编辑与数据导出，为产品产量统计、单位产品能耗核算、产品碳足迹核算提供标准化产品分类主数据，是生产与碳数据精细化统计的前置基础依赖。</w:t>
            </w:r>
          </w:p>
          <w:p w14:paraId="4884D4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系统管理员（全量产品类型新增、分类信息维护、层级管理与数据导出）。</w:t>
            </w:r>
          </w:p>
          <w:p w14:paraId="414EB9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页面路由：/system/data/product-type（左侧导航：系统管理 › 生产数据维护 › 产品类型管理）。</w:t>
            </w:r>
          </w:p>
          <w:p w14:paraId="1561A31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上游依赖：组织管理（所属产业取值域，须与机构产业归属一致）。</w:t>
            </w:r>
          </w:p>
          <w:p w14:paraId="46E5D69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下游输出：产品型号管理的「产品大类 / 产品中类」取值域；第三章产品碳足迹核算的产品分类维度；集控中心单位产品能耗核算。</w:t>
            </w:r>
          </w:p>
          <w:p w14:paraId="7FF8B8D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w:t>
            </w:r>
          </w:p>
        </w:tc>
      </w:tr>
    </w:tbl>
    <w:p w14:paraId="3AE20387">
      <w:pPr>
        <w:rPr>
          <w:b w:val="0"/>
          <w:bCs w:val="0"/>
        </w:rPr>
      </w:pPr>
    </w:p>
    <w:p w14:paraId="1FF2145A">
      <w:pPr>
        <w:pStyle w:val="6"/>
        <w:numPr>
          <w:ilvl w:val="0"/>
          <w:numId w:val="192"/>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B09870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C55A1D5">
            <w:pPr>
              <w:pStyle w:val="19"/>
              <w:bidi w:val="0"/>
              <w:ind w:left="0" w:leftChars="0" w:firstLine="0" w:firstLineChars="0"/>
            </w:pPr>
            <w:r>
              <w:rPr>
                <w:b/>
                <w:bCs/>
                <w:lang w:val="en-US" w:eastAsia="zh-CN"/>
              </w:rPr>
              <w:t>业务场景</w:t>
            </w:r>
            <w:r>
              <w:rPr>
                <w:lang w:val="en-US" w:eastAsia="zh-CN"/>
              </w:rPr>
              <w:t>：面向系统管理员进行产品分类主数据标准化管控场景，搭建集团统一产品分类体系，支撑产值能耗与产品碳核算统计。</w:t>
            </w:r>
          </w:p>
          <w:p w14:paraId="52C3A24E">
            <w:pPr>
              <w:pStyle w:val="19"/>
              <w:bidi w:val="0"/>
              <w:ind w:left="0" w:leftChars="0" w:firstLine="0" w:firstLineChars="0"/>
            </w:pPr>
            <w:r>
              <w:rPr>
                <w:b/>
                <w:bCs/>
                <w:lang w:val="en-US" w:eastAsia="zh-CN"/>
              </w:rPr>
              <w:t>用户故事</w:t>
            </w:r>
            <w:r>
              <w:rPr>
                <w:lang w:val="en-US" w:eastAsia="zh-CN"/>
              </w:rPr>
              <w:t>：</w:t>
            </w:r>
          </w:p>
          <w:p w14:paraId="16536194">
            <w:pPr>
              <w:pStyle w:val="19"/>
              <w:bidi w:val="0"/>
            </w:pPr>
            <w:r>
              <w:rPr>
                <w:lang w:val="en-US" w:eastAsia="zh-CN"/>
              </w:rPr>
              <w:t>As a 系统管理员 (Persona PM)，</w:t>
            </w:r>
          </w:p>
          <w:p w14:paraId="44DE0DBE">
            <w:pPr>
              <w:pStyle w:val="19"/>
              <w:bidi w:val="0"/>
            </w:pPr>
            <w:r>
              <w:rPr>
                <w:lang w:val="en-US" w:eastAsia="zh-CN"/>
              </w:rPr>
              <w:t>I want 搭建并维护集团标准化产品类型层级与分类信息，</w:t>
            </w:r>
          </w:p>
          <w:p w14:paraId="431957DD">
            <w:pPr>
              <w:pStyle w:val="19"/>
              <w:bidi w:val="0"/>
            </w:pPr>
            <w:r>
              <w:rPr>
                <w:lang w:val="en-US" w:eastAsia="zh-CN"/>
              </w:rPr>
              <w:t>So that 我能支撑集团万元产值能耗核算、产品碳足迹统计，保障大屏能耗效益指标精准。</w:t>
            </w:r>
          </w:p>
        </w:tc>
      </w:tr>
    </w:tbl>
    <w:p w14:paraId="4BE4AD1E">
      <w:pPr>
        <w:rPr>
          <w:b w:val="0"/>
          <w:bCs w:val="0"/>
        </w:rPr>
      </w:pPr>
    </w:p>
    <w:p w14:paraId="48C3C772">
      <w:pPr>
        <w:pStyle w:val="6"/>
        <w:numPr>
          <w:ilvl w:val="0"/>
          <w:numId w:val="192"/>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1D792B1C">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3D57833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页面布局：条件筛选区 ＋ 产品类型树表 ＋ 右上角【新增产品类型】【导出】。</w:t>
            </w:r>
          </w:p>
          <w:p w14:paraId="2CAE866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（1）条件筛选：支持按所属产业、1 级产品大类、类型层级、名称 / 编码搜索过滤。</w:t>
            </w:r>
          </w:p>
          <w:p w14:paraId="684716E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重置：点【查询】按条件过滤；点【重置】清空条件。</w:t>
            </w:r>
          </w:p>
          <w:p w14:paraId="58210BB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（3）新增产品类型【新增产品类型】：打开新增弹窗，选择类型层级（1 级大类 / 2 级中类），填写类型编码、类型名称、所属 1 级大类、所属产业、计量单位。</w:t>
            </w:r>
          </w:p>
          <w:p w14:paraId="66AC56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（4）编辑【编辑】：打开编辑窗口，回填类型信息；类型编码为层级主键，编辑态只读。</w:t>
            </w:r>
          </w:p>
          <w:p w14:paraId="58EBD7B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（5）删除【删除】：打开弹窗确认，点击取消关闭、点击确定删除；存在下级中类或已被型号引用时禁止删除。</w:t>
            </w:r>
          </w:p>
          <w:p w14:paraId="27891E0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（6）树表展开 / 折叠：1 级大类行可展开查看其下全部 2 级中类。</w:t>
            </w:r>
          </w:p>
        </w:tc>
      </w:tr>
      <w:tr w14:paraId="35126DE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8662A9">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F4D5F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73B37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F97A2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793B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28F20F0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4E767">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2497F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C97B8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50C2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FF6FF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D45EDD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8207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【新增产品类型】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F96A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34BA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D468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弹窗打开，层级可选</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79B8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A47B7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EBB13">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层级选择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63E89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选择层级</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98B8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2E3C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2 级中类时「所属 1 级大类」必填</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EF5D7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B0508F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EA22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B2D8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0D86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编码唯一；同级名称唯一；中类编码前 4 位＝大类码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C3B95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树表新增该行并归位</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9435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7B2143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F401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大类行展开箭头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07DD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展开 / 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CB58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8237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显示 / 隐藏其下中类</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0DB4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9D03C1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0957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DE0F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C0B23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2063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回填数据，编码只读</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49CD2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49DB6B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0FED1">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59C5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8CDA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无下级中类 且 无型号引用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9075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删除该行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50B1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阻断并提示占用原因</w:t>
            </w:r>
          </w:p>
        </w:tc>
      </w:tr>
    </w:tbl>
    <w:p w14:paraId="3B6C62F6">
      <w:pPr>
        <w:rPr>
          <w:b w:val="0"/>
          <w:bCs w:val="0"/>
        </w:rPr>
      </w:pPr>
    </w:p>
    <w:p w14:paraId="3D938F63">
      <w:pPr>
        <w:pStyle w:val="6"/>
        <w:numPr>
          <w:ilvl w:val="0"/>
          <w:numId w:val="192"/>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82"/>
        <w:gridCol w:w="1468"/>
        <w:gridCol w:w="1166"/>
        <w:gridCol w:w="4479"/>
      </w:tblGrid>
      <w:tr w14:paraId="7AD56C0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C608FC">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AC9B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BA2B2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4493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46A2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24B145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F2994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A559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类型层级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D042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0442E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层</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C27EF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取值｛1 级 大类 / 2 级 中类｝；新建中类时须先指定所属大类</w:t>
            </w:r>
          </w:p>
        </w:tc>
      </w:tr>
      <w:tr w14:paraId="3612BCE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1452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1ACB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类型编码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547E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F53E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C93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业务主键；全局唯一；大类 4 位数字（1001），中类 10 位层级码（1001010101，前 4 位＝大类码）；创建后不可修改</w:t>
            </w:r>
          </w:p>
        </w:tc>
      </w:tr>
      <w:tr w14:paraId="1622104B">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3B9A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269F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类型名称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C2275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BE1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6C8C4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必填；≤40 字符；同级内唯一；如「交流变压器-1000KV」</w:t>
            </w:r>
          </w:p>
        </w:tc>
      </w:tr>
      <w:tr w14:paraId="276D203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739D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6F1E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所属 1 级大类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E99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AA35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CC29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中类必填；大类行显示自身枚举说明；取值域＝全部 1 级大类</w:t>
            </w:r>
          </w:p>
        </w:tc>
      </w:tr>
      <w:tr w14:paraId="56BE6AD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B739D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8B04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6A9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F6BBE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148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必填；取值｛变压器 / 线缆 / 开关 / 套管 / 互感器 / 电容器 / 综合｝；决定该类型在集控大屏的产业归属</w:t>
            </w:r>
          </w:p>
        </w:tc>
      </w:tr>
      <w:tr w14:paraId="416A50D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CA3DD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271C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85CF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2E3C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C28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中类必填、大类可空；取值｛万元 / 台 / 套 / t / km / km*mm² / 支 / 面 / kvar｝；示例中类默认「万元」</w:t>
            </w:r>
          </w:p>
        </w:tc>
      </w:tr>
    </w:tbl>
    <w:p w14:paraId="2FDF7869">
      <w:pPr>
        <w:pStyle w:val="19"/>
        <w:bidi w:val="0"/>
        <w:rPr>
          <w:b w:val="0"/>
          <w:bCs w:val="0"/>
        </w:rPr>
      </w:pPr>
    </w:p>
    <w:p w14:paraId="157A1430">
      <w:pPr>
        <w:pStyle w:val="6"/>
        <w:numPr>
          <w:ilvl w:val="0"/>
          <w:numId w:val="192"/>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637E9B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644CE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（1）类型编码生成规则</w:t>
            </w:r>
          </w:p>
          <w:p w14:paraId="4C0E28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大类：4 位数字顺序码，从 1001 起（1001 变压器、1002 高压组合电器-GIS、1003 套管、1004 互感器、1005 电容器）；</w:t>
            </w:r>
          </w:p>
          <w:p w14:paraId="61EAACA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中类：10 位层级码 = 大类码（4 位） + 中类顺序码（6 位）。示例：1001 + 010101 = 1001010101（交流变压器-1000KV）。</w:t>
            </w:r>
          </w:p>
          <w:p w14:paraId="6785FFD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（2）层级完整性约束</w:t>
            </w:r>
          </w:p>
          <w:p w14:paraId="27A9DB8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每个中类必须且仅属于一个大类；大类删除前必须先清空其下全部中类。</w:t>
            </w:r>
          </w:p>
          <w:p w14:paraId="73219B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（3）类型数量统计</w:t>
            </w:r>
          </w:p>
          <w:p w14:paraId="48B89A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N_sub(大类) = 该大类下（启用）中类数量。示例：变压器大类下 N_sub = 14。</w:t>
            </w:r>
          </w:p>
          <w:p w14:paraId="3D2E2C7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42D94FC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1001 变压器（1 级大类）；</w:t>
            </w:r>
          </w:p>
          <w:p w14:paraId="35859BD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1001010101 交流变压器-1000KV；1001020010 交流变压器-750KV；1001080100 交流变压器-500KV；</w:t>
            </w:r>
          </w:p>
          <w:p w14:paraId="43E6249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1001401601 交流变压器-330KV；1001060103 交流变压器-220KV；1001060305 交流变压器-110KV；</w:t>
            </w:r>
          </w:p>
          <w:p w14:paraId="1ECCE63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1001061505 交流变压器-35KV 及以下；100102003 直流变压器-±800kv；100102005 直流变压器-±1100kv；</w:t>
            </w:r>
          </w:p>
          <w:p w14:paraId="5E238F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1001040100 干式变、接地变压器；1001040201 干式变-非晶合金；1001030300 箱式变；1001070200 欧式箱变。</w:t>
            </w:r>
          </w:p>
          <w:p w14:paraId="1B0E92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（5）精度与容差</w:t>
            </w:r>
          </w:p>
          <w:p w14:paraId="4D0CC1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编码为定长数字串（大类 4 位、中类 10 位），无数值计算，无容差。</w:t>
            </w:r>
          </w:p>
        </w:tc>
      </w:tr>
    </w:tbl>
    <w:p w14:paraId="33C1BA37">
      <w:pPr>
        <w:pStyle w:val="19"/>
        <w:bidi w:val="0"/>
        <w:rPr>
          <w:b w:val="0"/>
          <w:bCs w:val="0"/>
        </w:rPr>
      </w:pPr>
    </w:p>
    <w:p w14:paraId="5C2BC307">
      <w:pPr>
        <w:pStyle w:val="6"/>
        <w:numPr>
          <w:ilvl w:val="0"/>
          <w:numId w:val="192"/>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DAAA86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D500D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列）：序号、类型层级、类型编码、类型名称、所属 1 级大类、所属产业、计量单位、操作。</w:t>
            </w:r>
          </w:p>
          <w:p w14:paraId="6F53AB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（2）层级呈现：1 级大类行前有展开箭头并显示其下中类数量；2 级中类行缩进展示。</w:t>
            </w:r>
          </w:p>
          <w:p w14:paraId="73670A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（3）编码展示：等宽字体右对齐，便于比对层级关系（中类前 4 位与大类码一致）。</w:t>
            </w:r>
          </w:p>
          <w:p w14:paraId="62035B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（4）所属产业以标签呈现，配色区分。</w:t>
            </w:r>
          </w:p>
          <w:p w14:paraId="1489E6D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（5）排序规则：默认大类在前，其后为其下中类按编码升序；大类之间按大类编码升序。</w:t>
            </w:r>
          </w:p>
          <w:p w14:paraId="327A0D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（6）可删除性口径：大类存在下级中类时不可删除；中类被产品型号引用时不可删除；其余可删。</w:t>
            </w:r>
          </w:p>
          <w:p w14:paraId="50F03FE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（7）统计口径：页面可展示大类数、中类总数与按产业的分布。</w:t>
            </w:r>
          </w:p>
          <w:p w14:paraId="26E32F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（8）基准来源：编码规则与 14 条中类示例取自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08506A6E">
      <w:pPr>
        <w:pStyle w:val="19"/>
        <w:bidi w:val="0"/>
        <w:rPr>
          <w:b w:val="0"/>
          <w:bCs w:val="0"/>
        </w:rPr>
      </w:pPr>
    </w:p>
    <w:p w14:paraId="10FDEE31">
      <w:pPr>
        <w:pStyle w:val="6"/>
        <w:numPr>
          <w:ilvl w:val="0"/>
          <w:numId w:val="192"/>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45D2F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D27AB7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（1）编码重复阻断：类型编码已存在时，阻断，返回 E_SYS_PTYPE_CODE_DUP。</w:t>
            </w:r>
          </w:p>
          <w:p w14:paraId="6E9EA5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（2）同级重名阻断：同一层级内类型名称重复时，阻断，返回 E_SYS_PTYPE_NAME_DUP。</w:t>
            </w:r>
          </w:p>
          <w:p w14:paraId="34EF02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（3）层级越界阻断：试图创建第 3 级类型时，阻断，返回 E_SYS_PTYPE_LEVEL_LIMIT。</w:t>
            </w:r>
          </w:p>
          <w:p w14:paraId="1A685C1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（4）删除引用阻断：大类下存在中类、或中类已被产品型号引用时，禁止删除，返回 E_SYS_PTYPE_IN_USE_DELETE_DENIED。</w:t>
            </w:r>
          </w:p>
          <w:p w14:paraId="4005EF2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（5）编码层级不一致拦截：中类编码前 4 位与所选「所属 1 级大类」的编码不一致时，阻断，返回 E_SYS_PTYPE_CODE_MISMATCH。</w:t>
            </w:r>
          </w:p>
          <w:p w14:paraId="3789FB8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（6）编码格式拦截：大类编码非 4 位数字、中类编码非 10 位数字时，阻断，返回 E_SYS_PTYPE_CODE_FORMAT_INVALID。</w:t>
            </w:r>
          </w:p>
          <w:p w14:paraId="154B75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（7）越权写拦截：非 P4 角色调用本模块写接口时，返回 HTTP 403，触发 E_AUTH_RBAC_FORBIDDEN。</w:t>
            </w:r>
          </w:p>
        </w:tc>
      </w:tr>
    </w:tbl>
    <w:p w14:paraId="744D0718">
      <w:pPr>
        <w:rPr>
          <w:b w:val="0"/>
          <w:bCs w:val="0"/>
        </w:rPr>
      </w:pPr>
    </w:p>
    <w:p w14:paraId="57115D91">
      <w:pPr>
        <w:pStyle w:val="6"/>
        <w:numPr>
          <w:ilvl w:val="0"/>
          <w:numId w:val="192"/>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DE1734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CA1599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产品类型主数据</w:t>
            </w:r>
          </w:p>
          <w:p w14:paraId="4D7E9B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新增大类</w:t>
            </w:r>
          </w:p>
          <w:p w14:paraId="6128DE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生产数据维护 › 产品类型管理</w:t>
            </w:r>
          </w:p>
          <w:p w14:paraId="5FB059F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点击【新增产品类型】，选择类型层级＝「1 级 大类」、类型编码＝「1006」、类型名称＝「电抗器」、所属产业＝「变压器产业」并保存</w:t>
            </w:r>
          </w:p>
          <w:p w14:paraId="6E6D26C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类型列表新增一个大类行</w:t>
            </w:r>
          </w:p>
          <w:p w14:paraId="1512055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该行前显示展开箭头，缩进层级为 1 级</w:t>
            </w:r>
          </w:p>
          <w:p w14:paraId="723B957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新增中类并绑定大类</w:t>
            </w:r>
          </w:p>
          <w:p w14:paraId="69556D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已存在大类「1001 变压器」</w:t>
            </w:r>
          </w:p>
          <w:p w14:paraId="28F1786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新增中类，填写类型编码＝「1001060305」、类型名称＝「交流变压器-110KV」、所属 1 级大类＝「变压器」、计量单位＝「万元」并保存</w:t>
            </w:r>
          </w:p>
          <w:p w14:paraId="66E997D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列表在「变压器」大类下缩进显示该中类</w:t>
            </w:r>
          </w:p>
          <w:p w14:paraId="3016A64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所属 1 级大类列显示「变压器」</w:t>
            </w:r>
          </w:p>
          <w:p w14:paraId="5039896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编码层级不一致被拦截</w:t>
            </w:r>
          </w:p>
          <w:p w14:paraId="3DFB34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选择「所属 1 级大类＝变压器（编码 1001）」</w:t>
            </w:r>
          </w:p>
          <w:p w14:paraId="4C12C18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填写中类编码＝「2001010101」并保存</w:t>
            </w:r>
          </w:p>
          <w:p w14:paraId="2475981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系统阻断并提示「中类编码前 4 位须与所属大类编码一致」</w:t>
            </w:r>
          </w:p>
          <w:p w14:paraId="5FA76D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E_SYS_PTYPE_CODE_MISMATCH</w:t>
            </w:r>
          </w:p>
          <w:p w14:paraId="45FA1EA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存在中类的大类不可删除</w:t>
            </w:r>
          </w:p>
          <w:p w14:paraId="2E1783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大类「1001 变压器」下存在 14 个中类</w:t>
            </w:r>
          </w:p>
          <w:p w14:paraId="52C3649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尝试删除该大类</w:t>
            </w:r>
          </w:p>
          <w:p w14:paraId="1E1AC9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系统阻断并提示「请先删除其下中类」</w:t>
            </w:r>
          </w:p>
          <w:p w14:paraId="4EF9A75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E_SYS_PTYPE_IN_USE_DELETE_DENIED</w:t>
            </w:r>
          </w:p>
          <w:p w14:paraId="6EEA2A8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同级重名被阻断</w:t>
            </w:r>
          </w:p>
          <w:p w14:paraId="4D6279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大类「变压器」下已存在中类「交流变压器-110KV」</w:t>
            </w:r>
          </w:p>
          <w:p w14:paraId="5AE3BA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再新增同名中类</w:t>
            </w:r>
          </w:p>
          <w:p w14:paraId="4D6171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21435FB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E_SYS_PTYPE_NAME_DUP</w:t>
            </w:r>
          </w:p>
          <w:p w14:paraId="1C8060F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不允许创建第三级类型</w:t>
            </w:r>
          </w:p>
          <w:p w14:paraId="3FABCE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已选中一个 2 级中类</w:t>
            </w:r>
          </w:p>
          <w:p w14:paraId="7CFEA4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尝试在其下新增类型</w:t>
            </w:r>
          </w:p>
          <w:p w14:paraId="2EBDB27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系统阻断并提示「产品类型最多两级」</w:t>
            </w:r>
          </w:p>
          <w:p w14:paraId="302ED3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E_SYS_PTYPE_LEVEL_LIMIT</w:t>
            </w:r>
          </w:p>
        </w:tc>
      </w:tr>
    </w:tbl>
    <w:p w14:paraId="0BFA5967">
      <w:pPr>
        <w:rPr>
          <w:rFonts w:hint="eastAsia"/>
          <w:b w:val="0"/>
          <w:bCs w:val="0"/>
          <w:lang w:val="en-US" w:eastAsia="zh-CN"/>
        </w:rPr>
      </w:pPr>
    </w:p>
    <w:p w14:paraId="62F469B9">
      <w:pPr>
        <w:pStyle w:val="5"/>
        <w:numPr>
          <w:ilvl w:val="0"/>
          <w:numId w:val="191"/>
        </w:numPr>
        <w:ind w:left="0" w:leftChars="0" w:firstLine="0" w:firstLineChars="0"/>
        <w:outlineLvl w:val="1"/>
        <w:rPr>
          <w:rFonts w:hint="eastAsia"/>
          <w:b w:val="0"/>
          <w:bCs w:val="0"/>
          <w:lang w:val="en-US" w:eastAsia="zh-CN"/>
        </w:rPr>
      </w:pPr>
      <w:bookmarkStart w:id="80" w:name="_Toc21500"/>
      <w:r>
        <w:rPr>
          <w:rFonts w:hint="eastAsia"/>
          <w:b w:val="0"/>
          <w:bCs w:val="0"/>
          <w:lang w:val="en-US" w:eastAsia="zh-CN"/>
        </w:rPr>
        <w:t>产品型号管理</w:t>
      </w:r>
      <w:bookmarkEnd w:id="80"/>
    </w:p>
    <w:p w14:paraId="20668D95">
      <w:pPr>
        <w:rPr>
          <w:b w:val="0"/>
          <w:bCs w:val="0"/>
        </w:rPr>
      </w:pPr>
      <w:r>
        <w:drawing>
          <wp:inline distT="0" distB="0" distL="114300" distR="114300">
            <wp:extent cx="5900420" cy="2925445"/>
            <wp:effectExtent l="0" t="0" r="5080"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105"/>
                    <a:stretch>
                      <a:fillRect/>
                    </a:stretch>
                  </pic:blipFill>
                  <pic:spPr>
                    <a:xfrm>
                      <a:off x="0" y="0"/>
                      <a:ext cx="5900420" cy="2925445"/>
                    </a:xfrm>
                    <a:prstGeom prst="rect">
                      <a:avLst/>
                    </a:prstGeom>
                    <a:noFill/>
                    <a:ln>
                      <a:noFill/>
                    </a:ln>
                  </pic:spPr>
                </pic:pic>
              </a:graphicData>
            </a:graphic>
          </wp:inline>
        </w:drawing>
      </w:r>
    </w:p>
    <w:p w14:paraId="20D95F24">
      <w:pPr>
        <w:pStyle w:val="6"/>
        <w:numPr>
          <w:ilvl w:val="0"/>
          <w:numId w:val="19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B6DA92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79233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功能定位：作为生产数据维护模块下产品型号主数据管理单元，维护经营单位、制造工厂与产品大类、中类、型号的五级关联关系，绑定对应生产工序，支持型号新增、批量导入、信息编辑与数据导出，为产品 BOM、工序能耗分摊、单品碳足迹核算提供产品型号基础主数据，是精细化生产与碳核算的前置基础依赖。</w:t>
            </w:r>
          </w:p>
          <w:p w14:paraId="33948B0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系统管理员（全量产品型号新增、型号关联信息维护、批量导入导出与数据删除）。</w:t>
            </w:r>
          </w:p>
          <w:p w14:paraId="3B56CE9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页面路由：/system/data/product-model（左侧导航：系统管理 › 生产数据维护 › 产品型号管理；界面标题「产品型号与大类对应关系管理」）。</w:t>
            </w:r>
          </w:p>
          <w:p w14:paraId="7969CF4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上游依赖：产品类型管理（产品大类 / 产品中类取值域）；生产工序管理（工序绑定）；组织管理（经营单位 / 制造工厂取值域）。</w:t>
            </w:r>
          </w:p>
          <w:p w14:paraId="3024A2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下游输出：第三章单品碳足迹核算与实景数据库台账；集控中心工序能耗分摊。</w:t>
            </w:r>
          </w:p>
          <w:p w14:paraId="441DDB9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w:t>
            </w:r>
          </w:p>
        </w:tc>
      </w:tr>
    </w:tbl>
    <w:p w14:paraId="7B93C38C">
      <w:pPr>
        <w:rPr>
          <w:b w:val="0"/>
          <w:bCs w:val="0"/>
        </w:rPr>
      </w:pPr>
    </w:p>
    <w:p w14:paraId="376C4DEF">
      <w:pPr>
        <w:pStyle w:val="6"/>
        <w:numPr>
          <w:ilvl w:val="0"/>
          <w:numId w:val="19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AD10F8">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8F0E74C">
            <w:pPr>
              <w:pStyle w:val="19"/>
              <w:bidi w:val="0"/>
              <w:ind w:left="0" w:leftChars="0" w:firstLine="0" w:firstLineChars="0"/>
            </w:pPr>
            <w:r>
              <w:rPr>
                <w:b/>
                <w:bCs/>
                <w:lang w:val="en-US" w:eastAsia="zh-CN"/>
              </w:rPr>
              <w:t>业务场景</w:t>
            </w:r>
            <w:r>
              <w:rPr>
                <w:lang w:val="en-US" w:eastAsia="zh-CN"/>
              </w:rPr>
              <w:t>：面向系统管理员进行精细化产品主数据管控场景，维护产品型号与工厂、工序的关联关系，支撑单品能耗与碳数据分摊核算。</w:t>
            </w:r>
          </w:p>
          <w:p w14:paraId="1CF52A8B">
            <w:pPr>
              <w:pStyle w:val="19"/>
              <w:bidi w:val="0"/>
              <w:ind w:left="0" w:leftChars="0" w:firstLine="0" w:firstLineChars="0"/>
            </w:pPr>
            <w:r>
              <w:rPr>
                <w:b/>
                <w:bCs/>
                <w:lang w:val="en-US" w:eastAsia="zh-CN"/>
              </w:rPr>
              <w:t>用户故事</w:t>
            </w:r>
            <w:r>
              <w:rPr>
                <w:lang w:val="en-US" w:eastAsia="zh-CN"/>
              </w:rPr>
              <w:t>：</w:t>
            </w:r>
          </w:p>
          <w:p w14:paraId="075D6A7D">
            <w:pPr>
              <w:pStyle w:val="19"/>
              <w:bidi w:val="0"/>
            </w:pPr>
            <w:r>
              <w:rPr>
                <w:lang w:val="en-US" w:eastAsia="zh-CN"/>
              </w:rPr>
              <w:t>As a 系统管理员 (Persona PM)，</w:t>
            </w:r>
          </w:p>
          <w:p w14:paraId="64A2CFAB">
            <w:pPr>
              <w:pStyle w:val="19"/>
              <w:bidi w:val="0"/>
            </w:pPr>
            <w:r>
              <w:rPr>
                <w:lang w:val="en-US" w:eastAsia="zh-CN"/>
              </w:rPr>
              <w:t>I want 维护产品型号关联生产资源与工序信息、批量规范化管理数据，</w:t>
            </w:r>
          </w:p>
          <w:p w14:paraId="23053DA0">
            <w:pPr>
              <w:pStyle w:val="19"/>
              <w:bidi w:val="0"/>
            </w:pPr>
            <w:r>
              <w:rPr>
                <w:lang w:val="en-US" w:eastAsia="zh-CN"/>
              </w:rPr>
              <w:t>So that 我能支撑工序能耗分摊、单品碳核算，夯实集团精细化能碳统计底座。</w:t>
            </w:r>
          </w:p>
        </w:tc>
      </w:tr>
    </w:tbl>
    <w:p w14:paraId="2F8EAFE0">
      <w:pPr>
        <w:rPr>
          <w:b w:val="0"/>
          <w:bCs w:val="0"/>
        </w:rPr>
      </w:pPr>
    </w:p>
    <w:p w14:paraId="1B6C9DA9">
      <w:pPr>
        <w:pStyle w:val="6"/>
        <w:numPr>
          <w:ilvl w:val="0"/>
          <w:numId w:val="19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68F692D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2BC1D3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页面布局：五级级联条件筛选区 ＋ 型号列表 ＋ 右上角【新增型号】【导入】【导出】。</w:t>
            </w:r>
          </w:p>
          <w:p w14:paraId="316FC17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（1）条件筛选：支持按经营单位、制造工厂、产品大类、产品中类、型号搜索逐级过滤；上级选择后下级选项自动级联收敛。</w:t>
            </w:r>
          </w:p>
          <w:p w14:paraId="4CC1F54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重置：点【查询】按条件过滤；点【重置】清空条件。</w:t>
            </w:r>
          </w:p>
          <w:p w14:paraId="56D630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（3）新增型号【新增型号】：打开新增弹窗，级联选择经营单位 → 制造工厂 → 产品大类 → 产品中类，填写型号编码，绑定生产工序。</w:t>
            </w:r>
          </w:p>
          <w:p w14:paraId="73394E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（4）导入【导入】：打开批量导入产品型号窗口——下载模板 → 上传文件 → 系统校验 → 确认导入。</w:t>
            </w:r>
          </w:p>
          <w:p w14:paraId="7223E7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（5）导出【导出】：将当前筛选结果导出到 Excel（.xlsx）。</w:t>
            </w:r>
          </w:p>
          <w:p w14:paraId="160861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（6）编辑【编辑】：打开编辑窗口，回填型号及五级关联信息。</w:t>
            </w:r>
          </w:p>
          <w:p w14:paraId="1B865D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（7）删除【删除】：打开弹窗确认；已被 BOM 或核算报告引用时禁止删除。</w:t>
            </w:r>
          </w:p>
        </w:tc>
      </w:tr>
      <w:tr w14:paraId="4762D8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DD0B19">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9DB15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D1528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D9565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7A76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2E4F667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D99C1">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五级级联筛选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C60D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5C55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61AA4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下级选项收敛为上级子集，列表刷新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49D56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7A8F86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A2A9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【新增型号】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0BF6A">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FD850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622F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弹窗打开，级联可选</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506C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DA9B82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BF3B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级联选择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88C3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ABBA3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下级 ∈ 上级集合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9EBC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大类编码 / 中类编码自动带出</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336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363707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6F2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B2B1D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0B1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型号全局唯一；五级关联一致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1FE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C6953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045B393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7BA5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【导入】</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E6ADC">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上传文件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6ED41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模板列齐全；逐行校验通过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D205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提示导入成功行数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EEFD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整批拒绝并输出错误行清单</w:t>
            </w:r>
          </w:p>
        </w:tc>
      </w:tr>
      <w:tr w14:paraId="27820D8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C17D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57B5FE">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6D64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4A73E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 .xlsx</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CB2B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超限提示分批</w:t>
            </w:r>
          </w:p>
        </w:tc>
      </w:tr>
      <w:tr w14:paraId="6048488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331A97">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0DA1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35F0E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9A15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F969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45E153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2D906">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B550F">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AA783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 BOM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D8F0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删除该行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E873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阻断并提示引用信息</w:t>
            </w:r>
          </w:p>
        </w:tc>
      </w:tr>
    </w:tbl>
    <w:p w14:paraId="1E30D3AA">
      <w:pPr>
        <w:rPr>
          <w:b w:val="0"/>
          <w:bCs w:val="0"/>
        </w:rPr>
      </w:pPr>
    </w:p>
    <w:p w14:paraId="01D86D6E">
      <w:pPr>
        <w:pStyle w:val="6"/>
        <w:numPr>
          <w:ilvl w:val="0"/>
          <w:numId w:val="19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C2AF01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48379E">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92B70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19502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ADF3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E8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2247FC4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E5BFA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44E5A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经营单位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C2C2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57B3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1C47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必填；如沈变公司 / 新变厂 / 鲁缆公司；取值域为组织树中层级＝二级单位（经营单位）的节点</w:t>
            </w:r>
          </w:p>
        </w:tc>
      </w:tr>
      <w:tr w14:paraId="202F9D7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286EB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6C3DC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制造工厂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639B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C23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B343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必填；取值域为该经营单位下的工厂节点（沈变本部 / 和盛套管 / 康嘉互感器 / 云集高压开关 / 超高压公司 / 天变(天津)建投等）</w:t>
            </w:r>
          </w:p>
        </w:tc>
      </w:tr>
      <w:tr w14:paraId="1F72E45B">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84CB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C088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产品大类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FE302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FF50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2591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必填；取值域＝产品类型 1 级大类</w:t>
            </w:r>
          </w:p>
        </w:tc>
      </w:tr>
      <w:tr w14:paraId="29F3F26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8181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1AD0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大类编码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A918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7B56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6416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由产品大类联动带出（1001 / 1002 / 1003 / 1004 / 1005 / 200104 / 200109）</w:t>
            </w:r>
          </w:p>
        </w:tc>
      </w:tr>
      <w:tr w14:paraId="3A9CAAD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81C1E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D4FBF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7CE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F738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D792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必填；取值域＝所选大类下的 2 级中类</w:t>
            </w:r>
          </w:p>
        </w:tc>
      </w:tr>
      <w:tr w14:paraId="1E10570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2869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D620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中类编码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A051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436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A624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由产品中类联动带出（10 位层级码，如 1001010101）</w:t>
            </w:r>
          </w:p>
        </w:tc>
      </w:tr>
      <w:tr w14:paraId="333C51D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5B5BE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BDCE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型号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87D2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AB9B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0BAB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业务主键；全局唯一；真实型号编码（如 ODFPS-1000000/1000、YJLW03-127/220KV-1×1200）；含字母数字与连接符，≤40 字符</w:t>
            </w:r>
          </w:p>
        </w:tc>
      </w:tr>
    </w:tbl>
    <w:p w14:paraId="6332877C">
      <w:pPr>
        <w:pStyle w:val="19"/>
        <w:bidi w:val="0"/>
        <w:rPr>
          <w:b w:val="0"/>
          <w:bCs w:val="0"/>
        </w:rPr>
      </w:pPr>
    </w:p>
    <w:p w14:paraId="5DE4B270">
      <w:pPr>
        <w:pStyle w:val="6"/>
        <w:numPr>
          <w:ilvl w:val="0"/>
          <w:numId w:val="19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B2133E7">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98AA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（1）型号唯一键</w:t>
            </w:r>
          </w:p>
          <w:p w14:paraId="63AAD3D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Uk = 型号（全局唯一，不区分经营单位 / 工厂）。</w:t>
            </w:r>
          </w:p>
          <w:p w14:paraId="353FF66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（2）五级关联完整性</w:t>
            </w:r>
          </w:p>
          <w:p w14:paraId="506DB3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约束链：制造工厂 ∈ 经营单位下属工厂；产品中类 ∈ 产品大类下属中类。</w:t>
            </w:r>
          </w:p>
          <w:p w14:paraId="47D38D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校验式：Parent(工厂) = 经营单位 ∧ Parent(中类) = 产品大类，两项均真方可保存。</w:t>
            </w:r>
          </w:p>
          <w:p w14:paraId="1C76550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（3）型号归属唯一性</w:t>
            </w:r>
          </w:p>
          <w:p w14:paraId="527BED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一个型号仅可归属一个中类（多工厂可共用同一中类，但型号本身唯一）。</w:t>
            </w:r>
          </w:p>
          <w:p w14:paraId="3816C1D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63C359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沈变本部 / 变压器 1001 / 交流变压器-1000KV 1001010101 / ODFPS-1000000/1000；</w:t>
            </w:r>
          </w:p>
          <w:p w14:paraId="4502C2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沈变本部 / 变压器 1001 / 交流变压器-500KV / OSFPS-750000/500；</w:t>
            </w:r>
          </w:p>
          <w:p w14:paraId="4F581D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和盛套管 / 套管 1003 / 直流套管-±500至±1100kV / BBDL-1800/2000-4；</w:t>
            </w:r>
          </w:p>
          <w:p w14:paraId="7D6D7D4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康嘉互感器 / 互感器 1004 / 高压电流互感器 / LB…60-500W3；</w:t>
            </w:r>
          </w:p>
          <w:p w14:paraId="765BA22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沈变本部 / 变压器 1001 / 交流变压器-110KV / SFS11-50000/110；</w:t>
            </w:r>
          </w:p>
          <w:p w14:paraId="4037F0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沈变本部 / 变压器 1001 / 直流变压器-±800kv / ZZDFPZ-607500/500-800；</w:t>
            </w:r>
          </w:p>
          <w:p w14:paraId="750D18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沈变公司 / 云集高压开关 / 高压组合电器-GIS 1002 / 高压开关(GIS-252至363kV) / ZF27-252/T4000-50；</w:t>
            </w:r>
          </w:p>
          <w:p w14:paraId="78CCD1B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新变厂 / 超高压公司 / 变压器 1001 / 交流变压器-220KV / SFP-400000/220；</w:t>
            </w:r>
          </w:p>
          <w:p w14:paraId="576E9D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新变厂 / 天变(天津)建投 / 变压器 1001 / 干式变-非晶合金 / SCB14-2000/10；</w:t>
            </w:r>
          </w:p>
          <w:p w14:paraId="7FAE2D0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新变厂 / 天变(天津)建投 / 变压器 1001 / 欧式箱变 / ZGS11-Z-800/10；</w:t>
            </w:r>
          </w:p>
          <w:p w14:paraId="3D09A01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鲁缆公司 / 鲁缆本部（高压立塔） / 高压电力电缆 200104 / 超高压交联电力电缆（220kV） / YJLW03-127/220KV-1×1200；</w:t>
            </w:r>
          </w:p>
          <w:p w14:paraId="346985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鲁缆公司 / 鲁缆本部（高压立塔） / 中低压电力电缆 200109 / 中压交联电力电缆（8.7/15KV） / YJV22-8.7/15KV-3×400。</w:t>
            </w:r>
          </w:p>
          <w:p w14:paraId="55B36E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（5）精度与容差</w:t>
            </w:r>
          </w:p>
          <w:p w14:paraId="697A9D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本模块无数值计算，无容差。</w:t>
            </w:r>
          </w:p>
        </w:tc>
      </w:tr>
    </w:tbl>
    <w:p w14:paraId="5B91B827">
      <w:pPr>
        <w:pStyle w:val="19"/>
        <w:bidi w:val="0"/>
        <w:rPr>
          <w:b w:val="0"/>
          <w:bCs w:val="0"/>
        </w:rPr>
      </w:pPr>
    </w:p>
    <w:p w14:paraId="5FD56E10">
      <w:pPr>
        <w:pStyle w:val="6"/>
        <w:numPr>
          <w:ilvl w:val="0"/>
          <w:numId w:val="19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567551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F56AE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（1）列表展示字段（8 列）：序号、经营单位、制造工厂、产品大类、大类编码、产品中类、中类编码、型号、操作。</w:t>
            </w:r>
          </w:p>
          <w:p w14:paraId="397FE11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（2）级联联动：选择产品大类后，产品中类下拉自动过滤为该大类下的中类；选定中类后，「大类编码」「中类编码」自动带出且只读。</w:t>
            </w:r>
          </w:p>
          <w:p w14:paraId="4D0AA60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（3）编码展示：大类编码、中类编码以等宽字体右对齐，便于与外层分类比对。</w:t>
            </w:r>
          </w:p>
          <w:p w14:paraId="11FA8A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（4）排序规则：默认按（经营单位 → 制造工厂 → 中类编码 → 型号）升序。</w:t>
            </w:r>
          </w:p>
          <w:p w14:paraId="230DD4A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（5）统计口径：页面可展示型号总数，以及按经营单位 / 按大类的型号分布。</w:t>
            </w:r>
          </w:p>
          <w:p w14:paraId="1061E2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（6）可删除性口径：型号未被 BOM 与核算报告引用时可删；否则置灰并悬浮提示引用对象。</w:t>
            </w:r>
          </w:p>
          <w:p w14:paraId="7AD276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（7）基准来源：型号示例与五级关联关系取自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1B85C771">
      <w:pPr>
        <w:pStyle w:val="19"/>
        <w:bidi w:val="0"/>
        <w:rPr>
          <w:b w:val="0"/>
          <w:bCs w:val="0"/>
        </w:rPr>
      </w:pPr>
    </w:p>
    <w:p w14:paraId="6AF6EA47">
      <w:pPr>
        <w:pStyle w:val="6"/>
        <w:numPr>
          <w:ilvl w:val="0"/>
          <w:numId w:val="19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07E9B6C">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BB08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（1）型号重复阻断：型号已存在时，阻断，返回 E_SYS_MODEL_CODE_DUP。</w:t>
            </w:r>
          </w:p>
          <w:p w14:paraId="118FBA0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（2）级联不一致拦截：制造工厂不属于所选经营单位、或产品中类不属于所选产品大类时，阻断，返回 E_SYS_MODEL_CASCADE_MISMATCH。</w:t>
            </w:r>
          </w:p>
          <w:p w14:paraId="4E32FA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（3）删除引用阻断：型号已被 BOM 或核算报告引用时禁止删除，返回 E_SYS_MODEL_IN_USE_DELETE_DENIED。</w:t>
            </w:r>
          </w:p>
          <w:p w14:paraId="3D7F15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（4）批量导入格式校验：模板列缺失、型号为空、级联对象不存在时，整批拒绝并输出错误行清单（行号 + 原因），返回 E_SYS_MODEL_IMPORT_INVALID。</w:t>
            </w:r>
          </w:p>
          <w:p w14:paraId="47B5456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（5）批量导入重复处理：导入文件中型号与库中重复时，按「跳过并记录」策略处理，输出冲突清单，不覆盖既有数据。</w:t>
            </w:r>
          </w:p>
          <w:p w14:paraId="29829B0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（6）型号字符集校验：型号含空格或非法字符时，阻断，返回 E_SYS_MODEL_CODE_INVALID。</w:t>
            </w:r>
          </w:p>
          <w:p w14:paraId="47C9E49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（7）并发导入冲突：同一批导入任务被重复提交时，以任务号去重，重复提交返回 E_SYS_MODEL_IMPORT_DUP_TASK。</w:t>
            </w:r>
          </w:p>
          <w:p w14:paraId="7E241D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1B5AB74B">
      <w:pPr>
        <w:rPr>
          <w:b w:val="0"/>
          <w:bCs w:val="0"/>
        </w:rPr>
      </w:pPr>
    </w:p>
    <w:p w14:paraId="4493F238">
      <w:pPr>
        <w:pStyle w:val="6"/>
        <w:numPr>
          <w:ilvl w:val="0"/>
          <w:numId w:val="19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2E3AC3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A34F2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产品型号主数据</w:t>
            </w:r>
          </w:p>
          <w:p w14:paraId="5AF84E3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新增产品型号并级联绑定</w:t>
            </w:r>
          </w:p>
          <w:p w14:paraId="777526E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生产数据维护 › 产品型号管理</w:t>
            </w:r>
          </w:p>
          <w:p w14:paraId="5B5F1D8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点击【新增型号】，选择经营单位＝「沈变公司」、制造工厂＝「沈变本部」、产品大类＝「变压器」、产品中类＝「交流变压器-1000KV」，填写型号＝「ODFPS-1000000/1000」并保存</w:t>
            </w:r>
          </w:p>
          <w:p w14:paraId="3569E6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w:t>
            </w:r>
          </w:p>
          <w:p w14:paraId="54E6BF7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大类编码自动带出「1001」，中类编码自动带出「1001010101」</w:t>
            </w:r>
          </w:p>
          <w:p w14:paraId="2FF1258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型号重复被阻断</w:t>
            </w:r>
          </w:p>
          <w:p w14:paraId="4FAB6CE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已存在型号「ODFPS-1000000/1000」</w:t>
            </w:r>
          </w:p>
          <w:p w14:paraId="68CF14C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再次新增同型号</w:t>
            </w:r>
          </w:p>
          <w:p w14:paraId="1A7370F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4B08AB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E_SYS_MODEL_CODE_DUP</w:t>
            </w:r>
          </w:p>
          <w:p w14:paraId="3DFE1D9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级联不一致被拦截</w:t>
            </w:r>
          </w:p>
          <w:p w14:paraId="437636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选择经营单位＝「沈变公司」</w:t>
            </w:r>
          </w:p>
          <w:p w14:paraId="24FA9F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制造工厂选择「鲁缆本部（高压立塔）」并保存</w:t>
            </w:r>
          </w:p>
          <w:p w14:paraId="79A82D2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系统阻断并提示「制造工厂不属于所选经营单位」</w:t>
            </w:r>
          </w:p>
          <w:p w14:paraId="6FB84A2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E_SYS_MODEL_CASCADE_MISMATCH</w:t>
            </w:r>
          </w:p>
          <w:p w14:paraId="29DDDE0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批量导入部分行失败则整批拒绝</w:t>
            </w:r>
          </w:p>
          <w:p w14:paraId="2383EF6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导入文件含 10 行，其中第 3 行型号为空</w:t>
            </w:r>
          </w:p>
          <w:p w14:paraId="2932826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上传并提交导入</w:t>
            </w:r>
          </w:p>
          <w:p w14:paraId="63BDBA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系统整批拒绝并提示「第 3 行型号不可为空」</w:t>
            </w:r>
          </w:p>
          <w:p w14:paraId="44DC34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E_SYS_MODEL_IMPORT_INVALID，库中未新增任何型号</w:t>
            </w:r>
          </w:p>
          <w:p w14:paraId="1FF98B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批量导入重复型号按跳过处理</w:t>
            </w:r>
          </w:p>
          <w:p w14:paraId="36F674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导入文件含 5 行，其中 2 行型号与库中重复</w:t>
            </w:r>
          </w:p>
          <w:p w14:paraId="4B37FE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上传并提交导入</w:t>
            </w:r>
          </w:p>
          <w:p w14:paraId="6DBB280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3 行成功导入，2 行按「跳过并记录」处理</w:t>
            </w:r>
          </w:p>
          <w:p w14:paraId="1F98846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输出冲突清单（行号 + 型号），既有数据未被覆盖</w:t>
            </w:r>
          </w:p>
          <w:p w14:paraId="5C2A96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已被引用的型号禁止删除</w:t>
            </w:r>
          </w:p>
          <w:p w14:paraId="413FFB3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型号「SFP-400000/220」已被核算报告引用</w:t>
            </w:r>
          </w:p>
          <w:p w14:paraId="6F8F5A5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71807A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w:t>
            </w:r>
          </w:p>
          <w:p w14:paraId="4DF467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E_SYS_MODEL_IN_USE_DELETE_DENIED</w:t>
            </w:r>
          </w:p>
        </w:tc>
      </w:tr>
    </w:tbl>
    <w:p w14:paraId="63544A91">
      <w:pPr>
        <w:rPr>
          <w:rFonts w:hint="eastAsia"/>
          <w:b w:val="0"/>
          <w:bCs w:val="0"/>
          <w:lang w:val="en-US" w:eastAsia="zh-CN"/>
        </w:rPr>
      </w:pPr>
    </w:p>
    <w:p w14:paraId="709F5715">
      <w:pPr>
        <w:pStyle w:val="5"/>
        <w:numPr>
          <w:ilvl w:val="0"/>
          <w:numId w:val="191"/>
        </w:numPr>
        <w:ind w:left="0" w:leftChars="0" w:firstLine="0" w:firstLineChars="0"/>
        <w:outlineLvl w:val="1"/>
        <w:rPr>
          <w:rFonts w:hint="eastAsia"/>
          <w:b w:val="0"/>
          <w:bCs w:val="0"/>
          <w:lang w:val="en-US" w:eastAsia="zh-CN"/>
        </w:rPr>
      </w:pPr>
      <w:bookmarkStart w:id="81" w:name="_Toc26666"/>
      <w:r>
        <w:rPr>
          <w:rFonts w:hint="eastAsia"/>
          <w:b w:val="0"/>
          <w:bCs w:val="0"/>
          <w:lang w:val="en-US" w:eastAsia="zh-CN"/>
        </w:rPr>
        <w:t>基础数据管理</w:t>
      </w:r>
      <w:bookmarkEnd w:id="81"/>
    </w:p>
    <w:p w14:paraId="7A736ADE">
      <w:pPr>
        <w:rPr>
          <w:b w:val="0"/>
          <w:bCs w:val="0"/>
        </w:rPr>
      </w:pPr>
      <w:r>
        <w:drawing>
          <wp:inline distT="0" distB="0" distL="114300" distR="114300">
            <wp:extent cx="5900420" cy="2925445"/>
            <wp:effectExtent l="0" t="0" r="5080" b="825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106"/>
                    <a:stretch>
                      <a:fillRect/>
                    </a:stretch>
                  </pic:blipFill>
                  <pic:spPr>
                    <a:xfrm>
                      <a:off x="0" y="0"/>
                      <a:ext cx="5900420" cy="2925445"/>
                    </a:xfrm>
                    <a:prstGeom prst="rect">
                      <a:avLst/>
                    </a:prstGeom>
                    <a:noFill/>
                    <a:ln>
                      <a:noFill/>
                    </a:ln>
                  </pic:spPr>
                </pic:pic>
              </a:graphicData>
            </a:graphic>
          </wp:inline>
        </w:drawing>
      </w:r>
    </w:p>
    <w:p w14:paraId="11ECF234">
      <w:pPr>
        <w:pStyle w:val="6"/>
        <w:numPr>
          <w:ilvl w:val="0"/>
          <w:numId w:val="194"/>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85C72C">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2C0B3C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数据维护模块下指标主数据管理单元，统一维护各类能源、统计指标的代码、名称、业务分类、计量单位、默认值、数据来源、集成方式与采集频率，支持基础数据项新增、参数编辑与数据导出，为平台数据采集、指标计算、报表统计提供标准化指标字典，是平台数据接入与统一口径管理的核心基础依赖。</w:t>
            </w:r>
          </w:p>
          <w:p w14:paraId="294576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系统管理员（全量基础数据项新增、指标属性维护、字典管理与数据导出）。</w:t>
            </w:r>
          </w:p>
          <w:p w14:paraId="14518FF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页面路由：/system/data/base-item（左侧导航：系统管理 › 生产数据维护 › 基础数据管理）。</w:t>
            </w:r>
          </w:p>
          <w:p w14:paraId="448A061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上游依赖：无（本模块定义平台指标字典全集，是全平台数据口径的最终解释）。</w:t>
            </w:r>
          </w:p>
          <w:p w14:paraId="2E9ED3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下游输出：集控中心与集采中心的数据采集配置、指标计算公式与报表取数口径；外部系统集成点表的字段来源。</w:t>
            </w:r>
          </w:p>
          <w:p w14:paraId="5346ACD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w:t>
            </w:r>
          </w:p>
        </w:tc>
      </w:tr>
    </w:tbl>
    <w:p w14:paraId="71F3C4E2">
      <w:pPr>
        <w:rPr>
          <w:b w:val="0"/>
          <w:bCs w:val="0"/>
        </w:rPr>
      </w:pPr>
    </w:p>
    <w:p w14:paraId="5B902985">
      <w:pPr>
        <w:pStyle w:val="6"/>
        <w:numPr>
          <w:ilvl w:val="0"/>
          <w:numId w:val="194"/>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E053C5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86A8F">
            <w:pPr>
              <w:pStyle w:val="19"/>
              <w:bidi w:val="0"/>
              <w:ind w:left="0" w:leftChars="0" w:firstLine="0" w:firstLineChars="0"/>
            </w:pPr>
            <w:r>
              <w:rPr>
                <w:b/>
                <w:bCs/>
                <w:lang w:val="en-US" w:eastAsia="zh-CN"/>
              </w:rPr>
              <w:t>业务场景</w:t>
            </w:r>
            <w:r>
              <w:rPr>
                <w:lang w:val="en-US" w:eastAsia="zh-CN"/>
              </w:rPr>
              <w:t>：面向系统管理员进行平台指标字典统一管控场景，标准化所有能碳统计指标、采集规则与数据口径，实现全平台数据统一治理。</w:t>
            </w:r>
          </w:p>
          <w:p w14:paraId="698CACA4">
            <w:pPr>
              <w:pStyle w:val="19"/>
              <w:bidi w:val="0"/>
              <w:ind w:left="0" w:leftChars="0" w:firstLine="0" w:firstLineChars="0"/>
            </w:pPr>
            <w:r>
              <w:rPr>
                <w:b/>
                <w:bCs/>
                <w:lang w:val="en-US" w:eastAsia="zh-CN"/>
              </w:rPr>
              <w:t>用户故事</w:t>
            </w:r>
            <w:r>
              <w:rPr>
                <w:lang w:val="en-US" w:eastAsia="zh-CN"/>
              </w:rPr>
              <w:t>：</w:t>
            </w:r>
          </w:p>
          <w:p w14:paraId="5BBBA5F7">
            <w:pPr>
              <w:pStyle w:val="19"/>
              <w:bidi w:val="0"/>
            </w:pPr>
            <w:r>
              <w:rPr>
                <w:lang w:val="en-US" w:eastAsia="zh-CN"/>
              </w:rPr>
              <w:t>As a 系统管理员 (Persona PM)，</w:t>
            </w:r>
          </w:p>
          <w:p w14:paraId="7FBD50FD">
            <w:pPr>
              <w:pStyle w:val="19"/>
              <w:bidi w:val="0"/>
            </w:pPr>
            <w:r>
              <w:rPr>
                <w:lang w:val="en-US" w:eastAsia="zh-CN"/>
              </w:rPr>
              <w:t>I want 统一维护平台指标编码、口径、采集规则与元数据信息，</w:t>
            </w:r>
          </w:p>
          <w:p w14:paraId="3CED4418">
            <w:pPr>
              <w:pStyle w:val="19"/>
              <w:bidi w:val="0"/>
            </w:pPr>
            <w:r>
              <w:rPr>
                <w:lang w:val="en-US" w:eastAsia="zh-CN"/>
              </w:rPr>
              <w:t>So that 我能实现全平台能碳数据标准化接入，保障大屏实时指标、统计数据口径一致。</w:t>
            </w:r>
          </w:p>
        </w:tc>
      </w:tr>
    </w:tbl>
    <w:p w14:paraId="407199FD">
      <w:pPr>
        <w:rPr>
          <w:b w:val="0"/>
          <w:bCs w:val="0"/>
        </w:rPr>
      </w:pPr>
    </w:p>
    <w:p w14:paraId="5F9A88C9">
      <w:pPr>
        <w:pStyle w:val="6"/>
        <w:numPr>
          <w:ilvl w:val="0"/>
          <w:numId w:val="194"/>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5EA5F9E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1EDF0A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页面布局：条件筛选区 ＋ 基础数据项列表 ＋ 右上角【新增基础数据项】【导出】。</w:t>
            </w:r>
          </w:p>
          <w:p w14:paraId="72A0FFE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（1）条件筛选：支持按数据来源系统、业务数据分类、数据项名称 / 代码搜索过滤。</w:t>
            </w:r>
          </w:p>
          <w:p w14:paraId="75B1BA2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重置：点【查询】按条件过滤；点【重置】清空条件。</w:t>
            </w:r>
          </w:p>
          <w:p w14:paraId="62D73B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（3）新增基础数据项【新增基础数据项】：打开新增弹窗，填写数据项名称、业务分类、计量单位、默认值、数据来源、集成方式、采集频率。</w:t>
            </w:r>
          </w:p>
          <w:p w14:paraId="6BDB24D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（4）编辑【编辑】：打开编辑窗口，回填数据项信息；代码为业务主键，编辑态只读。</w:t>
            </w:r>
          </w:p>
          <w:p w14:paraId="639DCD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（5）删除【删除】：打开弹窗确认；被采集通道或指标公式引用时禁止删除。</w:t>
            </w:r>
          </w:p>
          <w:p w14:paraId="366137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（6）导出【导出】：将当前筛选结果导出到 Excel（.xlsx）。</w:t>
            </w:r>
          </w:p>
        </w:tc>
      </w:tr>
      <w:tr w14:paraId="0EEB9D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A2AE5">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AC85C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D6C54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BD6A3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3289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4CC290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13D49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2057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A06D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91120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AC3B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71BCC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C79C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【新增基础数据项】</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0EB5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FC89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EFB9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73C0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62316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2D0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3828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5790A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代码唯一；名称唯一；单位必填；集成方式与频率匹配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F49A5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3663F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3E9391E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10C82">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B796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5F6F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1087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回填数据，代码只读</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566F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6BF762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35D0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AA27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3202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未被采集通道 / 指标公式引用</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0A3F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删除该行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B7DE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阻断并提示引用对象</w:t>
            </w:r>
          </w:p>
        </w:tc>
      </w:tr>
      <w:tr w14:paraId="67F9DE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E1A7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EFA85">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27DF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D0595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 .xlsx</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E181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超限提示分批</w:t>
            </w:r>
          </w:p>
        </w:tc>
      </w:tr>
    </w:tbl>
    <w:p w14:paraId="2B9C0BBE">
      <w:pPr>
        <w:rPr>
          <w:b w:val="0"/>
          <w:bCs w:val="0"/>
        </w:rPr>
      </w:pPr>
    </w:p>
    <w:p w14:paraId="6F7B9756">
      <w:pPr>
        <w:pStyle w:val="6"/>
        <w:numPr>
          <w:ilvl w:val="0"/>
          <w:numId w:val="19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100"/>
        <w:gridCol w:w="1468"/>
        <w:gridCol w:w="1848"/>
        <w:gridCol w:w="4479"/>
      </w:tblGrid>
      <w:tr w14:paraId="7D6C959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BED2CC">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D6A8A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F60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CDFD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6E528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6E994A3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C7D0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2D3C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代码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21D8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8F2E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69B46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业务主键；全局唯一；格式 EN-{3 位序号}（如 EN-001）；创建后不可修改</w:t>
            </w:r>
          </w:p>
        </w:tc>
      </w:tr>
      <w:tr w14:paraId="280AB33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A9EDF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BA4DC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数据项名称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741B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0B77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C34CA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必填；≤40 字符；全局唯一；如「电力消费量」「综合能源消费量」</w:t>
            </w:r>
          </w:p>
        </w:tc>
      </w:tr>
      <w:tr w14:paraId="36131B64">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D338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D1FD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业务分类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12DD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7AC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D372B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取值｛能源数据 / 统计数据 / 生产数据 / 排放数据｝</w:t>
            </w:r>
          </w:p>
        </w:tc>
      </w:tr>
      <w:tr w14:paraId="480EB7B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153C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682B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7F05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A7C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3DC9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取值｛kwh / m³ / t / GJ / tce / 张·MWh / 个 / km*mm² / 万元｝；须与数据项物理含义相符</w:t>
            </w:r>
          </w:p>
        </w:tc>
      </w:tr>
      <w:tr w14:paraId="1ECE147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F715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2373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默认值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38C74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72EA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（继承「计量单位」）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6202B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可空；默认 0.00；用于采集缺省兜底；保留 2 位小数</w:t>
            </w:r>
          </w:p>
        </w:tc>
      </w:tr>
      <w:tr w14:paraId="463BEFC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7452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AF42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D139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8625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9BB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取值｛项目公司·本地EMS / 手动录入数据 / 零碳园区集控中心 / 产品碳足迹集采中心 / 第三方接口｝</w:t>
            </w:r>
          </w:p>
        </w:tc>
      </w:tr>
      <w:tr w14:paraId="7F99735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41D1D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BC5E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集成方式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573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0013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DD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取值｛系统自动采集 / 平台人工填报 / 平台引擎计算 / 接口推送｝</w:t>
            </w:r>
          </w:p>
        </w:tc>
      </w:tr>
      <w:tr w14:paraId="629618E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BCA2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D37A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采集频率</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F553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37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EFA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取值｛实时采集 / 月新 / 静态数据 / 日新｝；须与集成方式满足匹配矩阵（见 6.3.5）</w:t>
            </w:r>
          </w:p>
        </w:tc>
      </w:tr>
    </w:tbl>
    <w:p w14:paraId="00CE0EE8">
      <w:pPr>
        <w:pStyle w:val="19"/>
        <w:bidi w:val="0"/>
        <w:rPr>
          <w:b w:val="0"/>
          <w:bCs w:val="0"/>
        </w:rPr>
      </w:pPr>
    </w:p>
    <w:p w14:paraId="3E96AA88">
      <w:pPr>
        <w:pStyle w:val="6"/>
        <w:numPr>
          <w:ilvl w:val="0"/>
          <w:numId w:val="19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755AEA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54B24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（1）代码生成规则</w:t>
            </w:r>
          </w:p>
          <w:p w14:paraId="4E40E58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能源类：EN- + 3 位顺序号（EN-001 … EN-014）；</w:t>
            </w:r>
          </w:p>
          <w:p w14:paraId="78E234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其余分类按前缀约定（ST- 统计、PR- 生产、EM- 排放）。</w:t>
            </w:r>
          </w:p>
          <w:p w14:paraId="2BBBEDC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（2）集成方式与采集频率匹配矩阵</w:t>
            </w:r>
          </w:p>
          <w:p w14:paraId="2BB0F5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系统自动采集 → 实时采集 / 日新</w:t>
            </w:r>
          </w:p>
          <w:p w14:paraId="4C6EF23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平台人工填报 → 月新 / 静态数据</w:t>
            </w:r>
          </w:p>
          <w:p w14:paraId="478DD2B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平台引擎计算 → 实时采集 / 月新（由公式驱动）</w:t>
            </w:r>
          </w:p>
          <w:p w14:paraId="2CBFC4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接口推送     → 实时采集 / 日新</w:t>
            </w:r>
          </w:p>
          <w:p w14:paraId="38B187E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组合不落在矩阵内即判定为非法。</w:t>
            </w:r>
          </w:p>
          <w:p w14:paraId="514C13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（3）综合能源消费量口径</w:t>
            </w:r>
          </w:p>
          <w:p w14:paraId="54B869A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EN-013 综合能源消费量（tce） = Σ (Qᵢ × Cᵢ) / 1000，Qᵢ 与 Cᵢ 见 3.3.5 折标计算。</w:t>
            </w:r>
          </w:p>
          <w:p w14:paraId="5AE1E0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5C4799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EN-001 电力消费量（能源数据 / kwh / 项目公司·本地EMS / 系统自动采集 / 实时采集）；</w:t>
            </w:r>
          </w:p>
          <w:p w14:paraId="708412C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EN-002 市电消费量（同 EN-001）；</w:t>
            </w:r>
          </w:p>
          <w:p w14:paraId="12CD791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EN-003 绿电消费量（… / 月新）；</w:t>
            </w:r>
          </w:p>
          <w:p w14:paraId="2CBF191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EN-004 绿证购入量（能源数据 / 张·MWh / 手动录入数据 / 平台人工填报 / 静态数据）；</w:t>
            </w:r>
          </w:p>
          <w:p w14:paraId="38BB296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EN-005 非化石能源电力消费物理量化量（… / 零碳园区集控中心 / 平台引擎计算 / 月新）；</w:t>
            </w:r>
          </w:p>
          <w:p w14:paraId="3626709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EN-006 天然气消费量（m³）；EN-007 蒸汽消费量（热量）（t）；EN-008 蒸汽消费量（质量）（GJ）；</w:t>
            </w:r>
          </w:p>
          <w:p w14:paraId="4514A3E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EN-009 热力消费量（GJ）；EN-010 柴油消费量（t）；EN-011 汽油消费量（t）；EN-012 煤油消费量（t）；</w:t>
            </w:r>
          </w:p>
          <w:p w14:paraId="60C09D7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EN-013 综合能源消费量（tce / 零碳园区集控中心 / 平台引擎计算 / 月新）；</w:t>
            </w:r>
          </w:p>
          <w:p w14:paraId="137D08E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EN-014 消耗的能源种类数（统计数据 / 个 / 零碳园区集控中心 / 平台引擎计算 / 实时采集）。</w:t>
            </w:r>
          </w:p>
          <w:p w14:paraId="397EDD9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（5）精度与容差</w:t>
            </w:r>
          </w:p>
          <w:p w14:paraId="4CFA5C7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默认值保留 2 位小数；指标计算精度由各下游指标另行规定。</w:t>
            </w:r>
          </w:p>
        </w:tc>
      </w:tr>
    </w:tbl>
    <w:p w14:paraId="1C695D48">
      <w:pPr>
        <w:pStyle w:val="19"/>
        <w:bidi w:val="0"/>
        <w:rPr>
          <w:b w:val="0"/>
          <w:bCs w:val="0"/>
        </w:rPr>
      </w:pPr>
    </w:p>
    <w:p w14:paraId="61BB6BFB">
      <w:pPr>
        <w:pStyle w:val="6"/>
        <w:numPr>
          <w:ilvl w:val="0"/>
          <w:numId w:val="194"/>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2B108B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F0F3E4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（1）列表展示字段（10 列）：序号、代码、数据项名称、业务分类、计量单位、默认值、数据来源、集成方式、采集频率、操作。</w:t>
            </w:r>
          </w:p>
          <w:p w14:paraId="7603787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（2）代码以等宽字体展示，便于检索比对。</w:t>
            </w:r>
          </w:p>
          <w:p w14:paraId="4010DF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（3）业务分类以标签区分；集成方式以标签呈现且配色区分——突出「系统自动采集 / 平台引擎计算」与「平台人工填报」的自动化程度差异。</w:t>
            </w:r>
          </w:p>
          <w:p w14:paraId="7FACB2E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（4）默认值按 2 位小数右对齐。</w:t>
            </w:r>
          </w:p>
          <w:p w14:paraId="19CBB5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（5）排序规则：默认按代码升序（EN-001 → EN-014）。</w:t>
            </w:r>
          </w:p>
          <w:p w14:paraId="1920DBB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（6）统计口径：页面可展示数据项总数、按业务分类分布；「自动类（系统自动采集 + 平台引擎计算 + 接口推送）条目占比」是平台数据自动化率的关键指标。</w:t>
            </w:r>
          </w:p>
          <w:p w14:paraId="4971F64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（7）基准来源：代码规则、14 条示例与三个枚举均取自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1ADD193E">
      <w:pPr>
        <w:pStyle w:val="19"/>
        <w:bidi w:val="0"/>
        <w:rPr>
          <w:b w:val="0"/>
          <w:bCs w:val="0"/>
        </w:rPr>
      </w:pPr>
    </w:p>
    <w:p w14:paraId="1AD4FBCA">
      <w:pPr>
        <w:pStyle w:val="6"/>
        <w:numPr>
          <w:ilvl w:val="0"/>
          <w:numId w:val="19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499A43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AD49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（1）代码重复阻断：代码已存在时，阻断，返回 E_SYS_BASEITEM_CODE_DUP。</w:t>
            </w:r>
          </w:p>
          <w:p w14:paraId="70ADA2D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（2）名称重复阻断：数据项名称重复时，阻断，返回 E_SYS_BASEITEM_NAME_DUP。</w:t>
            </w:r>
          </w:p>
          <w:p w14:paraId="3EEE09F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（3）集成方式与频率冲突拦截：组合不在允许矩阵内时（如「系统自动采集 + 静态数据」），阻断，返回 E_SYS_BASEITEM_FREQ_CONFLICT。</w:t>
            </w:r>
          </w:p>
          <w:p w14:paraId="4A81F9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（4）单位缺失拦截：计量单位为空时，阻断，返回 E_SYS_BASEITEM_UNIT_REQUIRED。</w:t>
            </w:r>
          </w:p>
          <w:p w14:paraId="2FBD8A7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（5）删除引用阻断：被采集通道或指标公式引用时禁止删除，返回 E_SYS_BASEITEM_IN_USE_DELETE_DENIED。</w:t>
            </w:r>
          </w:p>
          <w:p w14:paraId="5D4DC89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（6）引擎计算项写入拦截：集成方式为「平台引擎计算」的数据项，禁止在人工填报入口写入，返回 E_SYS_BASEITEM_CALC_READONLY。</w:t>
            </w:r>
          </w:p>
          <w:p w14:paraId="7245B06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（7）单位与分类不符告警：业务分类为「能源数据」而单位为「个」等明显不符时，给出黄色告警（不阻断），返回 E_SYS_BASEITEM_UNIT_SUSPECT。</w:t>
            </w:r>
          </w:p>
          <w:p w14:paraId="3736B96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1986411F">
      <w:pPr>
        <w:rPr>
          <w:b w:val="0"/>
          <w:bCs w:val="0"/>
        </w:rPr>
      </w:pPr>
    </w:p>
    <w:p w14:paraId="3A70AF2B">
      <w:pPr>
        <w:pStyle w:val="6"/>
        <w:numPr>
          <w:ilvl w:val="0"/>
          <w:numId w:val="19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074E6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2A5DB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平台指标字典</w:t>
            </w:r>
          </w:p>
          <w:p w14:paraId="6BE52E9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新增基础数据项</w:t>
            </w:r>
          </w:p>
          <w:p w14:paraId="5FD97F4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生产数据维护 › 基础数据管理</w:t>
            </w:r>
          </w:p>
          <w:p w14:paraId="3E2CC35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基础数据项】，填写代码＝「EN-015」、名称＝「外购热力消费量」、业务分类＝「能源数据」、计量单位＝「GJ」、数据来源＝「手动录入数据」、集成方式＝「平台人工填报」、采集频率＝「月新」并保存</w:t>
            </w:r>
          </w:p>
          <w:p w14:paraId="78EA1E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列表新增一行，代码显示「EN-015」，默认值显示「0.00」</w:t>
            </w:r>
          </w:p>
          <w:p w14:paraId="499C9A7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代码重复被阻断</w:t>
            </w:r>
          </w:p>
          <w:p w14:paraId="3A6D2B8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已存在代码「EN-001」</w:t>
            </w:r>
          </w:p>
          <w:p w14:paraId="71E3114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新增并填写代码＝「EN-001」</w:t>
            </w:r>
          </w:p>
          <w:p w14:paraId="5849A3D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3768F03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E_SYS_BASEITEM_CODE_DUP</w:t>
            </w:r>
          </w:p>
          <w:p w14:paraId="63691C1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集成方式与采集频率冲突被拦截</w:t>
            </w:r>
          </w:p>
          <w:p w14:paraId="600706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集成方式选择「系统自动采集」</w:t>
            </w:r>
          </w:p>
          <w:p w14:paraId="77D4BC9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采集频率选择「静态数据」并保存</w:t>
            </w:r>
          </w:p>
          <w:p w14:paraId="6C274DE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系统阻断并提示组合不合法</w:t>
            </w:r>
          </w:p>
          <w:p w14:paraId="1ECF5D0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E_SYS_BASEITEM_FREQ_CONFLICT</w:t>
            </w:r>
          </w:p>
          <w:p w14:paraId="2D2C821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引擎计算项禁止人工填报</w:t>
            </w:r>
          </w:p>
          <w:p w14:paraId="7A8BB4F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数据项「综合能源消费量」（EN-013）集成方式为「平台引擎计算」</w:t>
            </w:r>
          </w:p>
          <w:p w14:paraId="56CFD2B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尝试通过人工填报入口写入该数据项</w:t>
            </w:r>
          </w:p>
          <w:p w14:paraId="47A35DF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系统阻断并提示「该数据项由引擎计算，不可人工填报」</w:t>
            </w:r>
          </w:p>
          <w:p w14:paraId="632B4E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E_SYS_BASEITEM_CALC_READONLY</w:t>
            </w:r>
          </w:p>
          <w:p w14:paraId="17AE596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被引用的数据项禁止删除</w:t>
            </w:r>
          </w:p>
          <w:p w14:paraId="55D7367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数据项「电力消费量」（EN-001）已被采集通道引用</w:t>
            </w:r>
          </w:p>
          <w:p w14:paraId="2D0DF17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62E2A8E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w:t>
            </w:r>
          </w:p>
          <w:p w14:paraId="75DCAF8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E_SYS_BASEITEM_IN_USE_DELETE_DENIED</w:t>
            </w:r>
          </w:p>
          <w:p w14:paraId="41F121A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按代码升序排列</w:t>
            </w:r>
          </w:p>
          <w:p w14:paraId="2981BC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列表含 EN-001 至 EN-014 共 14 条</w:t>
            </w:r>
          </w:p>
          <w:p w14:paraId="59432D1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页面加载完成</w:t>
            </w:r>
          </w:p>
          <w:p w14:paraId="2EEDAD9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第一行为 EN-001「电力消费量」</w:t>
            </w:r>
          </w:p>
        </w:tc>
      </w:tr>
    </w:tbl>
    <w:p w14:paraId="3FC4D14D">
      <w:pPr>
        <w:rPr>
          <w:rFonts w:hint="eastAsia"/>
          <w:b w:val="0"/>
          <w:bCs w:val="0"/>
          <w:lang w:val="en-US" w:eastAsia="zh-CN"/>
        </w:rPr>
      </w:pPr>
    </w:p>
    <w:p w14:paraId="23C7984C">
      <w:pPr>
        <w:pStyle w:val="5"/>
        <w:numPr>
          <w:ilvl w:val="0"/>
          <w:numId w:val="191"/>
        </w:numPr>
        <w:ind w:left="0" w:leftChars="0" w:firstLine="0" w:firstLineChars="0"/>
        <w:outlineLvl w:val="1"/>
        <w:rPr>
          <w:rFonts w:hint="default"/>
          <w:b w:val="0"/>
          <w:bCs w:val="0"/>
          <w:lang w:val="en-US" w:eastAsia="zh-CN"/>
        </w:rPr>
      </w:pPr>
      <w:bookmarkStart w:id="82" w:name="_Toc2075"/>
      <w:r>
        <w:rPr>
          <w:rFonts w:hint="eastAsia"/>
          <w:b w:val="0"/>
          <w:bCs w:val="0"/>
          <w:lang w:val="en-US" w:eastAsia="zh-CN"/>
        </w:rPr>
        <w:t>生产工序管理</w:t>
      </w:r>
      <w:bookmarkEnd w:id="82"/>
    </w:p>
    <w:p w14:paraId="08E8A828">
      <w:pPr>
        <w:rPr>
          <w:b w:val="0"/>
          <w:bCs w:val="0"/>
        </w:rPr>
      </w:pPr>
      <w:r>
        <w:drawing>
          <wp:inline distT="0" distB="0" distL="114300" distR="114300">
            <wp:extent cx="5900420" cy="2925445"/>
            <wp:effectExtent l="0" t="0" r="5080"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107"/>
                    <a:stretch>
                      <a:fillRect/>
                    </a:stretch>
                  </pic:blipFill>
                  <pic:spPr>
                    <a:xfrm>
                      <a:off x="0" y="0"/>
                      <a:ext cx="5900420" cy="2925445"/>
                    </a:xfrm>
                    <a:prstGeom prst="rect">
                      <a:avLst/>
                    </a:prstGeom>
                    <a:noFill/>
                    <a:ln>
                      <a:noFill/>
                    </a:ln>
                  </pic:spPr>
                </pic:pic>
              </a:graphicData>
            </a:graphic>
          </wp:inline>
        </w:drawing>
      </w:r>
    </w:p>
    <w:p w14:paraId="2D9A5340">
      <w:pPr>
        <w:pStyle w:val="6"/>
        <w:numPr>
          <w:ilvl w:val="0"/>
          <w:numId w:val="19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5EAAA0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A200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生产数据维护模块下生产工序主数据管理单元，维护工序名称、工序分类、使用能源类型、关联工厂与关联产品中类信息，支持生产工序新增、信息编辑与数据导出，为工序级能耗分摊、工序碳核算、产品碳足迹拆解提供工序基础主数据，实现生产过程能耗与碳排放的精细化溯源，是产品碳核算模型的前置基础依赖。</w:t>
            </w:r>
          </w:p>
          <w:p w14:paraId="7CD564C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系统管理员（全量生产工序新增、工序关联信息维护、分类管理与数据导出）。</w:t>
            </w:r>
          </w:p>
          <w:p w14:paraId="2E1C2AE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页面路由：/system/data/process（左侧导航：系统管理 › 生产数据维护 › 生产工序管理）。</w:t>
            </w:r>
          </w:p>
          <w:p w14:paraId="4E27009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上游依赖：组织管理（关联工厂取值域）；产品类型管理（关联产品中类取值域）。</w:t>
            </w:r>
          </w:p>
          <w:p w14:paraId="3A48E6D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下游输出：第三章碳足迹核算的工序能耗分摊；集控中心工序能效分析；产品型号管理的工序绑定。</w:t>
            </w:r>
          </w:p>
          <w:p w14:paraId="78B3FF5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PM）全量可写；其余角色一律只读。</w:t>
            </w:r>
          </w:p>
        </w:tc>
      </w:tr>
    </w:tbl>
    <w:p w14:paraId="04C9AA33">
      <w:pPr>
        <w:rPr>
          <w:b w:val="0"/>
          <w:bCs w:val="0"/>
        </w:rPr>
      </w:pPr>
    </w:p>
    <w:p w14:paraId="55A875D6">
      <w:pPr>
        <w:pStyle w:val="6"/>
        <w:numPr>
          <w:ilvl w:val="0"/>
          <w:numId w:val="19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97AB9A">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ACBCDB8">
            <w:pPr>
              <w:pStyle w:val="19"/>
              <w:bidi w:val="0"/>
              <w:ind w:left="0" w:leftChars="0" w:firstLine="0" w:firstLineChars="0"/>
              <w:rPr>
                <w:b w:val="0"/>
                <w:bCs w:val="0"/>
              </w:rPr>
            </w:pPr>
            <w:r>
              <w:rPr>
                <w:b w:val="0"/>
                <w:bCs w:val="0"/>
                <w:lang w:val="en-US" w:eastAsia="zh-CN"/>
              </w:rPr>
              <w:t>业务场景：面向系统管理员进行生产工序主数据管控场景，维护工厂生产工序与能耗、产品的关联关系，支撑工序级精细化能碳溯源。</w:t>
            </w:r>
          </w:p>
          <w:p w14:paraId="3357D561">
            <w:pPr>
              <w:pStyle w:val="19"/>
              <w:bidi w:val="0"/>
              <w:ind w:left="0" w:leftChars="0" w:firstLine="0" w:firstLineChars="0"/>
              <w:rPr>
                <w:b w:val="0"/>
                <w:bCs w:val="0"/>
              </w:rPr>
            </w:pPr>
            <w:r>
              <w:rPr>
                <w:b w:val="0"/>
                <w:bCs w:val="0"/>
                <w:lang w:val="en-US" w:eastAsia="zh-CN"/>
              </w:rPr>
              <w:t>用户故事：</w:t>
            </w:r>
          </w:p>
          <w:p w14:paraId="5CF78569">
            <w:pPr>
              <w:pStyle w:val="19"/>
              <w:bidi w:val="0"/>
              <w:rPr>
                <w:b w:val="0"/>
                <w:bCs w:val="0"/>
              </w:rPr>
            </w:pPr>
            <w:r>
              <w:rPr>
                <w:b w:val="0"/>
                <w:bCs w:val="0"/>
                <w:lang w:val="en-US" w:eastAsia="zh-CN"/>
              </w:rPr>
              <w:t>As a 系统管理员 (Persona PM)，</w:t>
            </w:r>
          </w:p>
          <w:p w14:paraId="2B2450A2">
            <w:pPr>
              <w:pStyle w:val="19"/>
              <w:bidi w:val="0"/>
              <w:rPr>
                <w:b w:val="0"/>
                <w:bCs w:val="0"/>
              </w:rPr>
            </w:pPr>
            <w:r>
              <w:rPr>
                <w:b w:val="0"/>
                <w:bCs w:val="0"/>
                <w:lang w:val="en-US" w:eastAsia="zh-CN"/>
              </w:rPr>
              <w:t>I want 维护全集团生产工序基础信息与关联能耗、产品数据，</w:t>
            </w:r>
          </w:p>
          <w:p w14:paraId="610C6B56">
            <w:pPr>
              <w:pStyle w:val="19"/>
              <w:bidi w:val="0"/>
              <w:rPr>
                <w:b w:val="0"/>
                <w:bCs w:val="0"/>
              </w:rPr>
            </w:pPr>
            <w:r>
              <w:rPr>
                <w:b w:val="0"/>
                <w:bCs w:val="0"/>
                <w:lang w:val="en-US" w:eastAsia="zh-CN"/>
              </w:rPr>
              <w:t>So that 我能支撑工序能耗、工序碳排放拆解溯源，支撑集团精细化能碳成效分析展示。</w:t>
            </w:r>
          </w:p>
        </w:tc>
      </w:tr>
    </w:tbl>
    <w:p w14:paraId="539F48FF">
      <w:pPr>
        <w:rPr>
          <w:b w:val="0"/>
          <w:bCs w:val="0"/>
        </w:rPr>
      </w:pPr>
    </w:p>
    <w:p w14:paraId="45FE5950">
      <w:pPr>
        <w:pStyle w:val="6"/>
        <w:numPr>
          <w:ilvl w:val="0"/>
          <w:numId w:val="19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000392F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13B0B30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页面布局：条件筛选区 ＋ 工序列表 ＋ 右上角【新增生产工序】【导出】。</w:t>
            </w:r>
          </w:p>
          <w:p w14:paraId="22724D6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（1）条件筛选：支持按工序分类、能源类型、关联企业（全部制造企业）、产品分类（全部产品中类）、工序搜索过滤。</w:t>
            </w:r>
          </w:p>
          <w:p w14:paraId="543019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（2）查询 / 重置：点【查询】按条件过滤；点【重置】清空条件。</w:t>
            </w:r>
          </w:p>
          <w:p w14:paraId="66A610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（3）新增生产工序【新增生产工序】：打开新增弹窗，填写工序名称、工序分类、使用能源类型、关联工厂（多选）、关联产品中类（多选）、计量单位。</w:t>
            </w:r>
          </w:p>
          <w:p w14:paraId="4FE2DB0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（4）编辑【编辑】：打开编辑窗口，回填工序及关联信息。</w:t>
            </w:r>
          </w:p>
          <w:p w14:paraId="68365CD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（5）删除【删除】：打开弹窗确认；工序已被产品型号绑定或核算引用时禁止删除。</w:t>
            </w:r>
          </w:p>
          <w:p w14:paraId="58A0BF9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（6）导出【导出】：将当前筛选结果导出到 Excel（.xlsx）。</w:t>
            </w:r>
          </w:p>
        </w:tc>
      </w:tr>
      <w:tr w14:paraId="78E3DE5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E2E9F0">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0A6BF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74F9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69C3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721C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1E28D9D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42EA0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6437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D53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973C2">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7858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4C5A127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57723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【新增生产工序】</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D33E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88C2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CEE3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弹窗打开</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6BB1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56D7CB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14CC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关联对象多选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DB36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选择工厂 / 中类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3A0CC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工厂 / 中类取值域有效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91E3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显示已选计数</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CF985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CD698E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20C1E">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92EE7">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E299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同分类内名称唯一；关联对象 ≥ 1；能源类型 ≥ 1；单位必填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8393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列表新增该行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F523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定位首个错误字段并提示</w:t>
            </w:r>
          </w:p>
        </w:tc>
      </w:tr>
      <w:tr w14:paraId="461473D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BA0317">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3570E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3FFFE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1BF5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回填数据</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9533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1A2D3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D2F1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CAA1">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4508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未被型号绑定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56B9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删除该行</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6711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阻断并提示引用对象</w:t>
            </w:r>
          </w:p>
        </w:tc>
      </w:tr>
      <w:tr w14:paraId="4E5F44C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A4A85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85CE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D883B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BBFC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 .xlsx</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3AB7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超限提示分批</w:t>
            </w:r>
          </w:p>
        </w:tc>
      </w:tr>
    </w:tbl>
    <w:p w14:paraId="711A41ED">
      <w:pPr>
        <w:rPr>
          <w:b w:val="0"/>
          <w:bCs w:val="0"/>
        </w:rPr>
      </w:pPr>
    </w:p>
    <w:p w14:paraId="7C15F643">
      <w:pPr>
        <w:pStyle w:val="6"/>
        <w:numPr>
          <w:ilvl w:val="0"/>
          <w:numId w:val="19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644FF5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60FAD4">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DC0CF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2C7F3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D84D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CC09C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校验与约束规则</w:t>
            </w:r>
          </w:p>
        </w:tc>
      </w:tr>
      <w:tr w14:paraId="7DD4724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2EC47">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9554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生产工序名称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77DC3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046B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A883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必填；≤50 字符；同分类内唯一；如「变压器·高压·干燥」「硅钢铁心·剪断(3#/5#)」</w:t>
            </w:r>
          </w:p>
        </w:tc>
      </w:tr>
      <w:tr w14:paraId="4B5043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569F3">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D7396">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工序分类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8B531">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0CB16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58F0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取值｛变压器制造 / 铁心制造 / 线缆制造 / 套管制造 / 互感器制造｝</w:t>
            </w:r>
          </w:p>
        </w:tc>
      </w:tr>
      <w:tr w14:paraId="1C9E5B07">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C85C8">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D0CD0">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使用能源类型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269387">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3AA4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031E7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取值｛电力 / 天然气 / 蒸汽 / 压缩空气｝；至少 1 项；列表以 chip 展示（如 电力+天然气）</w:t>
            </w:r>
          </w:p>
        </w:tc>
      </w:tr>
      <w:tr w14:paraId="4C69E45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8241D">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DD93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CB93E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1BD1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C7E2D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必填；≥1 项；列表显示「关联工厂(n)」+ 前若干个名称</w:t>
            </w:r>
          </w:p>
        </w:tc>
      </w:tr>
      <w:tr w14:paraId="1EDCDA8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036BA">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B9D24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关联产品中类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0128E">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B055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9B02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必填；≥1 项；取值域＝产品类型 2 级中类；列表显示「关联产品中类(n)」+ 前若干个名称</w:t>
            </w:r>
          </w:p>
        </w:tc>
      </w:tr>
      <w:tr w14:paraId="41B31F8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466C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57727A">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9F1C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67699">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ADF5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必填；取值｛kVA / t / km*mm² / 支 / 台 / 万元｝；反映工序的产出计量口径</w:t>
            </w:r>
          </w:p>
        </w:tc>
      </w:tr>
    </w:tbl>
    <w:p w14:paraId="41088D11">
      <w:pPr>
        <w:pStyle w:val="19"/>
        <w:bidi w:val="0"/>
        <w:rPr>
          <w:b w:val="0"/>
          <w:bCs w:val="0"/>
        </w:rPr>
      </w:pPr>
    </w:p>
    <w:p w14:paraId="73A66949">
      <w:pPr>
        <w:pStyle w:val="6"/>
        <w:numPr>
          <w:ilvl w:val="0"/>
          <w:numId w:val="19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CADD0B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938A4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（1）工序能耗分摊</w:t>
            </w:r>
          </w:p>
          <w:p w14:paraId="4E7C9E1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E_process = Σ_q (E_q × ω_q)</w:t>
            </w:r>
          </w:p>
          <w:p w14:paraId="4DF382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其中 E_q 为分摊到产品 q 的能耗，ω_q 为该工序对产品 q 的能耗分摊权重（由产品型号绑定关系与产量确定）。</w:t>
            </w:r>
          </w:p>
          <w:p w14:paraId="4FE709D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（2）工序碳排放</w:t>
            </w:r>
          </w:p>
          <w:p w14:paraId="357AF03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C_process = E_process × EF</w:t>
            </w:r>
          </w:p>
          <w:p w14:paraId="130CCCA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EF 按「使用能源类型」逐项取因子——电力取电力碳排因子（3.1），天然气等取能源活动碳排因子（3.2），多能源时求和。</w:t>
            </w:r>
          </w:p>
          <w:p w14:paraId="523D3D3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（3）关联对象计数</w:t>
            </w:r>
          </w:p>
          <w:p w14:paraId="47BA17E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N_factory = |关联工厂集合|；N_category = |关联产品中类集合|；列表以「关联工厂(n)」「关联产品中类(n)」呈现。</w:t>
            </w:r>
          </w:p>
          <w:p w14:paraId="25A318B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（4）取值示例</w:t>
            </w:r>
          </w:p>
          <w:p w14:paraId="4B71B46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变压器·高压·干燥【变压器制造】电力 + 天然气 / 关联工厂(6) / 关联产品中类(6) / kVA；</w:t>
            </w:r>
          </w:p>
          <w:p w14:paraId="17A889D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变压器·试验【变压器制造】/ kVA；变压器·中低压·油多·干燥【变压器制造】/ 关联产品中类(2) / kVA；</w:t>
            </w:r>
          </w:p>
          <w:p w14:paraId="2C4E7D6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变压器·中低压·干变·固化【变压器制造】/ 关联产品中类(4) / kVA；</w:t>
            </w:r>
          </w:p>
          <w:p w14:paraId="1D67906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非晶合金铁心·退火·烘干【变压器制造】/ 关联工厂(1) / t；</w:t>
            </w:r>
          </w:p>
          <w:p w14:paraId="41DB421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硅钢铁心·剪断(3#/5#)【铁心制造】电力 / 关联工厂(1) / 关联产品中类(2) / t；</w:t>
            </w:r>
          </w:p>
          <w:p w14:paraId="174C6D9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硅钢铁心·中型叠装(3#/5#)【铁心制造】/ t；硅钢铁心·大型叠装(3#/5#)【铁心制造】/ t；</w:t>
            </w:r>
          </w:p>
          <w:p w14:paraId="56D3C0D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拉丝【线缆制造】电力 / 关联工厂(6) / 关联产品中类(6) / km*mm²；</w:t>
            </w:r>
          </w:p>
          <w:p w14:paraId="23D3791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高压交联（干法）【线缆制造】电力 / 关联工厂(1) / km*mm²；中压交联（干法）【线缆制造】/ 关联工厂(4) / km*mm²；</w:t>
            </w:r>
          </w:p>
          <w:p w14:paraId="60D11B0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套管·干燥【套管制造】电力 / 关联工厂(1) / 关联产品中类(2) / 支；</w:t>
            </w:r>
          </w:p>
          <w:p w14:paraId="11F41AD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互感器·干燥【互感器制造】电力 + 天然气 / 关联工厂(1) / 关联产品中类(1) / 台。</w:t>
            </w:r>
          </w:p>
          <w:p w14:paraId="1E6A663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（5）平台规模基线</w:t>
            </w:r>
          </w:p>
          <w:p w14:paraId="2DC894B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全部制造企业 14 家；全部产品中类 47 类。</w:t>
            </w:r>
          </w:p>
          <w:p w14:paraId="7CC08CA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（6）精度与容差</w:t>
            </w:r>
          </w:p>
          <w:p w14:paraId="4704EE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分摊权重保留 4 位小数；工序能耗保留 2 位小数；碳排保留 4 位有效小数。</w:t>
            </w:r>
          </w:p>
        </w:tc>
      </w:tr>
    </w:tbl>
    <w:p w14:paraId="7014D660">
      <w:pPr>
        <w:pStyle w:val="19"/>
        <w:bidi w:val="0"/>
        <w:rPr>
          <w:b w:val="0"/>
          <w:bCs w:val="0"/>
        </w:rPr>
      </w:pPr>
    </w:p>
    <w:p w14:paraId="2DEECA4A">
      <w:pPr>
        <w:pStyle w:val="6"/>
        <w:numPr>
          <w:ilvl w:val="0"/>
          <w:numId w:val="19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FC089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D8D504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（1）列表展示字段（7 列）：序号、生产工序名称、使用能源类型、关联工厂、关联产品中类、计量单位、操作。</w:t>
            </w:r>
          </w:p>
          <w:p w14:paraId="3C38D39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（2）工序名称后缀以标签显示工序分类（如【变压器制造】【铁心制造】），配色区分。</w:t>
            </w:r>
          </w:p>
          <w:p w14:paraId="32659D6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（3）使用能源类型以 chip 并列展示；电力恒列首位。</w:t>
            </w:r>
          </w:p>
          <w:p w14:paraId="11811F5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（4）关联工厂 / 关联产品中类显示「名称(n)」+ 前 2~3 个名称 + 「…」，悬浮展开全部。</w:t>
            </w:r>
          </w:p>
          <w:p w14:paraId="6402F7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（5）排序规则：默认按工序分类固定序（变压器制造 → 铁心制造 → 线缆制造 → 套管制造 → 互感器制造），组内按工序名称升序。</w:t>
            </w:r>
          </w:p>
          <w:p w14:paraId="2D1D00D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（6）统计口径：页面可展示工序总数、按分类分布；关联企业数（14 家）与产品中类数（47 类）为筛选器基线值。</w:t>
            </w:r>
          </w:p>
          <w:p w14:paraId="1FB6A2C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（7）可删除性口径：工序被产品型号绑定或被核算引用时不可删除；否则可删。</w:t>
            </w:r>
          </w:p>
          <w:p w14:paraId="7CD996A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（8）基准来源：13 道工序示例、五个分类枚举、计数格式均取自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7F9DF156">
      <w:pPr>
        <w:pStyle w:val="19"/>
        <w:bidi w:val="0"/>
        <w:rPr>
          <w:b w:val="0"/>
          <w:bCs w:val="0"/>
        </w:rPr>
      </w:pPr>
    </w:p>
    <w:p w14:paraId="580722C5">
      <w:pPr>
        <w:pStyle w:val="6"/>
        <w:numPr>
          <w:ilvl w:val="0"/>
          <w:numId w:val="19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8F063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4ECF2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（1）工序名称重复阻断：同分类内工序名称重复时，阻断，返回 E_SYS_PROC_NAME_DUP。</w:t>
            </w:r>
          </w:p>
          <w:p w14:paraId="643CBD8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（2）关联对象必选拦截：关联工厂或关联产品中类为空时，阻断，返回 E_SYS_PROC_ASSOC_REQUIRED。</w:t>
            </w:r>
          </w:p>
          <w:p w14:paraId="6C29EE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（3）能源类型必选：未选择任何使用能源类型时，阻断，返回 E_SYS_PROC_ENERGY_REQUIRED。</w:t>
            </w:r>
          </w:p>
          <w:p w14:paraId="6C1801B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（4）计量单位缺失拦截：计量单位为空时，阻断，返回 E_SYS_PROC_UNIT_REQUIRED。</w:t>
            </w:r>
          </w:p>
          <w:p w14:paraId="6F07CAC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（5）删除引用阻断：工序已被产品型号绑定或被核算引用时禁止删除，返回 E_SYS_PROC_IN_USE_DELETE_DENIED。</w:t>
            </w:r>
          </w:p>
          <w:p w14:paraId="3A45075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（6）分摊权重缺失兜底：工序参与产品碳核算但未配置分摊权重时，按产量比例均摊并记录告警 E_CALC_PROC_WEIGHT_DEFAULT。</w:t>
            </w:r>
          </w:p>
          <w:p w14:paraId="3C03076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（7）能源类型与因子缺失告警：工序使用能源类型在因子库中无对应因子时，给出红色告警（不阻断保存），返回 E_SYS_PROC_FACTOR_MISSING。</w:t>
            </w:r>
          </w:p>
          <w:p w14:paraId="51DDA5C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（8）越权写拦截：非 P4 角色调用本模块写接口时，返回 HTTP 403，触发 E_AUTH_RBAC_FORBIDDEN。</w:t>
            </w:r>
          </w:p>
        </w:tc>
      </w:tr>
    </w:tbl>
    <w:p w14:paraId="33999C91">
      <w:pPr>
        <w:rPr>
          <w:b w:val="0"/>
          <w:bCs w:val="0"/>
        </w:rPr>
      </w:pPr>
    </w:p>
    <w:p w14:paraId="5EAD2A7F">
      <w:pPr>
        <w:pStyle w:val="6"/>
        <w:numPr>
          <w:ilvl w:val="0"/>
          <w:numId w:val="19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D47BBC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557B2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生产工序主数据</w:t>
            </w:r>
          </w:p>
          <w:p w14:paraId="7BACF46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新增生产工序并关联工厂与产品中类</w:t>
            </w:r>
          </w:p>
          <w:p w14:paraId="7CB1BDC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生产数据维护 › 生产工序管理</w:t>
            </w:r>
          </w:p>
          <w:p w14:paraId="3346C83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点击【新增生产工序】，填写名称＝「变压器·高压·干燥」、工序分类＝「变压器制造」、使用能源类型＝电力+天然气、关联工厂＝沈变本部等 6 家、关联产品中类＝交流变压器-1000KV 等 6 类、计量单位＝kVA 并保存</w:t>
            </w:r>
          </w:p>
          <w:p w14:paraId="1B49C5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列表新增一行</w:t>
            </w:r>
          </w:p>
          <w:p w14:paraId="7825277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关联工厂显示「关联工厂(6)」，关联产品中类显示「关联产品中类(6)」</w:t>
            </w:r>
          </w:p>
          <w:p w14:paraId="5BA062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使用能源类型显示「电力」「天然气」两个 chip</w:t>
            </w:r>
          </w:p>
          <w:p w14:paraId="71ED044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同分类内工序重名被阻断</w:t>
            </w:r>
          </w:p>
          <w:p w14:paraId="594E691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「变压器制造」分类下已存在工序「变压器·高压·干燥」</w:t>
            </w:r>
          </w:p>
          <w:p w14:paraId="217DA00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再新增同名工序</w:t>
            </w:r>
          </w:p>
          <w:p w14:paraId="533022F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系统阻断保存</w:t>
            </w:r>
          </w:p>
          <w:p w14:paraId="6509C6D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E_SYS_PROC_NAME_DUP</w:t>
            </w:r>
          </w:p>
          <w:p w14:paraId="5274BD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未关联工厂被拦截</w:t>
            </w:r>
          </w:p>
          <w:p w14:paraId="52CDA56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新增工序但关联工厂留空并保存</w:t>
            </w:r>
          </w:p>
          <w:p w14:paraId="5FFEA9D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系统阻断并提示「关联工厂至少选择 1 项」</w:t>
            </w:r>
          </w:p>
          <w:p w14:paraId="2804ADA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E_SYS_PROC_ASSOC_REQUIRED</w:t>
            </w:r>
          </w:p>
          <w:p w14:paraId="5BFE152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工序引用阻断删除</w:t>
            </w:r>
          </w:p>
          <w:p w14:paraId="17E195F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工序「硅钢铁心·剪断(3#/5#)」已被产品型号绑定</w:t>
            </w:r>
          </w:p>
          <w:p w14:paraId="50F2421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点击【删除】并确认</w:t>
            </w:r>
          </w:p>
          <w:p w14:paraId="23ADEE7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系统阻断删除</w:t>
            </w:r>
          </w:p>
          <w:p w14:paraId="5C243E3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E_SYS_PROC_IN_USE_DELETE_DENIED</w:t>
            </w:r>
          </w:p>
          <w:p w14:paraId="2F4D57D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分摊权重缺失时按产量均摊</w:t>
            </w:r>
          </w:p>
          <w:p w14:paraId="4E736C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工序「拉丝」参与产品碳核算但未配置分摊权重</w:t>
            </w:r>
          </w:p>
          <w:p w14:paraId="41ABC91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执行工序能耗分摊</w:t>
            </w:r>
          </w:p>
          <w:p w14:paraId="345BED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系统按产量比例均摊</w:t>
            </w:r>
          </w:p>
          <w:p w14:paraId="7FBA82E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记录告警 E_CALC_PROC_WEIGHT_DEFAULT</w:t>
            </w:r>
          </w:p>
          <w:p w14:paraId="4FADAF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按工序分类分组排序</w:t>
            </w:r>
          </w:p>
          <w:p w14:paraId="561FA7D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列表含多个分类的工序</w:t>
            </w:r>
          </w:p>
          <w:p w14:paraId="29BDD60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页面加载完成</w:t>
            </w:r>
          </w:p>
          <w:p w14:paraId="50837E3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工序按「变压器制造 → 铁心制造 → 线缆制造 → 套管制造 → 互感器制造」分组排列</w:t>
            </w:r>
          </w:p>
        </w:tc>
      </w:tr>
    </w:tbl>
    <w:p w14:paraId="36607F95">
      <w:pPr>
        <w:rPr>
          <w:rFonts w:hint="default"/>
          <w:b w:val="0"/>
          <w:bCs w:val="0"/>
          <w:lang w:val="en-US" w:eastAsia="zh-CN"/>
        </w:rPr>
      </w:pPr>
    </w:p>
    <w:p w14:paraId="04FA5D12">
      <w:pPr>
        <w:pStyle w:val="4"/>
        <w:numPr>
          <w:ilvl w:val="0"/>
          <w:numId w:val="176"/>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83" w:name="_Toc1355"/>
      <w:r>
        <w:rPr>
          <w:rFonts w:hint="eastAsia" w:ascii="Times New Roman" w:hAnsi="Times New Roman" w:eastAsia="黑体" w:cs="Times New Roman"/>
          <w:b w:val="0"/>
          <w:bCs w:val="0"/>
          <w:sz w:val="30"/>
          <w:szCs w:val="32"/>
          <w:lang w:val="en-US" w:eastAsia="zh-CN"/>
        </w:rPr>
        <w:t>日志管理</w:t>
      </w:r>
      <w:bookmarkEnd w:id="83"/>
    </w:p>
    <w:p w14:paraId="570535C0">
      <w:pPr>
        <w:pStyle w:val="19"/>
        <w:bidi w:val="0"/>
        <w:rPr>
          <w:rFonts w:hint="eastAsia" w:eastAsia="宋体"/>
          <w:b w:val="0"/>
          <w:bCs/>
          <w:lang w:eastAsia="zh-CN"/>
        </w:rPr>
      </w:pPr>
      <w:r>
        <w:rPr>
          <w:rFonts w:hint="eastAsia"/>
          <w:b w:val="0"/>
          <w:bCs/>
          <w:lang w:val="en-US" w:eastAsia="zh-CN"/>
        </w:rPr>
        <w:t>本板块是系统管理模块的操作审计中枢，也是全平台合规留痕的最终承载。板块规模为单模块，因此采用「板块即模块」的呈现方式。日志记录覆盖登录、数据操作、因子变更、权限变更、报表导出五类关键动作，是全平台唯一不可篡改的数据资产。</w:t>
      </w:r>
    </w:p>
    <w:p w14:paraId="20E4E596">
      <w:pPr>
        <w:pStyle w:val="19"/>
        <w:bidi w:val="0"/>
        <w:rPr>
          <w:rFonts w:hint="eastAsia" w:eastAsia="宋体"/>
          <w:lang w:eastAsia="zh-CN"/>
        </w:rPr>
      </w:pPr>
      <w:r>
        <w:rPr>
          <w:rFonts w:hint="eastAsia"/>
          <w:lang w:val="en-US" w:eastAsia="zh-CN"/>
        </w:rPr>
        <w:t>边界声明：本板块只读——不提供新增、修改、删除日志的任何入口，任何角色（含系统管理员）均无日志写权限。日志由各业务模块的写操作经统一审计中间件自动落库，前台仅做查询、检索与导出。</w:t>
      </w:r>
    </w:p>
    <w:p w14:paraId="16CE931F">
      <w:pPr>
        <w:pStyle w:val="19"/>
        <w:bidi w:val="0"/>
        <w:rPr>
          <w:rFonts w:hint="eastAsia" w:eastAsia="宋体"/>
          <w:lang w:eastAsia="zh-CN"/>
        </w:rPr>
      </w:pPr>
      <w:r>
        <w:rPr>
          <w:rFonts w:hint="eastAsia"/>
          <w:lang w:val="en-US" w:eastAsia="zh-CN"/>
        </w:rPr>
        <w:t>输入输出链：各模块写操作 → 统一审计中间件 → 日志库（留存 ≥ 3 年）→ 本板块查询 / 检索 / 导出 → 安全审计与合规检查证据；同时为第六章状态机与合规保障体系提供审计留痕输入。</w:t>
      </w:r>
    </w:p>
    <w:p w14:paraId="669F6490">
      <w:pPr>
        <w:pStyle w:val="5"/>
        <w:numPr>
          <w:ilvl w:val="0"/>
          <w:numId w:val="196"/>
        </w:numPr>
        <w:ind w:left="0" w:leftChars="0" w:firstLine="0" w:firstLineChars="0"/>
        <w:outlineLvl w:val="1"/>
        <w:rPr>
          <w:rFonts w:hint="default" w:cs="Times New Roman"/>
          <w:b w:val="0"/>
          <w:bCs w:val="0"/>
          <w:sz w:val="30"/>
          <w:szCs w:val="24"/>
          <w:lang w:val="en-US" w:eastAsia="zh-CN"/>
        </w:rPr>
      </w:pPr>
      <w:bookmarkStart w:id="84" w:name="_Toc1483409675"/>
      <w:bookmarkStart w:id="85" w:name="_Toc24419"/>
      <w:r>
        <w:rPr>
          <w:rFonts w:hint="eastAsia" w:cs="Times New Roman"/>
          <w:b w:val="0"/>
          <w:bCs w:val="0"/>
          <w:sz w:val="30"/>
          <w:szCs w:val="24"/>
          <w:lang w:val="en-US" w:eastAsia="zh-CN"/>
        </w:rPr>
        <w:t>日志管理</w:t>
      </w:r>
      <w:bookmarkEnd w:id="84"/>
      <w:bookmarkEnd w:id="85"/>
    </w:p>
    <w:p w14:paraId="5CB61582">
      <w:pPr>
        <w:rPr>
          <w:b w:val="0"/>
          <w:bCs w:val="0"/>
        </w:rPr>
      </w:pPr>
      <w:r>
        <w:drawing>
          <wp:inline distT="0" distB="0" distL="114300" distR="114300">
            <wp:extent cx="5900420" cy="2925445"/>
            <wp:effectExtent l="0" t="0" r="5080" b="8255"/>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108"/>
                    <a:stretch>
                      <a:fillRect/>
                    </a:stretch>
                  </pic:blipFill>
                  <pic:spPr>
                    <a:xfrm>
                      <a:off x="0" y="0"/>
                      <a:ext cx="5900420" cy="2925445"/>
                    </a:xfrm>
                    <a:prstGeom prst="rect">
                      <a:avLst/>
                    </a:prstGeom>
                    <a:noFill/>
                    <a:ln>
                      <a:noFill/>
                    </a:ln>
                  </pic:spPr>
                </pic:pic>
              </a:graphicData>
            </a:graphic>
          </wp:inline>
        </w:drawing>
      </w:r>
    </w:p>
    <w:p w14:paraId="24A781EE">
      <w:pPr>
        <w:pStyle w:val="6"/>
        <w:numPr>
          <w:ilvl w:val="0"/>
          <w:numId w:val="19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FC088C">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7E21D7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功能定位：作为系统管理模块下操作审计单元，统一记录账号登录、数据提交、因子变更、权限调整、报表导出等全量关键操作，留存操作时间、操作人、操作类型、操作对象、IP 地址与执行结果；日志存储周期不少于 3 年且不可删除，支持按关键字、日志类型、操作结果检索与日志导出，用于系统安全审计、问题追溯、合规留痕，满足能碳平台数据可追溯管理要求。</w:t>
            </w:r>
          </w:p>
          <w:p w14:paraId="4B194A1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承载角色：PM 系统管理员（仅支持查询、检索、导出日志，不支持日志新增、修改与删除）。</w:t>
            </w:r>
          </w:p>
          <w:p w14:paraId="45478FD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页面路由：/system/log（左侧导航：系统管理 › 日志管理）。</w:t>
            </w:r>
          </w:p>
          <w:p w14:paraId="442EA03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上游依赖：无。日志由各业务模块写操作经统一审计中间件自动落库，不依赖人工录入。</w:t>
            </w:r>
          </w:p>
          <w:p w14:paraId="6AE71AD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下游输出：安全审计与合规检查证据；第六章《工程治理、状态机与合规保障体系》的审计留痕输入；异常登录与越权尝试监测数据源。</w:t>
            </w:r>
          </w:p>
          <w:p w14:paraId="69474BA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数据权限：系统管理员（Persona PM）可查询全量日志；其余角色在本模块无访问权限。审计员角色（数据范围＝全集团（只读））可只读查询与导出日志，不可进行任何写操作。</w:t>
            </w:r>
          </w:p>
        </w:tc>
      </w:tr>
    </w:tbl>
    <w:p w14:paraId="6C0E03D4">
      <w:pPr>
        <w:rPr>
          <w:b w:val="0"/>
          <w:bCs w:val="0"/>
        </w:rPr>
      </w:pPr>
    </w:p>
    <w:p w14:paraId="09AF25C6">
      <w:pPr>
        <w:pStyle w:val="6"/>
        <w:numPr>
          <w:ilvl w:val="0"/>
          <w:numId w:val="19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E3D94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A1F8DA3">
            <w:pPr>
              <w:pStyle w:val="19"/>
              <w:bidi w:val="0"/>
              <w:ind w:left="0" w:leftChars="0" w:firstLine="0" w:firstLineChars="0"/>
            </w:pPr>
            <w:r>
              <w:rPr>
                <w:b/>
                <w:bCs/>
                <w:lang w:val="en-US" w:eastAsia="zh-CN"/>
              </w:rPr>
              <w:t>业务场景</w:t>
            </w:r>
            <w:r>
              <w:rPr>
                <w:lang w:val="en-US" w:eastAsia="zh-CN"/>
              </w:rPr>
              <w:t>：面向系统管理员进行平台操作审计与合规管控场景，全量留存平台后台配置、数据修改、权限变更等操作记录，实现全程可追溯。</w:t>
            </w:r>
          </w:p>
          <w:p w14:paraId="57A72F57">
            <w:pPr>
              <w:pStyle w:val="19"/>
              <w:bidi w:val="0"/>
              <w:ind w:left="0" w:leftChars="0" w:firstLine="0" w:firstLineChars="0"/>
            </w:pPr>
            <w:r>
              <w:rPr>
                <w:b/>
                <w:bCs/>
                <w:lang w:val="en-US" w:eastAsia="zh-CN"/>
              </w:rPr>
              <w:t>用户故事</w:t>
            </w:r>
            <w:r>
              <w:rPr>
                <w:lang w:val="en-US" w:eastAsia="zh-CN"/>
              </w:rPr>
              <w:t>：</w:t>
            </w:r>
          </w:p>
          <w:p w14:paraId="30938380">
            <w:pPr>
              <w:pStyle w:val="19"/>
              <w:bidi w:val="0"/>
            </w:pPr>
            <w:r>
              <w:rPr>
                <w:lang w:val="en-US" w:eastAsia="zh-CN"/>
              </w:rPr>
              <w:t>As a 系统管理员 (Persona PM)，</w:t>
            </w:r>
          </w:p>
          <w:p w14:paraId="4DD208EE">
            <w:pPr>
              <w:pStyle w:val="19"/>
              <w:bidi w:val="0"/>
            </w:pPr>
            <w:r>
              <w:rPr>
                <w:lang w:val="en-US" w:eastAsia="zh-CN"/>
              </w:rPr>
              <w:t>I want 全程留存、查询、导出平台所有关键操作日志，数据不可篡改，</w:t>
            </w:r>
          </w:p>
          <w:p w14:paraId="0913C793">
            <w:pPr>
              <w:pStyle w:val="19"/>
              <w:bidi w:val="0"/>
            </w:pPr>
            <w:r>
              <w:rPr>
                <w:lang w:val="en-US" w:eastAsia="zh-CN"/>
              </w:rPr>
              <w:t>So that 我能实现平台操作合规审计、问题溯源，保障大屏底层配置数据安全可信、全程留痕。</w:t>
            </w:r>
          </w:p>
          <w:p w14:paraId="60BB35C9">
            <w:pPr>
              <w:pStyle w:val="19"/>
              <w:bidi w:val="0"/>
            </w:pPr>
          </w:p>
        </w:tc>
      </w:tr>
    </w:tbl>
    <w:p w14:paraId="36E071B5">
      <w:pPr>
        <w:rPr>
          <w:b w:val="0"/>
          <w:bCs w:val="0"/>
        </w:rPr>
      </w:pPr>
    </w:p>
    <w:p w14:paraId="783AFE7F">
      <w:pPr>
        <w:pStyle w:val="6"/>
        <w:numPr>
          <w:ilvl w:val="0"/>
          <w:numId w:val="19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
        <w:gridCol w:w="1950"/>
        <w:gridCol w:w="1950"/>
        <w:gridCol w:w="1950"/>
        <w:gridCol w:w="1950"/>
        <w:gridCol w:w="1818"/>
        <w:gridCol w:w="166"/>
      </w:tblGrid>
      <w:tr w14:paraId="6C30229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6" w:type="dxa"/>
          <w:jc w:val="center"/>
        </w:trPr>
        <w:tc>
          <w:tcPr>
            <w:tcW w:w="9648" w:type="dxa"/>
            <w:gridSpan w:val="6"/>
            <w:tcBorders>
              <w:tl2br w:val="nil"/>
              <w:tr2bl w:val="nil"/>
            </w:tcBorders>
            <w:shd w:val="clear" w:color="auto" w:fill="F0FDF4"/>
            <w:tcMar>
              <w:top w:w="70" w:type="dxa"/>
              <w:left w:w="100" w:type="dxa"/>
              <w:bottom w:w="70" w:type="dxa"/>
              <w:right w:w="100" w:type="dxa"/>
            </w:tcMar>
            <w:vAlign w:val="center"/>
          </w:tcPr>
          <w:p w14:paraId="281E66C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页面布局：顶部说明条 ＋ 条件筛选区 ＋ 日志列表（只读）＋ 右上角【导出日志】。</w:t>
            </w:r>
          </w:p>
          <w:p w14:paraId="1C3EF17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（1）说明条（原文）：记录登录、数据操作、因子变更、权限变更、报表导出等关键操作，日志留存 ≥ 3 年且不可删除。</w:t>
            </w:r>
          </w:p>
          <w:p w14:paraId="7C590F0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（2）条件筛选：支持按关键字（操作人 / 对象 / IP）、日志类型、结果筛选；点【查询】过滤，点【重置】清空条件。</w:t>
            </w:r>
          </w:p>
          <w:p w14:paraId="3875955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（3）导出日志【导出日志】：导出当前筛选结果为文件；导出动作本身亦记入日志（自记录）。</w:t>
            </w:r>
          </w:p>
          <w:p w14:paraId="12D1AC6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（4）列表只读：无编辑、删除入口；系统管理员亦不可改删。</w:t>
            </w:r>
          </w:p>
          <w:p w14:paraId="57E6318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（5）行内明细：点击任一行可展开该条日志的完整明细（含请求参数摘要与返回码），便于问题追溯。</w:t>
            </w:r>
          </w:p>
        </w:tc>
      </w:tr>
      <w:tr w14:paraId="5A5273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539C5A">
            <w:pPr>
              <w:pStyle w:val="19"/>
              <w:bidi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z w:val="24"/>
                <w:szCs w:val="24"/>
              </w:rPr>
              <w:t>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9F4C64">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82BF8C">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4D21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成功反馈</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AF3BD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失败反馈</w:t>
            </w:r>
          </w:p>
        </w:tc>
      </w:tr>
      <w:tr w14:paraId="312F1E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6619F">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255609">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D7BD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E78F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列表按条件过滤</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D3E95">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FC05EC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2E84">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7FABDB">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89ABC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9ABA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列表刷新；重置恢复全量</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684C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035146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486C89">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日志行</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31882">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单击展开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113B6">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C3B070">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展开明细（请求参数摘要 + 返回码）</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8310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1B1706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6EF340">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时间列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0BC8D">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点击表头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D0143">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C3F9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按时间升 / 降序切换</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5586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r>
      <w:tr w14:paraId="2D33A3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3AB1C">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【导出日志】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7F913">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导出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A2F5EB">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结果行数 ≤ 50,000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9021F">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生成导出文件（含筛选条件）</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5F528">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超限提示缩小时间范围</w:t>
            </w:r>
          </w:p>
        </w:tc>
      </w:tr>
      <w:tr w14:paraId="7B5E23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30" w:type="dxa"/>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05374B">
            <w:pPr>
              <w:pStyle w:val="19"/>
              <w:bidi w:val="0"/>
              <w:spacing w:line="240" w:lineRule="auto"/>
              <w:ind w:left="0" w:leftChars="0" w:right="0" w:rightChars="0" w:firstLine="0" w:firstLineChars="0"/>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任何写操作入口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51E81">
            <w:pPr>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F78A4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42D">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不提供（接口层面拒绝）</w:t>
            </w:r>
          </w:p>
        </w:tc>
        <w:tc>
          <w:tcPr>
            <w:tcW w:w="1984" w:type="dxa"/>
            <w:gridSpan w:val="2"/>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C48AA">
            <w:pPr>
              <w:pStyle w:val="19"/>
              <w:bidi w:val="0"/>
              <w:spacing w:line="240" w:lineRule="auto"/>
              <w:ind w:left="0" w:leftChars="0" w:right="0" w:rightChars="0" w:firstLine="0" w:firstLineChars="0"/>
              <w:jc w:val="both"/>
              <w:rPr>
                <w:rFonts w:hint="eastAsia" w:ascii="宋体" w:hAnsi="宋体" w:eastAsia="宋体" w:cs="宋体"/>
                <w:b w:val="0"/>
                <w:bCs/>
                <w:sz w:val="24"/>
                <w:szCs w:val="24"/>
              </w:rPr>
            </w:pPr>
            <w:r>
              <w:rPr>
                <w:rFonts w:hint="eastAsia" w:ascii="宋体" w:hAnsi="宋体" w:eastAsia="宋体" w:cs="宋体"/>
                <w:b w:val="0"/>
                <w:bCs/>
                <w:sz w:val="24"/>
                <w:szCs w:val="24"/>
                <w:lang w:val="en-US" w:eastAsia="en-US" w:bidi="ar-SA"/>
              </w:rPr>
              <w:t>返回 E_SYS_LOG_IMMUTABLE</w:t>
            </w:r>
          </w:p>
        </w:tc>
      </w:tr>
    </w:tbl>
    <w:p w14:paraId="58C14010">
      <w:pPr>
        <w:rPr>
          <w:b w:val="0"/>
          <w:bCs w:val="0"/>
        </w:rPr>
      </w:pPr>
    </w:p>
    <w:p w14:paraId="1E5D0390">
      <w:pPr>
        <w:pStyle w:val="6"/>
        <w:numPr>
          <w:ilvl w:val="0"/>
          <w:numId w:val="19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5642F1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5A3B1">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5A8D7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6E4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BABF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753DE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7B706B7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0B594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487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时间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0DA81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FCE17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775C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系统自动写入；精确到秒（YYYY-MM-DD HH:mm:ss）；不可编辑；默认按降序展示</w:t>
            </w:r>
          </w:p>
        </w:tc>
      </w:tr>
      <w:tr w14:paraId="35D154C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304B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A69D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操作人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9A6A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1B34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3F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取账号姓名；登录失败等无法识别身份时写「unknown」</w:t>
            </w:r>
          </w:p>
        </w:tc>
      </w:tr>
      <w:tr w14:paraId="2852D20F">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BECD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9CF80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E664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67E0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EF2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取值｛登录 / 数据操作 / 因子变更 / 权限变更 / 导出｝； 原稿字段字典漏列此项</w:t>
            </w:r>
          </w:p>
        </w:tc>
      </w:tr>
      <w:tr w14:paraId="71FB859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1DB3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EDE98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操作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71B8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86D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5EDC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具体动作描述（如「修改碳排因子」「提交能耗数据」「新增账号」「导出碳排报告」「角色权限调整」「登录」）； 原稿字段字典漏列此项</w:t>
            </w:r>
          </w:p>
        </w:tc>
      </w:tr>
      <w:tr w14:paraId="7844BA7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727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DE8F2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操作对象</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BC777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AEA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365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被操作对象标识（如「华北电网电力」「DR-260817-01」「wangqiang」「沈阳园区」「园区管理员」「admin」）</w:t>
            </w:r>
          </w:p>
        </w:tc>
      </w:tr>
      <w:tr w14:paraId="36E0787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B95DF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601B0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IP 地址</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D93F3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8E96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EB67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支持 IPv4；内网 10.x.x.x 与公网地址均记录；不记录客户端伪造值</w:t>
            </w:r>
          </w:p>
        </w:tc>
      </w:tr>
      <w:tr w14:paraId="3BAD0F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C4C83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704EB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结果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9DDA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1F92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9F4A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en-US" w:bidi="ar-SA"/>
              </w:rPr>
              <w:t>取值｛成功 / 失败｝；失败项以红色标签呈现</w:t>
            </w:r>
          </w:p>
        </w:tc>
      </w:tr>
    </w:tbl>
    <w:p w14:paraId="507B3EEF">
      <w:pPr>
        <w:pStyle w:val="19"/>
        <w:bidi w:val="0"/>
        <w:rPr>
          <w:b w:val="0"/>
          <w:bCs w:val="0"/>
        </w:rPr>
      </w:pPr>
    </w:p>
    <w:p w14:paraId="204210FD">
      <w:pPr>
        <w:pStyle w:val="6"/>
        <w:numPr>
          <w:ilvl w:val="0"/>
          <w:numId w:val="19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AB4C15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A4824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（1）日志留存期</w:t>
            </w:r>
          </w:p>
          <w:p w14:paraId="550E768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Retention ≥ 3 年（1095 天）。到期不可自动清理；任何角色不含删除权限。</w:t>
            </w:r>
          </w:p>
          <w:p w14:paraId="415B4DA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（2）自记录规则（审计的审计）</w:t>
            </w:r>
          </w:p>
          <w:p w14:paraId="2323ED5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日志导出、日志查询（含筛选条件）本身也产生审计记录——导出写入「导出」类日志，查询写入「数据操作」类日志。</w:t>
            </w:r>
          </w:p>
          <w:p w14:paraId="24FADC1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（3）日志类型计数</w:t>
            </w:r>
          </w:p>
          <w:p w14:paraId="25A533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Count(type) = 该类型日志条数，用于安全概览面板。</w:t>
            </w:r>
          </w:p>
          <w:p w14:paraId="6B12194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（4）失败率</w:t>
            </w:r>
          </w:p>
          <w:p w14:paraId="2E89D64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FailRate = Count(结果 = 失败) / Count(全部) × 100%</w:t>
            </w:r>
          </w:p>
          <w:p w14:paraId="16B1522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用于异常登录与越权尝试监测；单账号连续失败 ≥ 5 次触发安全告警。</w:t>
            </w:r>
          </w:p>
          <w:p w14:paraId="1246188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（5）取值示例</w:t>
            </w:r>
          </w:p>
          <w:p w14:paraId="4D30B3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2026-08-17 09:41 ｜ 张伟 ｜ [因子变更] ｜ 修改碳排因子 ｜ 华北电网电力 ｜ 10.20.3.11 ｜ 成功；</w:t>
            </w:r>
          </w:p>
          <w:p w14:paraId="5B157BC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2026-08-17 09:28 ｜ 王强 ｜ [数据操作] ｜ 提交能耗数据 ｜ DR-260817-01 ｜ 10.20.4.22 ｜ 成功；</w:t>
            </w:r>
          </w:p>
          <w:p w14:paraId="545EF0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2026-08-17 09:12 ｜ 李静 ｜ [权限变更] ｜ 新增账号 ｜ wangqiang ｜ 10.20.4.22 ｜ 成功；</w:t>
            </w:r>
          </w:p>
          <w:p w14:paraId="34FB7E0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2026-08-16 17:30 ｜ 赵敏 ｜ [导出] ｜ 导出碳排报告 ｜ 沈阳园区 ｜ 10.20.6.7 ｜ 成功；</w:t>
            </w:r>
          </w:p>
          <w:p w14:paraId="200FED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2026-08-16 15:05 ｜ 张伟 ｜ [权限变更] ｜ 角色权限调整 ｜ 园区管理员 ｜ 10.20.3.11 ｜ 成功；</w:t>
            </w:r>
          </w:p>
          <w:p w14:paraId="500E3A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2026-08-16 08:59 ｜ unknown ｜ [登录] ｜ 登录 ｜ admin ｜ 113.88.20.4 ｜ 失败。</w:t>
            </w:r>
          </w:p>
          <w:p w14:paraId="1E9048C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（6）精度与容差</w:t>
            </w:r>
          </w:p>
          <w:p w14:paraId="5856464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时间为秒级；计数为整数；无容差。</w:t>
            </w:r>
          </w:p>
        </w:tc>
      </w:tr>
    </w:tbl>
    <w:p w14:paraId="770DED9E">
      <w:pPr>
        <w:pStyle w:val="19"/>
        <w:bidi w:val="0"/>
        <w:rPr>
          <w:b w:val="0"/>
          <w:bCs w:val="0"/>
        </w:rPr>
      </w:pPr>
    </w:p>
    <w:p w14:paraId="700752D1">
      <w:pPr>
        <w:pStyle w:val="6"/>
        <w:numPr>
          <w:ilvl w:val="0"/>
          <w:numId w:val="19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51472D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95CB71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（1）列表展示字段（7 列）：时间、操作人、类型、操作、操作对象、IP 地址、结果。</w:t>
            </w:r>
          </w:p>
          <w:p w14:paraId="53EC7C2A">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（2）类型以标签呈现（登录 / 数据操作 / 因子变更 / 权限变更 / 导出），五类配色区分。</w:t>
            </w:r>
          </w:p>
          <w:p w14:paraId="44EFD03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（3）结果以标签呈现：成功（绿标签）/ 失败（红标签）。</w:t>
            </w:r>
          </w:p>
          <w:p w14:paraId="2E9157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（4）时间按 YYYY-MM-DD HH:mm:ss 展示，默认降序（最新在前）。</w:t>
            </w:r>
          </w:p>
          <w:p w14:paraId="52A4252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（5）排序规则：默认按时间降序；支持点击表头切换升降序。</w:t>
            </w:r>
          </w:p>
          <w:p w14:paraId="7A8282B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（6）统计口径：查询结果条数实时显示；可按类型 / 结果分组统计；单账号失败次数用于安全告警判定。</w:t>
            </w:r>
          </w:p>
          <w:p w14:paraId="179384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（7）留存口径：页面顶部常显「日志留存 ≥ 3 年且不可删除」，作为合规声明。</w:t>
            </w:r>
          </w:p>
          <w:p w14:paraId="53FAB1E5">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（8）基准来源：说明条原文、五类枚举与 6 条示例均取自</w:t>
            </w:r>
            <w:r>
              <w:rPr>
                <w:rFonts w:hint="eastAsia" w:ascii="宋体" w:hAnsi="宋体" w:eastAsia="宋体" w:cs="宋体"/>
                <w:b w:val="0"/>
                <w:bCs/>
                <w:sz w:val="24"/>
                <w:szCs w:val="24"/>
                <w:lang w:val="en-US" w:eastAsia="zh-CN" w:bidi="ar-SA"/>
              </w:rPr>
              <w:t>配置文件</w:t>
            </w:r>
            <w:r>
              <w:rPr>
                <w:rFonts w:hint="eastAsia" w:ascii="宋体" w:hAnsi="宋体" w:eastAsia="宋体" w:cs="宋体"/>
                <w:b w:val="0"/>
                <w:bCs/>
                <w:sz w:val="24"/>
                <w:szCs w:val="24"/>
                <w:lang w:val="en-US" w:eastAsia="en-US" w:bidi="ar-SA"/>
              </w:rPr>
              <w:t>。</w:t>
            </w:r>
          </w:p>
        </w:tc>
      </w:tr>
    </w:tbl>
    <w:p w14:paraId="3B5B5958">
      <w:pPr>
        <w:pStyle w:val="19"/>
        <w:bidi w:val="0"/>
        <w:rPr>
          <w:b w:val="0"/>
          <w:bCs w:val="0"/>
        </w:rPr>
      </w:pPr>
    </w:p>
    <w:p w14:paraId="1B39B10A">
      <w:pPr>
        <w:pStyle w:val="6"/>
        <w:numPr>
          <w:ilvl w:val="0"/>
          <w:numId w:val="19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5683383">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88CB4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（1）日志不可改删：任何角色（含系统管理员）均无修改、删除日志的接口；尝试调用返回 E_SYS_LOG_IMMUTABLE。</w:t>
            </w:r>
          </w:p>
          <w:p w14:paraId="2F1C05A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（2）留存期保护：早于 3 年的日志不得被清理；清理任务若命中保护期返回 E_SYS_LOG_RETENTION_PROTECTED。</w:t>
            </w:r>
          </w:p>
          <w:p w14:paraId="7A44A82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（3）导出范围控制：单次导出上限 50,000 行；超限提示缩小时间范围，返回 E_SYS_LOG_EXPORT_LIMIT。</w:t>
            </w:r>
          </w:p>
          <w:p w14:paraId="471FA93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（4）越权访问拦截：非 P4 与审计员角色访问本模块任意页面或接口时，返回 HTTP 403，触发 E_AUTH_RBAC_FORBIDDEN。</w:t>
            </w:r>
          </w:p>
          <w:p w14:paraId="2BEE56D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（5）敏感信息脱敏：日志中的手机号、身份证号等按统一脱敏规则（见 2.2.5）处理后再落库与展示。</w:t>
            </w:r>
          </w:p>
          <w:p w14:paraId="3291DC1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（6）时钟一致性：日志时间以服务端统一时钟为准；客户端时间不参与记录，避免时序错乱与伪造。</w:t>
            </w:r>
          </w:p>
          <w:p w14:paraId="2A759AC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（7）导出即留痕：每次导出均写入一条「导出」类日志（含操作人、筛选条件、行数）。</w:t>
            </w:r>
          </w:p>
          <w:p w14:paraId="144D47E9">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（8）登录失败留痕：登录失败时操作人写「unknown」，但须记录尝试的账号（操作对象）与来源 IP，用于暴破检测。</w:t>
            </w:r>
          </w:p>
        </w:tc>
      </w:tr>
    </w:tbl>
    <w:p w14:paraId="069F4EA4">
      <w:pPr>
        <w:rPr>
          <w:b w:val="0"/>
          <w:bCs w:val="0"/>
        </w:rPr>
      </w:pPr>
    </w:p>
    <w:p w14:paraId="32CEF986">
      <w:pPr>
        <w:pStyle w:val="6"/>
        <w:numPr>
          <w:ilvl w:val="0"/>
          <w:numId w:val="19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11C82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2ECA5C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Feature: 系统管理 · 操作日志审计</w:t>
            </w:r>
          </w:p>
          <w:p w14:paraId="46C8AA2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按类型筛选日志</w:t>
            </w:r>
          </w:p>
          <w:p w14:paraId="1F4322F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系统管理员进入 系统管理 › 日志管理</w:t>
            </w:r>
          </w:p>
          <w:p w14:paraId="3157A41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日志类型选择「因子变更」并点击【查询】</w:t>
            </w:r>
          </w:p>
          <w:p w14:paraId="25C237E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列表仅显示类型为「因子变更」的日志行</w:t>
            </w:r>
          </w:p>
          <w:p w14:paraId="6B09C45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结果条数与筛选条件匹配</w:t>
            </w:r>
          </w:p>
          <w:p w14:paraId="5FD0D94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日志不可修改</w:t>
            </w:r>
          </w:p>
          <w:p w14:paraId="28F67A9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列表中存在一条日志记录</w:t>
            </w:r>
          </w:p>
          <w:p w14:paraId="596894D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尝试通过接口修改该日志内容</w:t>
            </w:r>
          </w:p>
          <w:p w14:paraId="34A72E4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系统拒绝并提示不可修改</w:t>
            </w:r>
          </w:p>
          <w:p w14:paraId="48576A4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E_SYS_LOG_IMMUTABLE，列表内容保持不变</w:t>
            </w:r>
          </w:p>
          <w:p w14:paraId="27CBF8CC">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日志不可删除</w:t>
            </w:r>
          </w:p>
          <w:p w14:paraId="1F19CC7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列表中存在一条日志记录</w:t>
            </w:r>
          </w:p>
          <w:p w14:paraId="4CA72313">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尝试删除该日志</w:t>
            </w:r>
          </w:p>
          <w:p w14:paraId="37FE4D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系统拒绝并提示「日志留存 ≥ 3 年且不可删除」</w:t>
            </w:r>
          </w:p>
          <w:p w14:paraId="3FA9ACA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E_SYS_LOG_IMMUTABLE</w:t>
            </w:r>
          </w:p>
          <w:p w14:paraId="3429E0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导出日志并自记录</w:t>
            </w:r>
          </w:p>
          <w:p w14:paraId="3B9B3AFE">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已筛选出 120 条「数据操作」日志</w:t>
            </w:r>
          </w:p>
          <w:p w14:paraId="5AD0814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点击【导出日志】</w:t>
            </w:r>
          </w:p>
          <w:p w14:paraId="4712686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系统生成导出文件，包含 120 行</w:t>
            </w:r>
          </w:p>
          <w:p w14:paraId="34DA893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新增一条「导出」类日志记录本次导出操作</w:t>
            </w:r>
          </w:p>
          <w:p w14:paraId="796DC5F6">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外部 IP 登录失败留痕</w:t>
            </w:r>
          </w:p>
          <w:p w14:paraId="5DA5441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账号 admin 从公网 IP 113.88.20.4 尝试登录并失败</w:t>
            </w:r>
          </w:p>
          <w:p w14:paraId="1989255B">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查询日志</w:t>
            </w:r>
          </w:p>
          <w:p w14:paraId="66B260B1">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列表出现一行：操作人＝unknown、类型＝登录、操作＝登录、对象＝admin、IP＝113.88.20.4、结果＝失败</w:t>
            </w:r>
          </w:p>
          <w:p w14:paraId="1E9CB30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该行结果标签为红色</w:t>
            </w:r>
          </w:p>
          <w:p w14:paraId="335A18F8">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留存期保护</w:t>
            </w:r>
          </w:p>
          <w:p w14:paraId="7744A07F">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存在一条 2021 年的历史日志（已超 3 年）</w:t>
            </w:r>
          </w:p>
          <w:p w14:paraId="133BE3E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执行日志清理任务</w:t>
            </w:r>
          </w:p>
          <w:p w14:paraId="3A75255D">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系统不清理该日志（留存期保护）</w:t>
            </w:r>
          </w:p>
          <w:p w14:paraId="2C2F8C7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返回 E_SYS_LOG_RETENTION_PROTECTED</w:t>
            </w:r>
          </w:p>
          <w:p w14:paraId="64FDD434">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Scenario: 筛选条件与结果一致性</w:t>
            </w:r>
          </w:p>
          <w:p w14:paraId="4F8EBA57">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Given 日志类型选择「权限变更」、结果选择「成功」</w:t>
            </w:r>
          </w:p>
          <w:p w14:paraId="33E3F43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When  点击【查询】</w:t>
            </w:r>
          </w:p>
          <w:p w14:paraId="41D7CD40">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Then  列表仅显示同时满足两个条件的行</w:t>
            </w:r>
          </w:p>
          <w:p w14:paraId="748CF7B2">
            <w:pPr>
              <w:spacing w:after="200"/>
              <w:rPr>
                <w:rFonts w:hint="eastAsia" w:ascii="宋体" w:hAnsi="宋体" w:eastAsia="宋体" w:cs="宋体"/>
                <w:b w:val="0"/>
                <w:bCs/>
                <w:i w:val="0"/>
                <w:iCs w:val="0"/>
                <w:sz w:val="24"/>
                <w:szCs w:val="24"/>
                <w:lang w:val="en-US" w:eastAsia="en-US" w:bidi="ar-SA"/>
              </w:rPr>
            </w:pPr>
            <w:r>
              <w:rPr>
                <w:rFonts w:hint="eastAsia" w:ascii="宋体" w:hAnsi="宋体" w:eastAsia="宋体" w:cs="宋体"/>
                <w:b w:val="0"/>
                <w:bCs/>
                <w:sz w:val="24"/>
                <w:szCs w:val="24"/>
                <w:lang w:val="en-US" w:eastAsia="en-US" w:bidi="ar-SA"/>
              </w:rPr>
              <w:t xml:space="preserve">  And   每行的类型均为「权限变更」且结果均为「成功」</w:t>
            </w:r>
          </w:p>
        </w:tc>
      </w:tr>
    </w:tbl>
    <w:p w14:paraId="2908CD5F">
      <w:pPr>
        <w:rPr>
          <w:rFonts w:hint="default"/>
          <w:lang w:val="en-US" w:eastAsia="zh-CN"/>
        </w:rPr>
      </w:pPr>
    </w:p>
    <w:p w14:paraId="348B46DC">
      <w:pPr>
        <w:pStyle w:val="3"/>
        <w:numPr>
          <w:ilvl w:val="0"/>
          <w:numId w:val="7"/>
        </w:numPr>
        <w:ind w:left="0" w:leftChars="0" w:firstLine="0" w:firstLineChars="0"/>
        <w:rPr>
          <w:rFonts w:eastAsia="黑体"/>
          <w:b w:val="0"/>
          <w:bCs w:val="0"/>
          <w:sz w:val="32"/>
          <w:szCs w:val="44"/>
        </w:rPr>
      </w:pPr>
      <w:bookmarkStart w:id="86" w:name="_Toc25106"/>
      <w:r>
        <w:rPr>
          <w:rFonts w:ascii="Times New Roman" w:hAnsi="Times New Roman" w:eastAsia="黑体" w:cs="Times New Roman"/>
          <w:b w:val="0"/>
          <w:bCs w:val="0"/>
          <w:sz w:val="32"/>
          <w:szCs w:val="44"/>
        </w:rPr>
        <w:t>系统底座、接口契约与 QA 质量验收</w:t>
      </w:r>
      <w:bookmarkEnd w:id="86"/>
    </w:p>
    <w:p w14:paraId="2D6B1291">
      <w:pPr>
        <w:pStyle w:val="4"/>
        <w:numPr>
          <w:ilvl w:val="0"/>
          <w:numId w:val="198"/>
        </w:numPr>
        <w:topLinePunct w:val="0"/>
        <w:ind w:left="0" w:leftChars="0" w:firstLine="0" w:firstLineChars="0"/>
        <w:outlineLvl w:val="0"/>
        <w:rPr>
          <w:rFonts w:hint="eastAsia" w:eastAsia="黑体"/>
          <w:b w:val="0"/>
          <w:bCs w:val="0"/>
          <w:sz w:val="30"/>
          <w:szCs w:val="32"/>
        </w:rPr>
      </w:pPr>
      <w:bookmarkStart w:id="87" w:name="_Toc21841"/>
      <w:r>
        <w:rPr>
          <w:rFonts w:ascii="Times New Roman" w:hAnsi="Times New Roman" w:eastAsia="黑体" w:cs="Times New Roman"/>
          <w:b w:val="0"/>
          <w:bCs w:val="0"/>
          <w:sz w:val="30"/>
          <w:szCs w:val="32"/>
        </w:rPr>
        <w:t>六级组织架构与穿透鉴权体系</w:t>
      </w:r>
      <w:bookmarkEnd w:id="87"/>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198"/>
        </w:numPr>
        <w:topLinePunct w:val="0"/>
        <w:ind w:left="0" w:leftChars="0" w:firstLine="0" w:firstLineChars="0"/>
        <w:outlineLvl w:val="0"/>
        <w:rPr>
          <w:rFonts w:hint="eastAsia" w:eastAsia="黑体"/>
          <w:b w:val="0"/>
          <w:bCs w:val="0"/>
          <w:sz w:val="30"/>
          <w:szCs w:val="32"/>
        </w:rPr>
      </w:pPr>
      <w:bookmarkStart w:id="88" w:name="_Toc16153"/>
      <w:r>
        <w:rPr>
          <w:rFonts w:ascii="Times New Roman" w:hAnsi="Times New Roman" w:eastAsia="黑体" w:cs="Times New Roman"/>
          <w:b w:val="0"/>
          <w:bCs w:val="0"/>
          <w:sz w:val="30"/>
          <w:szCs w:val="32"/>
        </w:rPr>
        <w:t>外部系统集成与 API 契约</w:t>
      </w:r>
      <w:bookmarkEnd w:id="88"/>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0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198"/>
        </w:numPr>
        <w:topLinePunct w:val="0"/>
        <w:ind w:left="0" w:leftChars="0" w:firstLine="0" w:firstLineChars="0"/>
        <w:outlineLvl w:val="0"/>
        <w:rPr>
          <w:rFonts w:hint="eastAsia" w:eastAsia="黑体"/>
          <w:b w:val="0"/>
          <w:bCs w:val="0"/>
          <w:sz w:val="30"/>
          <w:szCs w:val="32"/>
        </w:rPr>
      </w:pPr>
      <w:bookmarkStart w:id="89" w:name="_Toc22246"/>
      <w:r>
        <w:rPr>
          <w:rFonts w:ascii="Times New Roman" w:hAnsi="Times New Roman" w:eastAsia="黑体" w:cs="Times New Roman"/>
          <w:b w:val="0"/>
          <w:bCs w:val="0"/>
          <w:sz w:val="30"/>
          <w:szCs w:val="32"/>
        </w:rPr>
        <w:t>质量保障体系与全量验收测试用例矩阵</w:t>
      </w:r>
      <w:bookmarkEnd w:id="89"/>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90" w:name="_Toc28933"/>
      <w:r>
        <w:rPr>
          <w:rFonts w:ascii="Times New Roman" w:hAnsi="Times New Roman" w:eastAsia="黑体" w:cs="Times New Roman"/>
          <w:b w:val="0"/>
          <w:bCs w:val="0"/>
          <w:sz w:val="32"/>
          <w:szCs w:val="44"/>
        </w:rPr>
        <w:t>工程治理、状态机与合规保障体系</w:t>
      </w:r>
      <w:bookmarkEnd w:id="90"/>
    </w:p>
    <w:p w14:paraId="33439157">
      <w:pPr>
        <w:pStyle w:val="4"/>
        <w:numPr>
          <w:ilvl w:val="0"/>
          <w:numId w:val="201"/>
        </w:numPr>
        <w:topLinePunct w:val="0"/>
        <w:ind w:left="0" w:leftChars="0" w:firstLine="0" w:firstLineChars="0"/>
        <w:outlineLvl w:val="0"/>
        <w:rPr>
          <w:rFonts w:hint="eastAsia" w:eastAsia="黑体"/>
          <w:b w:val="0"/>
          <w:bCs w:val="0"/>
          <w:sz w:val="30"/>
          <w:szCs w:val="32"/>
        </w:rPr>
      </w:pPr>
      <w:bookmarkStart w:id="91" w:name="_Toc6982"/>
      <w:r>
        <w:rPr>
          <w:rFonts w:ascii="Times New Roman" w:hAnsi="Times New Roman" w:eastAsia="黑体" w:cs="Times New Roman"/>
          <w:b w:val="0"/>
          <w:bCs w:val="0"/>
          <w:sz w:val="30"/>
          <w:szCs w:val="32"/>
        </w:rPr>
        <w:t>数据治理与商密合规</w:t>
      </w:r>
      <w:bookmarkEnd w:id="91"/>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02"/>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02"/>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02"/>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02"/>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3E0292CC">
      <w:pPr>
        <w:pStyle w:val="4"/>
        <w:numPr>
          <w:ilvl w:val="0"/>
          <w:numId w:val="201"/>
        </w:numPr>
        <w:topLinePunct w:val="0"/>
        <w:ind w:left="0" w:leftChars="0" w:firstLine="0" w:firstLineChars="0"/>
        <w:outlineLvl w:val="0"/>
        <w:rPr>
          <w:rFonts w:hint="eastAsia" w:eastAsia="黑体"/>
          <w:b w:val="0"/>
          <w:bCs w:val="0"/>
          <w:sz w:val="30"/>
          <w:szCs w:val="32"/>
        </w:rPr>
      </w:pPr>
      <w:bookmarkStart w:id="92" w:name="_Toc6934"/>
      <w:r>
        <w:rPr>
          <w:rFonts w:ascii="Times New Roman" w:hAnsi="Times New Roman" w:eastAsia="黑体" w:cs="Times New Roman"/>
          <w:b w:val="0"/>
          <w:bCs w:val="0"/>
          <w:sz w:val="30"/>
          <w:szCs w:val="32"/>
        </w:rPr>
        <w:t>数据冲突仲裁与降级补传治理机制（Reconciliation）</w:t>
      </w:r>
      <w:bookmarkEnd w:id="92"/>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203"/>
        </w:numPr>
        <w:ind w:left="0" w:leftChars="0" w:firstLine="0" w:firstLineChars="0"/>
        <w:outlineLvl w:val="1"/>
        <w:rPr>
          <w:rFonts w:ascii="Times New Roman" w:hAnsi="Times New Roman" w:eastAsia="黑体" w:cs="Times New Roman"/>
          <w:b w:val="0"/>
          <w:bCs w:val="0"/>
          <w:sz w:val="30"/>
          <w:szCs w:val="24"/>
        </w:rPr>
      </w:pPr>
      <w:bookmarkStart w:id="93" w:name="_Toc9889"/>
      <w:r>
        <w:rPr>
          <w:rFonts w:ascii="Times New Roman" w:hAnsi="Times New Roman" w:eastAsia="黑体" w:cs="Times New Roman"/>
          <w:b w:val="0"/>
          <w:bCs w:val="0"/>
          <w:sz w:val="30"/>
          <w:szCs w:val="24"/>
        </w:rPr>
        <w:t>时序补传冲突消解（断网恢复场景）</w:t>
      </w:r>
      <w:bookmarkEnd w:id="93"/>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203"/>
        </w:numPr>
        <w:ind w:left="0" w:leftChars="0" w:firstLine="0" w:firstLineChars="0"/>
        <w:outlineLvl w:val="1"/>
        <w:rPr>
          <w:rFonts w:ascii="Times New Roman" w:hAnsi="Times New Roman" w:eastAsia="黑体" w:cs="Times New Roman"/>
          <w:b w:val="0"/>
          <w:bCs w:val="0"/>
          <w:sz w:val="30"/>
          <w:szCs w:val="24"/>
        </w:rPr>
      </w:pPr>
      <w:bookmarkStart w:id="94" w:name="_Toc3840"/>
      <w:r>
        <w:rPr>
          <w:rFonts w:ascii="Times New Roman" w:hAnsi="Times New Roman" w:eastAsia="黑体" w:cs="Times New Roman"/>
          <w:b w:val="0"/>
          <w:bCs w:val="0"/>
          <w:sz w:val="30"/>
          <w:szCs w:val="24"/>
        </w:rPr>
        <w:t>BOM 差异对账仲裁（ERP 恢复场景）</w:t>
      </w:r>
      <w:bookmarkEnd w:id="94"/>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01"/>
        </w:numPr>
        <w:topLinePunct w:val="0"/>
        <w:ind w:left="0" w:leftChars="0" w:firstLine="0" w:firstLineChars="0"/>
        <w:outlineLvl w:val="0"/>
        <w:rPr>
          <w:rFonts w:hint="eastAsia" w:eastAsia="黑体"/>
          <w:b w:val="0"/>
          <w:bCs w:val="0"/>
          <w:sz w:val="30"/>
          <w:szCs w:val="32"/>
        </w:rPr>
      </w:pPr>
      <w:bookmarkStart w:id="95" w:name="_Toc28942"/>
      <w:r>
        <w:rPr>
          <w:rFonts w:ascii="Times New Roman" w:hAnsi="Times New Roman" w:eastAsia="黑体" w:cs="Times New Roman"/>
          <w:b w:val="0"/>
          <w:bCs w:val="0"/>
          <w:sz w:val="30"/>
          <w:szCs w:val="32"/>
        </w:rPr>
        <w:t>关键业务长流程状态机图谱</w:t>
      </w:r>
      <w:bookmarkEnd w:id="95"/>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01"/>
        </w:numPr>
        <w:topLinePunct w:val="0"/>
        <w:ind w:left="0" w:leftChars="0" w:firstLine="0" w:firstLineChars="0"/>
        <w:outlineLvl w:val="0"/>
        <w:rPr>
          <w:rFonts w:hint="eastAsia" w:eastAsia="黑体"/>
          <w:b w:val="0"/>
          <w:bCs w:val="0"/>
          <w:sz w:val="30"/>
          <w:szCs w:val="32"/>
        </w:rPr>
      </w:pPr>
      <w:bookmarkStart w:id="96" w:name="_Toc1231"/>
      <w:r>
        <w:rPr>
          <w:rFonts w:ascii="Times New Roman" w:hAnsi="Times New Roman" w:eastAsia="黑体" w:cs="Times New Roman"/>
          <w:b w:val="0"/>
          <w:bCs w:val="0"/>
          <w:sz w:val="30"/>
          <w:szCs w:val="32"/>
        </w:rPr>
        <w:t>术语表与缩略语大全</w:t>
      </w:r>
      <w:bookmarkEnd w:id="96"/>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01"/>
        </w:numPr>
        <w:topLinePunct w:val="0"/>
        <w:ind w:left="0" w:leftChars="0" w:firstLine="0" w:firstLineChars="0"/>
        <w:outlineLvl w:val="0"/>
        <w:rPr>
          <w:rFonts w:hint="eastAsia" w:eastAsia="黑体"/>
          <w:b w:val="0"/>
          <w:bCs w:val="0"/>
          <w:sz w:val="30"/>
          <w:szCs w:val="32"/>
        </w:rPr>
      </w:pPr>
      <w:bookmarkStart w:id="97" w:name="_Toc14714"/>
      <w:r>
        <w:rPr>
          <w:rFonts w:ascii="Times New Roman" w:hAnsi="Times New Roman" w:eastAsia="黑体" w:cs="Times New Roman"/>
          <w:b w:val="0"/>
          <w:bCs w:val="0"/>
          <w:sz w:val="30"/>
          <w:szCs w:val="32"/>
        </w:rPr>
        <w:t>标准化错误码字典与异常分级</w:t>
      </w:r>
      <w:bookmarkEnd w:id="97"/>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fixed"/>
        <w:tblCellMar>
          <w:top w:w="0" w:type="dxa"/>
          <w:left w:w="108" w:type="dxa"/>
          <w:bottom w:w="0" w:type="dxa"/>
          <w:right w:w="108" w:type="dxa"/>
        </w:tblCellMar>
      </w:tblPr>
      <w:tblGrid>
        <w:gridCol w:w="3523"/>
        <w:gridCol w:w="1236"/>
        <w:gridCol w:w="2044"/>
        <w:gridCol w:w="2987"/>
      </w:tblGrid>
      <w:tr w14:paraId="5BA81EF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2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9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2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9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r w14:paraId="03C2623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8D35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E_AUTH_RLS_SCOPE_DENIED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5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662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访问或写入超出账号数据范围的组织子树数据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A8A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网关切面拦截，跳转 403 无权限页面，记录数据访问审计日志</w:t>
            </w:r>
          </w:p>
        </w:tc>
      </w:tr>
      <w:tr w14:paraId="435616A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6BF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E_CALC_FACTOR_WEIGHT_ZERO</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B20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5A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因子加权综合计算时分母（各供应商用量之和）为 0</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E5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阻断核算，提示「加权因子分母为 0，请检查供应商用量」，返回 422</w:t>
            </w:r>
          </w:p>
        </w:tc>
      </w:tr>
      <w:tr w14:paraId="39969F3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66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E_CALC_PROC_WEIGHT_DEFAULT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A1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1A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工序能耗分摊权重缺省（工序未配置权重）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B2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软兜底：按各工序等权分摊并在明细行标注「权重缺省·等权」，不报错</w:t>
            </w:r>
          </w:p>
        </w:tc>
      </w:tr>
      <w:tr w14:paraId="58B0CF1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6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E_SYS_BASEITEM_CALC_READONLY</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56A6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1E3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试图手工修改由平台引擎计算的指标项取值</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40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单元格置灰只读，提示「该项由平台引擎计算，不可手工录入」</w:t>
            </w:r>
          </w:p>
        </w:tc>
      </w:tr>
      <w:tr w14:paraId="038DA287">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48B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E_SYS_BASEITEM_CODE_DUP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4B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新增基础数据项时数据项编码重复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43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阻断保存并高亮编码字段，提示「编码已存在」</w:t>
            </w:r>
          </w:p>
        </w:tc>
      </w:tr>
      <w:tr w14:paraId="4A5BFD1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E_SYS_BASEITEM_FREQ_CONFLICT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200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D2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采集频率与数据来源/集成方式组合不匹配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F2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阻断保存，提示「系统自动采集须选实时采集」</w:t>
            </w:r>
          </w:p>
        </w:tc>
      </w:tr>
      <w:tr w14:paraId="155BB7D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49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855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0AB8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删除已被指标或核算公式引用的基础数据项</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26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阻断删除，列出引用方（指标/公式），提示改为停用</w:t>
            </w:r>
          </w:p>
        </w:tc>
      </w:tr>
      <w:tr w14:paraId="78F3A39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F2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82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5BE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新增基础数据项时数据项名称重复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阻断保存并高亮名称字段，提示「名称已存在」</w:t>
            </w:r>
          </w:p>
        </w:tc>
      </w:tr>
      <w:tr w14:paraId="68B8632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1C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E_SYS_BASEITEM_UNIT_REQUIRED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F2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0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数值型基础数据项未填写计量单位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EA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阻断保存并高亮计量单位字段，提示「计量单位为必填项」</w:t>
            </w:r>
          </w:p>
        </w:tc>
      </w:tr>
      <w:tr w14:paraId="27BC791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8660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E_SYS_BASEITEM_UNIT_SUSPECT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DAF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9FD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计量单位与业务分类的惯用单位明显不符</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8FF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软校验：保存成功但行内标黄提示「单位疑似有误，请复核」</w:t>
            </w:r>
          </w:p>
        </w:tc>
      </w:tr>
      <w:tr w14:paraId="7CBAA4E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B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E_SYS_DEV_ENERGY_TYPE_REQUIRED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E7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BC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新增重点用能设备时未选择设备能源消耗类型</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01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阻断保存并高亮能源类型字段，提示「请选择设备能源消耗类型」</w:t>
            </w:r>
          </w:p>
        </w:tc>
      </w:tr>
      <w:tr w14:paraId="7EC681F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04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40A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8E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删除已被监测点位或能耗分项挂接的重点用能设备</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B6D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阻断删除，提示「设备已被监测点位挂接，仅可停用」</w:t>
            </w:r>
          </w:p>
        </w:tc>
      </w:tr>
      <w:tr w14:paraId="12EB346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97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C5C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0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同一企业下重点用能设备名称重复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31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阻断保存并高亮名称字段，提示「该企业下设备名称已存在」</w:t>
            </w:r>
          </w:p>
        </w:tc>
      </w:tr>
      <w:tr w14:paraId="2804C50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DF0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E_SYS_DEV_ORG_DISABLED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01E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41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在已停用组织节点下新增重点用能设备</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3ED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阻断保存，提示「所属企业已停用，请先启用组织节点」</w:t>
            </w:r>
          </w:p>
        </w:tc>
      </w:tr>
      <w:tr w14:paraId="32DD32A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0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E_SYS_DEV_POWER_OUT_OF_RANGE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C7B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A7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额定功率超出合理量程（0 ~ 1,000,000 kW）</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E3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阻断保存并红框高亮，提示功率取值范围</w:t>
            </w:r>
          </w:p>
        </w:tc>
      </w:tr>
      <w:tr w14:paraId="2CF3559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66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E_SYS_EXPORT_LIMIT_EXCEEDED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0EE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413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BE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单次导出记录数超过 50,000 行上限</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471D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拒绝导出，提示「请缩小筛选范围或分批导出」</w:t>
            </w:r>
          </w:p>
        </w:tc>
      </w:tr>
      <w:tr w14:paraId="076346F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1477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E_SYS_FACTOR_COAL_DUP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EA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630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折标煤系数库中同一能源品种重复建档</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5FA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阻断保存并高亮能源品种字段，提示「该能源品种已存在」</w:t>
            </w:r>
          </w:p>
        </w:tc>
      </w:tr>
      <w:tr w14:paraId="1908AB2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4C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E_SYS_FACTOR_ELEC_DUP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69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244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电力碳排因子中（省份, 电力来源）唯一键重复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6B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阻断保存并高亮省份与电力来源字段，提示唯一键冲突</w:t>
            </w:r>
          </w:p>
        </w:tc>
      </w:tr>
      <w:tr w14:paraId="4F305C7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358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E_SYS_FACTOR_ENERGY_DUP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D4D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3E9E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能源活动碳排因子中同一能源/活动 + 版本重复建档</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BB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阻断保存，提示「该能源活动因子已存在（含版本）」</w:t>
            </w:r>
          </w:p>
        </w:tc>
      </w:tr>
      <w:tr w14:paraId="7113D93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63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E_SYS_FACTOR_GREEN_LOCKED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B52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EEE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试图修改绿电（零排放）因子的取值</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710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字段只读锁定，提示「绿电因子恒为 0，不可修改」</w:t>
            </w:r>
          </w:p>
        </w:tc>
      </w:tr>
      <w:tr w14:paraId="2B6E1F1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37C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E_SYS_FACTOR_GWP_OUT_OF_RANGE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BE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E103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制冷剂 GWP 值超出物理合理区间（1 ~ 30,000）</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BDE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 GWP 取值范围</w:t>
            </w:r>
          </w:p>
        </w:tc>
      </w:tr>
      <w:tr w14:paraId="424FC64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C1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1EE1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E4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删除已被核算引用的因子版本</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11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阻断删除，列出引用核算单据，提示改为停用并保留历史版本</w:t>
            </w:r>
          </w:p>
        </w:tc>
      </w:tr>
      <w:tr w14:paraId="63D5A96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099D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E_SYS_FACTOR_NATIONAL_LOCKED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7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10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试图修改国标给定的折标煤系数（GB/T 2589-2020）</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ABA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字段只读锁定，提示「国标系数不可修改，需以新版本覆盖」</w:t>
            </w:r>
          </w:p>
        </w:tc>
      </w:tr>
      <w:tr w14:paraId="61E4554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E8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E_SYS_FACTOR_UNIT_MISMATCH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1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D62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因子单位与能源品种的法定计量单位不一致</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4C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阻断保存并高亮单位字段，提示标准单位</w:t>
            </w:r>
          </w:p>
        </w:tc>
      </w:tr>
      <w:tr w14:paraId="022B675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4C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E_SYS_FACTOR_VALUE_OUT_OF_RANGE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F5D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25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因子值超出该品种合理区间或为负</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057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阻断保存并红框高亮，提示因子取值范围</w:t>
            </w:r>
          </w:p>
        </w:tc>
      </w:tr>
      <w:tr w14:paraId="02F4935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E_SYS_FACTOR_VERSION_CONFLICT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C9F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80B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同一因子同版本号的生效周期与在效版本重叠</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19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阻断保存，提示「版本生效区间不可重叠」</w:t>
            </w:r>
          </w:p>
        </w:tc>
      </w:tr>
      <w:tr w14:paraId="3D908D6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3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E_SYS_LOG_EXPORT_LIMIT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86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413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3AC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日志导出条数超过单次上限（10,000 条）</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EC1F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拒绝导出，提示「请缩小时间范围或按类型分批导出」</w:t>
            </w:r>
          </w:p>
        </w:tc>
      </w:tr>
      <w:tr w14:paraId="2CCF6A4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BFE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E_SYS_LOG_IMMUTABLE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ED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905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任何角色（含系统管理员）对日志发起新增/修改/删除请求</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EB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网关切面直接拒绝，提示「日志不可篡改」，并记入安全审计</w:t>
            </w:r>
          </w:p>
        </w:tc>
      </w:tr>
      <w:tr w14:paraId="746E3FF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1F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E_SYS_LOG_RETENTION_PROTECTED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BC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25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试图删除留存期（≥ 3 年）内的历史日志</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328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阻断删除，提示「日志留存期不少于 3 年，不可删除」</w:t>
            </w:r>
          </w:p>
        </w:tc>
      </w:tr>
      <w:tr w14:paraId="06C455A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9D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E_SYS_MENU_IN_USE_DELETE_WARN</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60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D1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删除已被角色授权的菜单或功能点</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AA3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二次确认后删除并自动回收相关角色授权，提示影响范围</w:t>
            </w:r>
          </w:p>
        </w:tc>
      </w:tr>
      <w:tr w14:paraId="7107CF4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71D5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E_SYS_MENU_LEVEL_LIMIT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8E3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7E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菜单层级超过四级上限</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48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阻断保存并高亮层级字段，提示「菜单层级不得超过四级」</w:t>
            </w:r>
          </w:p>
        </w:tc>
      </w:tr>
      <w:tr w14:paraId="1E17396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B1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E_SYS_MENU_ROUTE_DUP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56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4F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新增/编辑菜单时路由路径与既有菜单重复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74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阻断保存并高亮路由字段，提示「路由路径已存在」</w:t>
            </w:r>
          </w:p>
        </w:tc>
      </w:tr>
      <w:tr w14:paraId="502AA87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00A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E_SYS_MENU_ROUTE_INVALID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19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路由路径格式不合法（须以 / 开头且仅含小写字母、数字、-、/）</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2B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阻断保存并高亮路由字段，提示路由格式规范</w:t>
            </w:r>
          </w:p>
        </w:tc>
      </w:tr>
      <w:tr w14:paraId="45643A7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DC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E_SYS_MENU_SORT_DUP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A41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EDC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同一父级下菜单排序号重复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AF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阻断保存并高亮排序字段，提示「同级排序号不可重复」</w:t>
            </w:r>
          </w:p>
        </w:tc>
      </w:tr>
      <w:tr w14:paraId="6F8DFB2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A03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E_SYS_MODEL_CASCADE_MISMATCH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F26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B2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产品型号的「大类—中类」级联选择与所选大类不匹配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F90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阻断保存并高亮中类字段，提示重新选择</w:t>
            </w:r>
          </w:p>
        </w:tc>
      </w:tr>
      <w:tr w14:paraId="79ACC27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AF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E_SYS_MODEL_CODE_DUP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E66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F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同一制造工厂下产品型号编码重复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AB88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阻断保存并高亮型号字段，提示「该工厂下型号已存在」</w:t>
            </w:r>
          </w:p>
        </w:tc>
      </w:tr>
      <w:tr w14:paraId="36C07FA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1B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E_SYS_MODEL_CODE_INVALID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AB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A2F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产品型号编码不符合命名规范（字母、数字与 - / × 组合）</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00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阻断保存并红框高亮，提示命名规范</w:t>
            </w:r>
          </w:p>
        </w:tc>
      </w:tr>
      <w:tr w14:paraId="77B8415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FF3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E_SYS_MODEL_IMPORT_DUP_TASK</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9C3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DA9B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同一文件重复提交导入任务（任务未结束时再次导入）</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B7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阻断提交，提示「上一次导入任务尚在处理中」</w:t>
            </w:r>
          </w:p>
        </w:tc>
      </w:tr>
      <w:tr w14:paraId="55659B87">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71C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E_SYS_MODEL_IMPORT_INVALID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0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0D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批量导入文件中存在字段缺失、编码越界或级联不匹配的行</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3DA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整批回滚，返回带行号的错误清单供下载修正</w:t>
            </w:r>
          </w:p>
        </w:tc>
      </w:tr>
      <w:tr w14:paraId="62A1249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12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E_SYS_MODEL_IN_USE_DELETE_DENIED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B4B7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1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删除已被生产报工或碳核算引用的产品型号</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9D8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阻断删除，列出引用方，提示改为停用</w:t>
            </w:r>
          </w:p>
        </w:tc>
      </w:tr>
      <w:tr w14:paraId="0BE0D16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F5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E_SYS_ORG_CODE_DUP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346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090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新增/编辑机构时机构编码重复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9469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阻断保存并高亮机构编码字段，提示「机构编码已存在」</w:t>
            </w:r>
          </w:p>
        </w:tc>
      </w:tr>
      <w:tr w14:paraId="6E8B0E1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37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E_SYS_ORG_CONCURRENT_CONFLICT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D2A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E5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两名管理员并发编辑同一组织节点</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DFE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后提交者阻断并提示「该机构已被他人修改，请刷新后重试」</w:t>
            </w:r>
          </w:p>
        </w:tc>
      </w:tr>
      <w:tr w14:paraId="7FACF6B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92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E_SYS_ORG_CYCLE_DENIED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D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72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将机构的上属节点设置为其自身或其后代（形成环）</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1F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阻断保存，提示「不可将机构挂载到自身或其下级」</w:t>
            </w:r>
          </w:p>
        </w:tc>
      </w:tr>
      <w:tr w14:paraId="43913EB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A2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A1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C1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删除仍有关联下级机构、用户或业务数据的组织节点</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9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阻断删除，列出关联对象数量，提示先迁移或停用</w:t>
            </w:r>
          </w:p>
        </w:tc>
      </w:tr>
      <w:tr w14:paraId="0968928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6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E_SYS_ORG_LEVEL_JUMP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72A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86D8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新增机构时越级挂载（如直接在集团总部下挂工厂）</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429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阻断保存，提示「须逐级挂载，不得越级」</w:t>
            </w:r>
          </w:p>
        </w:tc>
      </w:tr>
      <w:tr w14:paraId="3F24377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C34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E_SYS_ORG_LEVEL_LIMIT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2F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5A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组织层级超过四级上限（集团总部→产业集团→二级单位→工厂）</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DBAD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阻断保存并高亮层级字段，提示「组织层级不得超过四级」</w:t>
            </w:r>
          </w:p>
        </w:tc>
      </w:tr>
      <w:tr w14:paraId="68AE819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F800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E_SYS_PRICE_PERIOD_INVALID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201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E59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费价方案生效周期起止日期非法（start &gt; end）</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B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阻断保存并高亮生效周期字段，提示起止日期关系</w:t>
            </w:r>
          </w:p>
        </w:tc>
      </w:tr>
      <w:tr w14:paraId="3A1934B6">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C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E_SYS_PRICE_PERIOD_OVERLAP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2FE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70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同一工厂同一介质的生效周期与在效方案重叠</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11FB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阻断启用，提示与哪一个在效版本重叠</w:t>
            </w:r>
          </w:p>
        </w:tc>
      </w:tr>
      <w:tr w14:paraId="27BEB3D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1A4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E_SYS_PRICE_SYNC_OUT_OF_SCOPE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D3D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E9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同步费价方案的目标企业不在操作者数据范围内</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9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阻断同步并列出越权企业，返回 403</w:t>
            </w:r>
          </w:p>
        </w:tc>
      </w:tr>
      <w:tr w14:paraId="57CDAF5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6E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E_SYS_PRICE_TIER_GAP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BBF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4FC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天然气阶梯用量区间出现重叠或断档</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C67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阻断保存，提示「阶梯区间须连续且不重叠」</w:t>
            </w:r>
          </w:p>
        </w:tc>
      </w:tr>
      <w:tr w14:paraId="1057FD1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198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E_SYS_PRICE_TIER_INVERSION</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8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D7D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五时段电价不满足 尖峰 ≥ 高峰 ≥ 平段 ≥ 低谷 ≥ 深谷</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2A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阻断保存并高亮时段电价，提示倒挂的具体时段</w:t>
            </w:r>
          </w:p>
        </w:tc>
      </w:tr>
      <w:tr w14:paraId="7E3436C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DD6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E_SYS_PRICE_VALUE_NEGATIVE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3B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0D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任一时段电价或单价录入负数</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6F8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阻断保存并红框高亮，提示「单价必须为非负数值」</w:t>
            </w:r>
          </w:p>
        </w:tc>
      </w:tr>
      <w:tr w14:paraId="6F52B05A">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F4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E_SYS_PROC_ASSOC_REQUIRED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08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80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新增生产工序时未关联工厂或产品中类</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79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阻断保存并高亮关联字段，提示至少各关联一项</w:t>
            </w:r>
          </w:p>
        </w:tc>
      </w:tr>
      <w:tr w14:paraId="4EAAFE9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8D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E_SYS_PROC_ENERGY_REQUIRED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169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C33C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新增生产工序时未选择使用能源类型</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D47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阻断保存并高亮能源类型字段，提示「请选择使用能源类型」</w:t>
            </w:r>
          </w:p>
        </w:tc>
      </w:tr>
      <w:tr w14:paraId="5F8D510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971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E_SYS_PROC_FACTOR_MISSING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EE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000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工序使用能源对应的折标煤系数或排放因子库内缺失</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0D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阻断工序能耗核算，提示「请先在能碳基础因子管理补齐该能源系数」</w:t>
            </w:r>
          </w:p>
        </w:tc>
      </w:tr>
      <w:tr w14:paraId="45631CE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43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43C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7924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删除已被产品型号绑定或能耗分摊引用的生产工序</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190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阻断删除，列出引用产品型号，提示改为停用</w:t>
            </w:r>
          </w:p>
        </w:tc>
      </w:tr>
      <w:tr w14:paraId="2A2B9AD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674A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792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17A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同一工厂下生产工序名称重复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3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阻断保存并高亮工序名称字段，提示「该工厂下工序已存在」</w:t>
            </w:r>
          </w:p>
        </w:tc>
      </w:tr>
      <w:tr w14:paraId="2AC1391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484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E_SYS_PROC_UNIT_REQUIRED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7C4C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4C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生产工序未填写计量单位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6E4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阻断保存并高亮计量单位字段，提示「计量单位为必填项」</w:t>
            </w:r>
          </w:p>
        </w:tc>
      </w:tr>
      <w:tr w14:paraId="3A6710D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921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E_SYS_PTYPE_CODE_DUP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45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2A41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产品类型编码重复（含跨层级重复）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1F9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阻断保存并高亮类型编码字段，提示「类型编码已存在」</w:t>
            </w:r>
          </w:p>
        </w:tc>
      </w:tr>
      <w:tr w14:paraId="262A6B2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32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E_SYS_PTYPE_CODE_FORMAT_INVALID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F14F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AFA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产品类型编码不符合 10 位层级码规范（如 1001 / 1001010101）</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29B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阻断保存并红框高亮，提示层级码位数与结构规范</w:t>
            </w:r>
          </w:p>
        </w:tc>
      </w:tr>
      <w:tr w14:paraId="427DB5F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9E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E_SYS_PTYPE_CODE_MISMATCH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97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F4A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二级中类编码前缀与所选一级大类编码不一致</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B3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阻断保存并高亮类型编码，提示「中类编码须继承大类前缀」</w:t>
            </w:r>
          </w:p>
        </w:tc>
      </w:tr>
      <w:tr w14:paraId="6DF5AFC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9153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07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52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删除已被产品型号引用的产品类型</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阻断删除，列出引用型号数量，提示先解除引用</w:t>
            </w:r>
          </w:p>
        </w:tc>
      </w:tr>
      <w:tr w14:paraId="5BCF0BD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4E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E_SYS_PTYPE_LEVEL_LIMIT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25A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70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产品类型层级超过两级上限（一级大类 / 二级中类）</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0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阻断保存并高亮层级字段，提示「产品类型仅支持两级」</w:t>
            </w:r>
          </w:p>
        </w:tc>
      </w:tr>
      <w:tr w14:paraId="170B02B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AD4F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E_SYS_PTYPE_NAME_DUP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59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19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同一层级下产品类型名称重复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4A94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阻断保存并高亮类型名称字段，提示「同级名称已存在」</w:t>
            </w:r>
          </w:p>
        </w:tc>
      </w:tr>
      <w:tr w14:paraId="6773314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215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E_SYS_PV_CAPACITY_OUT_OF_RANGE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8B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B26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光伏装机容量超出合理量程或为负</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4D7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阻断保存并红框高亮，提示装机容量取值范围</w:t>
            </w:r>
          </w:p>
        </w:tc>
      </w:tr>
      <w:tr w14:paraId="682712B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AA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962D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676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删除已被发电量统计挂接的光伏设备</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阻断删除，提示「设备已被发电量数据挂接，仅可停用」</w:t>
            </w:r>
          </w:p>
        </w:tc>
      </w:tr>
      <w:tr w14:paraId="40E28BE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5F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E_SYS_PV_NAME_CAPACITY_MISMATCH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28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4FB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光伏设备名称中的容量标注与实际装机容量不一致</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24E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软校验：保存成功但行内标黄提示「名称容量与装机容量不一致，请复核」</w:t>
            </w:r>
          </w:p>
        </w:tc>
      </w:tr>
      <w:tr w14:paraId="232BFFF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B94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A19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73CD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同一园区下光伏设备名称重复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D8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阻断保存并高亮名称字段，提示「该园区下名称已存在」</w:t>
            </w:r>
          </w:p>
        </w:tc>
      </w:tr>
      <w:tr w14:paraId="29DC50A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E5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E_SYS_PV_ORG_MISMATCH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33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46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光伏设备的归属园区与关联工厂不在同一组织子树下</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F3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阻断保存并高亮归属字段，提示组织归属关系</w:t>
            </w:r>
          </w:p>
        </w:tc>
      </w:tr>
      <w:tr w14:paraId="69A5C61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D3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E_SYS_PV_PR_OUT_OF_RANGE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23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B9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光伏系统效率 PR 值超出合理区间（0 ~ 1）</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CFB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 PR 取值范围</w:t>
            </w:r>
          </w:p>
        </w:tc>
      </w:tr>
      <w:tr w14:paraId="2323CF5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8A2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E_SYS_ROLE_BUILTIN_DELETE_DENIED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D76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74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删除系统内置角色</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47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阻断删除，提示「内置角色不可删除，仅可调整其权限」</w:t>
            </w:r>
          </w:p>
        </w:tc>
      </w:tr>
      <w:tr w14:paraId="45E1070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BF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E_SYS_ROLE_IN_USE_DELETE_DENIED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14D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0A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删除仍被用户账号绑定的角色</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2E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阻断删除，列出绑定账号数，提示先解绑</w:t>
            </w:r>
          </w:p>
        </w:tc>
      </w:tr>
      <w:tr w14:paraId="0F8AD9E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78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E_SYS_ROLE_NAME_DUP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EC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83C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新增/编辑角色时角色名称重复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3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阻断保存并高亮角色名称字段，提示「角色名称已存在」</w:t>
            </w:r>
          </w:p>
        </w:tc>
      </w:tr>
      <w:tr w14:paraId="670BF49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944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E_SYS_ROLE_PERM_EXCEED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8B7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为角色分配超出操作者自身权限范围的功能点或数据范围</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03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阻断保存并列出越权项，返回 403</w:t>
            </w:r>
          </w:p>
        </w:tc>
      </w:tr>
      <w:tr w14:paraId="2998A33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165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E_SYS_USER_ACCOUNT_DUP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9B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382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新增用户时登录账号重复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5E6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阻断保存并高亮账号字段，提示「账号已存在」</w:t>
            </w:r>
          </w:p>
        </w:tc>
      </w:tr>
      <w:tr w14:paraId="361B2E9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FD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E_SYS_USER_PHONE_INVALID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AF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5A9C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手机号不符合 11 位大陆手机号格式</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288F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阻断保存并红框高亮，提示手机号格式规范</w:t>
            </w:r>
          </w:p>
        </w:tc>
      </w:tr>
      <w:tr w14:paraId="0ACC99E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87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E_SYS_USER_SCOPE_EXCEED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03C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9BF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为用户分配超出操作者自身数据范围的数据范围</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75E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阻断保存并列出越权组织节点，返回 403</w:t>
            </w:r>
          </w:p>
        </w:tc>
      </w:tr>
      <w:tr w14:paraId="2DBADF5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8AE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E_SYS_USER_SELF_DISABLE_DENIED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97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A6BB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当前登录账号试图停用自身账号</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50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阻断操作，提示「不可停用当前登录账号」</w:t>
            </w:r>
          </w:p>
        </w:tc>
      </w:tr>
      <w:tr w14:paraId="38DADA0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5C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E_VAL_ENERGY_USAGE_NEGATIVE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5FA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AD3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填报工作台录入电力/水/气/蒸汽等能源用量为负值</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E8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734AB83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349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E_VAL_TOU_SEGMENT_MISMATCH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8C0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094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综合集控大屏 16:9｜尖 / 峰 / 平 / 谷四段电量之和与当日累计电量偏差超过 0.5%</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A1A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软提示：象限 A 标注"分时数据待核对"，不阻断大屏渲染，不弹出技术错误码</w:t>
            </w:r>
          </w:p>
        </w:tc>
      </w:tr>
      <w:tr w14:paraId="1DFA7F3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67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E_VAL_TIER_PRICE_MISSING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12A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90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综合集控大屏 16:9｜当期尖峰平谷电价版本未在费价模型中配置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55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移峰填谷理论节约金额不测算，象限 C 显示"待配置当期电价"，象限 A 正常渲染</w:t>
            </w:r>
          </w:p>
        </w:tc>
      </w:tr>
      <w:tr w14:paraId="417E864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952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E_IO_STORAGE_PCS_OFFLINE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BA9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E36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综合集控大屏 16:9｜储能 PCS 与采集网关通讯中断</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38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保留末次 SOC 快照并打"数据延迟"徽标，不阻断象限 A / B / D 渲染</w:t>
            </w:r>
          </w:p>
        </w:tc>
      </w:tr>
      <w:tr w14:paraId="5EB7ACE0">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8C7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E_SYS_DEV_METER_UNBOUND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0A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7D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重点用能设备｜设备已建档但未挂接任何监测点位（表计）</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EB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阻断能效核算，卡片标注"待挂接监测点位"，引导跳转设备台账补充点位</w:t>
            </w:r>
          </w:p>
        </w:tc>
      </w:tr>
      <w:tr w14:paraId="5A85342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3E5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E_IO_DEV_METER_TIMEOUT</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E9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672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重点用能设备｜设备表计遥测超过 5 秒未响应</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15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保留末次有效读数并打"数据延迟"徽标，其余设备正常渲染</w:t>
            </w:r>
          </w:p>
        </w:tc>
      </w:tr>
      <w:tr w14:paraId="5DCAB94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DC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E_VAL_DEV_LIMIT_MISSING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C24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3DE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重点用能设备｜设备能效限额（对标基准值）未配置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B8A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越限判定不执行，卡片标注"待配置限额"，严禁以 0 代替基准线</w:t>
            </w:r>
          </w:p>
        </w:tc>
      </w:tr>
      <w:tr w14:paraId="0B26409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7FA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E_SYS_KPI_CUSTOM_CODE_DUP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532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48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自定义指标监测｜新增自定义指标时指标编码重复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EB9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阻断保存并高亮指标编码字段，提示"指标编码已存在"</w:t>
            </w:r>
          </w:p>
        </w:tc>
      </w:tr>
      <w:tr w14:paraId="3EC7A19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04E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E_SYS_KPI_CUSTOM_EXPR_INVALID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397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1E25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自定义指标监测｜公式语法非法，或引用了不存在的基础参数 / 核心指标</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4C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阻断保存，公式编辑器高亮未识别变量名并给出定位</w:t>
            </w:r>
          </w:p>
        </w:tc>
      </w:tr>
      <w:tr w14:paraId="7477EE3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2D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E_SYS_KPI_CUSTOM_IN_USE_DELETE_DENIED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C506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0659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自定义指标监测｜删除已被卡片矩阵 / 数据变化详情 / 报表引用的指标</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F21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阻断删除，列出引用方清单，提示改为停用</w:t>
            </w:r>
          </w:p>
        </w:tc>
      </w:tr>
      <w:tr w14:paraId="6C32031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936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E_SYS_KPI_CUSTOM_LIMIT_EXCEEDED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70B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D72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自定义指标监测｜单数据范围内自定义指标数量超过配额上限（默认 100 个）</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B2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阻断新增，提示"自定义指标数量已达上限"，建议停用不再使用的指标</w:t>
            </w:r>
          </w:p>
        </w:tc>
      </w:tr>
      <w:tr w14:paraId="0BC7A5C6">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E_SYS_KPI_CUSTOM_THRESHOLD_INVALID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45F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B8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自定义指标监测｜阈值分级不满足 优秀值 ≤ 正常值上限 ＜ 异常值下限</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A6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阻断保存并指出越界的阈值项，给出合法区间提示</w:t>
            </w:r>
          </w:p>
        </w:tc>
      </w:tr>
      <w:tr w14:paraId="06167BFD">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AC7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E_VAL_KPI_CUSTOM_DIV_ZERO</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008D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599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自定义指标监测｜自定义指标分母（产量 / 产值）为 0</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EC9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核心安全兜底：指标值显示  -- ，不抛技术错误码、不白屏、不用 0 值冒充</w:t>
            </w:r>
          </w:p>
        </w:tc>
      </w:tr>
      <w:tr w14:paraId="4C25A4D5">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1E0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E_VAL_OUTPUT_VALUE_MISSING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AD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CD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单位产值能耗｜当期工业总产值尚未上报</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B8E6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单耗显示  --  并标注"产值数据待上报"，页面不出现 NaN 或 0 值冒充</w:t>
            </w:r>
          </w:p>
        </w:tc>
      </w:tr>
      <w:tr w14:paraId="5C85A53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72C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E_VAL_PRICE_BASE_YEAR_MISSING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41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791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单位产值能耗｜可比价口径所需的基准年未配置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3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可比价口径不可计算，页面强制先选定产值口径后方可渲染折线图</w:t>
            </w:r>
          </w:p>
        </w:tc>
      </w:tr>
      <w:tr w14:paraId="1BB056CB">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FB1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E_VAL_QUOTA_LIMIT_MISSING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FB8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82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单位产值能耗｜国家限额先进值 / 准入值缺失</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2DA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基准线不绘制并标注"限额值待配置"，严禁以 0 代替基准线</w:t>
            </w:r>
          </w:p>
        </w:tc>
      </w:tr>
      <w:tr w14:paraId="182ABE23">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49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E_VAL_BENCHMARK_VALUE_MISSING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60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F3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对标管理｜三线体系标杆值未配置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3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达标系数与差距率显示  -- ，该实体不参与排名与平均分计算</w:t>
            </w:r>
          </w:p>
        </w:tc>
      </w:tr>
      <w:tr w14:paraId="16C10C4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195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E_VAL_BENCHMARK_SCOPE_MISMATCH</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137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50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对标管理｜对标对象层级不一致（集团级与工厂级混算）</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28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阻断生成榜单，提示按同层级实体重新生成排名</w:t>
            </w:r>
          </w:p>
        </w:tc>
      </w:tr>
      <w:tr w14:paraId="1C437024">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9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E_VAL_BENCHMARK_VERSION_STALE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8A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0C83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对标管理｜所引用的对标基准版本已超出有效期</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5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数值照常计算并标注版本时间戳，软提示升级最新基准</w:t>
            </w:r>
          </w:p>
        </w:tc>
      </w:tr>
      <w:tr w14:paraId="09061BB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E8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E_IO_PRJ_DEVICE_OFFLINE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F0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BD3A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实时监控｜零碳项目现场采集设备离线</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43F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项目卡片保留末次有效读数并显示"设备离线"徽标，不阻断其他项目渲染</w:t>
            </w:r>
          </w:p>
        </w:tc>
      </w:tr>
      <w:tr w14:paraId="5BA1373F">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2B76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E_VAL_PRJ_MONITOR_POINT_UNBOUND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9C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F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实时监控｜项目未绑定任何监测点位</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8E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该项目不出现在监控选择器中，页面不弹出解释性文案</w:t>
            </w:r>
          </w:p>
        </w:tc>
      </w:tr>
      <w:tr w14:paraId="11D94CD9">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1CA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E_VAL_PRJ_BASELINE_MISSING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ED8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922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实时监控｜项目设计功率基线为 0 或缺失</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336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偏差显示  --  并标注"基线待配置"，严禁以 0 代替偏差值</w:t>
            </w:r>
          </w:p>
        </w:tc>
      </w:tr>
      <w:tr w14:paraId="7FFE08B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96F1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E_VAL_EVAL_MATERIAL_MISSING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897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11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零碳工厂自评估｜佐证材料缺失（如未上传 ISO 14064 碳盘查报告）</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19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阻断提交，该维度得分置为 0，页面列出缺失材料清单</w:t>
            </w:r>
          </w:p>
        </w:tc>
      </w:tr>
      <w:tr w14:paraId="4B47CCC2">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9C6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E_VAL_EVAL_SCORE_OUT_OF_RANGE</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F00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5E4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零碳工厂自评估｜自评得分超出该维度标准分值</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E3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前端即时拦截并阻断保存，高亮越界的维度得分项</w:t>
            </w:r>
          </w:p>
        </w:tc>
      </w:tr>
      <w:tr w14:paraId="714E6A68">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7A3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E_SYS_EVAL_ARCHIVED_LOCKED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26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FFE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零碳工厂自评估｜修改已认定归档年度的评估结果</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84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控件只读锁定，提示须走特批变更流程，变更记录全量留痕</w:t>
            </w:r>
          </w:p>
        </w:tc>
      </w:tr>
      <w:tr w14:paraId="5A095FA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D33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E_SYS_EVAL_REVIEW_PREREQ</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3E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2E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零碳工厂自评估｜二级公司尚未复核即发起集团审批</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B9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审批按钮置灰不可点击，提示须先完成二级公司复核</w:t>
            </w:r>
          </w:p>
        </w:tc>
      </w:tr>
      <w:tr w14:paraId="63894747">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7C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E_CALC_RPT_UNIT_DENOM_ZERO</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5D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9B0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单耗报表｜分母（产量 / 产值）为 0</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171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该行单耗显示  -- ，严禁 NaN 或白屏</w:t>
            </w:r>
          </w:p>
        </w:tc>
      </w:tr>
      <w:tr w14:paraId="371FA2F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A52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E_SYS_RPT_INDUSTRY_MIX_DENIED</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332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693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单耗报表｜跨产业分母混算（变压器 kVA 与线缆 km·mm² 同列合计）</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06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数据库与导出层双重强约束，阻断生成并提示按产业独立成区块</w:t>
            </w:r>
          </w:p>
        </w:tc>
      </w:tr>
      <w:tr w14:paraId="4AF4B3C1">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1A5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E_VAL_RPT_BASE_VALUE_MISSING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12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11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单耗报表｜国家准入先进值（基准值）缺失</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2A1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偏差列留空并标注"基准待配置"，不以 0 代替</w:t>
            </w:r>
          </w:p>
        </w:tc>
      </w:tr>
      <w:tr w14:paraId="29F4220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7B92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E_SYS_RPT_PERIOD_GAP</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663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6F3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单耗报表｜统计周期存在断档（缺月）</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DC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导出阻断并随返回信息列出缺失周期清单供核对</w:t>
            </w:r>
          </w:p>
        </w:tc>
      </w:tr>
      <w:tr w14:paraId="007AF27E">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2863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E_VAL_ENERGY_PRICE_MISSING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CB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75D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成本报表｜当期能源价格未在费价模型中配置</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1E26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报表禁止生成，提示"待配置当期能源价格"</w:t>
            </w:r>
          </w:p>
        </w:tc>
      </w:tr>
      <w:tr w14:paraId="43EE5D5C">
        <w:tblPrEx>
          <w:tblCellMar>
            <w:top w:w="0" w:type="dxa"/>
            <w:left w:w="108" w:type="dxa"/>
            <w:bottom w:w="0" w:type="dxa"/>
            <w:right w:w="108" w:type="dxa"/>
          </w:tblCellMar>
        </w:tblPrEx>
        <w:trPr>
          <w:jc w:val="center"/>
        </w:trPr>
        <w:tc>
          <w:tcPr>
            <w:tcW w:w="3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8F0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E_VAL_PRICE_VERSION_MISSING</w:t>
            </w:r>
          </w:p>
        </w:tc>
        <w:tc>
          <w:tcPr>
            <w:tcW w:w="12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A5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1E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成本报表｜核算所需的当期能源单价版本缺失</w:t>
            </w:r>
          </w:p>
        </w:tc>
        <w:tc>
          <w:tcPr>
            <w:tcW w:w="29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F90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导出时阻断并标注缺失行（列名 + 缺失介质）</w:t>
            </w:r>
          </w:p>
        </w:tc>
      </w:tr>
    </w:tbl>
    <w:p w14:paraId="3C7A0E29">
      <w:pPr>
        <w:spacing w:after="60"/>
        <w:rPr>
          <w:rFonts w:hint="eastAsia" w:ascii="宋体" w:hAnsi="宋体" w:eastAsia="宋体" w:cs="宋体"/>
          <w:i w:val="0"/>
          <w:iCs w:val="0"/>
          <w:sz w:val="24"/>
          <w:szCs w:val="24"/>
        </w:rPr>
      </w:pPr>
    </w:p>
    <w:p w14:paraId="6F6E68CD">
      <w:pPr>
        <w:pStyle w:val="4"/>
        <w:numPr>
          <w:ilvl w:val="0"/>
          <w:numId w:val="201"/>
        </w:numPr>
        <w:topLinePunct w:val="0"/>
        <w:ind w:left="0" w:leftChars="0" w:firstLine="0" w:firstLineChars="0"/>
        <w:outlineLvl w:val="0"/>
        <w:rPr>
          <w:rFonts w:hint="eastAsia" w:eastAsia="黑体"/>
          <w:b w:val="0"/>
          <w:bCs w:val="0"/>
          <w:sz w:val="30"/>
          <w:szCs w:val="32"/>
        </w:rPr>
      </w:pPr>
      <w:bookmarkStart w:id="98" w:name="_Toc12963"/>
      <w:r>
        <w:rPr>
          <w:rFonts w:ascii="Times New Roman" w:hAnsi="Times New Roman" w:eastAsia="黑体" w:cs="Times New Roman"/>
          <w:b w:val="0"/>
          <w:bCs w:val="0"/>
          <w:sz w:val="30"/>
          <w:szCs w:val="32"/>
        </w:rPr>
        <w:t>决策治理责任矩阵</w:t>
      </w:r>
      <w:bookmarkEnd w:id="98"/>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99" w:name="_Toc3293"/>
      <w:r>
        <w:rPr>
          <w:rFonts w:ascii="Times New Roman" w:hAnsi="Times New Roman" w:eastAsia="黑体" w:cs="Times New Roman"/>
          <w:b w:val="0"/>
          <w:bCs w:val="0"/>
          <w:sz w:val="32"/>
          <w:szCs w:val="44"/>
        </w:rPr>
        <w:t>非功能需求与性能指标</w:t>
      </w:r>
      <w:bookmarkEnd w:id="99"/>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04"/>
        </w:numPr>
        <w:topLinePunct w:val="0"/>
        <w:ind w:left="0" w:leftChars="0" w:firstLine="0" w:firstLineChars="0"/>
        <w:outlineLvl w:val="0"/>
        <w:rPr>
          <w:rFonts w:hint="eastAsia" w:eastAsia="黑体"/>
          <w:b w:val="0"/>
          <w:bCs w:val="0"/>
          <w:sz w:val="30"/>
          <w:szCs w:val="32"/>
        </w:rPr>
      </w:pPr>
      <w:bookmarkStart w:id="100" w:name="_Toc19327"/>
      <w:r>
        <w:rPr>
          <w:rFonts w:ascii="Times New Roman" w:hAnsi="Times New Roman" w:eastAsia="黑体" w:cs="Times New Roman"/>
          <w:b w:val="0"/>
          <w:bCs w:val="0"/>
          <w:sz w:val="30"/>
          <w:szCs w:val="32"/>
        </w:rPr>
        <w:t>性能指标基线</w:t>
      </w:r>
      <w:bookmarkEnd w:id="100"/>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04"/>
        </w:numPr>
        <w:topLinePunct w:val="0"/>
        <w:ind w:left="0" w:leftChars="0" w:firstLine="0" w:firstLineChars="0"/>
        <w:outlineLvl w:val="0"/>
        <w:rPr>
          <w:rFonts w:hint="eastAsia" w:eastAsia="黑体"/>
          <w:b w:val="0"/>
          <w:bCs w:val="0"/>
          <w:sz w:val="30"/>
          <w:szCs w:val="32"/>
        </w:rPr>
      </w:pPr>
      <w:bookmarkStart w:id="101" w:name="_Toc3157"/>
      <w:r>
        <w:rPr>
          <w:rFonts w:ascii="Times New Roman" w:hAnsi="Times New Roman" w:eastAsia="黑体" w:cs="Times New Roman"/>
          <w:b w:val="0"/>
          <w:bCs w:val="0"/>
          <w:sz w:val="30"/>
          <w:szCs w:val="32"/>
        </w:rPr>
        <w:t>可靠性与可观测性基线</w:t>
      </w:r>
      <w:bookmarkEnd w:id="101"/>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102" w:name="_Toc26001"/>
      <w:r>
        <w:rPr>
          <w:rFonts w:ascii="Times New Roman" w:hAnsi="Times New Roman" w:eastAsia="黑体" w:cs="Times New Roman"/>
          <w:b w:val="0"/>
          <w:bCs w:val="0"/>
          <w:sz w:val="32"/>
          <w:szCs w:val="44"/>
        </w:rPr>
        <w:t>技术架构与系统选型</w:t>
      </w:r>
      <w:bookmarkEnd w:id="102"/>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05"/>
        </w:numPr>
        <w:topLinePunct w:val="0"/>
        <w:ind w:left="0" w:leftChars="0" w:firstLine="0" w:firstLineChars="0"/>
        <w:outlineLvl w:val="0"/>
        <w:rPr>
          <w:rFonts w:hint="eastAsia" w:eastAsia="黑体"/>
          <w:b w:val="0"/>
          <w:bCs w:val="0"/>
          <w:sz w:val="30"/>
          <w:szCs w:val="32"/>
        </w:rPr>
      </w:pPr>
      <w:bookmarkStart w:id="103" w:name="_Toc4309"/>
      <w:r>
        <w:rPr>
          <w:rFonts w:ascii="Times New Roman" w:hAnsi="Times New Roman" w:eastAsia="黑体" w:cs="Times New Roman"/>
          <w:b w:val="0"/>
          <w:bCs w:val="0"/>
          <w:sz w:val="30"/>
          <w:szCs w:val="32"/>
        </w:rPr>
        <w:t>原型实现技术栈</w:t>
      </w:r>
      <w:bookmarkEnd w:id="103"/>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05"/>
        </w:numPr>
        <w:topLinePunct w:val="0"/>
        <w:ind w:left="0" w:leftChars="0" w:firstLine="0" w:firstLineChars="0"/>
        <w:outlineLvl w:val="0"/>
        <w:rPr>
          <w:rFonts w:hint="eastAsia" w:eastAsia="黑体"/>
          <w:b w:val="0"/>
          <w:bCs w:val="0"/>
          <w:sz w:val="30"/>
          <w:szCs w:val="32"/>
        </w:rPr>
      </w:pPr>
      <w:bookmarkStart w:id="104" w:name="_Toc2959"/>
      <w:r>
        <w:rPr>
          <w:rFonts w:ascii="Times New Roman" w:hAnsi="Times New Roman" w:eastAsia="黑体" w:cs="Times New Roman"/>
          <w:b w:val="0"/>
          <w:bCs w:val="0"/>
          <w:sz w:val="30"/>
          <w:szCs w:val="32"/>
        </w:rPr>
        <w:t>关键架构决策（ADR）</w:t>
      </w:r>
      <w:bookmarkEnd w:id="104"/>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05"/>
        </w:numPr>
        <w:topLinePunct w:val="0"/>
        <w:ind w:left="0" w:leftChars="0" w:firstLine="0" w:firstLineChars="0"/>
        <w:outlineLvl w:val="0"/>
        <w:rPr>
          <w:rFonts w:hint="eastAsia" w:eastAsia="黑体"/>
          <w:b w:val="0"/>
          <w:bCs w:val="0"/>
          <w:sz w:val="30"/>
          <w:szCs w:val="32"/>
        </w:rPr>
      </w:pPr>
      <w:bookmarkStart w:id="105" w:name="_Toc391"/>
      <w:r>
        <w:rPr>
          <w:rFonts w:ascii="Times New Roman" w:hAnsi="Times New Roman" w:eastAsia="黑体" w:cs="Times New Roman"/>
          <w:b w:val="0"/>
          <w:bCs w:val="0"/>
          <w:sz w:val="30"/>
          <w:szCs w:val="32"/>
        </w:rPr>
        <w:t>技术决策裁决记录与残留待确认项</w:t>
      </w:r>
      <w:bookmarkEnd w:id="105"/>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106" w:name="_Toc6682"/>
      <w:r>
        <w:rPr>
          <w:rFonts w:ascii="Times New Roman" w:hAnsi="Times New Roman" w:eastAsia="黑体" w:cs="Times New Roman"/>
          <w:b w:val="0"/>
          <w:bCs w:val="0"/>
          <w:sz w:val="32"/>
          <w:szCs w:val="44"/>
        </w:rPr>
        <w:t>系统级公共模块需求</w:t>
      </w:r>
      <w:bookmarkEnd w:id="106"/>
    </w:p>
    <w:p w14:paraId="740231A3">
      <w:pPr>
        <w:pStyle w:val="4"/>
        <w:numPr>
          <w:ilvl w:val="0"/>
          <w:numId w:val="206"/>
        </w:numPr>
        <w:topLinePunct w:val="0"/>
        <w:ind w:left="0" w:leftChars="0" w:firstLine="0" w:firstLineChars="0"/>
        <w:outlineLvl w:val="0"/>
        <w:rPr>
          <w:rFonts w:hint="eastAsia" w:eastAsia="黑体"/>
          <w:b w:val="0"/>
          <w:bCs w:val="0"/>
          <w:sz w:val="30"/>
          <w:szCs w:val="32"/>
        </w:rPr>
      </w:pPr>
      <w:bookmarkStart w:id="107" w:name="_Toc6683"/>
      <w:r>
        <w:rPr>
          <w:rFonts w:ascii="Times New Roman" w:hAnsi="Times New Roman" w:eastAsia="黑体" w:cs="Times New Roman"/>
          <w:b w:val="0"/>
          <w:bCs w:val="0"/>
          <w:sz w:val="30"/>
          <w:szCs w:val="32"/>
        </w:rPr>
        <w:t>公共模块清单</w:t>
      </w:r>
      <w:bookmarkEnd w:id="107"/>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06"/>
        </w:numPr>
        <w:topLinePunct w:val="0"/>
        <w:ind w:left="0" w:leftChars="0" w:firstLine="0" w:firstLineChars="0"/>
        <w:outlineLvl w:val="0"/>
        <w:rPr>
          <w:rFonts w:hint="eastAsia" w:eastAsia="黑体"/>
          <w:b w:val="0"/>
          <w:bCs w:val="0"/>
          <w:sz w:val="30"/>
          <w:szCs w:val="32"/>
        </w:rPr>
      </w:pPr>
      <w:bookmarkStart w:id="108" w:name="_Toc20825"/>
      <w:r>
        <w:rPr>
          <w:rFonts w:ascii="Times New Roman" w:hAnsi="Times New Roman" w:eastAsia="黑体" w:cs="Times New Roman"/>
          <w:b w:val="0"/>
          <w:bCs w:val="0"/>
          <w:sz w:val="30"/>
          <w:szCs w:val="32"/>
        </w:rPr>
        <w:t>告警中枢分级与响应契约</w:t>
      </w:r>
      <w:bookmarkEnd w:id="108"/>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109" w:name="_Toc2189"/>
      <w:r>
        <w:rPr>
          <w:rFonts w:ascii="Times New Roman" w:hAnsi="Times New Roman" w:eastAsia="黑体" w:cs="Times New Roman"/>
          <w:b w:val="0"/>
          <w:bCs w:val="0"/>
          <w:sz w:val="32"/>
          <w:szCs w:val="44"/>
        </w:rPr>
        <w:t>安全与合规需求</w:t>
      </w:r>
      <w:bookmarkEnd w:id="109"/>
    </w:p>
    <w:p w14:paraId="20DEEF53">
      <w:pPr>
        <w:pStyle w:val="4"/>
        <w:numPr>
          <w:ilvl w:val="0"/>
          <w:numId w:val="207"/>
        </w:numPr>
        <w:topLinePunct w:val="0"/>
        <w:ind w:left="0" w:leftChars="0" w:firstLine="0" w:firstLineChars="0"/>
        <w:outlineLvl w:val="0"/>
        <w:rPr>
          <w:rFonts w:hint="eastAsia" w:eastAsia="黑体"/>
          <w:b w:val="0"/>
          <w:bCs w:val="0"/>
          <w:sz w:val="30"/>
          <w:szCs w:val="32"/>
        </w:rPr>
      </w:pPr>
      <w:bookmarkStart w:id="110" w:name="_Toc1048"/>
      <w:r>
        <w:rPr>
          <w:rFonts w:ascii="Times New Roman" w:hAnsi="Times New Roman" w:eastAsia="黑体" w:cs="Times New Roman"/>
          <w:b w:val="0"/>
          <w:bCs w:val="0"/>
          <w:sz w:val="30"/>
          <w:szCs w:val="32"/>
        </w:rPr>
        <w:t>网络安全防护体系</w:t>
      </w:r>
      <w:bookmarkEnd w:id="110"/>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0A008F55">
      <w:pPr>
        <w:pStyle w:val="4"/>
        <w:numPr>
          <w:ilvl w:val="0"/>
          <w:numId w:val="207"/>
        </w:numPr>
        <w:topLinePunct w:val="0"/>
        <w:ind w:left="0" w:leftChars="0" w:firstLine="0" w:firstLineChars="0"/>
        <w:outlineLvl w:val="0"/>
        <w:rPr>
          <w:rFonts w:hint="eastAsia" w:eastAsia="黑体"/>
          <w:b w:val="0"/>
          <w:bCs w:val="0"/>
          <w:sz w:val="30"/>
          <w:szCs w:val="32"/>
        </w:rPr>
      </w:pPr>
      <w:bookmarkStart w:id="111" w:name="_Toc17968"/>
      <w:r>
        <w:rPr>
          <w:rFonts w:ascii="Times New Roman" w:hAnsi="Times New Roman" w:eastAsia="黑体" w:cs="Times New Roman"/>
          <w:b w:val="0"/>
          <w:bCs w:val="0"/>
          <w:sz w:val="30"/>
          <w:szCs w:val="32"/>
        </w:rPr>
        <w:t>数据出境与合规</w:t>
      </w:r>
      <w:bookmarkEnd w:id="111"/>
    </w:p>
    <w:p w14:paraId="0D91A461">
      <w:pPr>
        <w:pStyle w:val="19"/>
        <w:widowControl/>
        <w:numPr>
          <w:ilvl w:val="0"/>
          <w:numId w:val="208"/>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08"/>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08"/>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p w14:paraId="7EF1A914">
      <w:pPr>
        <w:pStyle w:val="5"/>
        <w:numPr>
          <w:ilvl w:val="0"/>
          <w:numId w:val="203"/>
        </w:numPr>
        <w:ind w:left="0" w:leftChars="0" w:firstLine="0" w:firstLineChars="0"/>
        <w:outlineLvl w:val="1"/>
        <w:rPr>
          <w:rFonts w:ascii="Times New Roman" w:hAnsi="Times New Roman" w:eastAsia="黑体" w:cs="Times New Roman"/>
          <w:b w:val="0"/>
          <w:bCs w:val="0"/>
          <w:sz w:val="30"/>
          <w:szCs w:val="24"/>
        </w:rPr>
      </w:pPr>
      <w:bookmarkStart w:id="112" w:name="_Toc22833"/>
      <w:r>
        <w:rPr>
          <w:rFonts w:ascii="Times New Roman" w:hAnsi="Times New Roman" w:eastAsia="黑体" w:cs="Times New Roman"/>
          <w:b w:val="0"/>
          <w:bCs w:val="0"/>
          <w:sz w:val="30"/>
          <w:szCs w:val="24"/>
        </w:rPr>
        <w:t>CBAM 数据出境安全合规前置方案</w:t>
      </w:r>
      <w:bookmarkEnd w:id="112"/>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07"/>
        </w:numPr>
        <w:topLinePunct w:val="0"/>
        <w:ind w:left="0" w:leftChars="0" w:firstLine="0" w:firstLineChars="0"/>
        <w:outlineLvl w:val="0"/>
        <w:rPr>
          <w:rFonts w:hint="eastAsia" w:eastAsia="黑体"/>
          <w:b w:val="0"/>
          <w:bCs w:val="0"/>
          <w:sz w:val="30"/>
          <w:szCs w:val="32"/>
        </w:rPr>
      </w:pPr>
      <w:bookmarkStart w:id="113" w:name="_Toc28159"/>
      <w:r>
        <w:rPr>
          <w:rFonts w:ascii="Times New Roman" w:hAnsi="Times New Roman" w:eastAsia="黑体" w:cs="Times New Roman"/>
          <w:b w:val="0"/>
          <w:bCs w:val="0"/>
          <w:sz w:val="30"/>
          <w:szCs w:val="32"/>
        </w:rPr>
        <w:t>安全合规遗留待确认项清单</w:t>
      </w:r>
      <w:bookmarkEnd w:id="113"/>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114" w:name="_Toc30998"/>
      <w:r>
        <w:rPr>
          <w:rFonts w:ascii="Times New Roman" w:hAnsi="Times New Roman" w:eastAsia="黑体" w:cs="Times New Roman"/>
          <w:b w:val="0"/>
          <w:bCs w:val="0"/>
          <w:sz w:val="32"/>
          <w:szCs w:val="44"/>
        </w:rPr>
        <w:t>外部系统集成与数据采集点表</w:t>
      </w:r>
      <w:bookmarkEnd w:id="114"/>
    </w:p>
    <w:p w14:paraId="34955927">
      <w:pPr>
        <w:pStyle w:val="4"/>
        <w:numPr>
          <w:ilvl w:val="0"/>
          <w:numId w:val="209"/>
        </w:numPr>
        <w:topLinePunct w:val="0"/>
        <w:ind w:left="0" w:leftChars="0" w:firstLine="0" w:firstLineChars="0"/>
        <w:outlineLvl w:val="0"/>
        <w:rPr>
          <w:rFonts w:hint="eastAsia" w:eastAsia="黑体"/>
          <w:b w:val="0"/>
          <w:bCs w:val="0"/>
          <w:sz w:val="30"/>
          <w:szCs w:val="32"/>
        </w:rPr>
      </w:pPr>
      <w:bookmarkStart w:id="115" w:name="_Toc8831"/>
      <w:r>
        <w:rPr>
          <w:rFonts w:ascii="Times New Roman" w:hAnsi="Times New Roman" w:eastAsia="黑体" w:cs="Times New Roman"/>
          <w:b w:val="0"/>
          <w:bCs w:val="0"/>
          <w:sz w:val="30"/>
          <w:szCs w:val="32"/>
        </w:rPr>
        <w:t>集成接口</w:t>
      </w:r>
      <w:bookmarkEnd w:id="115"/>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58F68849">
      <w:pPr>
        <w:pStyle w:val="4"/>
        <w:numPr>
          <w:ilvl w:val="0"/>
          <w:numId w:val="209"/>
        </w:numPr>
        <w:topLinePunct w:val="0"/>
        <w:ind w:left="0" w:leftChars="0" w:firstLine="0" w:firstLineChars="0"/>
        <w:outlineLvl w:val="0"/>
        <w:rPr>
          <w:rFonts w:hint="eastAsia" w:eastAsia="黑体"/>
          <w:b w:val="0"/>
          <w:bCs w:val="0"/>
          <w:sz w:val="30"/>
          <w:szCs w:val="32"/>
        </w:rPr>
      </w:pPr>
      <w:bookmarkStart w:id="116" w:name="_Toc4262"/>
      <w:r>
        <w:rPr>
          <w:rFonts w:ascii="Times New Roman" w:hAnsi="Times New Roman" w:eastAsia="黑体" w:cs="Times New Roman"/>
          <w:b w:val="0"/>
          <w:bCs w:val="0"/>
          <w:sz w:val="30"/>
          <w:szCs w:val="32"/>
        </w:rPr>
        <w:t>采集点表（核心点位）</w:t>
      </w:r>
      <w:bookmarkEnd w:id="116"/>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09"/>
        </w:numPr>
        <w:topLinePunct w:val="0"/>
        <w:ind w:left="0" w:leftChars="0" w:firstLine="0" w:firstLineChars="0"/>
        <w:outlineLvl w:val="0"/>
        <w:rPr>
          <w:rFonts w:hint="eastAsia" w:eastAsia="黑体"/>
          <w:b w:val="0"/>
          <w:bCs w:val="0"/>
          <w:sz w:val="30"/>
          <w:szCs w:val="32"/>
        </w:rPr>
      </w:pPr>
      <w:bookmarkStart w:id="117" w:name="_Toc26559"/>
      <w:r>
        <w:rPr>
          <w:rFonts w:ascii="Times New Roman" w:hAnsi="Times New Roman" w:eastAsia="黑体" w:cs="Times New Roman"/>
          <w:b w:val="0"/>
          <w:bCs w:val="0"/>
          <w:sz w:val="30"/>
          <w:szCs w:val="32"/>
        </w:rPr>
        <w:t>外部数据源与授权</w:t>
      </w:r>
      <w:bookmarkEnd w:id="117"/>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118" w:name="_Toc7096"/>
      <w:r>
        <w:rPr>
          <w:rFonts w:ascii="Times New Roman" w:hAnsi="Times New Roman" w:eastAsia="黑体" w:cs="Times New Roman"/>
          <w:b w:val="0"/>
          <w:bCs w:val="0"/>
          <w:sz w:val="32"/>
          <w:szCs w:val="44"/>
        </w:rPr>
        <w:t>测试与验收基线</w:t>
      </w:r>
      <w:bookmarkEnd w:id="118"/>
    </w:p>
    <w:p w14:paraId="015379B9">
      <w:pPr>
        <w:pStyle w:val="4"/>
        <w:numPr>
          <w:ilvl w:val="0"/>
          <w:numId w:val="210"/>
        </w:numPr>
        <w:topLinePunct w:val="0"/>
        <w:ind w:left="0" w:leftChars="0" w:firstLine="0" w:firstLineChars="0"/>
        <w:outlineLvl w:val="0"/>
        <w:rPr>
          <w:rFonts w:hint="eastAsia" w:eastAsia="黑体"/>
          <w:b w:val="0"/>
          <w:bCs w:val="0"/>
          <w:sz w:val="30"/>
          <w:szCs w:val="32"/>
        </w:rPr>
      </w:pPr>
      <w:bookmarkStart w:id="119" w:name="_Toc14898"/>
      <w:r>
        <w:rPr>
          <w:rFonts w:ascii="Times New Roman" w:hAnsi="Times New Roman" w:eastAsia="黑体" w:cs="Times New Roman"/>
          <w:b w:val="0"/>
          <w:bCs w:val="0"/>
          <w:sz w:val="30"/>
          <w:szCs w:val="32"/>
        </w:rPr>
        <w:t>验收准则</w:t>
      </w:r>
      <w:bookmarkEnd w:id="119"/>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11"/>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10"/>
        </w:numPr>
        <w:topLinePunct w:val="0"/>
        <w:ind w:left="0" w:leftChars="0" w:firstLine="0" w:firstLineChars="0"/>
        <w:outlineLvl w:val="0"/>
        <w:rPr>
          <w:rFonts w:hint="eastAsia" w:eastAsia="黑体"/>
          <w:b w:val="0"/>
          <w:bCs w:val="0"/>
          <w:sz w:val="30"/>
          <w:szCs w:val="32"/>
        </w:rPr>
      </w:pPr>
      <w:bookmarkStart w:id="120" w:name="_Toc15621"/>
      <w:r>
        <w:rPr>
          <w:rFonts w:ascii="Times New Roman" w:hAnsi="Times New Roman" w:eastAsia="黑体" w:cs="Times New Roman"/>
          <w:b w:val="0"/>
          <w:bCs w:val="0"/>
          <w:sz w:val="30"/>
          <w:szCs w:val="32"/>
        </w:rPr>
        <w:t>破坏性测试矩阵（EQP / BVA）</w:t>
      </w:r>
      <w:bookmarkEnd w:id="120"/>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3AB5F67C">
      <w:pPr>
        <w:pStyle w:val="4"/>
        <w:numPr>
          <w:ilvl w:val="0"/>
          <w:numId w:val="210"/>
        </w:numPr>
        <w:topLinePunct w:val="0"/>
        <w:ind w:left="0" w:leftChars="0" w:firstLine="0" w:firstLineChars="0"/>
        <w:outlineLvl w:val="0"/>
        <w:rPr>
          <w:rFonts w:hint="eastAsia" w:eastAsia="黑体"/>
          <w:b w:val="0"/>
          <w:bCs w:val="0"/>
          <w:sz w:val="30"/>
          <w:szCs w:val="32"/>
        </w:rPr>
      </w:pPr>
      <w:bookmarkStart w:id="121" w:name="_Toc12662"/>
      <w:r>
        <w:rPr>
          <w:rFonts w:ascii="Times New Roman" w:hAnsi="Times New Roman" w:eastAsia="黑体" w:cs="Times New Roman"/>
          <w:b w:val="0"/>
          <w:bCs w:val="0"/>
          <w:sz w:val="30"/>
          <w:szCs w:val="32"/>
        </w:rPr>
        <w:t>全系统验收基线</w:t>
      </w:r>
      <w:bookmarkEnd w:id="121"/>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16 个 + 第四章 15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52B10DB0">
      <w:pPr>
        <w:pStyle w:val="37"/>
        <w:widowControl/>
        <w:outlineLvl w:val="0"/>
        <w:rPr>
          <w:rFonts w:ascii="Times New Roman" w:hAnsi="Times New Roman" w:eastAsia="黑体" w:cs="Times New Roman"/>
          <w:b w:val="0"/>
          <w:bCs w:val="0"/>
          <w:sz w:val="36"/>
          <w:szCs w:val="24"/>
        </w:rPr>
      </w:pPr>
      <w:bookmarkStart w:id="122" w:name="_Toc22103"/>
      <w:r>
        <w:rPr>
          <w:rFonts w:ascii="Times New Roman" w:hAnsi="Times New Roman" w:eastAsia="黑体" w:cs="Times New Roman"/>
          <w:b w:val="0"/>
          <w:bCs w:val="0"/>
          <w:sz w:val="36"/>
          <w:szCs w:val="24"/>
        </w:rPr>
        <w:t>附录 A：现行国标 / 行标 / 欧标 法规映射表</w:t>
      </w:r>
      <w:bookmarkEnd w:id="122"/>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123" w:name="_Toc13898"/>
      <w:r>
        <w:rPr>
          <w:rFonts w:ascii="Times New Roman" w:hAnsi="Times New Roman" w:eastAsia="黑体" w:cs="Times New Roman"/>
          <w:b w:val="0"/>
          <w:bCs w:val="0"/>
          <w:sz w:val="36"/>
          <w:szCs w:val="24"/>
        </w:rPr>
        <w:t>附录 B：反模式与反例对照治理清单</w:t>
      </w:r>
      <w:bookmarkEnd w:id="123"/>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4864ABD6">
      <w:pPr>
        <w:pStyle w:val="37"/>
        <w:widowControl/>
        <w:outlineLvl w:val="0"/>
        <w:rPr>
          <w:rFonts w:hint="eastAsia" w:ascii="宋体" w:hAnsi="宋体" w:eastAsia="宋体" w:cs="宋体"/>
          <w:i w:val="0"/>
          <w:iCs w:val="0"/>
          <w:sz w:val="24"/>
          <w:szCs w:val="24"/>
        </w:rPr>
      </w:pPr>
      <w:bookmarkStart w:id="124" w:name="_Toc27423"/>
      <w:r>
        <w:rPr>
          <w:rFonts w:ascii="Times New Roman" w:hAnsi="Times New Roman" w:eastAsia="黑体" w:cs="Times New Roman"/>
          <w:b w:val="0"/>
          <w:bCs w:val="0"/>
          <w:sz w:val="36"/>
          <w:szCs w:val="24"/>
        </w:rPr>
        <w:t>附录 C：企业组织结构树</w:t>
      </w:r>
      <w:bookmarkEnd w:id="124"/>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bookmarkStart w:id="127" w:name="_GoBack"/>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bookmarkEnd w:id="127"/>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125" w:name="_Toc19777"/>
      <w:r>
        <w:rPr>
          <w:rFonts w:ascii="Times New Roman" w:hAnsi="Times New Roman" w:eastAsia="黑体" w:cs="Times New Roman"/>
          <w:b w:val="0"/>
          <w:bCs w:val="0"/>
          <w:sz w:val="36"/>
          <w:szCs w:val="24"/>
        </w:rPr>
        <w:t>附录 D：园区组织结构树</w:t>
      </w:r>
      <w:bookmarkEnd w:id="125"/>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126" w:name="_Toc26859"/>
      <w:r>
        <w:rPr>
          <w:rFonts w:ascii="Times New Roman" w:hAnsi="Times New Roman" w:eastAsia="黑体" w:cs="Times New Roman"/>
          <w:b w:val="0"/>
          <w:bCs w:val="0"/>
          <w:sz w:val="36"/>
          <w:szCs w:val="24"/>
        </w:rPr>
        <w:t>附录 E：角色与权限矩阵</w:t>
      </w:r>
      <w:bookmarkEnd w:id="126"/>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p w14:paraId="325C1369">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4">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5">
    <w:nsid w:val="86EA1A2B"/>
    <w:multiLevelType w:val="singleLevel"/>
    <w:tmpl w:val="86EA1A2B"/>
    <w:lvl w:ilvl="0" w:tentative="0">
      <w:start w:val="1"/>
      <w:numFmt w:val="decimal"/>
      <w:suff w:val="space"/>
      <w:lvlText w:val="【%1】"/>
      <w:lvlJc w:val="left"/>
      <w:pPr>
        <w:ind w:left="0" w:firstLine="0"/>
      </w:pPr>
      <w:rPr>
        <w:rFonts w:hint="default"/>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9">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0">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1">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2">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3">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4">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5">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6">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7">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18">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19">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0">
    <w:nsid w:val="9801B642"/>
    <w:multiLevelType w:val="singleLevel"/>
    <w:tmpl w:val="9801B642"/>
    <w:lvl w:ilvl="0" w:tentative="0">
      <w:start w:val="1"/>
      <w:numFmt w:val="decimal"/>
      <w:suff w:val="space"/>
      <w:lvlText w:val="【%1】"/>
      <w:lvlJc w:val="left"/>
      <w:pPr>
        <w:ind w:left="0" w:firstLine="0"/>
      </w:pPr>
      <w:rPr>
        <w:rFonts w:hint="default"/>
      </w:rPr>
    </w:lvl>
  </w:abstractNum>
  <w:abstractNum w:abstractNumId="21">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2">
    <w:nsid w:val="99DA73B3"/>
    <w:multiLevelType w:val="singleLevel"/>
    <w:tmpl w:val="99DA73B3"/>
    <w:lvl w:ilvl="0" w:tentative="0">
      <w:start w:val="1"/>
      <w:numFmt w:val="decimal"/>
      <w:suff w:val="space"/>
      <w:lvlText w:val="【%1】"/>
      <w:lvlJc w:val="left"/>
      <w:pPr>
        <w:ind w:left="0" w:firstLine="0"/>
      </w:pPr>
      <w:rPr>
        <w:rFonts w:hint="default"/>
      </w:rPr>
    </w:lvl>
  </w:abstractNum>
  <w:abstractNum w:abstractNumId="23">
    <w:nsid w:val="9A5B94E8"/>
    <w:multiLevelType w:val="singleLevel"/>
    <w:tmpl w:val="9A5B94E8"/>
    <w:lvl w:ilvl="0" w:tentative="0">
      <w:start w:val="1"/>
      <w:numFmt w:val="decimal"/>
      <w:suff w:val="space"/>
      <w:lvlText w:val="%1."/>
      <w:lvlJc w:val="left"/>
      <w:pPr>
        <w:ind w:left="0" w:firstLine="0"/>
      </w:pPr>
      <w:rPr>
        <w:rFonts w:hint="default"/>
      </w:rPr>
    </w:lvl>
  </w:abstractNum>
  <w:abstractNum w:abstractNumId="24">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5">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6">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7">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8">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29">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0">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1">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2">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3">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4">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5">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6">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7">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38">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39">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0">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1">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2">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3">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4">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5">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6">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47">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48">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49">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0">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1">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2">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3">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4">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5">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56">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57">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58">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59">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0">
    <w:nsid w:val="C4CA2D91"/>
    <w:multiLevelType w:val="singleLevel"/>
    <w:tmpl w:val="C4CA2D91"/>
    <w:lvl w:ilvl="0" w:tentative="0">
      <w:start w:val="1"/>
      <w:numFmt w:val="decimal"/>
      <w:suff w:val="space"/>
      <w:lvlText w:val="【%1】"/>
      <w:lvlJc w:val="left"/>
      <w:pPr>
        <w:ind w:left="0" w:firstLine="0"/>
      </w:pPr>
      <w:rPr>
        <w:rFonts w:hint="default"/>
      </w:rPr>
    </w:lvl>
  </w:abstractNum>
  <w:abstractNum w:abstractNumId="61">
    <w:nsid w:val="C579A508"/>
    <w:multiLevelType w:val="singleLevel"/>
    <w:tmpl w:val="C579A508"/>
    <w:lvl w:ilvl="0" w:tentative="0">
      <w:start w:val="1"/>
      <w:numFmt w:val="decimal"/>
      <w:suff w:val="space"/>
      <w:lvlText w:val="【%1】"/>
      <w:lvlJc w:val="left"/>
      <w:pPr>
        <w:ind w:left="0" w:firstLine="0"/>
      </w:pPr>
      <w:rPr>
        <w:rFonts w:hint="default"/>
      </w:rPr>
    </w:lvl>
  </w:abstractNum>
  <w:abstractNum w:abstractNumId="62">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3">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4">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5">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6">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7">
    <w:nsid w:val="CD156D07"/>
    <w:multiLevelType w:val="singleLevel"/>
    <w:tmpl w:val="CD156D07"/>
    <w:lvl w:ilvl="0" w:tentative="0">
      <w:start w:val="1"/>
      <w:numFmt w:val="chineseCounting"/>
      <w:suff w:val="nothing"/>
      <w:lvlText w:val="%1、"/>
      <w:lvlJc w:val="left"/>
      <w:pPr>
        <w:ind w:left="0" w:firstLine="0"/>
      </w:pPr>
      <w:rPr>
        <w:rFonts w:hint="eastAsia"/>
      </w:rPr>
    </w:lvl>
  </w:abstractNum>
  <w:abstractNum w:abstractNumId="68">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69">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0">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1">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2">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3">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4">
    <w:nsid w:val="D71D3A07"/>
    <w:multiLevelType w:val="singleLevel"/>
    <w:tmpl w:val="D71D3A07"/>
    <w:lvl w:ilvl="0" w:tentative="0">
      <w:start w:val="1"/>
      <w:numFmt w:val="decimal"/>
      <w:suff w:val="space"/>
      <w:lvlText w:val="%1."/>
      <w:lvlJc w:val="left"/>
      <w:pPr>
        <w:ind w:left="0" w:firstLine="0"/>
      </w:pPr>
      <w:rPr>
        <w:rFonts w:hint="default"/>
      </w:rPr>
    </w:lvl>
  </w:abstractNum>
  <w:abstractNum w:abstractNumId="75">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6">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7">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78">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79">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0">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1">
    <w:nsid w:val="DEF23186"/>
    <w:multiLevelType w:val="singleLevel"/>
    <w:tmpl w:val="DEF23186"/>
    <w:lvl w:ilvl="0" w:tentative="0">
      <w:start w:val="1"/>
      <w:numFmt w:val="decimal"/>
      <w:suff w:val="space"/>
      <w:lvlText w:val="【%1】"/>
      <w:lvlJc w:val="left"/>
      <w:pPr>
        <w:ind w:left="0" w:firstLine="0"/>
      </w:pPr>
      <w:rPr>
        <w:rFonts w:hint="default"/>
      </w:rPr>
    </w:lvl>
  </w:abstractNum>
  <w:abstractNum w:abstractNumId="82">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3">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4">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5">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6">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87">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88">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89">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0">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1">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2">
    <w:nsid w:val="ED5C8809"/>
    <w:multiLevelType w:val="singleLevel"/>
    <w:tmpl w:val="ED5C8809"/>
    <w:lvl w:ilvl="0" w:tentative="0">
      <w:start w:val="1"/>
      <w:numFmt w:val="decimal"/>
      <w:suff w:val="space"/>
      <w:lvlText w:val="【%1】"/>
      <w:lvlJc w:val="left"/>
      <w:pPr>
        <w:ind w:left="0" w:firstLine="0"/>
      </w:pPr>
      <w:rPr>
        <w:rFonts w:hint="default"/>
      </w:rPr>
    </w:lvl>
  </w:abstractNum>
  <w:abstractNum w:abstractNumId="93">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4">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5">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6">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97">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98">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99">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0">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1">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2">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3">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4">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5">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6">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07">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08">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09">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0">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1">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2">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3">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4">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5">
    <w:nsid w:val="01E4EEBF"/>
    <w:multiLevelType w:val="singleLevel"/>
    <w:tmpl w:val="01E4EEBF"/>
    <w:lvl w:ilvl="0" w:tentative="0">
      <w:start w:val="1"/>
      <w:numFmt w:val="decimal"/>
      <w:suff w:val="space"/>
      <w:lvlText w:val="【%1】"/>
      <w:lvlJc w:val="left"/>
      <w:pPr>
        <w:ind w:left="0" w:firstLine="0"/>
      </w:pPr>
      <w:rPr>
        <w:rFonts w:hint="default"/>
      </w:rPr>
    </w:lvl>
  </w:abstractNum>
  <w:abstractNum w:abstractNumId="116">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7">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18">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19">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20">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1">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2">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23">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24">
    <w:nsid w:val="1900AA1D"/>
    <w:multiLevelType w:val="singleLevel"/>
    <w:tmpl w:val="1900AA1D"/>
    <w:lvl w:ilvl="0" w:tentative="0">
      <w:start w:val="1"/>
      <w:numFmt w:val="decimal"/>
      <w:suff w:val="space"/>
      <w:lvlText w:val="【%1】"/>
      <w:lvlJc w:val="left"/>
      <w:pPr>
        <w:ind w:left="0" w:firstLine="0"/>
      </w:pPr>
      <w:rPr>
        <w:rFonts w:hint="default"/>
      </w:rPr>
    </w:lvl>
  </w:abstractNum>
  <w:abstractNum w:abstractNumId="125">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26">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27">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28">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29">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30">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31">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32">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33">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34">
    <w:nsid w:val="22B6F6FB"/>
    <w:multiLevelType w:val="singleLevel"/>
    <w:tmpl w:val="22B6F6FB"/>
    <w:lvl w:ilvl="0" w:tentative="0">
      <w:start w:val="1"/>
      <w:numFmt w:val="decimal"/>
      <w:suff w:val="space"/>
      <w:lvlText w:val="%1."/>
      <w:lvlJc w:val="left"/>
      <w:pPr>
        <w:ind w:left="0" w:firstLine="0"/>
      </w:pPr>
      <w:rPr>
        <w:rFonts w:hint="default"/>
      </w:rPr>
    </w:lvl>
  </w:abstractNum>
  <w:abstractNum w:abstractNumId="135">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36">
    <w:nsid w:val="2459407C"/>
    <w:multiLevelType w:val="singleLevel"/>
    <w:tmpl w:val="2459407C"/>
    <w:lvl w:ilvl="0" w:tentative="0">
      <w:start w:val="1"/>
      <w:numFmt w:val="decimal"/>
      <w:suff w:val="space"/>
      <w:lvlText w:val="【%1】"/>
      <w:lvlJc w:val="left"/>
      <w:pPr>
        <w:ind w:left="0" w:firstLine="0"/>
      </w:pPr>
      <w:rPr>
        <w:rFonts w:hint="default"/>
      </w:rPr>
    </w:lvl>
  </w:abstractNum>
  <w:abstractNum w:abstractNumId="137">
    <w:nsid w:val="263A57D5"/>
    <w:multiLevelType w:val="singleLevel"/>
    <w:tmpl w:val="263A57D5"/>
    <w:lvl w:ilvl="0" w:tentative="0">
      <w:start w:val="1"/>
      <w:numFmt w:val="decimal"/>
      <w:suff w:val="space"/>
      <w:lvlText w:val="【%1】"/>
      <w:lvlJc w:val="left"/>
      <w:pPr>
        <w:ind w:left="0" w:firstLine="0"/>
      </w:pPr>
      <w:rPr>
        <w:rFonts w:hint="default"/>
      </w:rPr>
    </w:lvl>
  </w:abstractNum>
  <w:abstractNum w:abstractNumId="138">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39">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0">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1">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42">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43">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44">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45">
    <w:nsid w:val="2CEB4668"/>
    <w:multiLevelType w:val="singleLevel"/>
    <w:tmpl w:val="2CEB4668"/>
    <w:lvl w:ilvl="0" w:tentative="0">
      <w:start w:val="1"/>
      <w:numFmt w:val="decimal"/>
      <w:suff w:val="space"/>
      <w:lvlText w:val="%1."/>
      <w:lvlJc w:val="left"/>
      <w:pPr>
        <w:ind w:left="0" w:firstLine="0"/>
      </w:pPr>
      <w:rPr>
        <w:rFonts w:hint="default"/>
      </w:rPr>
    </w:lvl>
  </w:abstractNum>
  <w:abstractNum w:abstractNumId="146">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47">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48">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49">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50">
    <w:nsid w:val="356A5703"/>
    <w:multiLevelType w:val="singleLevel"/>
    <w:tmpl w:val="356A5703"/>
    <w:lvl w:ilvl="0" w:tentative="0">
      <w:start w:val="1"/>
      <w:numFmt w:val="decimal"/>
      <w:suff w:val="space"/>
      <w:lvlText w:val="【%1】"/>
      <w:lvlJc w:val="left"/>
      <w:pPr>
        <w:ind w:left="0" w:firstLine="0"/>
      </w:pPr>
      <w:rPr>
        <w:rFonts w:hint="default"/>
      </w:rPr>
    </w:lvl>
  </w:abstractNum>
  <w:abstractNum w:abstractNumId="151">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52">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53">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54">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55">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56">
    <w:nsid w:val="3E643456"/>
    <w:multiLevelType w:val="singleLevel"/>
    <w:tmpl w:val="3E643456"/>
    <w:lvl w:ilvl="0" w:tentative="0">
      <w:start w:val="1"/>
      <w:numFmt w:val="decimal"/>
      <w:suff w:val="space"/>
      <w:lvlText w:val="【%1】"/>
      <w:lvlJc w:val="left"/>
      <w:pPr>
        <w:ind w:left="0" w:firstLine="0"/>
      </w:pPr>
      <w:rPr>
        <w:rFonts w:hint="default"/>
      </w:rPr>
    </w:lvl>
  </w:abstractNum>
  <w:abstractNum w:abstractNumId="157">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58">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59">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0">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61">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62">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63">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64">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65">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66">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67">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68">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69">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0">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71">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72">
    <w:nsid w:val="5040E49F"/>
    <w:multiLevelType w:val="singleLevel"/>
    <w:tmpl w:val="5040E49F"/>
    <w:lvl w:ilvl="0" w:tentative="0">
      <w:start w:val="1"/>
      <w:numFmt w:val="decimal"/>
      <w:suff w:val="space"/>
      <w:lvlText w:val="%1."/>
      <w:lvlJc w:val="left"/>
      <w:pPr>
        <w:ind w:left="0" w:firstLine="0"/>
      </w:pPr>
      <w:rPr>
        <w:rFonts w:hint="default"/>
      </w:rPr>
    </w:lvl>
  </w:abstractNum>
  <w:abstractNum w:abstractNumId="173">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74">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75">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76">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77">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78">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79">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0">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81">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82">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83">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84">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85">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86">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87">
    <w:nsid w:val="663B8FD2"/>
    <w:multiLevelType w:val="singleLevel"/>
    <w:tmpl w:val="663B8FD2"/>
    <w:lvl w:ilvl="0" w:tentative="0">
      <w:start w:val="1"/>
      <w:numFmt w:val="decimal"/>
      <w:suff w:val="space"/>
      <w:lvlText w:val="【%1】"/>
      <w:lvlJc w:val="left"/>
      <w:pPr>
        <w:ind w:left="0" w:firstLine="0"/>
      </w:pPr>
      <w:rPr>
        <w:rFonts w:hint="default"/>
      </w:rPr>
    </w:lvl>
  </w:abstractNum>
  <w:abstractNum w:abstractNumId="188">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189">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190">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191">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192">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193">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194">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195">
    <w:nsid w:val="6D1C6BBA"/>
    <w:multiLevelType w:val="singleLevel"/>
    <w:tmpl w:val="6D1C6BBA"/>
    <w:lvl w:ilvl="0" w:tentative="0">
      <w:start w:val="1"/>
      <w:numFmt w:val="decimal"/>
      <w:suff w:val="space"/>
      <w:lvlText w:val="%1."/>
      <w:lvlJc w:val="left"/>
      <w:pPr>
        <w:ind w:left="0" w:firstLine="0"/>
      </w:pPr>
      <w:rPr>
        <w:rFonts w:hint="default"/>
      </w:rPr>
    </w:lvl>
  </w:abstractNum>
  <w:abstractNum w:abstractNumId="196">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197">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198">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199">
    <w:nsid w:val="70376A42"/>
    <w:multiLevelType w:val="singleLevel"/>
    <w:tmpl w:val="70376A42"/>
    <w:lvl w:ilvl="0" w:tentative="0">
      <w:start w:val="1"/>
      <w:numFmt w:val="decimal"/>
      <w:suff w:val="space"/>
      <w:lvlText w:val="【%1】"/>
      <w:lvlJc w:val="left"/>
      <w:pPr>
        <w:ind w:left="0" w:firstLine="0"/>
      </w:pPr>
      <w:rPr>
        <w:rFonts w:hint="default"/>
      </w:rPr>
    </w:lvl>
  </w:abstractNum>
  <w:abstractNum w:abstractNumId="200">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01">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02">
    <w:nsid w:val="71AA17F9"/>
    <w:multiLevelType w:val="singleLevel"/>
    <w:tmpl w:val="71AA17F9"/>
    <w:lvl w:ilvl="0" w:tentative="0">
      <w:start w:val="1"/>
      <w:numFmt w:val="decimal"/>
      <w:suff w:val="space"/>
      <w:lvlText w:val="%1."/>
      <w:lvlJc w:val="left"/>
      <w:pPr>
        <w:ind w:left="0" w:firstLine="0"/>
      </w:pPr>
      <w:rPr>
        <w:rFonts w:hint="default"/>
      </w:rPr>
    </w:lvl>
  </w:abstractNum>
  <w:abstractNum w:abstractNumId="203">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04">
    <w:nsid w:val="7744011C"/>
    <w:multiLevelType w:val="singleLevel"/>
    <w:tmpl w:val="7744011C"/>
    <w:lvl w:ilvl="0" w:tentative="0">
      <w:start w:val="1"/>
      <w:numFmt w:val="decimal"/>
      <w:suff w:val="space"/>
      <w:lvlText w:val="【%1】"/>
      <w:lvlJc w:val="left"/>
      <w:pPr>
        <w:ind w:left="0" w:firstLine="0"/>
      </w:pPr>
      <w:rPr>
        <w:rFonts w:hint="default"/>
      </w:rPr>
    </w:lvl>
  </w:abstractNum>
  <w:abstractNum w:abstractNumId="205">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06">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07">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08">
    <w:nsid w:val="7EC6FD75"/>
    <w:multiLevelType w:val="singleLevel"/>
    <w:tmpl w:val="7EC6FD75"/>
    <w:lvl w:ilvl="0" w:tentative="0">
      <w:start w:val="1"/>
      <w:numFmt w:val="decimal"/>
      <w:suff w:val="space"/>
      <w:lvlText w:val=""/>
      <w:lvlJc w:val="left"/>
      <w:pPr>
        <w:ind w:left="0" w:firstLine="482"/>
      </w:pPr>
      <w:rPr>
        <w:rFonts w:hint="default"/>
      </w:rPr>
    </w:lvl>
  </w:abstractNum>
  <w:num w:numId="1">
    <w:abstractNumId w:val="109"/>
  </w:num>
  <w:num w:numId="2">
    <w:abstractNumId w:val="112"/>
  </w:num>
  <w:num w:numId="3">
    <w:abstractNumId w:val="113"/>
  </w:num>
  <w:num w:numId="4">
    <w:abstractNumId w:val="110"/>
  </w:num>
  <w:num w:numId="5">
    <w:abstractNumId w:val="108"/>
  </w:num>
  <w:num w:numId="6">
    <w:abstractNumId w:val="111"/>
  </w:num>
  <w:num w:numId="7">
    <w:abstractNumId w:val="200"/>
  </w:num>
  <w:num w:numId="8">
    <w:abstractNumId w:val="83"/>
  </w:num>
  <w:num w:numId="9">
    <w:abstractNumId w:val="147"/>
  </w:num>
  <w:num w:numId="10">
    <w:abstractNumId w:val="203"/>
  </w:num>
  <w:num w:numId="11">
    <w:abstractNumId w:val="43"/>
  </w:num>
  <w:num w:numId="12">
    <w:abstractNumId w:val="162"/>
  </w:num>
  <w:num w:numId="13">
    <w:abstractNumId w:val="13"/>
  </w:num>
  <w:num w:numId="14">
    <w:abstractNumId w:val="192"/>
  </w:num>
  <w:num w:numId="15">
    <w:abstractNumId w:val="28"/>
  </w:num>
  <w:num w:numId="16">
    <w:abstractNumId w:val="190"/>
  </w:num>
  <w:num w:numId="17">
    <w:abstractNumId w:val="114"/>
  </w:num>
  <w:num w:numId="18">
    <w:abstractNumId w:val="68"/>
  </w:num>
  <w:num w:numId="19">
    <w:abstractNumId w:val="163"/>
  </w:num>
  <w:num w:numId="20">
    <w:abstractNumId w:val="132"/>
  </w:num>
  <w:num w:numId="21">
    <w:abstractNumId w:val="37"/>
  </w:num>
  <w:num w:numId="22">
    <w:abstractNumId w:val="182"/>
  </w:num>
  <w:num w:numId="23">
    <w:abstractNumId w:val="58"/>
  </w:num>
  <w:num w:numId="24">
    <w:abstractNumId w:val="206"/>
  </w:num>
  <w:num w:numId="25">
    <w:abstractNumId w:val="131"/>
  </w:num>
  <w:num w:numId="26">
    <w:abstractNumId w:val="196"/>
  </w:num>
  <w:num w:numId="27">
    <w:abstractNumId w:val="99"/>
  </w:num>
  <w:num w:numId="28">
    <w:abstractNumId w:val="52"/>
  </w:num>
  <w:num w:numId="29">
    <w:abstractNumId w:val="72"/>
  </w:num>
  <w:num w:numId="30">
    <w:abstractNumId w:val="14"/>
  </w:num>
  <w:num w:numId="31">
    <w:abstractNumId w:val="126"/>
  </w:num>
  <w:num w:numId="32">
    <w:abstractNumId w:val="65"/>
  </w:num>
  <w:num w:numId="33">
    <w:abstractNumId w:val="55"/>
  </w:num>
  <w:num w:numId="34">
    <w:abstractNumId w:val="194"/>
  </w:num>
  <w:num w:numId="35">
    <w:abstractNumId w:val="208"/>
  </w:num>
  <w:num w:numId="36">
    <w:abstractNumId w:val="90"/>
  </w:num>
  <w:num w:numId="37">
    <w:abstractNumId w:val="102"/>
  </w:num>
  <w:num w:numId="38">
    <w:abstractNumId w:val="127"/>
  </w:num>
  <w:num w:numId="39">
    <w:abstractNumId w:val="189"/>
  </w:num>
  <w:num w:numId="40">
    <w:abstractNumId w:val="167"/>
  </w:num>
  <w:num w:numId="41">
    <w:abstractNumId w:val="54"/>
  </w:num>
  <w:num w:numId="42">
    <w:abstractNumId w:val="186"/>
  </w:num>
  <w:num w:numId="43">
    <w:abstractNumId w:val="12"/>
  </w:num>
  <w:num w:numId="44">
    <w:abstractNumId w:val="171"/>
  </w:num>
  <w:num w:numId="45">
    <w:abstractNumId w:val="42"/>
  </w:num>
  <w:num w:numId="46">
    <w:abstractNumId w:val="139"/>
  </w:num>
  <w:num w:numId="47">
    <w:abstractNumId w:val="129"/>
  </w:num>
  <w:num w:numId="48">
    <w:abstractNumId w:val="57"/>
  </w:num>
  <w:num w:numId="49">
    <w:abstractNumId w:val="178"/>
  </w:num>
  <w:num w:numId="50">
    <w:abstractNumId w:val="160"/>
  </w:num>
  <w:num w:numId="51">
    <w:abstractNumId w:val="107"/>
  </w:num>
  <w:num w:numId="52">
    <w:abstractNumId w:val="158"/>
  </w:num>
  <w:num w:numId="53">
    <w:abstractNumId w:val="49"/>
  </w:num>
  <w:num w:numId="54">
    <w:abstractNumId w:val="154"/>
  </w:num>
  <w:num w:numId="55">
    <w:abstractNumId w:val="1"/>
  </w:num>
  <w:num w:numId="56">
    <w:abstractNumId w:val="98"/>
  </w:num>
  <w:num w:numId="57">
    <w:abstractNumId w:val="32"/>
  </w:num>
  <w:num w:numId="58">
    <w:abstractNumId w:val="11"/>
  </w:num>
  <w:num w:numId="59">
    <w:abstractNumId w:val="33"/>
  </w:num>
  <w:num w:numId="60">
    <w:abstractNumId w:val="3"/>
  </w:num>
  <w:num w:numId="61">
    <w:abstractNumId w:val="161"/>
  </w:num>
  <w:num w:numId="62">
    <w:abstractNumId w:val="187"/>
  </w:num>
  <w:num w:numId="63">
    <w:abstractNumId w:val="121"/>
  </w:num>
  <w:num w:numId="64">
    <w:abstractNumId w:val="207"/>
  </w:num>
  <w:num w:numId="65">
    <w:abstractNumId w:val="197"/>
  </w:num>
  <w:num w:numId="66">
    <w:abstractNumId w:val="47"/>
  </w:num>
  <w:num w:numId="67">
    <w:abstractNumId w:val="181"/>
  </w:num>
  <w:num w:numId="68">
    <w:abstractNumId w:val="31"/>
  </w:num>
  <w:num w:numId="69">
    <w:abstractNumId w:val="152"/>
  </w:num>
  <w:num w:numId="70">
    <w:abstractNumId w:val="146"/>
  </w:num>
  <w:num w:numId="71">
    <w:abstractNumId w:val="155"/>
  </w:num>
  <w:num w:numId="72">
    <w:abstractNumId w:val="75"/>
  </w:num>
  <w:num w:numId="73">
    <w:abstractNumId w:val="105"/>
  </w:num>
  <w:num w:numId="74">
    <w:abstractNumId w:val="174"/>
  </w:num>
  <w:num w:numId="75">
    <w:abstractNumId w:val="149"/>
  </w:num>
  <w:num w:numId="76">
    <w:abstractNumId w:val="66"/>
  </w:num>
  <w:num w:numId="77">
    <w:abstractNumId w:val="18"/>
  </w:num>
  <w:num w:numId="78">
    <w:abstractNumId w:val="24"/>
  </w:num>
  <w:num w:numId="79">
    <w:abstractNumId w:val="193"/>
  </w:num>
  <w:num w:numId="80">
    <w:abstractNumId w:val="142"/>
  </w:num>
  <w:num w:numId="81">
    <w:abstractNumId w:val="7"/>
  </w:num>
  <w:num w:numId="82">
    <w:abstractNumId w:val="185"/>
  </w:num>
  <w:num w:numId="83">
    <w:abstractNumId w:val="36"/>
  </w:num>
  <w:num w:numId="84">
    <w:abstractNumId w:val="128"/>
  </w:num>
  <w:num w:numId="85">
    <w:abstractNumId w:val="148"/>
  </w:num>
  <w:num w:numId="86">
    <w:abstractNumId w:val="141"/>
  </w:num>
  <w:num w:numId="87">
    <w:abstractNumId w:val="120"/>
  </w:num>
  <w:num w:numId="88">
    <w:abstractNumId w:val="9"/>
  </w:num>
  <w:num w:numId="89">
    <w:abstractNumId w:val="17"/>
  </w:num>
  <w:num w:numId="90">
    <w:abstractNumId w:val="198"/>
  </w:num>
  <w:num w:numId="91">
    <w:abstractNumId w:val="84"/>
  </w:num>
  <w:num w:numId="92">
    <w:abstractNumId w:val="78"/>
  </w:num>
  <w:num w:numId="93">
    <w:abstractNumId w:val="27"/>
  </w:num>
  <w:num w:numId="94">
    <w:abstractNumId w:val="96"/>
  </w:num>
  <w:num w:numId="95">
    <w:abstractNumId w:val="118"/>
  </w:num>
  <w:num w:numId="96">
    <w:abstractNumId w:val="159"/>
  </w:num>
  <w:num w:numId="97">
    <w:abstractNumId w:val="125"/>
  </w:num>
  <w:num w:numId="98">
    <w:abstractNumId w:val="40"/>
  </w:num>
  <w:num w:numId="99">
    <w:abstractNumId w:val="130"/>
  </w:num>
  <w:num w:numId="100">
    <w:abstractNumId w:val="0"/>
  </w:num>
  <w:num w:numId="101">
    <w:abstractNumId w:val="50"/>
  </w:num>
  <w:num w:numId="102">
    <w:abstractNumId w:val="79"/>
  </w:num>
  <w:num w:numId="103">
    <w:abstractNumId w:val="45"/>
  </w:num>
  <w:num w:numId="104">
    <w:abstractNumId w:val="53"/>
  </w:num>
  <w:num w:numId="105">
    <w:abstractNumId w:val="25"/>
  </w:num>
  <w:num w:numId="106">
    <w:abstractNumId w:val="143"/>
  </w:num>
  <w:num w:numId="107">
    <w:abstractNumId w:val="103"/>
  </w:num>
  <w:num w:numId="108">
    <w:abstractNumId w:val="70"/>
  </w:num>
  <w:num w:numId="109">
    <w:abstractNumId w:val="175"/>
  </w:num>
  <w:num w:numId="110">
    <w:abstractNumId w:val="205"/>
  </w:num>
  <w:num w:numId="111">
    <w:abstractNumId w:val="73"/>
  </w:num>
  <w:num w:numId="112">
    <w:abstractNumId w:val="91"/>
  </w:num>
  <w:num w:numId="113">
    <w:abstractNumId w:val="188"/>
  </w:num>
  <w:num w:numId="114">
    <w:abstractNumId w:val="86"/>
  </w:num>
  <w:num w:numId="115">
    <w:abstractNumId w:val="77"/>
  </w:num>
  <w:num w:numId="116">
    <w:abstractNumId w:val="140"/>
  </w:num>
  <w:num w:numId="117">
    <w:abstractNumId w:val="82"/>
  </w:num>
  <w:num w:numId="118">
    <w:abstractNumId w:val="191"/>
  </w:num>
  <w:num w:numId="119">
    <w:abstractNumId w:val="41"/>
  </w:num>
  <w:num w:numId="120">
    <w:abstractNumId w:val="26"/>
  </w:num>
  <w:num w:numId="121">
    <w:abstractNumId w:val="51"/>
  </w:num>
  <w:num w:numId="122">
    <w:abstractNumId w:val="170"/>
  </w:num>
  <w:num w:numId="123">
    <w:abstractNumId w:val="85"/>
  </w:num>
  <w:num w:numId="124">
    <w:abstractNumId w:val="56"/>
  </w:num>
  <w:num w:numId="125">
    <w:abstractNumId w:val="76"/>
  </w:num>
  <w:num w:numId="126">
    <w:abstractNumId w:val="116"/>
  </w:num>
  <w:num w:numId="127">
    <w:abstractNumId w:val="35"/>
  </w:num>
  <w:num w:numId="128">
    <w:abstractNumId w:val="122"/>
  </w:num>
  <w:num w:numId="129">
    <w:abstractNumId w:val="19"/>
  </w:num>
  <w:num w:numId="130">
    <w:abstractNumId w:val="151"/>
  </w:num>
  <w:num w:numId="131">
    <w:abstractNumId w:val="119"/>
  </w:num>
  <w:num w:numId="132">
    <w:abstractNumId w:val="46"/>
  </w:num>
  <w:num w:numId="133">
    <w:abstractNumId w:val="201"/>
  </w:num>
  <w:num w:numId="134">
    <w:abstractNumId w:val="101"/>
  </w:num>
  <w:num w:numId="135">
    <w:abstractNumId w:val="62"/>
  </w:num>
  <w:num w:numId="136">
    <w:abstractNumId w:val="157"/>
  </w:num>
  <w:num w:numId="137">
    <w:abstractNumId w:val="69"/>
  </w:num>
  <w:num w:numId="138">
    <w:abstractNumId w:val="71"/>
  </w:num>
  <w:num w:numId="139">
    <w:abstractNumId w:val="165"/>
  </w:num>
  <w:num w:numId="140">
    <w:abstractNumId w:val="88"/>
  </w:num>
  <w:num w:numId="141">
    <w:abstractNumId w:val="179"/>
  </w:num>
  <w:num w:numId="142">
    <w:abstractNumId w:val="144"/>
  </w:num>
  <w:num w:numId="143">
    <w:abstractNumId w:val="38"/>
  </w:num>
  <w:num w:numId="144">
    <w:abstractNumId w:val="94"/>
  </w:num>
  <w:num w:numId="145">
    <w:abstractNumId w:val="15"/>
  </w:num>
  <w:num w:numId="146">
    <w:abstractNumId w:val="135"/>
  </w:num>
  <w:num w:numId="147">
    <w:abstractNumId w:val="164"/>
  </w:num>
  <w:num w:numId="148">
    <w:abstractNumId w:val="44"/>
  </w:num>
  <w:num w:numId="149">
    <w:abstractNumId w:val="95"/>
  </w:num>
  <w:num w:numId="150">
    <w:abstractNumId w:val="177"/>
  </w:num>
  <w:num w:numId="151">
    <w:abstractNumId w:val="106"/>
  </w:num>
  <w:num w:numId="152">
    <w:abstractNumId w:val="30"/>
  </w:num>
  <w:num w:numId="153">
    <w:abstractNumId w:val="34"/>
  </w:num>
  <w:num w:numId="154">
    <w:abstractNumId w:val="168"/>
  </w:num>
  <w:num w:numId="155">
    <w:abstractNumId w:val="173"/>
  </w:num>
  <w:num w:numId="156">
    <w:abstractNumId w:val="29"/>
  </w:num>
  <w:num w:numId="157">
    <w:abstractNumId w:val="2"/>
  </w:num>
  <w:num w:numId="158">
    <w:abstractNumId w:val="10"/>
  </w:num>
  <w:num w:numId="159">
    <w:abstractNumId w:val="39"/>
  </w:num>
  <w:num w:numId="160">
    <w:abstractNumId w:val="184"/>
  </w:num>
  <w:num w:numId="161">
    <w:abstractNumId w:val="87"/>
  </w:num>
  <w:num w:numId="162">
    <w:abstractNumId w:val="104"/>
  </w:num>
  <w:num w:numId="163">
    <w:abstractNumId w:val="59"/>
  </w:num>
  <w:num w:numId="164">
    <w:abstractNumId w:val="74"/>
  </w:num>
  <w:num w:numId="165">
    <w:abstractNumId w:val="169"/>
  </w:num>
  <w:num w:numId="166">
    <w:abstractNumId w:val="166"/>
  </w:num>
  <w:num w:numId="167">
    <w:abstractNumId w:val="138"/>
  </w:num>
  <w:num w:numId="168">
    <w:abstractNumId w:val="16"/>
  </w:num>
  <w:num w:numId="169">
    <w:abstractNumId w:val="97"/>
  </w:num>
  <w:num w:numId="170">
    <w:abstractNumId w:val="80"/>
  </w:num>
  <w:num w:numId="171">
    <w:abstractNumId w:val="134"/>
  </w:num>
  <w:num w:numId="172">
    <w:abstractNumId w:val="117"/>
  </w:num>
  <w:num w:numId="173">
    <w:abstractNumId w:val="133"/>
  </w:num>
  <w:num w:numId="174">
    <w:abstractNumId w:val="123"/>
  </w:num>
  <w:num w:numId="175">
    <w:abstractNumId w:val="6"/>
  </w:num>
  <w:num w:numId="176">
    <w:abstractNumId w:val="64"/>
  </w:num>
  <w:num w:numId="177">
    <w:abstractNumId w:val="202"/>
  </w:num>
  <w:num w:numId="178">
    <w:abstractNumId w:val="60"/>
  </w:num>
  <w:num w:numId="179">
    <w:abstractNumId w:val="199"/>
  </w:num>
  <w:num w:numId="180">
    <w:abstractNumId w:val="61"/>
  </w:num>
  <w:num w:numId="181">
    <w:abstractNumId w:val="115"/>
  </w:num>
  <w:num w:numId="182">
    <w:abstractNumId w:val="23"/>
  </w:num>
  <w:num w:numId="183">
    <w:abstractNumId w:val="22"/>
  </w:num>
  <w:num w:numId="184">
    <w:abstractNumId w:val="92"/>
  </w:num>
  <w:num w:numId="185">
    <w:abstractNumId w:val="136"/>
  </w:num>
  <w:num w:numId="186">
    <w:abstractNumId w:val="202"/>
    <w:lvlOverride w:ilvl="0">
      <w:startOverride w:val="1"/>
    </w:lvlOverride>
  </w:num>
  <w:num w:numId="187">
    <w:abstractNumId w:val="81"/>
  </w:num>
  <w:num w:numId="188">
    <w:abstractNumId w:val="195"/>
  </w:num>
  <w:num w:numId="189">
    <w:abstractNumId w:val="137"/>
  </w:num>
  <w:num w:numId="190">
    <w:abstractNumId w:val="5"/>
  </w:num>
  <w:num w:numId="191">
    <w:abstractNumId w:val="172"/>
  </w:num>
  <w:num w:numId="192">
    <w:abstractNumId w:val="124"/>
  </w:num>
  <w:num w:numId="193">
    <w:abstractNumId w:val="156"/>
  </w:num>
  <w:num w:numId="194">
    <w:abstractNumId w:val="150"/>
  </w:num>
  <w:num w:numId="195">
    <w:abstractNumId w:val="20"/>
  </w:num>
  <w:num w:numId="196">
    <w:abstractNumId w:val="202"/>
    <w:lvlOverride w:ilvl="0">
      <w:startOverride w:val="1"/>
    </w:lvlOverride>
  </w:num>
  <w:num w:numId="197">
    <w:abstractNumId w:val="204"/>
  </w:num>
  <w:num w:numId="198">
    <w:abstractNumId w:val="67"/>
  </w:num>
  <w:num w:numId="199">
    <w:abstractNumId w:val="48"/>
  </w:num>
  <w:num w:numId="200">
    <w:abstractNumId w:val="89"/>
  </w:num>
  <w:num w:numId="201">
    <w:abstractNumId w:val="176"/>
  </w:num>
  <w:num w:numId="202">
    <w:abstractNumId w:val="63"/>
  </w:num>
  <w:num w:numId="203">
    <w:abstractNumId w:val="145"/>
  </w:num>
  <w:num w:numId="204">
    <w:abstractNumId w:val="153"/>
  </w:num>
  <w:num w:numId="205">
    <w:abstractNumId w:val="180"/>
  </w:num>
  <w:num w:numId="206">
    <w:abstractNumId w:val="183"/>
  </w:num>
  <w:num w:numId="207">
    <w:abstractNumId w:val="8"/>
  </w:num>
  <w:num w:numId="208">
    <w:abstractNumId w:val="93"/>
  </w:num>
  <w:num w:numId="209">
    <w:abstractNumId w:val="4"/>
  </w:num>
  <w:num w:numId="210">
    <w:abstractNumId w:val="100"/>
  </w:num>
  <w:num w:numId="2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59F7"/>
    <w:rsid w:val="00B47730"/>
    <w:rsid w:val="00CB0664"/>
    <w:rsid w:val="00DC3BBF"/>
    <w:rsid w:val="00FC693F"/>
    <w:rsid w:val="01287D8E"/>
    <w:rsid w:val="02337D11"/>
    <w:rsid w:val="02D72974"/>
    <w:rsid w:val="047D2C92"/>
    <w:rsid w:val="047F723D"/>
    <w:rsid w:val="048F7622"/>
    <w:rsid w:val="06A50BF6"/>
    <w:rsid w:val="06BB4388"/>
    <w:rsid w:val="07155C37"/>
    <w:rsid w:val="0790350F"/>
    <w:rsid w:val="084F4F9C"/>
    <w:rsid w:val="08550E08"/>
    <w:rsid w:val="089327F6"/>
    <w:rsid w:val="09404CDC"/>
    <w:rsid w:val="0951376D"/>
    <w:rsid w:val="095D0797"/>
    <w:rsid w:val="09710551"/>
    <w:rsid w:val="09D65A7A"/>
    <w:rsid w:val="0A367CED"/>
    <w:rsid w:val="0A541176"/>
    <w:rsid w:val="0B2548EC"/>
    <w:rsid w:val="0B6251C3"/>
    <w:rsid w:val="0BE3052D"/>
    <w:rsid w:val="0C185CAA"/>
    <w:rsid w:val="0C3A723F"/>
    <w:rsid w:val="0C614F3A"/>
    <w:rsid w:val="0D532E09"/>
    <w:rsid w:val="0E270EF6"/>
    <w:rsid w:val="0E2826F4"/>
    <w:rsid w:val="0E6404BC"/>
    <w:rsid w:val="0E791C99"/>
    <w:rsid w:val="0EB000A1"/>
    <w:rsid w:val="105B1AB4"/>
    <w:rsid w:val="105E064F"/>
    <w:rsid w:val="12464AB9"/>
    <w:rsid w:val="1253154F"/>
    <w:rsid w:val="12DD5069"/>
    <w:rsid w:val="13280AA0"/>
    <w:rsid w:val="1335531E"/>
    <w:rsid w:val="137F7DA4"/>
    <w:rsid w:val="141170ED"/>
    <w:rsid w:val="14A16D5C"/>
    <w:rsid w:val="14B8020C"/>
    <w:rsid w:val="1504525C"/>
    <w:rsid w:val="15C87273"/>
    <w:rsid w:val="16646CDD"/>
    <w:rsid w:val="16910FD9"/>
    <w:rsid w:val="17967DB8"/>
    <w:rsid w:val="18740AE5"/>
    <w:rsid w:val="18EC3BAD"/>
    <w:rsid w:val="19FC7CC6"/>
    <w:rsid w:val="1A4866E5"/>
    <w:rsid w:val="1A58610F"/>
    <w:rsid w:val="1A6233DE"/>
    <w:rsid w:val="1AC90DBB"/>
    <w:rsid w:val="1AD055C7"/>
    <w:rsid w:val="1B0911B7"/>
    <w:rsid w:val="1B373F76"/>
    <w:rsid w:val="1B506DE6"/>
    <w:rsid w:val="1BFA52C3"/>
    <w:rsid w:val="1CB04E54"/>
    <w:rsid w:val="1CDD0B4D"/>
    <w:rsid w:val="1CF06AD2"/>
    <w:rsid w:val="1E285BB3"/>
    <w:rsid w:val="1E854FF8"/>
    <w:rsid w:val="1EF83A1C"/>
    <w:rsid w:val="1F3031B6"/>
    <w:rsid w:val="1F877BDE"/>
    <w:rsid w:val="202548FF"/>
    <w:rsid w:val="20327478"/>
    <w:rsid w:val="20B47E17"/>
    <w:rsid w:val="20F73191"/>
    <w:rsid w:val="21537AB3"/>
    <w:rsid w:val="21BC614C"/>
    <w:rsid w:val="21C916A0"/>
    <w:rsid w:val="21EF60F0"/>
    <w:rsid w:val="220B039D"/>
    <w:rsid w:val="22230E62"/>
    <w:rsid w:val="22777571"/>
    <w:rsid w:val="22A65EBC"/>
    <w:rsid w:val="22BA7DA5"/>
    <w:rsid w:val="235B5ADA"/>
    <w:rsid w:val="235C2E4D"/>
    <w:rsid w:val="235E52E6"/>
    <w:rsid w:val="2472601F"/>
    <w:rsid w:val="247D03B7"/>
    <w:rsid w:val="248A0711"/>
    <w:rsid w:val="25C76384"/>
    <w:rsid w:val="26815BDB"/>
    <w:rsid w:val="274A5804"/>
    <w:rsid w:val="28D92B11"/>
    <w:rsid w:val="295F7807"/>
    <w:rsid w:val="2A4C7C4B"/>
    <w:rsid w:val="2AE337D3"/>
    <w:rsid w:val="2B095471"/>
    <w:rsid w:val="2B715282"/>
    <w:rsid w:val="2BC272BF"/>
    <w:rsid w:val="2C6F705F"/>
    <w:rsid w:val="2D942BFB"/>
    <w:rsid w:val="2DDD44E2"/>
    <w:rsid w:val="2EC465DF"/>
    <w:rsid w:val="2F5051AF"/>
    <w:rsid w:val="2F9C7272"/>
    <w:rsid w:val="2FEC3129"/>
    <w:rsid w:val="30157776"/>
    <w:rsid w:val="301E34E6"/>
    <w:rsid w:val="30797DCA"/>
    <w:rsid w:val="318A59A0"/>
    <w:rsid w:val="32263B56"/>
    <w:rsid w:val="326276D3"/>
    <w:rsid w:val="32A7067D"/>
    <w:rsid w:val="32F347CF"/>
    <w:rsid w:val="34547D9D"/>
    <w:rsid w:val="36594286"/>
    <w:rsid w:val="3670428D"/>
    <w:rsid w:val="36E51695"/>
    <w:rsid w:val="36FA6F28"/>
    <w:rsid w:val="37920A4E"/>
    <w:rsid w:val="37AE5168"/>
    <w:rsid w:val="39355C80"/>
    <w:rsid w:val="39430031"/>
    <w:rsid w:val="394962B0"/>
    <w:rsid w:val="3993406B"/>
    <w:rsid w:val="39A71956"/>
    <w:rsid w:val="3A2B0CF2"/>
    <w:rsid w:val="3C097603"/>
    <w:rsid w:val="3CE3517D"/>
    <w:rsid w:val="3D2D5BD4"/>
    <w:rsid w:val="3D3C18A7"/>
    <w:rsid w:val="3E0E3259"/>
    <w:rsid w:val="3E894239"/>
    <w:rsid w:val="3EF06996"/>
    <w:rsid w:val="3F6D0FB3"/>
    <w:rsid w:val="3F9F0CD2"/>
    <w:rsid w:val="41BE6785"/>
    <w:rsid w:val="42217728"/>
    <w:rsid w:val="432B35CB"/>
    <w:rsid w:val="433F2195"/>
    <w:rsid w:val="434A043B"/>
    <w:rsid w:val="434D3A87"/>
    <w:rsid w:val="43B119B5"/>
    <w:rsid w:val="44255D38"/>
    <w:rsid w:val="44DB54F6"/>
    <w:rsid w:val="44EF003D"/>
    <w:rsid w:val="45156827"/>
    <w:rsid w:val="454F3935"/>
    <w:rsid w:val="4581203B"/>
    <w:rsid w:val="46072613"/>
    <w:rsid w:val="464425BB"/>
    <w:rsid w:val="464A0752"/>
    <w:rsid w:val="466815A0"/>
    <w:rsid w:val="467D4684"/>
    <w:rsid w:val="46D57DB6"/>
    <w:rsid w:val="475B11F3"/>
    <w:rsid w:val="47694F1C"/>
    <w:rsid w:val="476A63AC"/>
    <w:rsid w:val="48CB5B7A"/>
    <w:rsid w:val="48F77029"/>
    <w:rsid w:val="496658A3"/>
    <w:rsid w:val="497C6BEC"/>
    <w:rsid w:val="4A0155CC"/>
    <w:rsid w:val="4A880BB7"/>
    <w:rsid w:val="4A943797"/>
    <w:rsid w:val="4AD73EDC"/>
    <w:rsid w:val="4B086F3D"/>
    <w:rsid w:val="4B492087"/>
    <w:rsid w:val="4B603EF9"/>
    <w:rsid w:val="4B644493"/>
    <w:rsid w:val="4B991F60"/>
    <w:rsid w:val="4BC0490B"/>
    <w:rsid w:val="4BCD39B7"/>
    <w:rsid w:val="4BE20CC1"/>
    <w:rsid w:val="4BFA3413"/>
    <w:rsid w:val="4C0D3812"/>
    <w:rsid w:val="4C994BFF"/>
    <w:rsid w:val="4E505A06"/>
    <w:rsid w:val="4ED82D9F"/>
    <w:rsid w:val="4F804A74"/>
    <w:rsid w:val="502B33A2"/>
    <w:rsid w:val="509B6B85"/>
    <w:rsid w:val="50B82AC5"/>
    <w:rsid w:val="50D457E8"/>
    <w:rsid w:val="51027558"/>
    <w:rsid w:val="51255DA0"/>
    <w:rsid w:val="514566E6"/>
    <w:rsid w:val="517E000C"/>
    <w:rsid w:val="51F21D42"/>
    <w:rsid w:val="521E7B60"/>
    <w:rsid w:val="529B6283"/>
    <w:rsid w:val="53B44B0B"/>
    <w:rsid w:val="53DC50DF"/>
    <w:rsid w:val="54095EBA"/>
    <w:rsid w:val="54821AA4"/>
    <w:rsid w:val="551E02E1"/>
    <w:rsid w:val="55306B8D"/>
    <w:rsid w:val="555275D9"/>
    <w:rsid w:val="55610682"/>
    <w:rsid w:val="557E4769"/>
    <w:rsid w:val="55CC1183"/>
    <w:rsid w:val="55E71DE2"/>
    <w:rsid w:val="56501DBB"/>
    <w:rsid w:val="56B756C4"/>
    <w:rsid w:val="57A3611E"/>
    <w:rsid w:val="580F7106"/>
    <w:rsid w:val="586A2A53"/>
    <w:rsid w:val="59B61CFB"/>
    <w:rsid w:val="59FA00A3"/>
    <w:rsid w:val="5A36306F"/>
    <w:rsid w:val="5A6A34FF"/>
    <w:rsid w:val="5B5A153F"/>
    <w:rsid w:val="5B5D7BA1"/>
    <w:rsid w:val="5BB04C2C"/>
    <w:rsid w:val="5C0A441C"/>
    <w:rsid w:val="5D08757F"/>
    <w:rsid w:val="5D1E4907"/>
    <w:rsid w:val="5E2418E2"/>
    <w:rsid w:val="5E3308A2"/>
    <w:rsid w:val="5E6F64A1"/>
    <w:rsid w:val="5EC26F49"/>
    <w:rsid w:val="5FF61782"/>
    <w:rsid w:val="5FF90DC7"/>
    <w:rsid w:val="60264B67"/>
    <w:rsid w:val="602D18A2"/>
    <w:rsid w:val="60A732CB"/>
    <w:rsid w:val="60D767F0"/>
    <w:rsid w:val="60EE7480"/>
    <w:rsid w:val="6131633F"/>
    <w:rsid w:val="617F354E"/>
    <w:rsid w:val="619C5EAE"/>
    <w:rsid w:val="622A0976"/>
    <w:rsid w:val="62C746D1"/>
    <w:rsid w:val="63803A39"/>
    <w:rsid w:val="64E63B26"/>
    <w:rsid w:val="653C392D"/>
    <w:rsid w:val="654362C3"/>
    <w:rsid w:val="66053C16"/>
    <w:rsid w:val="66BC7F97"/>
    <w:rsid w:val="66BE7A81"/>
    <w:rsid w:val="66FF0FD3"/>
    <w:rsid w:val="671C61EA"/>
    <w:rsid w:val="677D5FDA"/>
    <w:rsid w:val="680429A2"/>
    <w:rsid w:val="68176EBD"/>
    <w:rsid w:val="68476448"/>
    <w:rsid w:val="686B7D6C"/>
    <w:rsid w:val="687D3E81"/>
    <w:rsid w:val="68AA02F5"/>
    <w:rsid w:val="69B8584F"/>
    <w:rsid w:val="6A063B3C"/>
    <w:rsid w:val="6AE10DD5"/>
    <w:rsid w:val="6B3453A9"/>
    <w:rsid w:val="6B6D6B6B"/>
    <w:rsid w:val="6B931A72"/>
    <w:rsid w:val="6C0044C7"/>
    <w:rsid w:val="6C092392"/>
    <w:rsid w:val="6C2018C1"/>
    <w:rsid w:val="6C7C1AC7"/>
    <w:rsid w:val="6C924135"/>
    <w:rsid w:val="6D2339C8"/>
    <w:rsid w:val="6D5F3CC6"/>
    <w:rsid w:val="6E46205D"/>
    <w:rsid w:val="6E5D4666"/>
    <w:rsid w:val="6F4F0945"/>
    <w:rsid w:val="6F6F02E9"/>
    <w:rsid w:val="6F911E7E"/>
    <w:rsid w:val="6F9957DB"/>
    <w:rsid w:val="6FA64AAB"/>
    <w:rsid w:val="70A72179"/>
    <w:rsid w:val="70C44AD9"/>
    <w:rsid w:val="70CE0789"/>
    <w:rsid w:val="710E5A87"/>
    <w:rsid w:val="71DE14A3"/>
    <w:rsid w:val="71E7506F"/>
    <w:rsid w:val="72414F83"/>
    <w:rsid w:val="72B868C0"/>
    <w:rsid w:val="72DB435C"/>
    <w:rsid w:val="73271EE6"/>
    <w:rsid w:val="738F520D"/>
    <w:rsid w:val="73C95144"/>
    <w:rsid w:val="73E45068"/>
    <w:rsid w:val="75537C1F"/>
    <w:rsid w:val="757C5D9C"/>
    <w:rsid w:val="760D1070"/>
    <w:rsid w:val="766905FD"/>
    <w:rsid w:val="76FC17A3"/>
    <w:rsid w:val="77730C17"/>
    <w:rsid w:val="77BB3E94"/>
    <w:rsid w:val="77D2720E"/>
    <w:rsid w:val="782D11B6"/>
    <w:rsid w:val="784A5B3F"/>
    <w:rsid w:val="78DB550B"/>
    <w:rsid w:val="79A557F7"/>
    <w:rsid w:val="79D43F4C"/>
    <w:rsid w:val="7A1C7734"/>
    <w:rsid w:val="7AEF4D91"/>
    <w:rsid w:val="7B871525"/>
    <w:rsid w:val="7BAA04D3"/>
    <w:rsid w:val="7D845D1C"/>
    <w:rsid w:val="7E3C2153"/>
    <w:rsid w:val="7E934EBC"/>
    <w:rsid w:val="7EC4714C"/>
    <w:rsid w:val="7F637252"/>
    <w:rsid w:val="7F6F1E48"/>
    <w:rsid w:val="7FAB2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2" Type="http://schemas.openxmlformats.org/officeDocument/2006/relationships/fontTable" Target="fontTable.xml"/><Relationship Id="rId111" Type="http://schemas.openxmlformats.org/officeDocument/2006/relationships/customXml" Target="../customXml/item2.xml"/><Relationship Id="rId110" Type="http://schemas.openxmlformats.org/officeDocument/2006/relationships/numbering" Target="numbering.xml"/><Relationship Id="rId11" Type="http://schemas.openxmlformats.org/officeDocument/2006/relationships/theme" Target="theme/theme1.xml"/><Relationship Id="rId109" Type="http://schemas.openxmlformats.org/officeDocument/2006/relationships/customXml" Target="../customXml/item1.xml"/><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337</Pages>
  <Words>190</Words>
  <Characters>232</Characters>
  <Lines>0</Lines>
  <Paragraphs>0</Paragraphs>
  <TotalTime>62</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2026-09-28T02:41:39Z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6FF5D5E91D8E406D9F01BDEC6577D906_13</vt:lpwstr>
  </property>
</Properties>
</file>