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7"/>
        <w:gridCol w:w="384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tcBorders>
              <w:tl2br w:val="nil"/>
            </w:tcBorders>
            <w:shd w:val="clear" w:color="auto" w:fill="FFFFFF"/>
            <w:tcMar>
              <w:top w:w="50" w:type="dxa"/>
              <w:left w:w="70" w:type="dxa"/>
              <w:bottom w:w="50" w:type="dxa"/>
              <w:right w:w="70" w:type="dxa"/>
            </w:tcMar>
            <w:vAlign w:val="center"/>
          </w:tcPr>
          <w:p w14:paraId="4620B388">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受控编号</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E5D4408">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TBEA-PRD-MASTER-2026-V2.1</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384FFEA4">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文档版本</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0C140582">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v2.1.0（格式与结构修复版）</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21DD9299">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归属工程</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7E4E139">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4324044B">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发布日期</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3C31F347">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2026-09-16 (正式生效)</w:t>
            </w:r>
          </w:p>
        </w:tc>
      </w:tr>
    </w:tbl>
    <w:p w14:paraId="0D66CF77">
      <w:pPr>
        <w:spacing w:after="800"/>
        <w:jc w:val="center"/>
        <w:rPr>
          <w:rFonts w:hint="eastAsia" w:ascii="宋体" w:hAnsi="宋体" w:eastAsia="宋体" w:cs="宋体"/>
          <w:b/>
          <w:i w:val="0"/>
          <w:iCs w:val="0"/>
          <w:color w:val="64748B"/>
          <w:sz w:val="24"/>
          <w:szCs w:val="24"/>
        </w:rPr>
      </w:pPr>
    </w:p>
    <w:p w14:paraId="5CF876CE">
      <w:pPr>
        <w:spacing w:after="800"/>
        <w:jc w:val="center"/>
        <w:rPr>
          <w:rFonts w:hint="eastAsia" w:ascii="宋体" w:hAnsi="宋体" w:eastAsia="宋体" w:cs="宋体"/>
          <w:b/>
          <w:i w:val="0"/>
          <w:iCs w:val="0"/>
          <w:color w:val="64748B"/>
          <w:sz w:val="24"/>
          <w:szCs w:val="24"/>
        </w:rPr>
      </w:pPr>
    </w:p>
    <w:p w14:paraId="405D7978">
      <w:pPr>
        <w:spacing w:after="800"/>
        <w:jc w:val="center"/>
        <w:rPr>
          <w:rFonts w:hint="eastAsia" w:ascii="宋体" w:hAnsi="宋体" w:eastAsia="宋体" w:cs="宋体"/>
          <w:b/>
          <w:i w:val="0"/>
          <w:iCs w:val="0"/>
          <w:color w:val="64748B"/>
          <w:sz w:val="24"/>
          <w:szCs w:val="24"/>
        </w:rPr>
      </w:pPr>
    </w:p>
    <w:p w14:paraId="1CBB1CD0">
      <w:pPr>
        <w:spacing w:after="800"/>
        <w:jc w:val="center"/>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784" w:type="dxa"/>
        <w:jc w:val="center"/>
        <w:tblLayout w:type="autofit"/>
        <w:tblCellMar>
          <w:top w:w="0" w:type="dxa"/>
          <w:left w:w="108" w:type="dxa"/>
          <w:bottom w:w="0" w:type="dxa"/>
          <w:right w:w="108" w:type="dxa"/>
        </w:tblCellMar>
      </w:tblPr>
      <w:tblGrid>
        <w:gridCol w:w="2118"/>
        <w:gridCol w:w="2157"/>
        <w:gridCol w:w="1965"/>
        <w:gridCol w:w="1772"/>
        <w:gridCol w:w="1772"/>
      </w:tblGrid>
      <w:tr w14:paraId="54E38BE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7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1EFCFE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0D0D53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238F11E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4AD240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0782E46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5920D7D6">
        <w:tblPrEx>
          <w:tblCellMar>
            <w:top w:w="0" w:type="dxa"/>
            <w:left w:w="108" w:type="dxa"/>
            <w:bottom w:w="0" w:type="dxa"/>
            <w:right w:w="108" w:type="dxa"/>
          </w:tblCellMar>
        </w:tblPrEx>
        <w:trPr>
          <w:jc w:val="center"/>
        </w:trPr>
        <w:tc>
          <w:tcPr>
            <w:tcW w:w="211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21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9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bl>
    <w:p w14:paraId="545B6071">
      <w:pPr>
        <w:spacing w:after="60"/>
        <w:rPr>
          <w:rFonts w:hint="eastAsia" w:ascii="宋体" w:hAnsi="宋体" w:eastAsia="宋体" w:cs="宋体"/>
          <w:i w:val="0"/>
          <w:iCs w:val="0"/>
          <w:sz w:val="24"/>
          <w:szCs w:val="24"/>
        </w:rPr>
      </w:pPr>
    </w:p>
    <w:tbl>
      <w:tblPr>
        <w:tblStyle w:val="38"/>
        <w:tblW w:w="9784" w:type="dxa"/>
        <w:jc w:val="center"/>
        <w:tblLayout w:type="autofit"/>
        <w:tblCellMar>
          <w:top w:w="0" w:type="dxa"/>
          <w:left w:w="108" w:type="dxa"/>
          <w:bottom w:w="0" w:type="dxa"/>
          <w:right w:w="108" w:type="dxa"/>
        </w:tblCellMar>
      </w:tblPr>
      <w:tblGrid>
        <w:gridCol w:w="1149"/>
        <w:gridCol w:w="1418"/>
        <w:gridCol w:w="5283"/>
        <w:gridCol w:w="1145"/>
        <w:gridCol w:w="789"/>
      </w:tblGrid>
      <w:tr w14:paraId="6B05D3A4">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BE707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7013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9418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11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663BF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7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A69B7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150D61FD">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686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ED7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C118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11B6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BCE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5DA0BD64">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8739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F3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4D32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E6C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4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45285492">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06E3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135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B29D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9A2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935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5239D60">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660C0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v2.0.0</w:t>
            </w:r>
          </w:p>
        </w:tc>
        <w:tc>
          <w:tcPr>
            <w:tcW w:w="14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96277C">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r>
              <w:rPr>
                <w:rFonts w:hint="eastAsia" w:ascii="宋体" w:hAnsi="宋体" w:eastAsia="宋体" w:cs="宋体"/>
                <w:b w:val="0"/>
                <w:bCs/>
                <w:i w:val="0"/>
                <w:iCs w:val="0"/>
                <w:color w:val="1E3A8A"/>
                <w:sz w:val="24"/>
                <w:szCs w:val="24"/>
              </w:rPr>
              <w:t>2026-09-16</w:t>
            </w:r>
          </w:p>
        </w:tc>
        <w:tc>
          <w:tcPr>
            <w:tcW w:w="5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4EF294">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r>
              <w:rPr>
                <w:rFonts w:hint="eastAsia" w:ascii="宋体" w:hAnsi="宋体" w:eastAsia="宋体" w:cs="宋体"/>
                <w:b w:val="0"/>
                <w:bCs/>
                <w:i w:val="0"/>
                <w:iCs w:val="0"/>
                <w:color w:val="1E3A8A"/>
                <w:sz w:val="24"/>
                <w:szCs w:val="24"/>
              </w:rPr>
              <w:t>实现全文档模块颗粒度对齐、字段级可研发、验收级可测试</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A7B9C5">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r>
              <w:rPr>
                <w:rFonts w:hint="eastAsia" w:ascii="宋体" w:hAnsi="宋体" w:eastAsia="宋体" w:cs="宋体"/>
                <w:b w:val="0"/>
                <w:bCs/>
                <w:i w:val="0"/>
                <w:iCs w:val="0"/>
                <w:color w:val="1E3A8A"/>
                <w:sz w:val="24"/>
                <w:szCs w:val="24"/>
              </w:rPr>
              <w:t>王亮</w:t>
            </w:r>
          </w:p>
        </w:tc>
        <w:tc>
          <w:tcPr>
            <w:tcW w:w="7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F5672F">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r>
              <w:rPr>
                <w:rFonts w:hint="eastAsia" w:ascii="宋体" w:hAnsi="宋体" w:eastAsia="宋体" w:cs="宋体"/>
                <w:b w:val="0"/>
                <w:bCs/>
                <w:i w:val="0"/>
                <w:iCs w:val="0"/>
                <w:color w:val="1E3A8A"/>
                <w:sz w:val="24"/>
                <w:szCs w:val="24"/>
              </w:rPr>
              <w:t>产品经理</w:t>
            </w:r>
          </w:p>
        </w:tc>
      </w:tr>
      <w:tr w14:paraId="000C9E66">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0CA2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p>
        </w:tc>
        <w:tc>
          <w:tcPr>
            <w:tcW w:w="14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F4B035">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p>
        </w:tc>
        <w:tc>
          <w:tcPr>
            <w:tcW w:w="5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3CB759">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9D8C42">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p>
        </w:tc>
        <w:tc>
          <w:tcPr>
            <w:tcW w:w="7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E1E120">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lang w:bidi="ar-SA"/>
        </w:rPr>
        <w:sectPr>
          <w:headerReference r:id="rId5" w:type="default"/>
          <w:footerReference r:id="rId6" w:type="default"/>
          <w:pgSz w:w="11906" w:h="16838"/>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81377"/>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332885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131EB">
          <w:pPr>
            <w:pStyle w:val="27"/>
            <w:tabs>
              <w:tab w:val="right" w:leader="dot" w:pos="9648"/>
            </w:tabs>
            <w:rPr>
              <w:sz w:val="21"/>
              <w:szCs w:val="21"/>
            </w:rPr>
          </w:pPr>
          <w:r>
            <w:fldChar w:fldCharType="begin"/>
          </w:r>
          <w:r>
            <w:instrText xml:space="preserve">TOC \o "1-3" \h \z \u </w:instrText>
          </w:r>
          <w:r>
            <w:fldChar w:fldCharType="separate"/>
          </w:r>
          <w:r>
            <w:rPr>
              <w:sz w:val="21"/>
              <w:szCs w:val="21"/>
            </w:rPr>
            <w:fldChar w:fldCharType="begin"/>
          </w:r>
          <w:r>
            <w:rPr>
              <w:sz w:val="21"/>
              <w:szCs w:val="21"/>
            </w:rPr>
            <w:instrText xml:space="preserve"> HYPERLINK \l _Toc23783 </w:instrText>
          </w:r>
          <w:r>
            <w:rPr>
              <w:sz w:val="21"/>
              <w:szCs w:val="21"/>
            </w:rPr>
            <w:fldChar w:fldCharType="separate"/>
          </w:r>
          <w:r>
            <w:rPr>
              <w:rFonts w:hint="eastAsia" w:eastAsia="黑体"/>
              <w:bCs w:val="0"/>
              <w:sz w:val="21"/>
              <w:szCs w:val="40"/>
            </w:rPr>
            <w:t xml:space="preserve">第一章 </w:t>
          </w:r>
          <w:r>
            <w:rPr>
              <w:rFonts w:ascii="Times New Roman" w:hAnsi="Times New Roman" w:eastAsia="黑体" w:cs="Times New Roman"/>
              <w:bCs w:val="0"/>
              <w:sz w:val="21"/>
              <w:szCs w:val="40"/>
            </w:rPr>
            <w:t>顶层业务架构与标准规范</w:t>
          </w:r>
          <w:r>
            <w:rPr>
              <w:sz w:val="21"/>
              <w:szCs w:val="21"/>
            </w:rPr>
            <w:tab/>
          </w:r>
          <w:r>
            <w:rPr>
              <w:sz w:val="21"/>
              <w:szCs w:val="21"/>
            </w:rPr>
            <w:fldChar w:fldCharType="begin"/>
          </w:r>
          <w:r>
            <w:rPr>
              <w:sz w:val="21"/>
              <w:szCs w:val="21"/>
            </w:rPr>
            <w:instrText xml:space="preserve"> PAGEREF _Toc23783 \h </w:instrText>
          </w:r>
          <w:r>
            <w:rPr>
              <w:sz w:val="21"/>
              <w:szCs w:val="21"/>
            </w:rPr>
            <w:fldChar w:fldCharType="separate"/>
          </w:r>
          <w:r>
            <w:rPr>
              <w:sz w:val="21"/>
              <w:szCs w:val="21"/>
            </w:rPr>
            <w:t>1</w:t>
          </w:r>
          <w:r>
            <w:rPr>
              <w:sz w:val="21"/>
              <w:szCs w:val="21"/>
            </w:rPr>
            <w:fldChar w:fldCharType="end"/>
          </w:r>
          <w:r>
            <w:rPr>
              <w:sz w:val="21"/>
              <w:szCs w:val="21"/>
            </w:rPr>
            <w:fldChar w:fldCharType="end"/>
          </w:r>
        </w:p>
        <w:p w14:paraId="7897E40D">
          <w:pPr>
            <w:pStyle w:val="27"/>
            <w:tabs>
              <w:tab w:val="right" w:leader="dot" w:pos="9648"/>
            </w:tabs>
            <w:rPr>
              <w:sz w:val="21"/>
              <w:szCs w:val="21"/>
            </w:rPr>
          </w:pPr>
          <w:r>
            <w:rPr>
              <w:sz w:val="21"/>
              <w:szCs w:val="21"/>
            </w:rPr>
            <w:fldChar w:fldCharType="begin"/>
          </w:r>
          <w:r>
            <w:rPr>
              <w:sz w:val="21"/>
              <w:szCs w:val="21"/>
            </w:rPr>
            <w:instrText xml:space="preserve"> HYPERLINK \l _Toc25175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项目背景与建设目标</w:t>
          </w:r>
          <w:r>
            <w:rPr>
              <w:sz w:val="21"/>
              <w:szCs w:val="21"/>
            </w:rPr>
            <w:tab/>
          </w:r>
          <w:r>
            <w:rPr>
              <w:sz w:val="21"/>
              <w:szCs w:val="21"/>
            </w:rPr>
            <w:fldChar w:fldCharType="begin"/>
          </w:r>
          <w:r>
            <w:rPr>
              <w:sz w:val="21"/>
              <w:szCs w:val="21"/>
            </w:rPr>
            <w:instrText xml:space="preserve"> PAGEREF _Toc25175 \h </w:instrText>
          </w:r>
          <w:r>
            <w:rPr>
              <w:sz w:val="21"/>
              <w:szCs w:val="21"/>
            </w:rPr>
            <w:fldChar w:fldCharType="separate"/>
          </w:r>
          <w:r>
            <w:rPr>
              <w:sz w:val="21"/>
              <w:szCs w:val="21"/>
            </w:rPr>
            <w:t>1</w:t>
          </w:r>
          <w:r>
            <w:rPr>
              <w:sz w:val="21"/>
              <w:szCs w:val="21"/>
            </w:rPr>
            <w:fldChar w:fldCharType="end"/>
          </w:r>
          <w:r>
            <w:rPr>
              <w:sz w:val="21"/>
              <w:szCs w:val="21"/>
            </w:rPr>
            <w:fldChar w:fldCharType="end"/>
          </w:r>
        </w:p>
        <w:p w14:paraId="7D47B6F7">
          <w:pPr>
            <w:pStyle w:val="31"/>
            <w:tabs>
              <w:tab w:val="right" w:leader="dot" w:pos="9648"/>
            </w:tabs>
            <w:rPr>
              <w:sz w:val="21"/>
              <w:szCs w:val="21"/>
            </w:rPr>
          </w:pPr>
          <w:r>
            <w:rPr>
              <w:sz w:val="21"/>
              <w:szCs w:val="21"/>
            </w:rPr>
            <w:fldChar w:fldCharType="begin"/>
          </w:r>
          <w:r>
            <w:rPr>
              <w:sz w:val="21"/>
              <w:szCs w:val="21"/>
            </w:rPr>
            <w:instrText xml:space="preserve"> HYPERLINK \l _Toc9482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项目建设背景</w:t>
          </w:r>
          <w:r>
            <w:rPr>
              <w:sz w:val="21"/>
              <w:szCs w:val="21"/>
            </w:rPr>
            <w:tab/>
          </w:r>
          <w:r>
            <w:rPr>
              <w:sz w:val="21"/>
              <w:szCs w:val="21"/>
            </w:rPr>
            <w:fldChar w:fldCharType="begin"/>
          </w:r>
          <w:r>
            <w:rPr>
              <w:sz w:val="21"/>
              <w:szCs w:val="21"/>
            </w:rPr>
            <w:instrText xml:space="preserve"> PAGEREF _Toc9482 \h </w:instrText>
          </w:r>
          <w:r>
            <w:rPr>
              <w:sz w:val="21"/>
              <w:szCs w:val="21"/>
            </w:rPr>
            <w:fldChar w:fldCharType="separate"/>
          </w:r>
          <w:r>
            <w:rPr>
              <w:sz w:val="21"/>
              <w:szCs w:val="21"/>
            </w:rPr>
            <w:t>1</w:t>
          </w:r>
          <w:r>
            <w:rPr>
              <w:sz w:val="21"/>
              <w:szCs w:val="21"/>
            </w:rPr>
            <w:fldChar w:fldCharType="end"/>
          </w:r>
          <w:r>
            <w:rPr>
              <w:sz w:val="21"/>
              <w:szCs w:val="21"/>
            </w:rPr>
            <w:fldChar w:fldCharType="end"/>
          </w:r>
        </w:p>
        <w:p w14:paraId="306BD581">
          <w:pPr>
            <w:pStyle w:val="31"/>
            <w:tabs>
              <w:tab w:val="right" w:leader="dot" w:pos="9648"/>
            </w:tabs>
            <w:rPr>
              <w:sz w:val="21"/>
              <w:szCs w:val="21"/>
            </w:rPr>
          </w:pPr>
          <w:r>
            <w:rPr>
              <w:sz w:val="21"/>
              <w:szCs w:val="21"/>
            </w:rPr>
            <w:fldChar w:fldCharType="begin"/>
          </w:r>
          <w:r>
            <w:rPr>
              <w:sz w:val="21"/>
              <w:szCs w:val="21"/>
            </w:rPr>
            <w:instrText xml:space="preserve"> HYPERLINK \l _Toc11607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建设目标</w:t>
          </w:r>
          <w:r>
            <w:rPr>
              <w:sz w:val="21"/>
              <w:szCs w:val="21"/>
            </w:rPr>
            <w:tab/>
          </w:r>
          <w:r>
            <w:rPr>
              <w:sz w:val="21"/>
              <w:szCs w:val="21"/>
            </w:rPr>
            <w:fldChar w:fldCharType="begin"/>
          </w:r>
          <w:r>
            <w:rPr>
              <w:sz w:val="21"/>
              <w:szCs w:val="21"/>
            </w:rPr>
            <w:instrText xml:space="preserve"> PAGEREF _Toc11607 \h </w:instrText>
          </w:r>
          <w:r>
            <w:rPr>
              <w:sz w:val="21"/>
              <w:szCs w:val="21"/>
            </w:rPr>
            <w:fldChar w:fldCharType="separate"/>
          </w:r>
          <w:r>
            <w:rPr>
              <w:sz w:val="21"/>
              <w:szCs w:val="21"/>
            </w:rPr>
            <w:t>2</w:t>
          </w:r>
          <w:r>
            <w:rPr>
              <w:sz w:val="21"/>
              <w:szCs w:val="21"/>
            </w:rPr>
            <w:fldChar w:fldCharType="end"/>
          </w:r>
          <w:r>
            <w:rPr>
              <w:sz w:val="21"/>
              <w:szCs w:val="21"/>
            </w:rPr>
            <w:fldChar w:fldCharType="end"/>
          </w:r>
        </w:p>
        <w:p w14:paraId="52F5255F">
          <w:pPr>
            <w:pStyle w:val="27"/>
            <w:tabs>
              <w:tab w:val="right" w:leader="dot" w:pos="9648"/>
            </w:tabs>
            <w:rPr>
              <w:sz w:val="21"/>
              <w:szCs w:val="21"/>
            </w:rPr>
          </w:pPr>
          <w:r>
            <w:rPr>
              <w:sz w:val="21"/>
              <w:szCs w:val="21"/>
            </w:rPr>
            <w:fldChar w:fldCharType="begin"/>
          </w:r>
          <w:r>
            <w:rPr>
              <w:sz w:val="21"/>
              <w:szCs w:val="21"/>
            </w:rPr>
            <w:instrText xml:space="preserve"> HYPERLINK \l _Toc1776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建设范围</w:t>
          </w:r>
          <w:r>
            <w:rPr>
              <w:sz w:val="21"/>
              <w:szCs w:val="21"/>
            </w:rPr>
            <w:tab/>
          </w:r>
          <w:r>
            <w:rPr>
              <w:sz w:val="21"/>
              <w:szCs w:val="21"/>
            </w:rPr>
            <w:fldChar w:fldCharType="begin"/>
          </w:r>
          <w:r>
            <w:rPr>
              <w:sz w:val="21"/>
              <w:szCs w:val="21"/>
            </w:rPr>
            <w:instrText xml:space="preserve"> PAGEREF _Toc1776 \h </w:instrText>
          </w:r>
          <w:r>
            <w:rPr>
              <w:sz w:val="21"/>
              <w:szCs w:val="21"/>
            </w:rPr>
            <w:fldChar w:fldCharType="separate"/>
          </w:r>
          <w:r>
            <w:rPr>
              <w:sz w:val="21"/>
              <w:szCs w:val="21"/>
            </w:rPr>
            <w:t>3</w:t>
          </w:r>
          <w:r>
            <w:rPr>
              <w:sz w:val="21"/>
              <w:szCs w:val="21"/>
            </w:rPr>
            <w:fldChar w:fldCharType="end"/>
          </w:r>
          <w:r>
            <w:rPr>
              <w:sz w:val="21"/>
              <w:szCs w:val="21"/>
            </w:rPr>
            <w:fldChar w:fldCharType="end"/>
          </w:r>
        </w:p>
        <w:p w14:paraId="36B69BC2">
          <w:pPr>
            <w:pStyle w:val="27"/>
            <w:tabs>
              <w:tab w:val="right" w:leader="dot" w:pos="9648"/>
            </w:tabs>
            <w:rPr>
              <w:sz w:val="21"/>
              <w:szCs w:val="21"/>
            </w:rPr>
          </w:pPr>
          <w:r>
            <w:rPr>
              <w:sz w:val="21"/>
              <w:szCs w:val="21"/>
            </w:rPr>
            <w:fldChar w:fldCharType="begin"/>
          </w:r>
          <w:r>
            <w:rPr>
              <w:sz w:val="21"/>
              <w:szCs w:val="21"/>
            </w:rPr>
            <w:instrText xml:space="preserve"> HYPERLINK \l _Toc14229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双中心总体架构与协同机制</w:t>
          </w:r>
          <w:r>
            <w:rPr>
              <w:sz w:val="21"/>
              <w:szCs w:val="21"/>
            </w:rPr>
            <w:tab/>
          </w:r>
          <w:r>
            <w:rPr>
              <w:sz w:val="21"/>
              <w:szCs w:val="21"/>
            </w:rPr>
            <w:fldChar w:fldCharType="begin"/>
          </w:r>
          <w:r>
            <w:rPr>
              <w:sz w:val="21"/>
              <w:szCs w:val="21"/>
            </w:rPr>
            <w:instrText xml:space="preserve"> PAGEREF _Toc14229 \h </w:instrText>
          </w:r>
          <w:r>
            <w:rPr>
              <w:sz w:val="21"/>
              <w:szCs w:val="21"/>
            </w:rPr>
            <w:fldChar w:fldCharType="separate"/>
          </w:r>
          <w:r>
            <w:rPr>
              <w:sz w:val="21"/>
              <w:szCs w:val="21"/>
            </w:rPr>
            <w:t>3</w:t>
          </w:r>
          <w:r>
            <w:rPr>
              <w:sz w:val="21"/>
              <w:szCs w:val="21"/>
            </w:rPr>
            <w:fldChar w:fldCharType="end"/>
          </w:r>
          <w:r>
            <w:rPr>
              <w:sz w:val="21"/>
              <w:szCs w:val="21"/>
            </w:rPr>
            <w:fldChar w:fldCharType="end"/>
          </w:r>
        </w:p>
        <w:p w14:paraId="595A9172">
          <w:pPr>
            <w:pStyle w:val="31"/>
            <w:tabs>
              <w:tab w:val="right" w:leader="dot" w:pos="9648"/>
            </w:tabs>
            <w:rPr>
              <w:sz w:val="21"/>
              <w:szCs w:val="21"/>
            </w:rPr>
          </w:pPr>
          <w:r>
            <w:rPr>
              <w:sz w:val="21"/>
              <w:szCs w:val="21"/>
            </w:rPr>
            <w:fldChar w:fldCharType="begin"/>
          </w:r>
          <w:r>
            <w:rPr>
              <w:sz w:val="21"/>
              <w:szCs w:val="21"/>
            </w:rPr>
            <w:instrText xml:space="preserve"> HYPERLINK \l _Toc28299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端—边—云三层物联网架构</w:t>
          </w:r>
          <w:r>
            <w:rPr>
              <w:sz w:val="21"/>
              <w:szCs w:val="21"/>
            </w:rPr>
            <w:tab/>
          </w:r>
          <w:r>
            <w:rPr>
              <w:sz w:val="21"/>
              <w:szCs w:val="21"/>
            </w:rPr>
            <w:fldChar w:fldCharType="begin"/>
          </w:r>
          <w:r>
            <w:rPr>
              <w:sz w:val="21"/>
              <w:szCs w:val="21"/>
            </w:rPr>
            <w:instrText xml:space="preserve"> PAGEREF _Toc28299 \h </w:instrText>
          </w:r>
          <w:r>
            <w:rPr>
              <w:sz w:val="21"/>
              <w:szCs w:val="21"/>
            </w:rPr>
            <w:fldChar w:fldCharType="separate"/>
          </w:r>
          <w:r>
            <w:rPr>
              <w:sz w:val="21"/>
              <w:szCs w:val="21"/>
            </w:rPr>
            <w:t>4</w:t>
          </w:r>
          <w:r>
            <w:rPr>
              <w:sz w:val="21"/>
              <w:szCs w:val="21"/>
            </w:rPr>
            <w:fldChar w:fldCharType="end"/>
          </w:r>
          <w:r>
            <w:rPr>
              <w:sz w:val="21"/>
              <w:szCs w:val="21"/>
            </w:rPr>
            <w:fldChar w:fldCharType="end"/>
          </w:r>
        </w:p>
        <w:p w14:paraId="5FF8D57F">
          <w:pPr>
            <w:pStyle w:val="31"/>
            <w:tabs>
              <w:tab w:val="right" w:leader="dot" w:pos="9648"/>
            </w:tabs>
            <w:rPr>
              <w:sz w:val="21"/>
              <w:szCs w:val="21"/>
            </w:rPr>
          </w:pPr>
          <w:r>
            <w:rPr>
              <w:sz w:val="21"/>
              <w:szCs w:val="21"/>
            </w:rPr>
            <w:fldChar w:fldCharType="begin"/>
          </w:r>
          <w:r>
            <w:rPr>
              <w:sz w:val="21"/>
              <w:szCs w:val="21"/>
            </w:rPr>
            <w:instrText xml:space="preserve"> HYPERLINK \l _Toc11116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双中心定位与协同</w:t>
          </w:r>
          <w:r>
            <w:rPr>
              <w:sz w:val="21"/>
              <w:szCs w:val="21"/>
            </w:rPr>
            <w:tab/>
          </w:r>
          <w:r>
            <w:rPr>
              <w:sz w:val="21"/>
              <w:szCs w:val="21"/>
            </w:rPr>
            <w:fldChar w:fldCharType="begin"/>
          </w:r>
          <w:r>
            <w:rPr>
              <w:sz w:val="21"/>
              <w:szCs w:val="21"/>
            </w:rPr>
            <w:instrText xml:space="preserve"> PAGEREF _Toc11116 \h </w:instrText>
          </w:r>
          <w:r>
            <w:rPr>
              <w:sz w:val="21"/>
              <w:szCs w:val="21"/>
            </w:rPr>
            <w:fldChar w:fldCharType="separate"/>
          </w:r>
          <w:r>
            <w:rPr>
              <w:sz w:val="21"/>
              <w:szCs w:val="21"/>
            </w:rPr>
            <w:t>4</w:t>
          </w:r>
          <w:r>
            <w:rPr>
              <w:sz w:val="21"/>
              <w:szCs w:val="21"/>
            </w:rPr>
            <w:fldChar w:fldCharType="end"/>
          </w:r>
          <w:r>
            <w:rPr>
              <w:sz w:val="21"/>
              <w:szCs w:val="21"/>
            </w:rPr>
            <w:fldChar w:fldCharType="end"/>
          </w:r>
        </w:p>
        <w:p w14:paraId="322E4537">
          <w:pPr>
            <w:pStyle w:val="27"/>
            <w:tabs>
              <w:tab w:val="right" w:leader="dot" w:pos="9648"/>
            </w:tabs>
            <w:rPr>
              <w:sz w:val="21"/>
              <w:szCs w:val="21"/>
            </w:rPr>
          </w:pPr>
          <w:r>
            <w:rPr>
              <w:sz w:val="21"/>
              <w:szCs w:val="21"/>
            </w:rPr>
            <w:fldChar w:fldCharType="begin"/>
          </w:r>
          <w:r>
            <w:rPr>
              <w:sz w:val="21"/>
              <w:szCs w:val="21"/>
            </w:rPr>
            <w:instrText xml:space="preserve"> HYPERLINK \l _Toc23087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角色画像与权限边界</w:t>
          </w:r>
          <w:r>
            <w:rPr>
              <w:sz w:val="21"/>
              <w:szCs w:val="21"/>
            </w:rPr>
            <w:tab/>
          </w:r>
          <w:r>
            <w:rPr>
              <w:sz w:val="21"/>
              <w:szCs w:val="21"/>
            </w:rPr>
            <w:fldChar w:fldCharType="begin"/>
          </w:r>
          <w:r>
            <w:rPr>
              <w:sz w:val="21"/>
              <w:szCs w:val="21"/>
            </w:rPr>
            <w:instrText xml:space="preserve"> PAGEREF _Toc23087 \h </w:instrText>
          </w:r>
          <w:r>
            <w:rPr>
              <w:sz w:val="21"/>
              <w:szCs w:val="21"/>
            </w:rPr>
            <w:fldChar w:fldCharType="separate"/>
          </w:r>
          <w:r>
            <w:rPr>
              <w:sz w:val="21"/>
              <w:szCs w:val="21"/>
            </w:rPr>
            <w:t>4</w:t>
          </w:r>
          <w:r>
            <w:rPr>
              <w:sz w:val="21"/>
              <w:szCs w:val="21"/>
            </w:rPr>
            <w:fldChar w:fldCharType="end"/>
          </w:r>
          <w:r>
            <w:rPr>
              <w:sz w:val="21"/>
              <w:szCs w:val="21"/>
            </w:rPr>
            <w:fldChar w:fldCharType="end"/>
          </w:r>
        </w:p>
        <w:p w14:paraId="43FBC286">
          <w:pPr>
            <w:pStyle w:val="27"/>
            <w:tabs>
              <w:tab w:val="right" w:leader="dot" w:pos="9648"/>
            </w:tabs>
            <w:rPr>
              <w:sz w:val="21"/>
              <w:szCs w:val="21"/>
            </w:rPr>
          </w:pPr>
          <w:r>
            <w:rPr>
              <w:sz w:val="21"/>
              <w:szCs w:val="21"/>
            </w:rPr>
            <w:fldChar w:fldCharType="begin"/>
          </w:r>
          <w:r>
            <w:rPr>
              <w:sz w:val="21"/>
              <w:szCs w:val="21"/>
            </w:rPr>
            <w:instrText xml:space="preserve"> HYPERLINK \l _Toc15776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文档编制范式：统一八段式模块模板</w:t>
          </w:r>
          <w:r>
            <w:rPr>
              <w:sz w:val="21"/>
              <w:szCs w:val="21"/>
            </w:rPr>
            <w:tab/>
          </w:r>
          <w:r>
            <w:rPr>
              <w:sz w:val="21"/>
              <w:szCs w:val="21"/>
            </w:rPr>
            <w:fldChar w:fldCharType="begin"/>
          </w:r>
          <w:r>
            <w:rPr>
              <w:sz w:val="21"/>
              <w:szCs w:val="21"/>
            </w:rPr>
            <w:instrText xml:space="preserve"> PAGEREF _Toc15776 \h </w:instrText>
          </w:r>
          <w:r>
            <w:rPr>
              <w:sz w:val="21"/>
              <w:szCs w:val="21"/>
            </w:rPr>
            <w:fldChar w:fldCharType="separate"/>
          </w:r>
          <w:r>
            <w:rPr>
              <w:sz w:val="21"/>
              <w:szCs w:val="21"/>
            </w:rPr>
            <w:t>5</w:t>
          </w:r>
          <w:r>
            <w:rPr>
              <w:sz w:val="21"/>
              <w:szCs w:val="21"/>
            </w:rPr>
            <w:fldChar w:fldCharType="end"/>
          </w:r>
          <w:r>
            <w:rPr>
              <w:sz w:val="21"/>
              <w:szCs w:val="21"/>
            </w:rPr>
            <w:fldChar w:fldCharType="end"/>
          </w:r>
        </w:p>
        <w:p w14:paraId="49FFFABF">
          <w:pPr>
            <w:pStyle w:val="27"/>
            <w:tabs>
              <w:tab w:val="right" w:leader="dot" w:pos="9648"/>
            </w:tabs>
            <w:rPr>
              <w:sz w:val="21"/>
              <w:szCs w:val="21"/>
            </w:rPr>
          </w:pPr>
          <w:r>
            <w:rPr>
              <w:sz w:val="21"/>
              <w:szCs w:val="21"/>
            </w:rPr>
            <w:fldChar w:fldCharType="begin"/>
          </w:r>
          <w:r>
            <w:rPr>
              <w:sz w:val="21"/>
              <w:szCs w:val="21"/>
            </w:rPr>
            <w:instrText xml:space="preserve"> HYPERLINK \l _Toc9295 </w:instrText>
          </w:r>
          <w:r>
            <w:rPr>
              <w:sz w:val="21"/>
              <w:szCs w:val="21"/>
            </w:rPr>
            <w:fldChar w:fldCharType="separate"/>
          </w:r>
          <w:r>
            <w:rPr>
              <w:rFonts w:hint="eastAsia" w:eastAsia="黑体"/>
              <w:bCs w:val="0"/>
              <w:sz w:val="21"/>
              <w:szCs w:val="40"/>
            </w:rPr>
            <w:t xml:space="preserve">第二章 </w:t>
          </w:r>
          <w:r>
            <w:rPr>
              <w:rFonts w:ascii="Times New Roman" w:hAnsi="Times New Roman" w:eastAsia="黑体" w:cs="Times New Roman"/>
              <w:bCs w:val="0"/>
              <w:sz w:val="21"/>
              <w:szCs w:val="40"/>
            </w:rPr>
            <w:t>零碳园区集控中心功能需求规格</w:t>
          </w:r>
          <w:r>
            <w:rPr>
              <w:sz w:val="21"/>
              <w:szCs w:val="21"/>
            </w:rPr>
            <w:tab/>
          </w:r>
          <w:r>
            <w:rPr>
              <w:sz w:val="21"/>
              <w:szCs w:val="21"/>
            </w:rPr>
            <w:fldChar w:fldCharType="begin"/>
          </w:r>
          <w:r>
            <w:rPr>
              <w:sz w:val="21"/>
              <w:szCs w:val="21"/>
            </w:rPr>
            <w:instrText xml:space="preserve"> PAGEREF _Toc9295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C79C27">
          <w:pPr>
            <w:pStyle w:val="27"/>
            <w:tabs>
              <w:tab w:val="right" w:leader="dot" w:pos="9648"/>
            </w:tabs>
            <w:rPr>
              <w:sz w:val="21"/>
              <w:szCs w:val="21"/>
            </w:rPr>
          </w:pPr>
          <w:r>
            <w:rPr>
              <w:sz w:val="21"/>
              <w:szCs w:val="21"/>
            </w:rPr>
            <w:fldChar w:fldCharType="begin"/>
          </w:r>
          <w:r>
            <w:rPr>
              <w:sz w:val="21"/>
              <w:szCs w:val="21"/>
            </w:rPr>
            <w:instrText xml:space="preserve"> HYPERLINK \l _Toc23727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集控中心大屏</w:t>
          </w:r>
          <w:r>
            <w:rPr>
              <w:sz w:val="21"/>
              <w:szCs w:val="21"/>
            </w:rPr>
            <w:tab/>
          </w:r>
          <w:r>
            <w:rPr>
              <w:sz w:val="21"/>
              <w:szCs w:val="21"/>
            </w:rPr>
            <w:fldChar w:fldCharType="begin"/>
          </w:r>
          <w:r>
            <w:rPr>
              <w:sz w:val="21"/>
              <w:szCs w:val="21"/>
            </w:rPr>
            <w:instrText xml:space="preserve"> PAGEREF _Toc23727 \h </w:instrText>
          </w:r>
          <w:r>
            <w:rPr>
              <w:sz w:val="21"/>
              <w:szCs w:val="21"/>
            </w:rPr>
            <w:fldChar w:fldCharType="separate"/>
          </w:r>
          <w:r>
            <w:rPr>
              <w:sz w:val="21"/>
              <w:szCs w:val="21"/>
            </w:rPr>
            <w:t>6</w:t>
          </w:r>
          <w:r>
            <w:rPr>
              <w:sz w:val="21"/>
              <w:szCs w:val="21"/>
            </w:rPr>
            <w:fldChar w:fldCharType="end"/>
          </w:r>
          <w:r>
            <w:rPr>
              <w:sz w:val="21"/>
              <w:szCs w:val="21"/>
            </w:rPr>
            <w:fldChar w:fldCharType="end"/>
          </w:r>
        </w:p>
        <w:p w14:paraId="44870F3B">
          <w:pPr>
            <w:pStyle w:val="31"/>
            <w:tabs>
              <w:tab w:val="right" w:leader="dot" w:pos="9648"/>
            </w:tabs>
            <w:rPr>
              <w:sz w:val="21"/>
              <w:szCs w:val="21"/>
            </w:rPr>
          </w:pPr>
          <w:r>
            <w:rPr>
              <w:sz w:val="21"/>
              <w:szCs w:val="21"/>
            </w:rPr>
            <w:fldChar w:fldCharType="begin"/>
          </w:r>
          <w:r>
            <w:rPr>
              <w:sz w:val="21"/>
              <w:szCs w:val="21"/>
            </w:rPr>
            <w:instrText xml:space="preserve"> HYPERLINK \l _Toc20473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全景环幕大屏 46:9</w:t>
          </w:r>
          <w:r>
            <w:rPr>
              <w:sz w:val="21"/>
              <w:szCs w:val="21"/>
            </w:rPr>
            <w:tab/>
          </w:r>
          <w:r>
            <w:rPr>
              <w:sz w:val="21"/>
              <w:szCs w:val="21"/>
            </w:rPr>
            <w:fldChar w:fldCharType="begin"/>
          </w:r>
          <w:r>
            <w:rPr>
              <w:sz w:val="21"/>
              <w:szCs w:val="21"/>
            </w:rPr>
            <w:instrText xml:space="preserve"> PAGEREF _Toc20473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FEB5F7">
          <w:pPr>
            <w:pStyle w:val="31"/>
            <w:tabs>
              <w:tab w:val="right" w:leader="dot" w:pos="9648"/>
            </w:tabs>
            <w:rPr>
              <w:sz w:val="21"/>
              <w:szCs w:val="21"/>
            </w:rPr>
          </w:pPr>
          <w:r>
            <w:rPr>
              <w:sz w:val="21"/>
              <w:szCs w:val="21"/>
            </w:rPr>
            <w:fldChar w:fldCharType="begin"/>
          </w:r>
          <w:r>
            <w:rPr>
              <w:sz w:val="21"/>
              <w:szCs w:val="21"/>
            </w:rPr>
            <w:instrText xml:space="preserve"> HYPERLINK \l _Toc15307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综合集控大屏 16:9</w:t>
          </w:r>
          <w:r>
            <w:rPr>
              <w:sz w:val="21"/>
              <w:szCs w:val="21"/>
            </w:rPr>
            <w:tab/>
          </w:r>
          <w:r>
            <w:rPr>
              <w:sz w:val="21"/>
              <w:szCs w:val="21"/>
            </w:rPr>
            <w:fldChar w:fldCharType="begin"/>
          </w:r>
          <w:r>
            <w:rPr>
              <w:sz w:val="21"/>
              <w:szCs w:val="21"/>
            </w:rPr>
            <w:instrText xml:space="preserve"> PAGEREF _Toc15307 \h </w:instrText>
          </w:r>
          <w:r>
            <w:rPr>
              <w:sz w:val="21"/>
              <w:szCs w:val="21"/>
            </w:rPr>
            <w:fldChar w:fldCharType="separate"/>
          </w:r>
          <w:r>
            <w:rPr>
              <w:sz w:val="21"/>
              <w:szCs w:val="21"/>
            </w:rPr>
            <w:t>11</w:t>
          </w:r>
          <w:r>
            <w:rPr>
              <w:sz w:val="21"/>
              <w:szCs w:val="21"/>
            </w:rPr>
            <w:fldChar w:fldCharType="end"/>
          </w:r>
          <w:r>
            <w:rPr>
              <w:sz w:val="21"/>
              <w:szCs w:val="21"/>
            </w:rPr>
            <w:fldChar w:fldCharType="end"/>
          </w:r>
        </w:p>
        <w:p w14:paraId="310D3787">
          <w:pPr>
            <w:pStyle w:val="27"/>
            <w:tabs>
              <w:tab w:val="right" w:leader="dot" w:pos="9648"/>
            </w:tabs>
            <w:rPr>
              <w:sz w:val="21"/>
              <w:szCs w:val="21"/>
            </w:rPr>
          </w:pPr>
          <w:r>
            <w:rPr>
              <w:sz w:val="21"/>
              <w:szCs w:val="21"/>
            </w:rPr>
            <w:fldChar w:fldCharType="begin"/>
          </w:r>
          <w:r>
            <w:rPr>
              <w:sz w:val="21"/>
              <w:szCs w:val="21"/>
            </w:rPr>
            <w:instrText xml:space="preserve"> HYPERLINK \l _Toc5744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集中监管</w:t>
          </w:r>
          <w:r>
            <w:rPr>
              <w:sz w:val="21"/>
              <w:szCs w:val="21"/>
            </w:rPr>
            <w:tab/>
          </w:r>
          <w:r>
            <w:rPr>
              <w:sz w:val="21"/>
              <w:szCs w:val="21"/>
            </w:rPr>
            <w:fldChar w:fldCharType="begin"/>
          </w:r>
          <w:r>
            <w:rPr>
              <w:sz w:val="21"/>
              <w:szCs w:val="21"/>
            </w:rPr>
            <w:instrText xml:space="preserve"> PAGEREF _Toc5744 \h </w:instrText>
          </w:r>
          <w:r>
            <w:rPr>
              <w:sz w:val="21"/>
              <w:szCs w:val="21"/>
            </w:rPr>
            <w:fldChar w:fldCharType="separate"/>
          </w:r>
          <w:r>
            <w:rPr>
              <w:sz w:val="21"/>
              <w:szCs w:val="21"/>
            </w:rPr>
            <w:t>14</w:t>
          </w:r>
          <w:r>
            <w:rPr>
              <w:sz w:val="21"/>
              <w:szCs w:val="21"/>
            </w:rPr>
            <w:fldChar w:fldCharType="end"/>
          </w:r>
          <w:r>
            <w:rPr>
              <w:sz w:val="21"/>
              <w:szCs w:val="21"/>
            </w:rPr>
            <w:fldChar w:fldCharType="end"/>
          </w:r>
        </w:p>
        <w:p w14:paraId="1AE3AB89">
          <w:pPr>
            <w:pStyle w:val="31"/>
            <w:tabs>
              <w:tab w:val="right" w:leader="dot" w:pos="9648"/>
            </w:tabs>
            <w:rPr>
              <w:sz w:val="21"/>
              <w:szCs w:val="21"/>
            </w:rPr>
          </w:pPr>
          <w:r>
            <w:rPr>
              <w:sz w:val="21"/>
              <w:szCs w:val="21"/>
            </w:rPr>
            <w:fldChar w:fldCharType="begin"/>
          </w:r>
          <w:r>
            <w:rPr>
              <w:sz w:val="21"/>
              <w:szCs w:val="21"/>
            </w:rPr>
            <w:instrText xml:space="preserve"> HYPERLINK \l _Toc7844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指标管控</w:t>
          </w:r>
          <w:r>
            <w:rPr>
              <w:sz w:val="21"/>
              <w:szCs w:val="21"/>
            </w:rPr>
            <w:tab/>
          </w:r>
          <w:r>
            <w:rPr>
              <w:sz w:val="21"/>
              <w:szCs w:val="21"/>
            </w:rPr>
            <w:fldChar w:fldCharType="begin"/>
          </w:r>
          <w:r>
            <w:rPr>
              <w:sz w:val="21"/>
              <w:szCs w:val="21"/>
            </w:rPr>
            <w:instrText xml:space="preserve"> PAGEREF _Toc7844 \h </w:instrText>
          </w:r>
          <w:r>
            <w:rPr>
              <w:sz w:val="21"/>
              <w:szCs w:val="21"/>
            </w:rPr>
            <w:fldChar w:fldCharType="separate"/>
          </w:r>
          <w:r>
            <w:rPr>
              <w:sz w:val="21"/>
              <w:szCs w:val="21"/>
            </w:rPr>
            <w:t>15</w:t>
          </w:r>
          <w:r>
            <w:rPr>
              <w:sz w:val="21"/>
              <w:szCs w:val="21"/>
            </w:rPr>
            <w:fldChar w:fldCharType="end"/>
          </w:r>
          <w:r>
            <w:rPr>
              <w:sz w:val="21"/>
              <w:szCs w:val="21"/>
            </w:rPr>
            <w:fldChar w:fldCharType="end"/>
          </w:r>
        </w:p>
        <w:p w14:paraId="7379E27F">
          <w:pPr>
            <w:pStyle w:val="31"/>
            <w:tabs>
              <w:tab w:val="right" w:leader="dot" w:pos="9648"/>
            </w:tabs>
            <w:rPr>
              <w:sz w:val="21"/>
              <w:szCs w:val="21"/>
            </w:rPr>
          </w:pPr>
          <w:r>
            <w:rPr>
              <w:sz w:val="21"/>
              <w:szCs w:val="21"/>
            </w:rPr>
            <w:fldChar w:fldCharType="begin"/>
          </w:r>
          <w:r>
            <w:rPr>
              <w:sz w:val="21"/>
              <w:szCs w:val="21"/>
            </w:rPr>
            <w:instrText xml:space="preserve"> HYPERLINK \l _Toc9809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数据变化详情</w:t>
          </w:r>
          <w:r>
            <w:rPr>
              <w:sz w:val="21"/>
              <w:szCs w:val="21"/>
            </w:rPr>
            <w:tab/>
          </w:r>
          <w:r>
            <w:rPr>
              <w:sz w:val="21"/>
              <w:szCs w:val="21"/>
            </w:rPr>
            <w:fldChar w:fldCharType="begin"/>
          </w:r>
          <w:r>
            <w:rPr>
              <w:sz w:val="21"/>
              <w:szCs w:val="21"/>
            </w:rPr>
            <w:instrText xml:space="preserve"> PAGEREF _Toc9809 \h </w:instrText>
          </w:r>
          <w:r>
            <w:rPr>
              <w:sz w:val="21"/>
              <w:szCs w:val="21"/>
            </w:rPr>
            <w:fldChar w:fldCharType="separate"/>
          </w:r>
          <w:r>
            <w:rPr>
              <w:sz w:val="21"/>
              <w:szCs w:val="21"/>
            </w:rPr>
            <w:t>24</w:t>
          </w:r>
          <w:r>
            <w:rPr>
              <w:sz w:val="21"/>
              <w:szCs w:val="21"/>
            </w:rPr>
            <w:fldChar w:fldCharType="end"/>
          </w:r>
          <w:r>
            <w:rPr>
              <w:sz w:val="21"/>
              <w:szCs w:val="21"/>
            </w:rPr>
            <w:fldChar w:fldCharType="end"/>
          </w:r>
        </w:p>
        <w:p w14:paraId="1820AAF9">
          <w:pPr>
            <w:pStyle w:val="31"/>
            <w:tabs>
              <w:tab w:val="right" w:leader="dot" w:pos="9648"/>
            </w:tabs>
            <w:rPr>
              <w:sz w:val="21"/>
              <w:szCs w:val="21"/>
            </w:rPr>
          </w:pPr>
          <w:r>
            <w:rPr>
              <w:sz w:val="21"/>
              <w:szCs w:val="21"/>
            </w:rPr>
            <w:fldChar w:fldCharType="begin"/>
          </w:r>
          <w:r>
            <w:rPr>
              <w:sz w:val="21"/>
              <w:szCs w:val="21"/>
            </w:rPr>
            <w:instrText xml:space="preserve"> HYPERLINK \l _Toc13406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用能在线监测</w:t>
          </w:r>
          <w:r>
            <w:rPr>
              <w:sz w:val="21"/>
              <w:szCs w:val="21"/>
            </w:rPr>
            <w:tab/>
          </w:r>
          <w:r>
            <w:rPr>
              <w:sz w:val="21"/>
              <w:szCs w:val="21"/>
            </w:rPr>
            <w:fldChar w:fldCharType="begin"/>
          </w:r>
          <w:r>
            <w:rPr>
              <w:sz w:val="21"/>
              <w:szCs w:val="21"/>
            </w:rPr>
            <w:instrText xml:space="preserve"> PAGEREF _Toc13406 \h </w:instrText>
          </w:r>
          <w:r>
            <w:rPr>
              <w:sz w:val="21"/>
              <w:szCs w:val="21"/>
            </w:rPr>
            <w:fldChar w:fldCharType="separate"/>
          </w:r>
          <w:r>
            <w:rPr>
              <w:sz w:val="21"/>
              <w:szCs w:val="21"/>
            </w:rPr>
            <w:t>28</w:t>
          </w:r>
          <w:r>
            <w:rPr>
              <w:sz w:val="21"/>
              <w:szCs w:val="21"/>
            </w:rPr>
            <w:fldChar w:fldCharType="end"/>
          </w:r>
          <w:r>
            <w:rPr>
              <w:sz w:val="21"/>
              <w:szCs w:val="21"/>
            </w:rPr>
            <w:fldChar w:fldCharType="end"/>
          </w:r>
        </w:p>
        <w:p w14:paraId="4779EA14">
          <w:pPr>
            <w:pStyle w:val="31"/>
            <w:tabs>
              <w:tab w:val="right" w:leader="dot" w:pos="9648"/>
            </w:tabs>
            <w:rPr>
              <w:sz w:val="21"/>
              <w:szCs w:val="21"/>
            </w:rPr>
          </w:pPr>
          <w:r>
            <w:rPr>
              <w:sz w:val="21"/>
              <w:szCs w:val="21"/>
            </w:rPr>
            <w:fldChar w:fldCharType="begin"/>
          </w:r>
          <w:r>
            <w:rPr>
              <w:sz w:val="21"/>
              <w:szCs w:val="21"/>
            </w:rPr>
            <w:instrText xml:space="preserve"> HYPERLINK \l _Toc18727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重点设备在线监测</w:t>
          </w:r>
          <w:r>
            <w:rPr>
              <w:sz w:val="21"/>
              <w:szCs w:val="21"/>
            </w:rPr>
            <w:tab/>
          </w:r>
          <w:r>
            <w:rPr>
              <w:sz w:val="21"/>
              <w:szCs w:val="21"/>
            </w:rPr>
            <w:fldChar w:fldCharType="begin"/>
          </w:r>
          <w:r>
            <w:rPr>
              <w:sz w:val="21"/>
              <w:szCs w:val="21"/>
            </w:rPr>
            <w:instrText xml:space="preserve"> PAGEREF _Toc18727 \h </w:instrText>
          </w:r>
          <w:r>
            <w:rPr>
              <w:sz w:val="21"/>
              <w:szCs w:val="21"/>
            </w:rPr>
            <w:fldChar w:fldCharType="separate"/>
          </w:r>
          <w:r>
            <w:rPr>
              <w:sz w:val="21"/>
              <w:szCs w:val="21"/>
            </w:rPr>
            <w:t>33</w:t>
          </w:r>
          <w:r>
            <w:rPr>
              <w:sz w:val="21"/>
              <w:szCs w:val="21"/>
            </w:rPr>
            <w:fldChar w:fldCharType="end"/>
          </w:r>
          <w:r>
            <w:rPr>
              <w:sz w:val="21"/>
              <w:szCs w:val="21"/>
            </w:rPr>
            <w:fldChar w:fldCharType="end"/>
          </w:r>
        </w:p>
        <w:p w14:paraId="63A83E2B">
          <w:pPr>
            <w:pStyle w:val="31"/>
            <w:tabs>
              <w:tab w:val="right" w:leader="dot" w:pos="9648"/>
            </w:tabs>
            <w:rPr>
              <w:sz w:val="21"/>
              <w:szCs w:val="21"/>
            </w:rPr>
          </w:pPr>
          <w:r>
            <w:rPr>
              <w:sz w:val="21"/>
              <w:szCs w:val="21"/>
            </w:rPr>
            <w:fldChar w:fldCharType="begin"/>
          </w:r>
          <w:r>
            <w:rPr>
              <w:sz w:val="21"/>
              <w:szCs w:val="21"/>
            </w:rPr>
            <w:instrText xml:space="preserve"> HYPERLINK \l _Toc879 </w:instrText>
          </w:r>
          <w:r>
            <w:rPr>
              <w:sz w:val="21"/>
              <w:szCs w:val="21"/>
            </w:rPr>
            <w:fldChar w:fldCharType="separate"/>
          </w:r>
          <w:r>
            <w:rPr>
              <w:rFonts w:hint="default" w:eastAsia="黑体"/>
              <w:bCs w:val="0"/>
              <w:sz w:val="21"/>
              <w:szCs w:val="22"/>
            </w:rPr>
            <w:t xml:space="preserve">5. </w:t>
          </w:r>
          <w:r>
            <w:rPr>
              <w:rFonts w:ascii="Times New Roman" w:hAnsi="Times New Roman" w:eastAsia="黑体" w:cs="Times New Roman"/>
              <w:bCs w:val="0"/>
              <w:sz w:val="21"/>
              <w:szCs w:val="22"/>
            </w:rPr>
            <w:t>工业微电网监测</w:t>
          </w:r>
          <w:r>
            <w:rPr>
              <w:sz w:val="21"/>
              <w:szCs w:val="21"/>
            </w:rPr>
            <w:tab/>
          </w:r>
          <w:r>
            <w:rPr>
              <w:sz w:val="21"/>
              <w:szCs w:val="21"/>
            </w:rPr>
            <w:fldChar w:fldCharType="begin"/>
          </w:r>
          <w:r>
            <w:rPr>
              <w:sz w:val="21"/>
              <w:szCs w:val="21"/>
            </w:rPr>
            <w:instrText xml:space="preserve"> PAGEREF _Toc879 \h </w:instrText>
          </w:r>
          <w:r>
            <w:rPr>
              <w:sz w:val="21"/>
              <w:szCs w:val="21"/>
            </w:rPr>
            <w:fldChar w:fldCharType="separate"/>
          </w:r>
          <w:r>
            <w:rPr>
              <w:sz w:val="21"/>
              <w:szCs w:val="21"/>
            </w:rPr>
            <w:t>37</w:t>
          </w:r>
          <w:r>
            <w:rPr>
              <w:sz w:val="21"/>
              <w:szCs w:val="21"/>
            </w:rPr>
            <w:fldChar w:fldCharType="end"/>
          </w:r>
          <w:r>
            <w:rPr>
              <w:sz w:val="21"/>
              <w:szCs w:val="21"/>
            </w:rPr>
            <w:fldChar w:fldCharType="end"/>
          </w:r>
        </w:p>
        <w:p w14:paraId="63D36065">
          <w:pPr>
            <w:pStyle w:val="31"/>
            <w:tabs>
              <w:tab w:val="right" w:leader="dot" w:pos="9648"/>
            </w:tabs>
            <w:rPr>
              <w:sz w:val="21"/>
              <w:szCs w:val="21"/>
            </w:rPr>
          </w:pPr>
          <w:r>
            <w:rPr>
              <w:sz w:val="21"/>
              <w:szCs w:val="21"/>
            </w:rPr>
            <w:fldChar w:fldCharType="begin"/>
          </w:r>
          <w:r>
            <w:rPr>
              <w:sz w:val="21"/>
              <w:szCs w:val="21"/>
            </w:rPr>
            <w:instrText xml:space="preserve"> HYPERLINK \l _Toc2652 </w:instrText>
          </w:r>
          <w:r>
            <w:rPr>
              <w:sz w:val="21"/>
              <w:szCs w:val="21"/>
            </w:rPr>
            <w:fldChar w:fldCharType="separate"/>
          </w:r>
          <w:r>
            <w:rPr>
              <w:rFonts w:hint="default" w:eastAsia="黑体"/>
              <w:bCs w:val="0"/>
              <w:sz w:val="21"/>
              <w:szCs w:val="22"/>
            </w:rPr>
            <w:t xml:space="preserve">6. </w:t>
          </w:r>
          <w:r>
            <w:rPr>
              <w:rFonts w:ascii="Times New Roman" w:hAnsi="Times New Roman" w:eastAsia="黑体" w:cs="Times New Roman"/>
              <w:bCs w:val="0"/>
              <w:sz w:val="21"/>
              <w:szCs w:val="22"/>
            </w:rPr>
            <w:t>能源碳排放监测</w:t>
          </w:r>
          <w:r>
            <w:rPr>
              <w:sz w:val="21"/>
              <w:szCs w:val="21"/>
            </w:rPr>
            <w:tab/>
          </w:r>
          <w:r>
            <w:rPr>
              <w:sz w:val="21"/>
              <w:szCs w:val="21"/>
            </w:rPr>
            <w:fldChar w:fldCharType="begin"/>
          </w:r>
          <w:r>
            <w:rPr>
              <w:sz w:val="21"/>
              <w:szCs w:val="21"/>
            </w:rPr>
            <w:instrText xml:space="preserve"> PAGEREF _Toc2652 \h </w:instrText>
          </w:r>
          <w:r>
            <w:rPr>
              <w:sz w:val="21"/>
              <w:szCs w:val="21"/>
            </w:rPr>
            <w:fldChar w:fldCharType="separate"/>
          </w:r>
          <w:r>
            <w:rPr>
              <w:sz w:val="21"/>
              <w:szCs w:val="21"/>
            </w:rPr>
            <w:t>41</w:t>
          </w:r>
          <w:r>
            <w:rPr>
              <w:sz w:val="21"/>
              <w:szCs w:val="21"/>
            </w:rPr>
            <w:fldChar w:fldCharType="end"/>
          </w:r>
          <w:r>
            <w:rPr>
              <w:sz w:val="21"/>
              <w:szCs w:val="21"/>
            </w:rPr>
            <w:fldChar w:fldCharType="end"/>
          </w:r>
        </w:p>
        <w:p w14:paraId="54270254">
          <w:pPr>
            <w:pStyle w:val="27"/>
            <w:tabs>
              <w:tab w:val="right" w:leader="dot" w:pos="9648"/>
            </w:tabs>
            <w:rPr>
              <w:sz w:val="21"/>
              <w:szCs w:val="21"/>
            </w:rPr>
          </w:pPr>
          <w:r>
            <w:rPr>
              <w:sz w:val="21"/>
              <w:szCs w:val="21"/>
            </w:rPr>
            <w:fldChar w:fldCharType="begin"/>
          </w:r>
          <w:r>
            <w:rPr>
              <w:sz w:val="21"/>
              <w:szCs w:val="21"/>
            </w:rPr>
            <w:instrText xml:space="preserve"> HYPERLINK \l _Toc13625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能耗能效分析</w:t>
          </w:r>
          <w:r>
            <w:rPr>
              <w:sz w:val="21"/>
              <w:szCs w:val="21"/>
            </w:rPr>
            <w:tab/>
          </w:r>
          <w:r>
            <w:rPr>
              <w:sz w:val="21"/>
              <w:szCs w:val="21"/>
            </w:rPr>
            <w:fldChar w:fldCharType="begin"/>
          </w:r>
          <w:r>
            <w:rPr>
              <w:sz w:val="21"/>
              <w:szCs w:val="21"/>
            </w:rPr>
            <w:instrText xml:space="preserve"> PAGEREF _Toc13625 \h </w:instrText>
          </w:r>
          <w:r>
            <w:rPr>
              <w:sz w:val="21"/>
              <w:szCs w:val="21"/>
            </w:rPr>
            <w:fldChar w:fldCharType="separate"/>
          </w:r>
          <w:r>
            <w:rPr>
              <w:sz w:val="21"/>
              <w:szCs w:val="21"/>
            </w:rPr>
            <w:t>44</w:t>
          </w:r>
          <w:r>
            <w:rPr>
              <w:sz w:val="21"/>
              <w:szCs w:val="21"/>
            </w:rPr>
            <w:fldChar w:fldCharType="end"/>
          </w:r>
          <w:r>
            <w:rPr>
              <w:sz w:val="21"/>
              <w:szCs w:val="21"/>
            </w:rPr>
            <w:fldChar w:fldCharType="end"/>
          </w:r>
        </w:p>
        <w:p w14:paraId="37318869">
          <w:pPr>
            <w:pStyle w:val="31"/>
            <w:tabs>
              <w:tab w:val="right" w:leader="dot" w:pos="9648"/>
            </w:tabs>
            <w:rPr>
              <w:sz w:val="21"/>
              <w:szCs w:val="21"/>
            </w:rPr>
          </w:pPr>
          <w:r>
            <w:rPr>
              <w:sz w:val="21"/>
              <w:szCs w:val="21"/>
            </w:rPr>
            <w:fldChar w:fldCharType="begin"/>
          </w:r>
          <w:r>
            <w:rPr>
              <w:sz w:val="21"/>
              <w:szCs w:val="21"/>
            </w:rPr>
            <w:instrText xml:space="preserve"> HYPERLINK \l _Toc4835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用能结构分析</w:t>
          </w:r>
          <w:r>
            <w:rPr>
              <w:sz w:val="21"/>
              <w:szCs w:val="21"/>
            </w:rPr>
            <w:tab/>
          </w:r>
          <w:r>
            <w:rPr>
              <w:sz w:val="21"/>
              <w:szCs w:val="21"/>
            </w:rPr>
            <w:fldChar w:fldCharType="begin"/>
          </w:r>
          <w:r>
            <w:rPr>
              <w:sz w:val="21"/>
              <w:szCs w:val="21"/>
            </w:rPr>
            <w:instrText xml:space="preserve"> PAGEREF _Toc4835 \h </w:instrText>
          </w:r>
          <w:r>
            <w:rPr>
              <w:sz w:val="21"/>
              <w:szCs w:val="21"/>
            </w:rPr>
            <w:fldChar w:fldCharType="separate"/>
          </w:r>
          <w:r>
            <w:rPr>
              <w:sz w:val="21"/>
              <w:szCs w:val="21"/>
            </w:rPr>
            <w:t>45</w:t>
          </w:r>
          <w:r>
            <w:rPr>
              <w:sz w:val="21"/>
              <w:szCs w:val="21"/>
            </w:rPr>
            <w:fldChar w:fldCharType="end"/>
          </w:r>
          <w:r>
            <w:rPr>
              <w:sz w:val="21"/>
              <w:szCs w:val="21"/>
            </w:rPr>
            <w:fldChar w:fldCharType="end"/>
          </w:r>
        </w:p>
        <w:p w14:paraId="4F973BD2">
          <w:pPr>
            <w:pStyle w:val="31"/>
            <w:tabs>
              <w:tab w:val="right" w:leader="dot" w:pos="9648"/>
            </w:tabs>
            <w:rPr>
              <w:sz w:val="21"/>
              <w:szCs w:val="21"/>
            </w:rPr>
          </w:pPr>
          <w:r>
            <w:rPr>
              <w:sz w:val="21"/>
              <w:szCs w:val="21"/>
            </w:rPr>
            <w:fldChar w:fldCharType="begin"/>
          </w:r>
          <w:r>
            <w:rPr>
              <w:sz w:val="21"/>
              <w:szCs w:val="21"/>
            </w:rPr>
            <w:instrText xml:space="preserve"> HYPERLINK \l _Toc18327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能源成本分析</w:t>
          </w:r>
          <w:r>
            <w:rPr>
              <w:sz w:val="21"/>
              <w:szCs w:val="21"/>
            </w:rPr>
            <w:tab/>
          </w:r>
          <w:r>
            <w:rPr>
              <w:sz w:val="21"/>
              <w:szCs w:val="21"/>
            </w:rPr>
            <w:fldChar w:fldCharType="begin"/>
          </w:r>
          <w:r>
            <w:rPr>
              <w:sz w:val="21"/>
              <w:szCs w:val="21"/>
            </w:rPr>
            <w:instrText xml:space="preserve"> PAGEREF _Toc18327 \h </w:instrText>
          </w:r>
          <w:r>
            <w:rPr>
              <w:sz w:val="21"/>
              <w:szCs w:val="21"/>
            </w:rPr>
            <w:fldChar w:fldCharType="separate"/>
          </w:r>
          <w:r>
            <w:rPr>
              <w:sz w:val="21"/>
              <w:szCs w:val="21"/>
            </w:rPr>
            <w:t>48</w:t>
          </w:r>
          <w:r>
            <w:rPr>
              <w:sz w:val="21"/>
              <w:szCs w:val="21"/>
            </w:rPr>
            <w:fldChar w:fldCharType="end"/>
          </w:r>
          <w:r>
            <w:rPr>
              <w:sz w:val="21"/>
              <w:szCs w:val="21"/>
            </w:rPr>
            <w:fldChar w:fldCharType="end"/>
          </w:r>
        </w:p>
        <w:p w14:paraId="643AECF2">
          <w:pPr>
            <w:pStyle w:val="31"/>
            <w:tabs>
              <w:tab w:val="right" w:leader="dot" w:pos="9648"/>
            </w:tabs>
            <w:rPr>
              <w:sz w:val="21"/>
              <w:szCs w:val="21"/>
            </w:rPr>
          </w:pPr>
          <w:r>
            <w:rPr>
              <w:sz w:val="21"/>
              <w:szCs w:val="21"/>
            </w:rPr>
            <w:fldChar w:fldCharType="begin"/>
          </w:r>
          <w:r>
            <w:rPr>
              <w:sz w:val="21"/>
              <w:szCs w:val="21"/>
            </w:rPr>
            <w:instrText xml:space="preserve"> HYPERLINK \l _Toc18198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单位产品能耗</w:t>
          </w:r>
          <w:r>
            <w:rPr>
              <w:sz w:val="21"/>
              <w:szCs w:val="21"/>
            </w:rPr>
            <w:tab/>
          </w:r>
          <w:r>
            <w:rPr>
              <w:sz w:val="21"/>
              <w:szCs w:val="21"/>
            </w:rPr>
            <w:fldChar w:fldCharType="begin"/>
          </w:r>
          <w:r>
            <w:rPr>
              <w:sz w:val="21"/>
              <w:szCs w:val="21"/>
            </w:rPr>
            <w:instrText xml:space="preserve"> PAGEREF _Toc18198 \h </w:instrText>
          </w:r>
          <w:r>
            <w:rPr>
              <w:sz w:val="21"/>
              <w:szCs w:val="21"/>
            </w:rPr>
            <w:fldChar w:fldCharType="separate"/>
          </w:r>
          <w:r>
            <w:rPr>
              <w:sz w:val="21"/>
              <w:szCs w:val="21"/>
            </w:rPr>
            <w:t>51</w:t>
          </w:r>
          <w:r>
            <w:rPr>
              <w:sz w:val="21"/>
              <w:szCs w:val="21"/>
            </w:rPr>
            <w:fldChar w:fldCharType="end"/>
          </w:r>
          <w:r>
            <w:rPr>
              <w:sz w:val="21"/>
              <w:szCs w:val="21"/>
            </w:rPr>
            <w:fldChar w:fldCharType="end"/>
          </w:r>
        </w:p>
        <w:p w14:paraId="27441711">
          <w:pPr>
            <w:pStyle w:val="31"/>
            <w:tabs>
              <w:tab w:val="right" w:leader="dot" w:pos="9648"/>
            </w:tabs>
            <w:rPr>
              <w:sz w:val="21"/>
              <w:szCs w:val="21"/>
            </w:rPr>
          </w:pPr>
          <w:r>
            <w:rPr>
              <w:sz w:val="21"/>
              <w:szCs w:val="21"/>
            </w:rPr>
            <w:fldChar w:fldCharType="begin"/>
          </w:r>
          <w:r>
            <w:rPr>
              <w:sz w:val="21"/>
              <w:szCs w:val="21"/>
            </w:rPr>
            <w:instrText xml:space="preserve"> HYPERLINK \l _Toc7098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单位产值能耗</w:t>
          </w:r>
          <w:r>
            <w:rPr>
              <w:sz w:val="21"/>
              <w:szCs w:val="21"/>
            </w:rPr>
            <w:tab/>
          </w:r>
          <w:r>
            <w:rPr>
              <w:sz w:val="21"/>
              <w:szCs w:val="21"/>
            </w:rPr>
            <w:fldChar w:fldCharType="begin"/>
          </w:r>
          <w:r>
            <w:rPr>
              <w:sz w:val="21"/>
              <w:szCs w:val="21"/>
            </w:rPr>
            <w:instrText xml:space="preserve"> PAGEREF _Toc7098 \h </w:instrText>
          </w:r>
          <w:r>
            <w:rPr>
              <w:sz w:val="21"/>
              <w:szCs w:val="21"/>
            </w:rPr>
            <w:fldChar w:fldCharType="separate"/>
          </w:r>
          <w:r>
            <w:rPr>
              <w:sz w:val="21"/>
              <w:szCs w:val="21"/>
            </w:rPr>
            <w:t>55</w:t>
          </w:r>
          <w:r>
            <w:rPr>
              <w:sz w:val="21"/>
              <w:szCs w:val="21"/>
            </w:rPr>
            <w:fldChar w:fldCharType="end"/>
          </w:r>
          <w:r>
            <w:rPr>
              <w:sz w:val="21"/>
              <w:szCs w:val="21"/>
            </w:rPr>
            <w:fldChar w:fldCharType="end"/>
          </w:r>
        </w:p>
        <w:p w14:paraId="38DCBFAA">
          <w:pPr>
            <w:pStyle w:val="31"/>
            <w:tabs>
              <w:tab w:val="right" w:leader="dot" w:pos="9648"/>
            </w:tabs>
            <w:rPr>
              <w:sz w:val="21"/>
              <w:szCs w:val="21"/>
            </w:rPr>
          </w:pPr>
          <w:r>
            <w:rPr>
              <w:sz w:val="21"/>
              <w:szCs w:val="21"/>
            </w:rPr>
            <w:fldChar w:fldCharType="begin"/>
          </w:r>
          <w:r>
            <w:rPr>
              <w:sz w:val="21"/>
              <w:szCs w:val="21"/>
            </w:rPr>
            <w:instrText xml:space="preserve"> HYPERLINK \l _Toc24728 </w:instrText>
          </w:r>
          <w:r>
            <w:rPr>
              <w:sz w:val="21"/>
              <w:szCs w:val="21"/>
            </w:rPr>
            <w:fldChar w:fldCharType="separate"/>
          </w:r>
          <w:r>
            <w:rPr>
              <w:rFonts w:hint="default" w:eastAsia="黑体"/>
              <w:bCs w:val="0"/>
              <w:sz w:val="21"/>
              <w:szCs w:val="22"/>
            </w:rPr>
            <w:t xml:space="preserve">5. </w:t>
          </w:r>
          <w:r>
            <w:rPr>
              <w:rFonts w:ascii="Times New Roman" w:hAnsi="Times New Roman" w:eastAsia="黑体" w:cs="Times New Roman"/>
              <w:bCs w:val="0"/>
              <w:sz w:val="21"/>
              <w:szCs w:val="22"/>
            </w:rPr>
            <w:t>对标管理</w:t>
          </w:r>
          <w:r>
            <w:rPr>
              <w:sz w:val="21"/>
              <w:szCs w:val="21"/>
            </w:rPr>
            <w:tab/>
          </w:r>
          <w:r>
            <w:rPr>
              <w:sz w:val="21"/>
              <w:szCs w:val="21"/>
            </w:rPr>
            <w:fldChar w:fldCharType="begin"/>
          </w:r>
          <w:r>
            <w:rPr>
              <w:sz w:val="21"/>
              <w:szCs w:val="21"/>
            </w:rPr>
            <w:instrText xml:space="preserve"> PAGEREF _Toc24728 \h </w:instrText>
          </w:r>
          <w:r>
            <w:rPr>
              <w:sz w:val="21"/>
              <w:szCs w:val="21"/>
            </w:rPr>
            <w:fldChar w:fldCharType="separate"/>
          </w:r>
          <w:r>
            <w:rPr>
              <w:sz w:val="21"/>
              <w:szCs w:val="21"/>
            </w:rPr>
            <w:t>59</w:t>
          </w:r>
          <w:r>
            <w:rPr>
              <w:sz w:val="21"/>
              <w:szCs w:val="21"/>
            </w:rPr>
            <w:fldChar w:fldCharType="end"/>
          </w:r>
          <w:r>
            <w:rPr>
              <w:sz w:val="21"/>
              <w:szCs w:val="21"/>
            </w:rPr>
            <w:fldChar w:fldCharType="end"/>
          </w:r>
        </w:p>
        <w:p w14:paraId="799968BD">
          <w:pPr>
            <w:pStyle w:val="31"/>
            <w:tabs>
              <w:tab w:val="right" w:leader="dot" w:pos="9648"/>
            </w:tabs>
            <w:rPr>
              <w:sz w:val="21"/>
              <w:szCs w:val="21"/>
            </w:rPr>
          </w:pPr>
          <w:r>
            <w:rPr>
              <w:sz w:val="21"/>
              <w:szCs w:val="21"/>
            </w:rPr>
            <w:fldChar w:fldCharType="begin"/>
          </w:r>
          <w:r>
            <w:rPr>
              <w:sz w:val="21"/>
              <w:szCs w:val="21"/>
            </w:rPr>
            <w:instrText xml:space="preserve"> HYPERLINK \l _Toc21770 </w:instrText>
          </w:r>
          <w:r>
            <w:rPr>
              <w:sz w:val="21"/>
              <w:szCs w:val="21"/>
            </w:rPr>
            <w:fldChar w:fldCharType="separate"/>
          </w:r>
          <w:r>
            <w:rPr>
              <w:rFonts w:hint="default" w:eastAsia="黑体"/>
              <w:bCs w:val="0"/>
              <w:sz w:val="21"/>
              <w:szCs w:val="22"/>
            </w:rPr>
            <w:t xml:space="preserve">6. </w:t>
          </w:r>
          <w:r>
            <w:rPr>
              <w:rFonts w:ascii="Times New Roman" w:hAnsi="Times New Roman" w:eastAsia="黑体" w:cs="Times New Roman"/>
              <w:bCs w:val="0"/>
              <w:sz w:val="21"/>
              <w:szCs w:val="22"/>
            </w:rPr>
            <w:t>综合能耗平衡与能效自评估</w:t>
          </w:r>
          <w:r>
            <w:rPr>
              <w:sz w:val="21"/>
              <w:szCs w:val="21"/>
            </w:rPr>
            <w:tab/>
          </w:r>
          <w:r>
            <w:rPr>
              <w:sz w:val="21"/>
              <w:szCs w:val="21"/>
            </w:rPr>
            <w:fldChar w:fldCharType="begin"/>
          </w:r>
          <w:r>
            <w:rPr>
              <w:sz w:val="21"/>
              <w:szCs w:val="21"/>
            </w:rPr>
            <w:instrText xml:space="preserve"> PAGEREF _Toc21770 \h </w:instrText>
          </w:r>
          <w:r>
            <w:rPr>
              <w:sz w:val="21"/>
              <w:szCs w:val="21"/>
            </w:rPr>
            <w:fldChar w:fldCharType="separate"/>
          </w:r>
          <w:r>
            <w:rPr>
              <w:sz w:val="21"/>
              <w:szCs w:val="21"/>
            </w:rPr>
            <w:t>64</w:t>
          </w:r>
          <w:r>
            <w:rPr>
              <w:sz w:val="21"/>
              <w:szCs w:val="21"/>
            </w:rPr>
            <w:fldChar w:fldCharType="end"/>
          </w:r>
          <w:r>
            <w:rPr>
              <w:sz w:val="21"/>
              <w:szCs w:val="21"/>
            </w:rPr>
            <w:fldChar w:fldCharType="end"/>
          </w:r>
        </w:p>
        <w:p w14:paraId="0EB4990F">
          <w:pPr>
            <w:pStyle w:val="27"/>
            <w:tabs>
              <w:tab w:val="right" w:leader="dot" w:pos="9648"/>
            </w:tabs>
            <w:rPr>
              <w:sz w:val="21"/>
              <w:szCs w:val="21"/>
            </w:rPr>
          </w:pPr>
          <w:r>
            <w:rPr>
              <w:sz w:val="21"/>
              <w:szCs w:val="21"/>
            </w:rPr>
            <w:fldChar w:fldCharType="begin"/>
          </w:r>
          <w:r>
            <w:rPr>
              <w:sz w:val="21"/>
              <w:szCs w:val="21"/>
            </w:rPr>
            <w:instrText xml:space="preserve"> HYPERLINK \l _Toc19522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零碳项目评估</w:t>
          </w:r>
          <w:r>
            <w:rPr>
              <w:sz w:val="21"/>
              <w:szCs w:val="21"/>
            </w:rPr>
            <w:tab/>
          </w:r>
          <w:r>
            <w:rPr>
              <w:sz w:val="21"/>
              <w:szCs w:val="21"/>
            </w:rPr>
            <w:fldChar w:fldCharType="begin"/>
          </w:r>
          <w:r>
            <w:rPr>
              <w:sz w:val="21"/>
              <w:szCs w:val="21"/>
            </w:rPr>
            <w:instrText xml:space="preserve"> PAGEREF _Toc19522 \h </w:instrText>
          </w:r>
          <w:r>
            <w:rPr>
              <w:sz w:val="21"/>
              <w:szCs w:val="21"/>
            </w:rPr>
            <w:fldChar w:fldCharType="separate"/>
          </w:r>
          <w:r>
            <w:rPr>
              <w:sz w:val="21"/>
              <w:szCs w:val="21"/>
            </w:rPr>
            <w:t>66</w:t>
          </w:r>
          <w:r>
            <w:rPr>
              <w:sz w:val="21"/>
              <w:szCs w:val="21"/>
            </w:rPr>
            <w:fldChar w:fldCharType="end"/>
          </w:r>
          <w:r>
            <w:rPr>
              <w:sz w:val="21"/>
              <w:szCs w:val="21"/>
            </w:rPr>
            <w:fldChar w:fldCharType="end"/>
          </w:r>
        </w:p>
        <w:p w14:paraId="7D78B8AA">
          <w:pPr>
            <w:pStyle w:val="31"/>
            <w:tabs>
              <w:tab w:val="right" w:leader="dot" w:pos="9648"/>
            </w:tabs>
            <w:rPr>
              <w:sz w:val="21"/>
              <w:szCs w:val="21"/>
            </w:rPr>
          </w:pPr>
          <w:r>
            <w:rPr>
              <w:sz w:val="21"/>
              <w:szCs w:val="21"/>
            </w:rPr>
            <w:fldChar w:fldCharType="begin"/>
          </w:r>
          <w:r>
            <w:rPr>
              <w:sz w:val="21"/>
              <w:szCs w:val="21"/>
            </w:rPr>
            <w:instrText xml:space="preserve"> HYPERLINK \l _Toc20449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项目档案管理</w:t>
          </w:r>
          <w:r>
            <w:rPr>
              <w:sz w:val="21"/>
              <w:szCs w:val="21"/>
            </w:rPr>
            <w:tab/>
          </w:r>
          <w:r>
            <w:rPr>
              <w:sz w:val="21"/>
              <w:szCs w:val="21"/>
            </w:rPr>
            <w:fldChar w:fldCharType="begin"/>
          </w:r>
          <w:r>
            <w:rPr>
              <w:sz w:val="21"/>
              <w:szCs w:val="21"/>
            </w:rPr>
            <w:instrText xml:space="preserve"> PAGEREF _Toc20449 \h </w:instrText>
          </w:r>
          <w:r>
            <w:rPr>
              <w:sz w:val="21"/>
              <w:szCs w:val="21"/>
            </w:rPr>
            <w:fldChar w:fldCharType="separate"/>
          </w:r>
          <w:r>
            <w:rPr>
              <w:sz w:val="21"/>
              <w:szCs w:val="21"/>
            </w:rPr>
            <w:t>67</w:t>
          </w:r>
          <w:r>
            <w:rPr>
              <w:sz w:val="21"/>
              <w:szCs w:val="21"/>
            </w:rPr>
            <w:fldChar w:fldCharType="end"/>
          </w:r>
          <w:r>
            <w:rPr>
              <w:sz w:val="21"/>
              <w:szCs w:val="21"/>
            </w:rPr>
            <w:fldChar w:fldCharType="end"/>
          </w:r>
        </w:p>
        <w:p w14:paraId="5D73444F">
          <w:pPr>
            <w:pStyle w:val="31"/>
            <w:tabs>
              <w:tab w:val="right" w:leader="dot" w:pos="9648"/>
            </w:tabs>
            <w:rPr>
              <w:sz w:val="21"/>
              <w:szCs w:val="21"/>
            </w:rPr>
          </w:pPr>
          <w:r>
            <w:rPr>
              <w:sz w:val="21"/>
              <w:szCs w:val="21"/>
            </w:rPr>
            <w:fldChar w:fldCharType="begin"/>
          </w:r>
          <w:r>
            <w:rPr>
              <w:sz w:val="21"/>
              <w:szCs w:val="21"/>
            </w:rPr>
            <w:instrText xml:space="preserve"> HYPERLINK \l _Toc5210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实时监控</w:t>
          </w:r>
          <w:r>
            <w:rPr>
              <w:sz w:val="21"/>
              <w:szCs w:val="21"/>
            </w:rPr>
            <w:tab/>
          </w:r>
          <w:r>
            <w:rPr>
              <w:sz w:val="21"/>
              <w:szCs w:val="21"/>
            </w:rPr>
            <w:fldChar w:fldCharType="begin"/>
          </w:r>
          <w:r>
            <w:rPr>
              <w:sz w:val="21"/>
              <w:szCs w:val="21"/>
            </w:rPr>
            <w:instrText xml:space="preserve"> PAGEREF _Toc5210 \h </w:instrText>
          </w:r>
          <w:r>
            <w:rPr>
              <w:sz w:val="21"/>
              <w:szCs w:val="21"/>
            </w:rPr>
            <w:fldChar w:fldCharType="separate"/>
          </w:r>
          <w:r>
            <w:rPr>
              <w:sz w:val="21"/>
              <w:szCs w:val="21"/>
            </w:rPr>
            <w:t>70</w:t>
          </w:r>
          <w:r>
            <w:rPr>
              <w:sz w:val="21"/>
              <w:szCs w:val="21"/>
            </w:rPr>
            <w:fldChar w:fldCharType="end"/>
          </w:r>
          <w:r>
            <w:rPr>
              <w:sz w:val="21"/>
              <w:szCs w:val="21"/>
            </w:rPr>
            <w:fldChar w:fldCharType="end"/>
          </w:r>
        </w:p>
        <w:p w14:paraId="12383BD2">
          <w:pPr>
            <w:pStyle w:val="31"/>
            <w:tabs>
              <w:tab w:val="right" w:leader="dot" w:pos="9648"/>
            </w:tabs>
            <w:rPr>
              <w:sz w:val="21"/>
              <w:szCs w:val="21"/>
            </w:rPr>
          </w:pPr>
          <w:r>
            <w:rPr>
              <w:sz w:val="21"/>
              <w:szCs w:val="21"/>
            </w:rPr>
            <w:fldChar w:fldCharType="begin"/>
          </w:r>
          <w:r>
            <w:rPr>
              <w:sz w:val="21"/>
              <w:szCs w:val="21"/>
            </w:rPr>
            <w:instrText xml:space="preserve"> HYPERLINK \l _Toc30561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项目运行评估</w:t>
          </w:r>
          <w:r>
            <w:rPr>
              <w:sz w:val="21"/>
              <w:szCs w:val="21"/>
            </w:rPr>
            <w:tab/>
          </w:r>
          <w:r>
            <w:rPr>
              <w:sz w:val="21"/>
              <w:szCs w:val="21"/>
            </w:rPr>
            <w:fldChar w:fldCharType="begin"/>
          </w:r>
          <w:r>
            <w:rPr>
              <w:sz w:val="21"/>
              <w:szCs w:val="21"/>
            </w:rPr>
            <w:instrText xml:space="preserve"> PAGEREF _Toc30561 \h </w:instrText>
          </w:r>
          <w:r>
            <w:rPr>
              <w:sz w:val="21"/>
              <w:szCs w:val="21"/>
            </w:rPr>
            <w:fldChar w:fldCharType="separate"/>
          </w:r>
          <w:r>
            <w:rPr>
              <w:sz w:val="21"/>
              <w:szCs w:val="21"/>
            </w:rPr>
            <w:t>73</w:t>
          </w:r>
          <w:r>
            <w:rPr>
              <w:sz w:val="21"/>
              <w:szCs w:val="21"/>
            </w:rPr>
            <w:fldChar w:fldCharType="end"/>
          </w:r>
          <w:r>
            <w:rPr>
              <w:sz w:val="21"/>
              <w:szCs w:val="21"/>
            </w:rPr>
            <w:fldChar w:fldCharType="end"/>
          </w:r>
        </w:p>
        <w:p w14:paraId="4FDC8382">
          <w:pPr>
            <w:pStyle w:val="31"/>
            <w:tabs>
              <w:tab w:val="right" w:leader="dot" w:pos="9648"/>
            </w:tabs>
            <w:rPr>
              <w:sz w:val="21"/>
              <w:szCs w:val="21"/>
            </w:rPr>
          </w:pPr>
          <w:r>
            <w:rPr>
              <w:sz w:val="21"/>
              <w:szCs w:val="21"/>
            </w:rPr>
            <w:fldChar w:fldCharType="begin"/>
          </w:r>
          <w:r>
            <w:rPr>
              <w:sz w:val="21"/>
              <w:szCs w:val="21"/>
            </w:rPr>
            <w:instrText xml:space="preserve"> HYPERLINK \l _Toc8615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零碳工厂自评估</w:t>
          </w:r>
          <w:r>
            <w:rPr>
              <w:sz w:val="21"/>
              <w:szCs w:val="21"/>
            </w:rPr>
            <w:tab/>
          </w:r>
          <w:r>
            <w:rPr>
              <w:sz w:val="21"/>
              <w:szCs w:val="21"/>
            </w:rPr>
            <w:fldChar w:fldCharType="begin"/>
          </w:r>
          <w:r>
            <w:rPr>
              <w:sz w:val="21"/>
              <w:szCs w:val="21"/>
            </w:rPr>
            <w:instrText xml:space="preserve"> PAGEREF _Toc8615 \h </w:instrText>
          </w:r>
          <w:r>
            <w:rPr>
              <w:sz w:val="21"/>
              <w:szCs w:val="21"/>
            </w:rPr>
            <w:fldChar w:fldCharType="separate"/>
          </w:r>
          <w:r>
            <w:rPr>
              <w:sz w:val="21"/>
              <w:szCs w:val="21"/>
            </w:rPr>
            <w:t>77</w:t>
          </w:r>
          <w:r>
            <w:rPr>
              <w:sz w:val="21"/>
              <w:szCs w:val="21"/>
            </w:rPr>
            <w:fldChar w:fldCharType="end"/>
          </w:r>
          <w:r>
            <w:rPr>
              <w:sz w:val="21"/>
              <w:szCs w:val="21"/>
            </w:rPr>
            <w:fldChar w:fldCharType="end"/>
          </w:r>
        </w:p>
        <w:p w14:paraId="55348079">
          <w:pPr>
            <w:pStyle w:val="27"/>
            <w:tabs>
              <w:tab w:val="right" w:leader="dot" w:pos="9648"/>
            </w:tabs>
            <w:rPr>
              <w:sz w:val="21"/>
              <w:szCs w:val="21"/>
            </w:rPr>
          </w:pPr>
          <w:r>
            <w:rPr>
              <w:sz w:val="21"/>
              <w:szCs w:val="21"/>
            </w:rPr>
            <w:fldChar w:fldCharType="begin"/>
          </w:r>
          <w:r>
            <w:rPr>
              <w:sz w:val="21"/>
              <w:szCs w:val="21"/>
            </w:rPr>
            <w:instrText xml:space="preserve"> HYPERLINK \l _Toc15026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统计报表</w:t>
          </w:r>
          <w:r>
            <w:rPr>
              <w:sz w:val="21"/>
              <w:szCs w:val="21"/>
            </w:rPr>
            <w:tab/>
          </w:r>
          <w:r>
            <w:rPr>
              <w:sz w:val="21"/>
              <w:szCs w:val="21"/>
            </w:rPr>
            <w:fldChar w:fldCharType="begin"/>
          </w:r>
          <w:r>
            <w:rPr>
              <w:sz w:val="21"/>
              <w:szCs w:val="21"/>
            </w:rPr>
            <w:instrText xml:space="preserve"> PAGEREF _Toc15026 \h </w:instrText>
          </w:r>
          <w:r>
            <w:rPr>
              <w:sz w:val="21"/>
              <w:szCs w:val="21"/>
            </w:rPr>
            <w:fldChar w:fldCharType="separate"/>
          </w:r>
          <w:r>
            <w:rPr>
              <w:sz w:val="21"/>
              <w:szCs w:val="21"/>
            </w:rPr>
            <w:t>80</w:t>
          </w:r>
          <w:r>
            <w:rPr>
              <w:sz w:val="21"/>
              <w:szCs w:val="21"/>
            </w:rPr>
            <w:fldChar w:fldCharType="end"/>
          </w:r>
          <w:r>
            <w:rPr>
              <w:sz w:val="21"/>
              <w:szCs w:val="21"/>
            </w:rPr>
            <w:fldChar w:fldCharType="end"/>
          </w:r>
        </w:p>
        <w:p w14:paraId="165B39AE">
          <w:pPr>
            <w:pStyle w:val="31"/>
            <w:tabs>
              <w:tab w:val="right" w:leader="dot" w:pos="9648"/>
            </w:tabs>
            <w:rPr>
              <w:sz w:val="21"/>
              <w:szCs w:val="21"/>
            </w:rPr>
          </w:pPr>
          <w:r>
            <w:rPr>
              <w:sz w:val="21"/>
              <w:szCs w:val="21"/>
            </w:rPr>
            <w:fldChar w:fldCharType="begin"/>
          </w:r>
          <w:r>
            <w:rPr>
              <w:sz w:val="21"/>
              <w:szCs w:val="21"/>
            </w:rPr>
            <w:instrText xml:space="preserve"> HYPERLINK \l _Toc12842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用能报表</w:t>
          </w:r>
          <w:r>
            <w:rPr>
              <w:sz w:val="21"/>
              <w:szCs w:val="21"/>
            </w:rPr>
            <w:tab/>
          </w:r>
          <w:r>
            <w:rPr>
              <w:sz w:val="21"/>
              <w:szCs w:val="21"/>
            </w:rPr>
            <w:fldChar w:fldCharType="begin"/>
          </w:r>
          <w:r>
            <w:rPr>
              <w:sz w:val="21"/>
              <w:szCs w:val="21"/>
            </w:rPr>
            <w:instrText xml:space="preserve"> PAGEREF _Toc12842 \h </w:instrText>
          </w:r>
          <w:r>
            <w:rPr>
              <w:sz w:val="21"/>
              <w:szCs w:val="21"/>
            </w:rPr>
            <w:fldChar w:fldCharType="separate"/>
          </w:r>
          <w:r>
            <w:rPr>
              <w:sz w:val="21"/>
              <w:szCs w:val="21"/>
            </w:rPr>
            <w:t>81</w:t>
          </w:r>
          <w:r>
            <w:rPr>
              <w:sz w:val="21"/>
              <w:szCs w:val="21"/>
            </w:rPr>
            <w:fldChar w:fldCharType="end"/>
          </w:r>
          <w:r>
            <w:rPr>
              <w:sz w:val="21"/>
              <w:szCs w:val="21"/>
            </w:rPr>
            <w:fldChar w:fldCharType="end"/>
          </w:r>
        </w:p>
        <w:p w14:paraId="340BB0EC">
          <w:pPr>
            <w:pStyle w:val="31"/>
            <w:tabs>
              <w:tab w:val="right" w:leader="dot" w:pos="9648"/>
            </w:tabs>
            <w:rPr>
              <w:sz w:val="21"/>
              <w:szCs w:val="21"/>
            </w:rPr>
          </w:pPr>
          <w:r>
            <w:rPr>
              <w:sz w:val="21"/>
              <w:szCs w:val="21"/>
            </w:rPr>
            <w:fldChar w:fldCharType="begin"/>
          </w:r>
          <w:r>
            <w:rPr>
              <w:sz w:val="21"/>
              <w:szCs w:val="21"/>
            </w:rPr>
            <w:instrText xml:space="preserve"> HYPERLINK \l _Toc9574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成本报表</w:t>
          </w:r>
          <w:r>
            <w:rPr>
              <w:sz w:val="21"/>
              <w:szCs w:val="21"/>
            </w:rPr>
            <w:tab/>
          </w:r>
          <w:r>
            <w:rPr>
              <w:sz w:val="21"/>
              <w:szCs w:val="21"/>
            </w:rPr>
            <w:fldChar w:fldCharType="begin"/>
          </w:r>
          <w:r>
            <w:rPr>
              <w:sz w:val="21"/>
              <w:szCs w:val="21"/>
            </w:rPr>
            <w:instrText xml:space="preserve"> PAGEREF _Toc9574 \h </w:instrText>
          </w:r>
          <w:r>
            <w:rPr>
              <w:sz w:val="21"/>
              <w:szCs w:val="21"/>
            </w:rPr>
            <w:fldChar w:fldCharType="separate"/>
          </w:r>
          <w:r>
            <w:rPr>
              <w:sz w:val="21"/>
              <w:szCs w:val="21"/>
            </w:rPr>
            <w:t>85</w:t>
          </w:r>
          <w:r>
            <w:rPr>
              <w:sz w:val="21"/>
              <w:szCs w:val="21"/>
            </w:rPr>
            <w:fldChar w:fldCharType="end"/>
          </w:r>
          <w:r>
            <w:rPr>
              <w:sz w:val="21"/>
              <w:szCs w:val="21"/>
            </w:rPr>
            <w:fldChar w:fldCharType="end"/>
          </w:r>
        </w:p>
        <w:p w14:paraId="5D7E11C4">
          <w:pPr>
            <w:pStyle w:val="31"/>
            <w:tabs>
              <w:tab w:val="right" w:leader="dot" w:pos="9648"/>
            </w:tabs>
            <w:rPr>
              <w:sz w:val="21"/>
              <w:szCs w:val="21"/>
            </w:rPr>
          </w:pPr>
          <w:r>
            <w:rPr>
              <w:sz w:val="21"/>
              <w:szCs w:val="21"/>
            </w:rPr>
            <w:fldChar w:fldCharType="begin"/>
          </w:r>
          <w:r>
            <w:rPr>
              <w:sz w:val="21"/>
              <w:szCs w:val="21"/>
            </w:rPr>
            <w:instrText xml:space="preserve"> HYPERLINK \l _Toc6777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单耗报表</w:t>
          </w:r>
          <w:r>
            <w:rPr>
              <w:sz w:val="21"/>
              <w:szCs w:val="21"/>
            </w:rPr>
            <w:tab/>
          </w:r>
          <w:r>
            <w:rPr>
              <w:sz w:val="21"/>
              <w:szCs w:val="21"/>
            </w:rPr>
            <w:fldChar w:fldCharType="begin"/>
          </w:r>
          <w:r>
            <w:rPr>
              <w:sz w:val="21"/>
              <w:szCs w:val="21"/>
            </w:rPr>
            <w:instrText xml:space="preserve"> PAGEREF _Toc6777 \h </w:instrText>
          </w:r>
          <w:r>
            <w:rPr>
              <w:sz w:val="21"/>
              <w:szCs w:val="21"/>
            </w:rPr>
            <w:fldChar w:fldCharType="separate"/>
          </w:r>
          <w:r>
            <w:rPr>
              <w:sz w:val="21"/>
              <w:szCs w:val="21"/>
            </w:rPr>
            <w:t>88</w:t>
          </w:r>
          <w:r>
            <w:rPr>
              <w:sz w:val="21"/>
              <w:szCs w:val="21"/>
            </w:rPr>
            <w:fldChar w:fldCharType="end"/>
          </w:r>
          <w:r>
            <w:rPr>
              <w:sz w:val="21"/>
              <w:szCs w:val="21"/>
            </w:rPr>
            <w:fldChar w:fldCharType="end"/>
          </w:r>
        </w:p>
        <w:p w14:paraId="2FFCF361">
          <w:pPr>
            <w:pStyle w:val="27"/>
            <w:tabs>
              <w:tab w:val="right" w:leader="dot" w:pos="9648"/>
            </w:tabs>
            <w:rPr>
              <w:sz w:val="21"/>
              <w:szCs w:val="21"/>
            </w:rPr>
          </w:pPr>
          <w:r>
            <w:rPr>
              <w:sz w:val="21"/>
              <w:szCs w:val="21"/>
            </w:rPr>
            <w:fldChar w:fldCharType="begin"/>
          </w:r>
          <w:r>
            <w:rPr>
              <w:sz w:val="21"/>
              <w:szCs w:val="21"/>
            </w:rPr>
            <w:instrText xml:space="preserve"> HYPERLINK \l _Toc31707 </w:instrText>
          </w:r>
          <w:r>
            <w:rPr>
              <w:sz w:val="21"/>
              <w:szCs w:val="21"/>
            </w:rPr>
            <w:fldChar w:fldCharType="separate"/>
          </w:r>
          <w:r>
            <w:rPr>
              <w:rFonts w:hint="eastAsia" w:eastAsia="黑体"/>
              <w:bCs w:val="0"/>
              <w:sz w:val="21"/>
              <w:szCs w:val="28"/>
            </w:rPr>
            <w:t xml:space="preserve">六、 </w:t>
          </w:r>
          <w:r>
            <w:rPr>
              <w:rFonts w:ascii="Times New Roman" w:hAnsi="Times New Roman" w:eastAsia="黑体" w:cs="Times New Roman"/>
              <w:bCs w:val="0"/>
              <w:sz w:val="21"/>
              <w:szCs w:val="28"/>
            </w:rPr>
            <w:t>基础管理</w:t>
          </w:r>
          <w:r>
            <w:rPr>
              <w:sz w:val="21"/>
              <w:szCs w:val="21"/>
            </w:rPr>
            <w:tab/>
          </w:r>
          <w:r>
            <w:rPr>
              <w:sz w:val="21"/>
              <w:szCs w:val="21"/>
            </w:rPr>
            <w:fldChar w:fldCharType="begin"/>
          </w:r>
          <w:r>
            <w:rPr>
              <w:sz w:val="21"/>
              <w:szCs w:val="21"/>
            </w:rPr>
            <w:instrText xml:space="preserve"> PAGEREF _Toc31707 \h </w:instrText>
          </w:r>
          <w:r>
            <w:rPr>
              <w:sz w:val="21"/>
              <w:szCs w:val="21"/>
            </w:rPr>
            <w:fldChar w:fldCharType="separate"/>
          </w:r>
          <w:r>
            <w:rPr>
              <w:sz w:val="21"/>
              <w:szCs w:val="21"/>
            </w:rPr>
            <w:t>91</w:t>
          </w:r>
          <w:r>
            <w:rPr>
              <w:sz w:val="21"/>
              <w:szCs w:val="21"/>
            </w:rPr>
            <w:fldChar w:fldCharType="end"/>
          </w:r>
          <w:r>
            <w:rPr>
              <w:sz w:val="21"/>
              <w:szCs w:val="21"/>
            </w:rPr>
            <w:fldChar w:fldCharType="end"/>
          </w:r>
        </w:p>
        <w:p w14:paraId="15DEC28C">
          <w:pPr>
            <w:pStyle w:val="31"/>
            <w:tabs>
              <w:tab w:val="right" w:leader="dot" w:pos="9648"/>
            </w:tabs>
            <w:rPr>
              <w:sz w:val="21"/>
              <w:szCs w:val="21"/>
            </w:rPr>
          </w:pPr>
          <w:r>
            <w:rPr>
              <w:sz w:val="21"/>
              <w:szCs w:val="21"/>
            </w:rPr>
            <w:fldChar w:fldCharType="begin"/>
          </w:r>
          <w:r>
            <w:rPr>
              <w:sz w:val="21"/>
              <w:szCs w:val="21"/>
            </w:rPr>
            <w:instrText xml:space="preserve"> HYPERLINK \l _Toc20240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数据录入</w:t>
          </w:r>
          <w:r>
            <w:rPr>
              <w:sz w:val="21"/>
              <w:szCs w:val="21"/>
            </w:rPr>
            <w:tab/>
          </w:r>
          <w:r>
            <w:rPr>
              <w:sz w:val="21"/>
              <w:szCs w:val="21"/>
            </w:rPr>
            <w:fldChar w:fldCharType="begin"/>
          </w:r>
          <w:r>
            <w:rPr>
              <w:sz w:val="21"/>
              <w:szCs w:val="21"/>
            </w:rPr>
            <w:instrText xml:space="preserve"> PAGEREF _Toc20240 \h </w:instrText>
          </w:r>
          <w:r>
            <w:rPr>
              <w:sz w:val="21"/>
              <w:szCs w:val="21"/>
            </w:rPr>
            <w:fldChar w:fldCharType="separate"/>
          </w:r>
          <w:r>
            <w:rPr>
              <w:sz w:val="21"/>
              <w:szCs w:val="21"/>
            </w:rPr>
            <w:t>91</w:t>
          </w:r>
          <w:r>
            <w:rPr>
              <w:sz w:val="21"/>
              <w:szCs w:val="21"/>
            </w:rPr>
            <w:fldChar w:fldCharType="end"/>
          </w:r>
          <w:r>
            <w:rPr>
              <w:sz w:val="21"/>
              <w:szCs w:val="21"/>
            </w:rPr>
            <w:fldChar w:fldCharType="end"/>
          </w:r>
        </w:p>
        <w:p w14:paraId="471A2C2E">
          <w:pPr>
            <w:pStyle w:val="31"/>
            <w:tabs>
              <w:tab w:val="right" w:leader="dot" w:pos="9648"/>
            </w:tabs>
            <w:rPr>
              <w:sz w:val="21"/>
              <w:szCs w:val="21"/>
            </w:rPr>
          </w:pPr>
          <w:r>
            <w:rPr>
              <w:sz w:val="21"/>
              <w:szCs w:val="21"/>
            </w:rPr>
            <w:fldChar w:fldCharType="begin"/>
          </w:r>
          <w:r>
            <w:rPr>
              <w:sz w:val="21"/>
              <w:szCs w:val="21"/>
            </w:rPr>
            <w:instrText xml:space="preserve"> HYPERLINK \l _Toc979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基础参数配置</w:t>
          </w:r>
          <w:r>
            <w:rPr>
              <w:sz w:val="21"/>
              <w:szCs w:val="21"/>
            </w:rPr>
            <w:tab/>
          </w:r>
          <w:r>
            <w:rPr>
              <w:sz w:val="21"/>
              <w:szCs w:val="21"/>
            </w:rPr>
            <w:fldChar w:fldCharType="begin"/>
          </w:r>
          <w:r>
            <w:rPr>
              <w:sz w:val="21"/>
              <w:szCs w:val="21"/>
            </w:rPr>
            <w:instrText xml:space="preserve"> PAGEREF _Toc979 \h </w:instrText>
          </w:r>
          <w:r>
            <w:rPr>
              <w:sz w:val="21"/>
              <w:szCs w:val="21"/>
            </w:rPr>
            <w:fldChar w:fldCharType="separate"/>
          </w:r>
          <w:r>
            <w:rPr>
              <w:sz w:val="21"/>
              <w:szCs w:val="21"/>
            </w:rPr>
            <w:t>96</w:t>
          </w:r>
          <w:r>
            <w:rPr>
              <w:sz w:val="21"/>
              <w:szCs w:val="21"/>
            </w:rPr>
            <w:fldChar w:fldCharType="end"/>
          </w:r>
          <w:r>
            <w:rPr>
              <w:sz w:val="21"/>
              <w:szCs w:val="21"/>
            </w:rPr>
            <w:fldChar w:fldCharType="end"/>
          </w:r>
        </w:p>
        <w:p w14:paraId="70761066">
          <w:pPr>
            <w:pStyle w:val="27"/>
            <w:tabs>
              <w:tab w:val="right" w:leader="dot" w:pos="9648"/>
            </w:tabs>
            <w:rPr>
              <w:sz w:val="21"/>
              <w:szCs w:val="21"/>
            </w:rPr>
          </w:pPr>
          <w:r>
            <w:rPr>
              <w:sz w:val="21"/>
              <w:szCs w:val="21"/>
            </w:rPr>
            <w:fldChar w:fldCharType="begin"/>
          </w:r>
          <w:r>
            <w:rPr>
              <w:sz w:val="21"/>
              <w:szCs w:val="21"/>
            </w:rPr>
            <w:instrText xml:space="preserve"> HYPERLINK \l _Toc23830 </w:instrText>
          </w:r>
          <w:r>
            <w:rPr>
              <w:sz w:val="21"/>
              <w:szCs w:val="21"/>
            </w:rPr>
            <w:fldChar w:fldCharType="separate"/>
          </w:r>
          <w:r>
            <w:rPr>
              <w:rFonts w:hint="eastAsia" w:eastAsia="黑体"/>
              <w:bCs w:val="0"/>
              <w:sz w:val="21"/>
              <w:szCs w:val="40"/>
            </w:rPr>
            <w:t xml:space="preserve">第三章 </w:t>
          </w:r>
          <w:r>
            <w:rPr>
              <w:rFonts w:ascii="Times New Roman" w:hAnsi="Times New Roman" w:eastAsia="黑体" w:cs="Times New Roman"/>
              <w:bCs w:val="0"/>
              <w:sz w:val="21"/>
              <w:szCs w:val="40"/>
            </w:rPr>
            <w:t>产品碳足迹集采中心功能需求规格</w:t>
          </w:r>
          <w:r>
            <w:rPr>
              <w:sz w:val="21"/>
              <w:szCs w:val="21"/>
            </w:rPr>
            <w:tab/>
          </w:r>
          <w:r>
            <w:rPr>
              <w:sz w:val="21"/>
              <w:szCs w:val="21"/>
            </w:rPr>
            <w:fldChar w:fldCharType="begin"/>
          </w:r>
          <w:r>
            <w:rPr>
              <w:sz w:val="21"/>
              <w:szCs w:val="21"/>
            </w:rPr>
            <w:instrText xml:space="preserve"> PAGEREF _Toc23830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36AB5949">
          <w:pPr>
            <w:pStyle w:val="27"/>
            <w:tabs>
              <w:tab w:val="right" w:leader="dot" w:pos="9648"/>
            </w:tabs>
            <w:rPr>
              <w:sz w:val="21"/>
              <w:szCs w:val="21"/>
            </w:rPr>
          </w:pPr>
          <w:r>
            <w:rPr>
              <w:sz w:val="21"/>
              <w:szCs w:val="21"/>
            </w:rPr>
            <w:fldChar w:fldCharType="begin"/>
          </w:r>
          <w:r>
            <w:rPr>
              <w:sz w:val="21"/>
              <w:szCs w:val="21"/>
            </w:rPr>
            <w:instrText xml:space="preserve"> HYPERLINK \l _Toc8855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对外示范窗口</w:t>
          </w:r>
          <w:r>
            <w:rPr>
              <w:sz w:val="21"/>
              <w:szCs w:val="21"/>
            </w:rPr>
            <w:tab/>
          </w:r>
          <w:r>
            <w:rPr>
              <w:sz w:val="21"/>
              <w:szCs w:val="21"/>
            </w:rPr>
            <w:fldChar w:fldCharType="begin"/>
          </w:r>
          <w:r>
            <w:rPr>
              <w:sz w:val="21"/>
              <w:szCs w:val="21"/>
            </w:rPr>
            <w:instrText xml:space="preserve"> PAGEREF _Toc8855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5C05A666">
          <w:pPr>
            <w:pStyle w:val="31"/>
            <w:tabs>
              <w:tab w:val="right" w:leader="dot" w:pos="9648"/>
            </w:tabs>
            <w:rPr>
              <w:sz w:val="21"/>
              <w:szCs w:val="21"/>
            </w:rPr>
          </w:pPr>
          <w:r>
            <w:rPr>
              <w:sz w:val="21"/>
              <w:szCs w:val="21"/>
            </w:rPr>
            <w:fldChar w:fldCharType="begin"/>
          </w:r>
          <w:r>
            <w:rPr>
              <w:sz w:val="21"/>
              <w:szCs w:val="21"/>
            </w:rPr>
            <w:instrText xml:space="preserve"> HYPERLINK \l _Toc30314 </w:instrText>
          </w:r>
          <w:r>
            <w:rPr>
              <w:sz w:val="21"/>
              <w:szCs w:val="21"/>
            </w:rPr>
            <w:fldChar w:fldCharType="separate"/>
          </w:r>
          <w:r>
            <w:rPr>
              <w:rFonts w:ascii="Times New Roman" w:hAnsi="Times New Roman" w:eastAsia="黑体" w:cs="Times New Roman"/>
              <w:bCs w:val="0"/>
              <w:sz w:val="21"/>
              <w:szCs w:val="22"/>
            </w:rPr>
            <w:t>1. 碳足迹总览驾驶舱</w:t>
          </w:r>
          <w:r>
            <w:rPr>
              <w:sz w:val="21"/>
              <w:szCs w:val="21"/>
            </w:rPr>
            <w:tab/>
          </w:r>
          <w:r>
            <w:rPr>
              <w:sz w:val="21"/>
              <w:szCs w:val="21"/>
            </w:rPr>
            <w:fldChar w:fldCharType="begin"/>
          </w:r>
          <w:r>
            <w:rPr>
              <w:sz w:val="21"/>
              <w:szCs w:val="21"/>
            </w:rPr>
            <w:instrText xml:space="preserve"> PAGEREF _Toc30314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0AC1BE88">
          <w:pPr>
            <w:pStyle w:val="27"/>
            <w:tabs>
              <w:tab w:val="right" w:leader="dot" w:pos="9648"/>
            </w:tabs>
            <w:rPr>
              <w:sz w:val="21"/>
              <w:szCs w:val="21"/>
            </w:rPr>
          </w:pPr>
          <w:r>
            <w:rPr>
              <w:sz w:val="21"/>
              <w:szCs w:val="21"/>
            </w:rPr>
            <w:fldChar w:fldCharType="begin"/>
          </w:r>
          <w:r>
            <w:rPr>
              <w:sz w:val="21"/>
              <w:szCs w:val="21"/>
            </w:rPr>
            <w:instrText xml:space="preserve"> HYPERLINK \l _Toc1373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多维分析</w:t>
          </w:r>
          <w:r>
            <w:rPr>
              <w:sz w:val="21"/>
              <w:szCs w:val="21"/>
            </w:rPr>
            <w:tab/>
          </w:r>
          <w:r>
            <w:rPr>
              <w:sz w:val="21"/>
              <w:szCs w:val="21"/>
            </w:rPr>
            <w:fldChar w:fldCharType="begin"/>
          </w:r>
          <w:r>
            <w:rPr>
              <w:sz w:val="21"/>
              <w:szCs w:val="21"/>
            </w:rPr>
            <w:instrText xml:space="preserve"> PAGEREF _Toc1373 \h </w:instrText>
          </w:r>
          <w:r>
            <w:rPr>
              <w:sz w:val="21"/>
              <w:szCs w:val="21"/>
            </w:rPr>
            <w:fldChar w:fldCharType="separate"/>
          </w:r>
          <w:r>
            <w:rPr>
              <w:sz w:val="21"/>
              <w:szCs w:val="21"/>
            </w:rPr>
            <w:t>103</w:t>
          </w:r>
          <w:r>
            <w:rPr>
              <w:sz w:val="21"/>
              <w:szCs w:val="21"/>
            </w:rPr>
            <w:fldChar w:fldCharType="end"/>
          </w:r>
          <w:r>
            <w:rPr>
              <w:sz w:val="21"/>
              <w:szCs w:val="21"/>
            </w:rPr>
            <w:fldChar w:fldCharType="end"/>
          </w:r>
        </w:p>
        <w:p w14:paraId="6723A5B8">
          <w:pPr>
            <w:pStyle w:val="31"/>
            <w:tabs>
              <w:tab w:val="right" w:leader="dot" w:pos="9648"/>
            </w:tabs>
            <w:rPr>
              <w:sz w:val="21"/>
              <w:szCs w:val="21"/>
            </w:rPr>
          </w:pPr>
          <w:r>
            <w:rPr>
              <w:sz w:val="21"/>
              <w:szCs w:val="21"/>
            </w:rPr>
            <w:fldChar w:fldCharType="begin"/>
          </w:r>
          <w:r>
            <w:rPr>
              <w:sz w:val="21"/>
              <w:szCs w:val="21"/>
            </w:rPr>
            <w:instrText xml:space="preserve"> HYPERLINK \l _Toc4851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横向对比</w:t>
          </w:r>
          <w:r>
            <w:rPr>
              <w:sz w:val="21"/>
              <w:szCs w:val="21"/>
            </w:rPr>
            <w:tab/>
          </w:r>
          <w:r>
            <w:rPr>
              <w:sz w:val="21"/>
              <w:szCs w:val="21"/>
            </w:rPr>
            <w:fldChar w:fldCharType="begin"/>
          </w:r>
          <w:r>
            <w:rPr>
              <w:sz w:val="21"/>
              <w:szCs w:val="21"/>
            </w:rPr>
            <w:instrText xml:space="preserve"> PAGEREF _Toc4851 \h </w:instrText>
          </w:r>
          <w:r>
            <w:rPr>
              <w:sz w:val="21"/>
              <w:szCs w:val="21"/>
            </w:rPr>
            <w:fldChar w:fldCharType="separate"/>
          </w:r>
          <w:r>
            <w:rPr>
              <w:sz w:val="21"/>
              <w:szCs w:val="21"/>
            </w:rPr>
            <w:t>104</w:t>
          </w:r>
          <w:r>
            <w:rPr>
              <w:sz w:val="21"/>
              <w:szCs w:val="21"/>
            </w:rPr>
            <w:fldChar w:fldCharType="end"/>
          </w:r>
          <w:r>
            <w:rPr>
              <w:sz w:val="21"/>
              <w:szCs w:val="21"/>
            </w:rPr>
            <w:fldChar w:fldCharType="end"/>
          </w:r>
        </w:p>
        <w:p w14:paraId="1FAB7B50">
          <w:pPr>
            <w:pStyle w:val="31"/>
            <w:tabs>
              <w:tab w:val="right" w:leader="dot" w:pos="9648"/>
            </w:tabs>
            <w:rPr>
              <w:sz w:val="21"/>
              <w:szCs w:val="21"/>
            </w:rPr>
          </w:pPr>
          <w:r>
            <w:rPr>
              <w:sz w:val="21"/>
              <w:szCs w:val="21"/>
            </w:rPr>
            <w:fldChar w:fldCharType="begin"/>
          </w:r>
          <w:r>
            <w:rPr>
              <w:sz w:val="21"/>
              <w:szCs w:val="21"/>
            </w:rPr>
            <w:instrText xml:space="preserve"> HYPERLINK \l _Toc28114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纵向</w:t>
          </w:r>
          <w:r>
            <w:rPr>
              <w:rFonts w:hint="eastAsia" w:cs="Times New Roman"/>
              <w:bCs w:val="0"/>
              <w:sz w:val="21"/>
              <w:szCs w:val="22"/>
              <w:lang w:val="en-US" w:eastAsia="zh-CN"/>
            </w:rPr>
            <w:t>对比</w:t>
          </w:r>
          <w:r>
            <w:rPr>
              <w:sz w:val="21"/>
              <w:szCs w:val="21"/>
            </w:rPr>
            <w:tab/>
          </w:r>
          <w:r>
            <w:rPr>
              <w:sz w:val="21"/>
              <w:szCs w:val="21"/>
            </w:rPr>
            <w:fldChar w:fldCharType="begin"/>
          </w:r>
          <w:r>
            <w:rPr>
              <w:sz w:val="21"/>
              <w:szCs w:val="21"/>
            </w:rPr>
            <w:instrText xml:space="preserve"> PAGEREF _Toc28114 \h </w:instrText>
          </w:r>
          <w:r>
            <w:rPr>
              <w:sz w:val="21"/>
              <w:szCs w:val="21"/>
            </w:rPr>
            <w:fldChar w:fldCharType="separate"/>
          </w:r>
          <w:r>
            <w:rPr>
              <w:sz w:val="21"/>
              <w:szCs w:val="21"/>
            </w:rPr>
            <w:t>108</w:t>
          </w:r>
          <w:r>
            <w:rPr>
              <w:sz w:val="21"/>
              <w:szCs w:val="21"/>
            </w:rPr>
            <w:fldChar w:fldCharType="end"/>
          </w:r>
          <w:r>
            <w:rPr>
              <w:sz w:val="21"/>
              <w:szCs w:val="21"/>
            </w:rPr>
            <w:fldChar w:fldCharType="end"/>
          </w:r>
        </w:p>
        <w:p w14:paraId="3B9C72C7">
          <w:pPr>
            <w:pStyle w:val="27"/>
            <w:tabs>
              <w:tab w:val="right" w:leader="dot" w:pos="9648"/>
            </w:tabs>
            <w:rPr>
              <w:sz w:val="21"/>
              <w:szCs w:val="21"/>
            </w:rPr>
          </w:pPr>
          <w:r>
            <w:rPr>
              <w:sz w:val="21"/>
              <w:szCs w:val="21"/>
            </w:rPr>
            <w:fldChar w:fldCharType="begin"/>
          </w:r>
          <w:r>
            <w:rPr>
              <w:sz w:val="21"/>
              <w:szCs w:val="21"/>
            </w:rPr>
            <w:instrText xml:space="preserve"> HYPERLINK \l _Toc31107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实景数据库与碳足迹核算</w:t>
          </w:r>
          <w:r>
            <w:rPr>
              <w:sz w:val="21"/>
              <w:szCs w:val="21"/>
            </w:rPr>
            <w:tab/>
          </w:r>
          <w:r>
            <w:rPr>
              <w:sz w:val="21"/>
              <w:szCs w:val="21"/>
            </w:rPr>
            <w:fldChar w:fldCharType="begin"/>
          </w:r>
          <w:r>
            <w:rPr>
              <w:sz w:val="21"/>
              <w:szCs w:val="21"/>
            </w:rPr>
            <w:instrText xml:space="preserve"> PAGEREF _Toc31107 \h </w:instrText>
          </w:r>
          <w:r>
            <w:rPr>
              <w:sz w:val="21"/>
              <w:szCs w:val="21"/>
            </w:rPr>
            <w:fldChar w:fldCharType="separate"/>
          </w:r>
          <w:r>
            <w:rPr>
              <w:sz w:val="21"/>
              <w:szCs w:val="21"/>
            </w:rPr>
            <w:t>111</w:t>
          </w:r>
          <w:r>
            <w:rPr>
              <w:sz w:val="21"/>
              <w:szCs w:val="21"/>
            </w:rPr>
            <w:fldChar w:fldCharType="end"/>
          </w:r>
          <w:r>
            <w:rPr>
              <w:sz w:val="21"/>
              <w:szCs w:val="21"/>
            </w:rPr>
            <w:fldChar w:fldCharType="end"/>
          </w:r>
        </w:p>
        <w:p w14:paraId="74494C85">
          <w:pPr>
            <w:pStyle w:val="31"/>
            <w:tabs>
              <w:tab w:val="right" w:leader="dot" w:pos="9648"/>
            </w:tabs>
            <w:rPr>
              <w:sz w:val="21"/>
              <w:szCs w:val="21"/>
            </w:rPr>
          </w:pPr>
          <w:r>
            <w:rPr>
              <w:sz w:val="21"/>
              <w:szCs w:val="21"/>
            </w:rPr>
            <w:fldChar w:fldCharType="begin"/>
          </w:r>
          <w:r>
            <w:rPr>
              <w:sz w:val="21"/>
              <w:szCs w:val="21"/>
            </w:rPr>
            <w:instrText xml:space="preserve"> HYPERLINK \l _Toc19441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实景数据库</w:t>
          </w:r>
          <w:r>
            <w:rPr>
              <w:sz w:val="21"/>
              <w:szCs w:val="21"/>
            </w:rPr>
            <w:tab/>
          </w:r>
          <w:r>
            <w:rPr>
              <w:sz w:val="21"/>
              <w:szCs w:val="21"/>
            </w:rPr>
            <w:fldChar w:fldCharType="begin"/>
          </w:r>
          <w:r>
            <w:rPr>
              <w:sz w:val="21"/>
              <w:szCs w:val="21"/>
            </w:rPr>
            <w:instrText xml:space="preserve"> PAGEREF _Toc19441 \h </w:instrText>
          </w:r>
          <w:r>
            <w:rPr>
              <w:sz w:val="21"/>
              <w:szCs w:val="21"/>
            </w:rPr>
            <w:fldChar w:fldCharType="separate"/>
          </w:r>
          <w:r>
            <w:rPr>
              <w:sz w:val="21"/>
              <w:szCs w:val="21"/>
            </w:rPr>
            <w:t>112</w:t>
          </w:r>
          <w:r>
            <w:rPr>
              <w:sz w:val="21"/>
              <w:szCs w:val="21"/>
            </w:rPr>
            <w:fldChar w:fldCharType="end"/>
          </w:r>
          <w:r>
            <w:rPr>
              <w:sz w:val="21"/>
              <w:szCs w:val="21"/>
            </w:rPr>
            <w:fldChar w:fldCharType="end"/>
          </w:r>
        </w:p>
        <w:p w14:paraId="351D502A">
          <w:pPr>
            <w:pStyle w:val="31"/>
            <w:tabs>
              <w:tab w:val="right" w:leader="dot" w:pos="9648"/>
            </w:tabs>
            <w:rPr>
              <w:sz w:val="21"/>
              <w:szCs w:val="21"/>
            </w:rPr>
          </w:pPr>
          <w:r>
            <w:rPr>
              <w:sz w:val="21"/>
              <w:szCs w:val="21"/>
            </w:rPr>
            <w:fldChar w:fldCharType="begin"/>
          </w:r>
          <w:r>
            <w:rPr>
              <w:sz w:val="21"/>
              <w:szCs w:val="21"/>
            </w:rPr>
            <w:instrText xml:space="preserve"> HYPERLINK \l _Toc21717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碳足迹核算</w:t>
          </w:r>
          <w:r>
            <w:rPr>
              <w:sz w:val="21"/>
              <w:szCs w:val="21"/>
            </w:rPr>
            <w:tab/>
          </w:r>
          <w:r>
            <w:rPr>
              <w:sz w:val="21"/>
              <w:szCs w:val="21"/>
            </w:rPr>
            <w:fldChar w:fldCharType="begin"/>
          </w:r>
          <w:r>
            <w:rPr>
              <w:sz w:val="21"/>
              <w:szCs w:val="21"/>
            </w:rPr>
            <w:instrText xml:space="preserve"> PAGEREF _Toc21717 \h </w:instrText>
          </w:r>
          <w:r>
            <w:rPr>
              <w:sz w:val="21"/>
              <w:szCs w:val="21"/>
            </w:rPr>
            <w:fldChar w:fldCharType="separate"/>
          </w:r>
          <w:r>
            <w:rPr>
              <w:sz w:val="21"/>
              <w:szCs w:val="21"/>
            </w:rPr>
            <w:t>116</w:t>
          </w:r>
          <w:r>
            <w:rPr>
              <w:sz w:val="21"/>
              <w:szCs w:val="21"/>
            </w:rPr>
            <w:fldChar w:fldCharType="end"/>
          </w:r>
          <w:r>
            <w:rPr>
              <w:sz w:val="21"/>
              <w:szCs w:val="21"/>
            </w:rPr>
            <w:fldChar w:fldCharType="end"/>
          </w:r>
        </w:p>
        <w:p w14:paraId="6383C916">
          <w:pPr>
            <w:pStyle w:val="31"/>
            <w:tabs>
              <w:tab w:val="right" w:leader="dot" w:pos="9648"/>
            </w:tabs>
            <w:rPr>
              <w:sz w:val="21"/>
              <w:szCs w:val="21"/>
            </w:rPr>
          </w:pPr>
          <w:r>
            <w:rPr>
              <w:sz w:val="21"/>
              <w:szCs w:val="21"/>
            </w:rPr>
            <w:fldChar w:fldCharType="begin"/>
          </w:r>
          <w:r>
            <w:rPr>
              <w:sz w:val="21"/>
              <w:szCs w:val="21"/>
            </w:rPr>
            <w:instrText xml:space="preserve"> HYPERLINK \l _Toc22414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碳足迹报告</w:t>
          </w:r>
          <w:r>
            <w:rPr>
              <w:sz w:val="21"/>
              <w:szCs w:val="21"/>
            </w:rPr>
            <w:tab/>
          </w:r>
          <w:r>
            <w:rPr>
              <w:sz w:val="21"/>
              <w:szCs w:val="21"/>
            </w:rPr>
            <w:fldChar w:fldCharType="begin"/>
          </w:r>
          <w:r>
            <w:rPr>
              <w:sz w:val="21"/>
              <w:szCs w:val="21"/>
            </w:rPr>
            <w:instrText xml:space="preserve"> PAGEREF _Toc22414 \h </w:instrText>
          </w:r>
          <w:r>
            <w:rPr>
              <w:sz w:val="21"/>
              <w:szCs w:val="21"/>
            </w:rPr>
            <w:fldChar w:fldCharType="separate"/>
          </w:r>
          <w:r>
            <w:rPr>
              <w:sz w:val="21"/>
              <w:szCs w:val="21"/>
            </w:rPr>
            <w:t>122</w:t>
          </w:r>
          <w:r>
            <w:rPr>
              <w:sz w:val="21"/>
              <w:szCs w:val="21"/>
            </w:rPr>
            <w:fldChar w:fldCharType="end"/>
          </w:r>
          <w:r>
            <w:rPr>
              <w:sz w:val="21"/>
              <w:szCs w:val="21"/>
            </w:rPr>
            <w:fldChar w:fldCharType="end"/>
          </w:r>
        </w:p>
        <w:p w14:paraId="522AE52E">
          <w:pPr>
            <w:pStyle w:val="27"/>
            <w:tabs>
              <w:tab w:val="right" w:leader="dot" w:pos="9648"/>
            </w:tabs>
            <w:rPr>
              <w:sz w:val="21"/>
              <w:szCs w:val="21"/>
            </w:rPr>
          </w:pPr>
          <w:r>
            <w:rPr>
              <w:sz w:val="21"/>
              <w:szCs w:val="21"/>
            </w:rPr>
            <w:fldChar w:fldCharType="begin"/>
          </w:r>
          <w:r>
            <w:rPr>
              <w:sz w:val="21"/>
              <w:szCs w:val="21"/>
            </w:rPr>
            <w:instrText xml:space="preserve"> HYPERLINK \l _Toc23911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CBAM 管理</w:t>
          </w:r>
          <w:r>
            <w:rPr>
              <w:sz w:val="21"/>
              <w:szCs w:val="21"/>
            </w:rPr>
            <w:tab/>
          </w:r>
          <w:r>
            <w:rPr>
              <w:sz w:val="21"/>
              <w:szCs w:val="21"/>
            </w:rPr>
            <w:fldChar w:fldCharType="begin"/>
          </w:r>
          <w:r>
            <w:rPr>
              <w:sz w:val="21"/>
              <w:szCs w:val="21"/>
            </w:rPr>
            <w:instrText xml:space="preserve"> PAGEREF _Toc23911 \h </w:instrText>
          </w:r>
          <w:r>
            <w:rPr>
              <w:sz w:val="21"/>
              <w:szCs w:val="21"/>
            </w:rPr>
            <w:fldChar w:fldCharType="separate"/>
          </w:r>
          <w:r>
            <w:rPr>
              <w:sz w:val="21"/>
              <w:szCs w:val="21"/>
            </w:rPr>
            <w:t>125</w:t>
          </w:r>
          <w:r>
            <w:rPr>
              <w:sz w:val="21"/>
              <w:szCs w:val="21"/>
            </w:rPr>
            <w:fldChar w:fldCharType="end"/>
          </w:r>
          <w:r>
            <w:rPr>
              <w:sz w:val="21"/>
              <w:szCs w:val="21"/>
            </w:rPr>
            <w:fldChar w:fldCharType="end"/>
          </w:r>
        </w:p>
        <w:p w14:paraId="730616D7">
          <w:pPr>
            <w:pStyle w:val="31"/>
            <w:tabs>
              <w:tab w:val="right" w:leader="dot" w:pos="9648"/>
            </w:tabs>
            <w:rPr>
              <w:sz w:val="21"/>
              <w:szCs w:val="21"/>
            </w:rPr>
          </w:pPr>
          <w:r>
            <w:rPr>
              <w:sz w:val="21"/>
              <w:szCs w:val="21"/>
            </w:rPr>
            <w:fldChar w:fldCharType="begin"/>
          </w:r>
          <w:r>
            <w:rPr>
              <w:sz w:val="21"/>
              <w:szCs w:val="21"/>
            </w:rPr>
            <w:instrText xml:space="preserve"> HYPERLINK \l _Toc12094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合规管理</w:t>
          </w:r>
          <w:r>
            <w:rPr>
              <w:sz w:val="21"/>
              <w:szCs w:val="21"/>
            </w:rPr>
            <w:tab/>
          </w:r>
          <w:r>
            <w:rPr>
              <w:sz w:val="21"/>
              <w:szCs w:val="21"/>
            </w:rPr>
            <w:fldChar w:fldCharType="begin"/>
          </w:r>
          <w:r>
            <w:rPr>
              <w:sz w:val="21"/>
              <w:szCs w:val="21"/>
            </w:rPr>
            <w:instrText xml:space="preserve"> PAGEREF _Toc12094 \h </w:instrText>
          </w:r>
          <w:r>
            <w:rPr>
              <w:sz w:val="21"/>
              <w:szCs w:val="21"/>
            </w:rPr>
            <w:fldChar w:fldCharType="separate"/>
          </w:r>
          <w:r>
            <w:rPr>
              <w:sz w:val="21"/>
              <w:szCs w:val="21"/>
            </w:rPr>
            <w:t>125</w:t>
          </w:r>
          <w:r>
            <w:rPr>
              <w:sz w:val="21"/>
              <w:szCs w:val="21"/>
            </w:rPr>
            <w:fldChar w:fldCharType="end"/>
          </w:r>
          <w:r>
            <w:rPr>
              <w:sz w:val="21"/>
              <w:szCs w:val="21"/>
            </w:rPr>
            <w:fldChar w:fldCharType="end"/>
          </w:r>
        </w:p>
        <w:p w14:paraId="1D917C55">
          <w:pPr>
            <w:pStyle w:val="31"/>
            <w:tabs>
              <w:tab w:val="right" w:leader="dot" w:pos="9648"/>
            </w:tabs>
            <w:rPr>
              <w:sz w:val="21"/>
              <w:szCs w:val="21"/>
            </w:rPr>
          </w:pPr>
          <w:r>
            <w:rPr>
              <w:sz w:val="21"/>
              <w:szCs w:val="21"/>
            </w:rPr>
            <w:fldChar w:fldCharType="begin"/>
          </w:r>
          <w:r>
            <w:rPr>
              <w:sz w:val="21"/>
              <w:szCs w:val="21"/>
            </w:rPr>
            <w:instrText xml:space="preserve"> HYPERLINK \l _Toc10052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申报模拟</w:t>
          </w:r>
          <w:r>
            <w:rPr>
              <w:sz w:val="21"/>
              <w:szCs w:val="21"/>
            </w:rPr>
            <w:tab/>
          </w:r>
          <w:r>
            <w:rPr>
              <w:sz w:val="21"/>
              <w:szCs w:val="21"/>
            </w:rPr>
            <w:fldChar w:fldCharType="begin"/>
          </w:r>
          <w:r>
            <w:rPr>
              <w:sz w:val="21"/>
              <w:szCs w:val="21"/>
            </w:rPr>
            <w:instrText xml:space="preserve"> PAGEREF _Toc10052 \h </w:instrText>
          </w:r>
          <w:r>
            <w:rPr>
              <w:sz w:val="21"/>
              <w:szCs w:val="21"/>
            </w:rPr>
            <w:fldChar w:fldCharType="separate"/>
          </w:r>
          <w:r>
            <w:rPr>
              <w:sz w:val="21"/>
              <w:szCs w:val="21"/>
            </w:rPr>
            <w:t>129</w:t>
          </w:r>
          <w:r>
            <w:rPr>
              <w:sz w:val="21"/>
              <w:szCs w:val="21"/>
            </w:rPr>
            <w:fldChar w:fldCharType="end"/>
          </w:r>
          <w:r>
            <w:rPr>
              <w:sz w:val="21"/>
              <w:szCs w:val="21"/>
            </w:rPr>
            <w:fldChar w:fldCharType="end"/>
          </w:r>
        </w:p>
        <w:p w14:paraId="23521908">
          <w:pPr>
            <w:pStyle w:val="31"/>
            <w:tabs>
              <w:tab w:val="right" w:leader="dot" w:pos="9648"/>
            </w:tabs>
            <w:rPr>
              <w:sz w:val="21"/>
              <w:szCs w:val="21"/>
            </w:rPr>
          </w:pPr>
          <w:r>
            <w:rPr>
              <w:sz w:val="21"/>
              <w:szCs w:val="21"/>
            </w:rPr>
            <w:fldChar w:fldCharType="begin"/>
          </w:r>
          <w:r>
            <w:rPr>
              <w:sz w:val="21"/>
              <w:szCs w:val="21"/>
            </w:rPr>
            <w:instrText xml:space="preserve"> HYPERLINK \l _Toc28549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知识库</w:t>
          </w:r>
          <w:r>
            <w:rPr>
              <w:sz w:val="21"/>
              <w:szCs w:val="21"/>
            </w:rPr>
            <w:tab/>
          </w:r>
          <w:r>
            <w:rPr>
              <w:sz w:val="21"/>
              <w:szCs w:val="21"/>
            </w:rPr>
            <w:fldChar w:fldCharType="begin"/>
          </w:r>
          <w:r>
            <w:rPr>
              <w:sz w:val="21"/>
              <w:szCs w:val="21"/>
            </w:rPr>
            <w:instrText xml:space="preserve"> PAGEREF _Toc28549 \h </w:instrText>
          </w:r>
          <w:r>
            <w:rPr>
              <w:sz w:val="21"/>
              <w:szCs w:val="21"/>
            </w:rPr>
            <w:fldChar w:fldCharType="separate"/>
          </w:r>
          <w:r>
            <w:rPr>
              <w:sz w:val="21"/>
              <w:szCs w:val="21"/>
            </w:rPr>
            <w:t>133</w:t>
          </w:r>
          <w:r>
            <w:rPr>
              <w:sz w:val="21"/>
              <w:szCs w:val="21"/>
            </w:rPr>
            <w:fldChar w:fldCharType="end"/>
          </w:r>
          <w:r>
            <w:rPr>
              <w:sz w:val="21"/>
              <w:szCs w:val="21"/>
            </w:rPr>
            <w:fldChar w:fldCharType="end"/>
          </w:r>
        </w:p>
        <w:p w14:paraId="1A872E1C">
          <w:pPr>
            <w:pStyle w:val="27"/>
            <w:tabs>
              <w:tab w:val="right" w:leader="dot" w:pos="9648"/>
            </w:tabs>
            <w:rPr>
              <w:sz w:val="21"/>
              <w:szCs w:val="21"/>
            </w:rPr>
          </w:pPr>
          <w:r>
            <w:rPr>
              <w:sz w:val="21"/>
              <w:szCs w:val="21"/>
            </w:rPr>
            <w:fldChar w:fldCharType="begin"/>
          </w:r>
          <w:r>
            <w:rPr>
              <w:sz w:val="21"/>
              <w:szCs w:val="21"/>
            </w:rPr>
            <w:instrText xml:space="preserve"> HYPERLINK \l _Toc23286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第三方认证管理</w:t>
          </w:r>
          <w:r>
            <w:rPr>
              <w:sz w:val="21"/>
              <w:szCs w:val="21"/>
            </w:rPr>
            <w:tab/>
          </w:r>
          <w:r>
            <w:rPr>
              <w:sz w:val="21"/>
              <w:szCs w:val="21"/>
            </w:rPr>
            <w:fldChar w:fldCharType="begin"/>
          </w:r>
          <w:r>
            <w:rPr>
              <w:sz w:val="21"/>
              <w:szCs w:val="21"/>
            </w:rPr>
            <w:instrText xml:space="preserve"> PAGEREF _Toc23286 \h </w:instrText>
          </w:r>
          <w:r>
            <w:rPr>
              <w:sz w:val="21"/>
              <w:szCs w:val="21"/>
            </w:rPr>
            <w:fldChar w:fldCharType="separate"/>
          </w:r>
          <w:r>
            <w:rPr>
              <w:sz w:val="21"/>
              <w:szCs w:val="21"/>
            </w:rPr>
            <w:t>136</w:t>
          </w:r>
          <w:r>
            <w:rPr>
              <w:sz w:val="21"/>
              <w:szCs w:val="21"/>
            </w:rPr>
            <w:fldChar w:fldCharType="end"/>
          </w:r>
          <w:r>
            <w:rPr>
              <w:sz w:val="21"/>
              <w:szCs w:val="21"/>
            </w:rPr>
            <w:fldChar w:fldCharType="end"/>
          </w:r>
        </w:p>
        <w:p w14:paraId="6AFBB137">
          <w:pPr>
            <w:pStyle w:val="31"/>
            <w:tabs>
              <w:tab w:val="right" w:leader="dot" w:pos="9648"/>
            </w:tabs>
            <w:rPr>
              <w:sz w:val="21"/>
              <w:szCs w:val="21"/>
            </w:rPr>
          </w:pPr>
          <w:r>
            <w:rPr>
              <w:sz w:val="21"/>
              <w:szCs w:val="21"/>
            </w:rPr>
            <w:fldChar w:fldCharType="begin"/>
          </w:r>
          <w:r>
            <w:rPr>
              <w:sz w:val="21"/>
              <w:szCs w:val="21"/>
            </w:rPr>
            <w:instrText xml:space="preserve"> HYPERLINK \l _Toc3187 </w:instrText>
          </w:r>
          <w:r>
            <w:rPr>
              <w:sz w:val="21"/>
              <w:szCs w:val="21"/>
            </w:rPr>
            <w:fldChar w:fldCharType="separate"/>
          </w:r>
          <w:r>
            <w:rPr>
              <w:rFonts w:ascii="Times New Roman" w:hAnsi="Times New Roman" w:eastAsia="黑体" w:cs="Times New Roman"/>
              <w:bCs w:val="0"/>
              <w:sz w:val="21"/>
              <w:szCs w:val="22"/>
            </w:rPr>
            <w:t>1. 认证资料维护</w:t>
          </w:r>
          <w:r>
            <w:rPr>
              <w:sz w:val="21"/>
              <w:szCs w:val="21"/>
            </w:rPr>
            <w:tab/>
          </w:r>
          <w:r>
            <w:rPr>
              <w:sz w:val="21"/>
              <w:szCs w:val="21"/>
            </w:rPr>
            <w:fldChar w:fldCharType="begin"/>
          </w:r>
          <w:r>
            <w:rPr>
              <w:sz w:val="21"/>
              <w:szCs w:val="21"/>
            </w:rPr>
            <w:instrText xml:space="preserve"> PAGEREF _Toc3187 \h </w:instrText>
          </w:r>
          <w:r>
            <w:rPr>
              <w:sz w:val="21"/>
              <w:szCs w:val="21"/>
            </w:rPr>
            <w:fldChar w:fldCharType="separate"/>
          </w:r>
          <w:r>
            <w:rPr>
              <w:sz w:val="21"/>
              <w:szCs w:val="21"/>
            </w:rPr>
            <w:t>137</w:t>
          </w:r>
          <w:r>
            <w:rPr>
              <w:sz w:val="21"/>
              <w:szCs w:val="21"/>
            </w:rPr>
            <w:fldChar w:fldCharType="end"/>
          </w:r>
          <w:r>
            <w:rPr>
              <w:sz w:val="21"/>
              <w:szCs w:val="21"/>
            </w:rPr>
            <w:fldChar w:fldCharType="end"/>
          </w:r>
        </w:p>
        <w:p w14:paraId="7AA7181C">
          <w:pPr>
            <w:pStyle w:val="31"/>
            <w:tabs>
              <w:tab w:val="right" w:leader="dot" w:pos="9648"/>
            </w:tabs>
            <w:rPr>
              <w:sz w:val="21"/>
              <w:szCs w:val="21"/>
            </w:rPr>
          </w:pPr>
          <w:r>
            <w:rPr>
              <w:sz w:val="21"/>
              <w:szCs w:val="21"/>
            </w:rPr>
            <w:fldChar w:fldCharType="begin"/>
          </w:r>
          <w:r>
            <w:rPr>
              <w:sz w:val="21"/>
              <w:szCs w:val="21"/>
            </w:rPr>
            <w:instrText xml:space="preserve"> HYPERLINK \l _Toc6972 </w:instrText>
          </w:r>
          <w:r>
            <w:rPr>
              <w:sz w:val="21"/>
              <w:szCs w:val="21"/>
            </w:rPr>
            <w:fldChar w:fldCharType="separate"/>
          </w:r>
          <w:r>
            <w:rPr>
              <w:rFonts w:hint="eastAsia" w:cs="Times New Roman"/>
              <w:bCs w:val="0"/>
              <w:sz w:val="21"/>
              <w:szCs w:val="22"/>
              <w:lang w:val="en-US" w:eastAsia="zh-CN"/>
            </w:rPr>
            <w:t>2</w:t>
          </w:r>
          <w:r>
            <w:rPr>
              <w:rFonts w:ascii="Times New Roman" w:hAnsi="Times New Roman" w:eastAsia="黑体" w:cs="Times New Roman"/>
              <w:bCs w:val="0"/>
              <w:sz w:val="21"/>
              <w:szCs w:val="22"/>
            </w:rPr>
            <w:t>. 认证</w:t>
          </w:r>
          <w:r>
            <w:rPr>
              <w:rFonts w:hint="eastAsia" w:cs="Times New Roman"/>
              <w:bCs w:val="0"/>
              <w:sz w:val="21"/>
              <w:szCs w:val="22"/>
              <w:lang w:val="en-US" w:eastAsia="zh-CN"/>
            </w:rPr>
            <w:t>申请</w:t>
          </w:r>
          <w:r>
            <w:rPr>
              <w:sz w:val="21"/>
              <w:szCs w:val="21"/>
            </w:rPr>
            <w:tab/>
          </w:r>
          <w:r>
            <w:rPr>
              <w:sz w:val="21"/>
              <w:szCs w:val="21"/>
            </w:rPr>
            <w:fldChar w:fldCharType="begin"/>
          </w:r>
          <w:r>
            <w:rPr>
              <w:sz w:val="21"/>
              <w:szCs w:val="21"/>
            </w:rPr>
            <w:instrText xml:space="preserve"> PAGEREF _Toc6972 \h </w:instrText>
          </w:r>
          <w:r>
            <w:rPr>
              <w:sz w:val="21"/>
              <w:szCs w:val="21"/>
            </w:rPr>
            <w:fldChar w:fldCharType="separate"/>
          </w:r>
          <w:r>
            <w:rPr>
              <w:sz w:val="21"/>
              <w:szCs w:val="21"/>
            </w:rPr>
            <w:t>141</w:t>
          </w:r>
          <w:r>
            <w:rPr>
              <w:sz w:val="21"/>
              <w:szCs w:val="21"/>
            </w:rPr>
            <w:fldChar w:fldCharType="end"/>
          </w:r>
          <w:r>
            <w:rPr>
              <w:sz w:val="21"/>
              <w:szCs w:val="21"/>
            </w:rPr>
            <w:fldChar w:fldCharType="end"/>
          </w:r>
        </w:p>
        <w:p w14:paraId="5973D38C">
          <w:pPr>
            <w:pStyle w:val="31"/>
            <w:tabs>
              <w:tab w:val="right" w:leader="dot" w:pos="9648"/>
            </w:tabs>
            <w:rPr>
              <w:sz w:val="21"/>
              <w:szCs w:val="21"/>
            </w:rPr>
          </w:pPr>
          <w:r>
            <w:rPr>
              <w:sz w:val="21"/>
              <w:szCs w:val="21"/>
            </w:rPr>
            <w:fldChar w:fldCharType="begin"/>
          </w:r>
          <w:r>
            <w:rPr>
              <w:sz w:val="21"/>
              <w:szCs w:val="21"/>
            </w:rPr>
            <w:instrText xml:space="preserve"> HYPERLINK \l _Toc18704 </w:instrText>
          </w:r>
          <w:r>
            <w:rPr>
              <w:sz w:val="21"/>
              <w:szCs w:val="21"/>
            </w:rPr>
            <w:fldChar w:fldCharType="separate"/>
          </w:r>
          <w:r>
            <w:rPr>
              <w:rFonts w:hint="eastAsia" w:cs="Times New Roman"/>
              <w:bCs w:val="0"/>
              <w:sz w:val="21"/>
              <w:szCs w:val="22"/>
              <w:lang w:val="en-US" w:eastAsia="zh-CN"/>
            </w:rPr>
            <w:t>3</w:t>
          </w:r>
          <w:r>
            <w:rPr>
              <w:rFonts w:ascii="Times New Roman" w:hAnsi="Times New Roman" w:eastAsia="黑体" w:cs="Times New Roman"/>
              <w:bCs w:val="0"/>
              <w:sz w:val="21"/>
              <w:szCs w:val="22"/>
            </w:rPr>
            <w:t>. 认证</w:t>
          </w:r>
          <w:r>
            <w:rPr>
              <w:rFonts w:hint="eastAsia" w:cs="Times New Roman"/>
              <w:bCs w:val="0"/>
              <w:sz w:val="21"/>
              <w:szCs w:val="22"/>
              <w:lang w:val="en-US" w:eastAsia="zh-CN"/>
            </w:rPr>
            <w:t>结果管理</w:t>
          </w:r>
          <w:r>
            <w:rPr>
              <w:sz w:val="21"/>
              <w:szCs w:val="21"/>
            </w:rPr>
            <w:tab/>
          </w:r>
          <w:r>
            <w:rPr>
              <w:sz w:val="21"/>
              <w:szCs w:val="21"/>
            </w:rPr>
            <w:fldChar w:fldCharType="begin"/>
          </w:r>
          <w:r>
            <w:rPr>
              <w:sz w:val="21"/>
              <w:szCs w:val="21"/>
            </w:rPr>
            <w:instrText xml:space="preserve"> PAGEREF _Toc18704 \h </w:instrText>
          </w:r>
          <w:r>
            <w:rPr>
              <w:sz w:val="21"/>
              <w:szCs w:val="21"/>
            </w:rPr>
            <w:fldChar w:fldCharType="separate"/>
          </w:r>
          <w:r>
            <w:rPr>
              <w:sz w:val="21"/>
              <w:szCs w:val="21"/>
            </w:rPr>
            <w:t>145</w:t>
          </w:r>
          <w:r>
            <w:rPr>
              <w:sz w:val="21"/>
              <w:szCs w:val="21"/>
            </w:rPr>
            <w:fldChar w:fldCharType="end"/>
          </w:r>
          <w:r>
            <w:rPr>
              <w:sz w:val="21"/>
              <w:szCs w:val="21"/>
            </w:rPr>
            <w:fldChar w:fldCharType="end"/>
          </w:r>
        </w:p>
        <w:p w14:paraId="51CAFC27">
          <w:pPr>
            <w:pStyle w:val="27"/>
            <w:tabs>
              <w:tab w:val="right" w:leader="dot" w:pos="9648"/>
            </w:tabs>
            <w:rPr>
              <w:sz w:val="21"/>
              <w:szCs w:val="21"/>
            </w:rPr>
          </w:pPr>
          <w:r>
            <w:rPr>
              <w:sz w:val="21"/>
              <w:szCs w:val="21"/>
            </w:rPr>
            <w:fldChar w:fldCharType="begin"/>
          </w:r>
          <w:r>
            <w:rPr>
              <w:sz w:val="21"/>
              <w:szCs w:val="21"/>
            </w:rPr>
            <w:instrText xml:space="preserve"> HYPERLINK \l _Toc9528 </w:instrText>
          </w:r>
          <w:r>
            <w:rPr>
              <w:sz w:val="21"/>
              <w:szCs w:val="21"/>
            </w:rPr>
            <w:fldChar w:fldCharType="separate"/>
          </w:r>
          <w:r>
            <w:rPr>
              <w:rFonts w:hint="eastAsia" w:eastAsia="黑体"/>
              <w:bCs w:val="0"/>
              <w:sz w:val="21"/>
              <w:szCs w:val="28"/>
            </w:rPr>
            <w:t xml:space="preserve">六、 </w:t>
          </w:r>
          <w:r>
            <w:rPr>
              <w:rFonts w:ascii="Times New Roman" w:hAnsi="Times New Roman" w:eastAsia="黑体" w:cs="Times New Roman"/>
              <w:bCs w:val="0"/>
              <w:sz w:val="21"/>
              <w:szCs w:val="28"/>
            </w:rPr>
            <w:t>因子库管理</w:t>
          </w:r>
          <w:r>
            <w:rPr>
              <w:sz w:val="21"/>
              <w:szCs w:val="21"/>
            </w:rPr>
            <w:tab/>
          </w:r>
          <w:r>
            <w:rPr>
              <w:sz w:val="21"/>
              <w:szCs w:val="21"/>
            </w:rPr>
            <w:fldChar w:fldCharType="begin"/>
          </w:r>
          <w:r>
            <w:rPr>
              <w:sz w:val="21"/>
              <w:szCs w:val="21"/>
            </w:rPr>
            <w:instrText xml:space="preserve"> PAGEREF _Toc9528 \h </w:instrText>
          </w:r>
          <w:r>
            <w:rPr>
              <w:sz w:val="21"/>
              <w:szCs w:val="21"/>
            </w:rPr>
            <w:fldChar w:fldCharType="separate"/>
          </w:r>
          <w:r>
            <w:rPr>
              <w:sz w:val="21"/>
              <w:szCs w:val="21"/>
            </w:rPr>
            <w:t>148</w:t>
          </w:r>
          <w:r>
            <w:rPr>
              <w:sz w:val="21"/>
              <w:szCs w:val="21"/>
            </w:rPr>
            <w:fldChar w:fldCharType="end"/>
          </w:r>
          <w:r>
            <w:rPr>
              <w:sz w:val="21"/>
              <w:szCs w:val="21"/>
            </w:rPr>
            <w:fldChar w:fldCharType="end"/>
          </w:r>
        </w:p>
        <w:p w14:paraId="45B2B353">
          <w:pPr>
            <w:pStyle w:val="31"/>
            <w:tabs>
              <w:tab w:val="right" w:leader="dot" w:pos="9648"/>
            </w:tabs>
            <w:rPr>
              <w:sz w:val="21"/>
              <w:szCs w:val="21"/>
            </w:rPr>
          </w:pPr>
          <w:r>
            <w:rPr>
              <w:sz w:val="21"/>
              <w:szCs w:val="21"/>
            </w:rPr>
            <w:fldChar w:fldCharType="begin"/>
          </w:r>
          <w:r>
            <w:rPr>
              <w:sz w:val="21"/>
              <w:szCs w:val="21"/>
            </w:rPr>
            <w:instrText xml:space="preserve"> HYPERLINK \l _Toc17226 </w:instrText>
          </w:r>
          <w:r>
            <w:rPr>
              <w:sz w:val="21"/>
              <w:szCs w:val="21"/>
            </w:rPr>
            <w:fldChar w:fldCharType="separate"/>
          </w:r>
          <w:r>
            <w:rPr>
              <w:rFonts w:ascii="Times New Roman" w:hAnsi="Times New Roman" w:eastAsia="黑体" w:cs="Times New Roman"/>
              <w:bCs w:val="0"/>
              <w:sz w:val="21"/>
              <w:szCs w:val="22"/>
            </w:rPr>
            <w:t xml:space="preserve">1. </w:t>
          </w:r>
          <w:r>
            <w:rPr>
              <w:rFonts w:hint="eastAsia" w:cs="Times New Roman"/>
              <w:bCs w:val="0"/>
              <w:sz w:val="21"/>
              <w:szCs w:val="22"/>
              <w:lang w:val="en-US" w:eastAsia="zh-CN"/>
            </w:rPr>
            <w:t>原材料碳排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_Toc17226 \h </w:instrText>
          </w:r>
          <w:r>
            <w:rPr>
              <w:sz w:val="21"/>
              <w:szCs w:val="21"/>
            </w:rPr>
            <w:fldChar w:fldCharType="separate"/>
          </w:r>
          <w:r>
            <w:rPr>
              <w:sz w:val="21"/>
              <w:szCs w:val="21"/>
            </w:rPr>
            <w:t>149</w:t>
          </w:r>
          <w:r>
            <w:rPr>
              <w:sz w:val="21"/>
              <w:szCs w:val="21"/>
            </w:rPr>
            <w:fldChar w:fldCharType="end"/>
          </w:r>
          <w:r>
            <w:rPr>
              <w:sz w:val="21"/>
              <w:szCs w:val="21"/>
            </w:rPr>
            <w:fldChar w:fldCharType="end"/>
          </w:r>
        </w:p>
        <w:p w14:paraId="75ACCDCB">
          <w:pPr>
            <w:pStyle w:val="31"/>
            <w:tabs>
              <w:tab w:val="right" w:leader="dot" w:pos="9648"/>
            </w:tabs>
            <w:rPr>
              <w:sz w:val="21"/>
              <w:szCs w:val="21"/>
            </w:rPr>
          </w:pPr>
          <w:r>
            <w:rPr>
              <w:sz w:val="21"/>
              <w:szCs w:val="21"/>
            </w:rPr>
            <w:fldChar w:fldCharType="begin"/>
          </w:r>
          <w:r>
            <w:rPr>
              <w:sz w:val="21"/>
              <w:szCs w:val="21"/>
            </w:rPr>
            <w:instrText xml:space="preserve"> HYPERLINK \l _Toc26407 </w:instrText>
          </w:r>
          <w:r>
            <w:rPr>
              <w:sz w:val="21"/>
              <w:szCs w:val="21"/>
            </w:rPr>
            <w:fldChar w:fldCharType="separate"/>
          </w:r>
          <w:r>
            <w:rPr>
              <w:rFonts w:hint="eastAsia" w:cs="Times New Roman"/>
              <w:bCs w:val="0"/>
              <w:sz w:val="21"/>
              <w:szCs w:val="22"/>
              <w:lang w:val="en-US" w:eastAsia="zh-CN"/>
            </w:rPr>
            <w:t>2</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电力碳排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_Toc26407 \h </w:instrText>
          </w:r>
          <w:r>
            <w:rPr>
              <w:sz w:val="21"/>
              <w:szCs w:val="21"/>
            </w:rPr>
            <w:fldChar w:fldCharType="separate"/>
          </w:r>
          <w:r>
            <w:rPr>
              <w:sz w:val="21"/>
              <w:szCs w:val="21"/>
            </w:rPr>
            <w:t>154</w:t>
          </w:r>
          <w:r>
            <w:rPr>
              <w:sz w:val="21"/>
              <w:szCs w:val="21"/>
            </w:rPr>
            <w:fldChar w:fldCharType="end"/>
          </w:r>
          <w:r>
            <w:rPr>
              <w:sz w:val="21"/>
              <w:szCs w:val="21"/>
            </w:rPr>
            <w:fldChar w:fldCharType="end"/>
          </w:r>
        </w:p>
        <w:p w14:paraId="28E5EBF9">
          <w:pPr>
            <w:pStyle w:val="31"/>
            <w:tabs>
              <w:tab w:val="right" w:leader="dot" w:pos="9648"/>
            </w:tabs>
            <w:rPr>
              <w:sz w:val="21"/>
              <w:szCs w:val="21"/>
            </w:rPr>
          </w:pPr>
          <w:r>
            <w:rPr>
              <w:sz w:val="21"/>
              <w:szCs w:val="21"/>
            </w:rPr>
            <w:fldChar w:fldCharType="begin"/>
          </w:r>
          <w:r>
            <w:rPr>
              <w:sz w:val="21"/>
              <w:szCs w:val="21"/>
            </w:rPr>
            <w:instrText xml:space="preserve"> HYPERLINK \l _Toc71 </w:instrText>
          </w:r>
          <w:r>
            <w:rPr>
              <w:sz w:val="21"/>
              <w:szCs w:val="21"/>
            </w:rPr>
            <w:fldChar w:fldCharType="separate"/>
          </w:r>
          <w:r>
            <w:rPr>
              <w:rFonts w:hint="eastAsia" w:cs="Times New Roman"/>
              <w:bCs w:val="0"/>
              <w:sz w:val="21"/>
              <w:szCs w:val="22"/>
              <w:lang w:val="en-US" w:eastAsia="zh-CN"/>
            </w:rPr>
            <w:t>3</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能源活动碳排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_Toc71 \h </w:instrText>
          </w:r>
          <w:r>
            <w:rPr>
              <w:sz w:val="21"/>
              <w:szCs w:val="21"/>
            </w:rPr>
            <w:fldChar w:fldCharType="separate"/>
          </w:r>
          <w:r>
            <w:rPr>
              <w:sz w:val="21"/>
              <w:szCs w:val="21"/>
            </w:rPr>
            <w:t>159</w:t>
          </w:r>
          <w:r>
            <w:rPr>
              <w:sz w:val="21"/>
              <w:szCs w:val="21"/>
            </w:rPr>
            <w:fldChar w:fldCharType="end"/>
          </w:r>
          <w:r>
            <w:rPr>
              <w:sz w:val="21"/>
              <w:szCs w:val="21"/>
            </w:rPr>
            <w:fldChar w:fldCharType="end"/>
          </w:r>
        </w:p>
        <w:p w14:paraId="2179D01C">
          <w:pPr>
            <w:pStyle w:val="31"/>
            <w:tabs>
              <w:tab w:val="right" w:leader="dot" w:pos="9648"/>
            </w:tabs>
            <w:rPr>
              <w:sz w:val="21"/>
              <w:szCs w:val="21"/>
            </w:rPr>
          </w:pPr>
          <w:r>
            <w:rPr>
              <w:sz w:val="21"/>
              <w:szCs w:val="21"/>
            </w:rPr>
            <w:fldChar w:fldCharType="begin"/>
          </w:r>
          <w:r>
            <w:rPr>
              <w:sz w:val="21"/>
              <w:szCs w:val="21"/>
            </w:rPr>
            <w:instrText xml:space="preserve"> HYPERLINK \l _Toc27120 </w:instrText>
          </w:r>
          <w:r>
            <w:rPr>
              <w:sz w:val="21"/>
              <w:szCs w:val="21"/>
            </w:rPr>
            <w:fldChar w:fldCharType="separate"/>
          </w:r>
          <w:r>
            <w:rPr>
              <w:rFonts w:hint="eastAsia" w:cs="Times New Roman"/>
              <w:bCs w:val="0"/>
              <w:sz w:val="21"/>
              <w:szCs w:val="22"/>
              <w:lang w:val="en-US" w:eastAsia="zh-CN"/>
            </w:rPr>
            <w:t>4</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折标煤系数库</w:t>
          </w:r>
          <w:r>
            <w:rPr>
              <w:sz w:val="21"/>
              <w:szCs w:val="21"/>
            </w:rPr>
            <w:tab/>
          </w:r>
          <w:r>
            <w:rPr>
              <w:sz w:val="21"/>
              <w:szCs w:val="21"/>
            </w:rPr>
            <w:fldChar w:fldCharType="begin"/>
          </w:r>
          <w:r>
            <w:rPr>
              <w:sz w:val="21"/>
              <w:szCs w:val="21"/>
            </w:rPr>
            <w:instrText xml:space="preserve"> PAGEREF _Toc27120 \h </w:instrText>
          </w:r>
          <w:r>
            <w:rPr>
              <w:sz w:val="21"/>
              <w:szCs w:val="21"/>
            </w:rPr>
            <w:fldChar w:fldCharType="separate"/>
          </w:r>
          <w:r>
            <w:rPr>
              <w:sz w:val="21"/>
              <w:szCs w:val="21"/>
            </w:rPr>
            <w:t>164</w:t>
          </w:r>
          <w:r>
            <w:rPr>
              <w:sz w:val="21"/>
              <w:szCs w:val="21"/>
            </w:rPr>
            <w:fldChar w:fldCharType="end"/>
          </w:r>
          <w:r>
            <w:rPr>
              <w:sz w:val="21"/>
              <w:szCs w:val="21"/>
            </w:rPr>
            <w:fldChar w:fldCharType="end"/>
          </w:r>
        </w:p>
        <w:p w14:paraId="3BF19B27">
          <w:pPr>
            <w:pStyle w:val="27"/>
            <w:tabs>
              <w:tab w:val="right" w:leader="dot" w:pos="9648"/>
            </w:tabs>
            <w:rPr>
              <w:sz w:val="21"/>
              <w:szCs w:val="21"/>
            </w:rPr>
          </w:pPr>
          <w:r>
            <w:rPr>
              <w:sz w:val="21"/>
              <w:szCs w:val="21"/>
            </w:rPr>
            <w:fldChar w:fldCharType="begin"/>
          </w:r>
          <w:r>
            <w:rPr>
              <w:sz w:val="21"/>
              <w:szCs w:val="21"/>
            </w:rPr>
            <w:instrText xml:space="preserve"> HYPERLINK \l _Toc1093 </w:instrText>
          </w:r>
          <w:r>
            <w:rPr>
              <w:sz w:val="21"/>
              <w:szCs w:val="21"/>
            </w:rPr>
            <w:fldChar w:fldCharType="separate"/>
          </w:r>
          <w:r>
            <w:rPr>
              <w:rFonts w:hint="eastAsia" w:eastAsia="黑体"/>
              <w:bCs w:val="0"/>
              <w:sz w:val="21"/>
              <w:szCs w:val="40"/>
            </w:rPr>
            <w:t xml:space="preserve">第四章 </w:t>
          </w:r>
          <w:r>
            <w:rPr>
              <w:rFonts w:ascii="Times New Roman" w:hAnsi="Times New Roman" w:eastAsia="黑体" w:cs="Times New Roman"/>
              <w:bCs w:val="0"/>
              <w:sz w:val="21"/>
              <w:szCs w:val="40"/>
            </w:rPr>
            <w:t>系统底座、接口契约与 QA 质量验收</w:t>
          </w:r>
          <w:r>
            <w:rPr>
              <w:sz w:val="21"/>
              <w:szCs w:val="21"/>
            </w:rPr>
            <w:tab/>
          </w:r>
          <w:r>
            <w:rPr>
              <w:sz w:val="21"/>
              <w:szCs w:val="21"/>
            </w:rPr>
            <w:fldChar w:fldCharType="begin"/>
          </w:r>
          <w:r>
            <w:rPr>
              <w:sz w:val="21"/>
              <w:szCs w:val="21"/>
            </w:rPr>
            <w:instrText xml:space="preserve"> PAGEREF _Toc1093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2F6269CB">
          <w:pPr>
            <w:pStyle w:val="27"/>
            <w:tabs>
              <w:tab w:val="right" w:leader="dot" w:pos="9648"/>
            </w:tabs>
            <w:rPr>
              <w:sz w:val="21"/>
              <w:szCs w:val="21"/>
            </w:rPr>
          </w:pPr>
          <w:r>
            <w:rPr>
              <w:sz w:val="21"/>
              <w:szCs w:val="21"/>
            </w:rPr>
            <w:fldChar w:fldCharType="begin"/>
          </w:r>
          <w:r>
            <w:rPr>
              <w:sz w:val="21"/>
              <w:szCs w:val="21"/>
            </w:rPr>
            <w:instrText xml:space="preserve"> HYPERLINK \l _Toc3080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六级组织架构与穿透鉴权体系</w:t>
          </w:r>
          <w:r>
            <w:rPr>
              <w:sz w:val="21"/>
              <w:szCs w:val="21"/>
            </w:rPr>
            <w:tab/>
          </w:r>
          <w:r>
            <w:rPr>
              <w:sz w:val="21"/>
              <w:szCs w:val="21"/>
            </w:rPr>
            <w:fldChar w:fldCharType="begin"/>
          </w:r>
          <w:r>
            <w:rPr>
              <w:sz w:val="21"/>
              <w:szCs w:val="21"/>
            </w:rPr>
            <w:instrText xml:space="preserve"> PAGEREF _Toc3080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133084E4">
          <w:pPr>
            <w:pStyle w:val="27"/>
            <w:tabs>
              <w:tab w:val="right" w:leader="dot" w:pos="9648"/>
            </w:tabs>
            <w:rPr>
              <w:sz w:val="21"/>
              <w:szCs w:val="21"/>
            </w:rPr>
          </w:pPr>
          <w:r>
            <w:rPr>
              <w:sz w:val="21"/>
              <w:szCs w:val="21"/>
            </w:rPr>
            <w:fldChar w:fldCharType="begin"/>
          </w:r>
          <w:r>
            <w:rPr>
              <w:sz w:val="21"/>
              <w:szCs w:val="21"/>
            </w:rPr>
            <w:instrText xml:space="preserve"> HYPERLINK \l _Toc6762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外部系统集成与 API 契约</w:t>
          </w:r>
          <w:r>
            <w:rPr>
              <w:sz w:val="21"/>
              <w:szCs w:val="21"/>
            </w:rPr>
            <w:tab/>
          </w:r>
          <w:r>
            <w:rPr>
              <w:sz w:val="21"/>
              <w:szCs w:val="21"/>
            </w:rPr>
            <w:fldChar w:fldCharType="begin"/>
          </w:r>
          <w:r>
            <w:rPr>
              <w:sz w:val="21"/>
              <w:szCs w:val="21"/>
            </w:rPr>
            <w:instrText xml:space="preserve"> PAGEREF _Toc6762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140B1B86">
          <w:pPr>
            <w:pStyle w:val="27"/>
            <w:tabs>
              <w:tab w:val="right" w:leader="dot" w:pos="9648"/>
            </w:tabs>
            <w:rPr>
              <w:sz w:val="21"/>
              <w:szCs w:val="21"/>
            </w:rPr>
          </w:pPr>
          <w:r>
            <w:rPr>
              <w:sz w:val="21"/>
              <w:szCs w:val="21"/>
            </w:rPr>
            <w:fldChar w:fldCharType="begin"/>
          </w:r>
          <w:r>
            <w:rPr>
              <w:sz w:val="21"/>
              <w:szCs w:val="21"/>
            </w:rPr>
            <w:instrText xml:space="preserve"> HYPERLINK \l _Toc16500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质量保障体系与全量验收测试用例矩阵</w:t>
          </w:r>
          <w:r>
            <w:rPr>
              <w:sz w:val="21"/>
              <w:szCs w:val="21"/>
            </w:rPr>
            <w:tab/>
          </w:r>
          <w:r>
            <w:rPr>
              <w:sz w:val="21"/>
              <w:szCs w:val="21"/>
            </w:rPr>
            <w:fldChar w:fldCharType="begin"/>
          </w:r>
          <w:r>
            <w:rPr>
              <w:sz w:val="21"/>
              <w:szCs w:val="21"/>
            </w:rPr>
            <w:instrText xml:space="preserve"> PAGEREF _Toc16500 \h </w:instrText>
          </w:r>
          <w:r>
            <w:rPr>
              <w:sz w:val="21"/>
              <w:szCs w:val="21"/>
            </w:rPr>
            <w:fldChar w:fldCharType="separate"/>
          </w:r>
          <w:r>
            <w:rPr>
              <w:sz w:val="21"/>
              <w:szCs w:val="21"/>
            </w:rPr>
            <w:t>170</w:t>
          </w:r>
          <w:r>
            <w:rPr>
              <w:sz w:val="21"/>
              <w:szCs w:val="21"/>
            </w:rPr>
            <w:fldChar w:fldCharType="end"/>
          </w:r>
          <w:r>
            <w:rPr>
              <w:sz w:val="21"/>
              <w:szCs w:val="21"/>
            </w:rPr>
            <w:fldChar w:fldCharType="end"/>
          </w:r>
        </w:p>
        <w:p w14:paraId="49A078FD">
          <w:pPr>
            <w:pStyle w:val="27"/>
            <w:tabs>
              <w:tab w:val="right" w:leader="dot" w:pos="9648"/>
            </w:tabs>
            <w:rPr>
              <w:sz w:val="21"/>
              <w:szCs w:val="21"/>
            </w:rPr>
          </w:pPr>
          <w:r>
            <w:rPr>
              <w:sz w:val="21"/>
              <w:szCs w:val="21"/>
            </w:rPr>
            <w:fldChar w:fldCharType="begin"/>
          </w:r>
          <w:r>
            <w:rPr>
              <w:sz w:val="21"/>
              <w:szCs w:val="21"/>
            </w:rPr>
            <w:instrText xml:space="preserve"> HYPERLINK \l _Toc21559 </w:instrText>
          </w:r>
          <w:r>
            <w:rPr>
              <w:sz w:val="21"/>
              <w:szCs w:val="21"/>
            </w:rPr>
            <w:fldChar w:fldCharType="separate"/>
          </w:r>
          <w:r>
            <w:rPr>
              <w:rFonts w:hint="eastAsia" w:eastAsia="黑体"/>
              <w:bCs w:val="0"/>
              <w:sz w:val="21"/>
              <w:szCs w:val="40"/>
            </w:rPr>
            <w:t xml:space="preserve">第五章 </w:t>
          </w:r>
          <w:r>
            <w:rPr>
              <w:rFonts w:ascii="Times New Roman" w:hAnsi="Times New Roman" w:eastAsia="黑体" w:cs="Times New Roman"/>
              <w:bCs w:val="0"/>
              <w:sz w:val="21"/>
              <w:szCs w:val="40"/>
            </w:rPr>
            <w:t>工程治理、状态机与合规保障体系</w:t>
          </w:r>
          <w:r>
            <w:rPr>
              <w:sz w:val="21"/>
              <w:szCs w:val="21"/>
            </w:rPr>
            <w:tab/>
          </w:r>
          <w:r>
            <w:rPr>
              <w:sz w:val="21"/>
              <w:szCs w:val="21"/>
            </w:rPr>
            <w:fldChar w:fldCharType="begin"/>
          </w:r>
          <w:r>
            <w:rPr>
              <w:sz w:val="21"/>
              <w:szCs w:val="21"/>
            </w:rPr>
            <w:instrText xml:space="preserve"> PAGEREF _Toc21559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3AF459BF">
          <w:pPr>
            <w:pStyle w:val="27"/>
            <w:tabs>
              <w:tab w:val="right" w:leader="dot" w:pos="9648"/>
            </w:tabs>
            <w:rPr>
              <w:sz w:val="21"/>
              <w:szCs w:val="21"/>
            </w:rPr>
          </w:pPr>
          <w:r>
            <w:rPr>
              <w:sz w:val="21"/>
              <w:szCs w:val="21"/>
            </w:rPr>
            <w:fldChar w:fldCharType="begin"/>
          </w:r>
          <w:r>
            <w:rPr>
              <w:sz w:val="21"/>
              <w:szCs w:val="21"/>
            </w:rPr>
            <w:instrText xml:space="preserve"> HYPERLINK \l _Toc23289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数据治理与商密合规</w:t>
          </w:r>
          <w:r>
            <w:rPr>
              <w:sz w:val="21"/>
              <w:szCs w:val="21"/>
            </w:rPr>
            <w:tab/>
          </w:r>
          <w:r>
            <w:rPr>
              <w:sz w:val="21"/>
              <w:szCs w:val="21"/>
            </w:rPr>
            <w:fldChar w:fldCharType="begin"/>
          </w:r>
          <w:r>
            <w:rPr>
              <w:sz w:val="21"/>
              <w:szCs w:val="21"/>
            </w:rPr>
            <w:instrText xml:space="preserve"> PAGEREF _Toc23289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5E392170">
          <w:pPr>
            <w:pStyle w:val="27"/>
            <w:tabs>
              <w:tab w:val="right" w:leader="dot" w:pos="9648"/>
            </w:tabs>
            <w:rPr>
              <w:sz w:val="21"/>
              <w:szCs w:val="21"/>
            </w:rPr>
          </w:pPr>
          <w:r>
            <w:rPr>
              <w:sz w:val="21"/>
              <w:szCs w:val="21"/>
            </w:rPr>
            <w:fldChar w:fldCharType="begin"/>
          </w:r>
          <w:r>
            <w:rPr>
              <w:sz w:val="21"/>
              <w:szCs w:val="21"/>
            </w:rPr>
            <w:instrText xml:space="preserve"> HYPERLINK \l _Toc17792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关键业务长流程状态机图谱</w:t>
          </w:r>
          <w:r>
            <w:rPr>
              <w:sz w:val="21"/>
              <w:szCs w:val="21"/>
            </w:rPr>
            <w:tab/>
          </w:r>
          <w:r>
            <w:rPr>
              <w:sz w:val="21"/>
              <w:szCs w:val="21"/>
            </w:rPr>
            <w:fldChar w:fldCharType="begin"/>
          </w:r>
          <w:r>
            <w:rPr>
              <w:sz w:val="21"/>
              <w:szCs w:val="21"/>
            </w:rPr>
            <w:instrText xml:space="preserve"> PAGEREF _Toc17792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0C4BF580">
          <w:pPr>
            <w:pStyle w:val="27"/>
            <w:tabs>
              <w:tab w:val="right" w:leader="dot" w:pos="9648"/>
            </w:tabs>
            <w:rPr>
              <w:sz w:val="21"/>
              <w:szCs w:val="21"/>
            </w:rPr>
          </w:pPr>
          <w:r>
            <w:rPr>
              <w:sz w:val="21"/>
              <w:szCs w:val="21"/>
            </w:rPr>
            <w:fldChar w:fldCharType="begin"/>
          </w:r>
          <w:r>
            <w:rPr>
              <w:sz w:val="21"/>
              <w:szCs w:val="21"/>
            </w:rPr>
            <w:instrText xml:space="preserve"> HYPERLINK \l _Toc31419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术语表与缩略语大全</w:t>
          </w:r>
          <w:r>
            <w:rPr>
              <w:sz w:val="21"/>
              <w:szCs w:val="21"/>
            </w:rPr>
            <w:tab/>
          </w:r>
          <w:r>
            <w:rPr>
              <w:sz w:val="21"/>
              <w:szCs w:val="21"/>
            </w:rPr>
            <w:fldChar w:fldCharType="begin"/>
          </w:r>
          <w:r>
            <w:rPr>
              <w:sz w:val="21"/>
              <w:szCs w:val="21"/>
            </w:rPr>
            <w:instrText xml:space="preserve"> PAGEREF _Toc31419 \h </w:instrText>
          </w:r>
          <w:r>
            <w:rPr>
              <w:sz w:val="21"/>
              <w:szCs w:val="21"/>
            </w:rPr>
            <w:fldChar w:fldCharType="separate"/>
          </w:r>
          <w:r>
            <w:rPr>
              <w:sz w:val="21"/>
              <w:szCs w:val="21"/>
            </w:rPr>
            <w:t>173</w:t>
          </w:r>
          <w:r>
            <w:rPr>
              <w:sz w:val="21"/>
              <w:szCs w:val="21"/>
            </w:rPr>
            <w:fldChar w:fldCharType="end"/>
          </w:r>
          <w:r>
            <w:rPr>
              <w:sz w:val="21"/>
              <w:szCs w:val="21"/>
            </w:rPr>
            <w:fldChar w:fldCharType="end"/>
          </w:r>
        </w:p>
        <w:p w14:paraId="0B4D3338">
          <w:pPr>
            <w:pStyle w:val="27"/>
            <w:tabs>
              <w:tab w:val="right" w:leader="dot" w:pos="9648"/>
            </w:tabs>
            <w:rPr>
              <w:sz w:val="21"/>
              <w:szCs w:val="21"/>
            </w:rPr>
          </w:pPr>
          <w:r>
            <w:rPr>
              <w:sz w:val="21"/>
              <w:szCs w:val="21"/>
            </w:rPr>
            <w:fldChar w:fldCharType="begin"/>
          </w:r>
          <w:r>
            <w:rPr>
              <w:sz w:val="21"/>
              <w:szCs w:val="21"/>
            </w:rPr>
            <w:instrText xml:space="preserve"> HYPERLINK \l _Toc26887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标准化错误码字典与异常分级</w:t>
          </w:r>
          <w:r>
            <w:rPr>
              <w:sz w:val="21"/>
              <w:szCs w:val="21"/>
            </w:rPr>
            <w:tab/>
          </w:r>
          <w:r>
            <w:rPr>
              <w:sz w:val="21"/>
              <w:szCs w:val="21"/>
            </w:rPr>
            <w:fldChar w:fldCharType="begin"/>
          </w:r>
          <w:r>
            <w:rPr>
              <w:sz w:val="21"/>
              <w:szCs w:val="21"/>
            </w:rPr>
            <w:instrText xml:space="preserve"> PAGEREF _Toc26887 \h </w:instrText>
          </w:r>
          <w:r>
            <w:rPr>
              <w:sz w:val="21"/>
              <w:szCs w:val="21"/>
            </w:rPr>
            <w:fldChar w:fldCharType="separate"/>
          </w:r>
          <w:r>
            <w:rPr>
              <w:sz w:val="21"/>
              <w:szCs w:val="21"/>
            </w:rPr>
            <w:t>174</w:t>
          </w:r>
          <w:r>
            <w:rPr>
              <w:sz w:val="21"/>
              <w:szCs w:val="21"/>
            </w:rPr>
            <w:fldChar w:fldCharType="end"/>
          </w:r>
          <w:r>
            <w:rPr>
              <w:sz w:val="21"/>
              <w:szCs w:val="21"/>
            </w:rPr>
            <w:fldChar w:fldCharType="end"/>
          </w:r>
        </w:p>
        <w:p w14:paraId="5EF54381">
          <w:pPr>
            <w:pStyle w:val="27"/>
            <w:tabs>
              <w:tab w:val="right" w:leader="dot" w:pos="9648"/>
            </w:tabs>
            <w:rPr>
              <w:sz w:val="21"/>
              <w:szCs w:val="21"/>
            </w:rPr>
          </w:pPr>
          <w:r>
            <w:rPr>
              <w:sz w:val="21"/>
              <w:szCs w:val="21"/>
            </w:rPr>
            <w:fldChar w:fldCharType="begin"/>
          </w:r>
          <w:r>
            <w:rPr>
              <w:sz w:val="21"/>
              <w:szCs w:val="21"/>
            </w:rPr>
            <w:instrText xml:space="preserve"> HYPERLINK \l _Toc28375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决策治理责任矩阵</w:t>
          </w:r>
          <w:r>
            <w:rPr>
              <w:sz w:val="21"/>
              <w:szCs w:val="21"/>
            </w:rPr>
            <w:tab/>
          </w:r>
          <w:r>
            <w:rPr>
              <w:sz w:val="21"/>
              <w:szCs w:val="21"/>
            </w:rPr>
            <w:fldChar w:fldCharType="begin"/>
          </w:r>
          <w:r>
            <w:rPr>
              <w:sz w:val="21"/>
              <w:szCs w:val="21"/>
            </w:rPr>
            <w:instrText xml:space="preserve"> PAGEREF _Toc28375 \h </w:instrText>
          </w:r>
          <w:r>
            <w:rPr>
              <w:sz w:val="21"/>
              <w:szCs w:val="21"/>
            </w:rPr>
            <w:fldChar w:fldCharType="separate"/>
          </w:r>
          <w:r>
            <w:rPr>
              <w:sz w:val="21"/>
              <w:szCs w:val="21"/>
            </w:rPr>
            <w:t>176</w:t>
          </w:r>
          <w:r>
            <w:rPr>
              <w:sz w:val="21"/>
              <w:szCs w:val="21"/>
            </w:rPr>
            <w:fldChar w:fldCharType="end"/>
          </w:r>
          <w:r>
            <w:rPr>
              <w:sz w:val="21"/>
              <w:szCs w:val="21"/>
            </w:rPr>
            <w:fldChar w:fldCharType="end"/>
          </w:r>
        </w:p>
        <w:p w14:paraId="75D80823">
          <w:pPr>
            <w:pStyle w:val="27"/>
            <w:tabs>
              <w:tab w:val="right" w:leader="dot" w:pos="9648"/>
            </w:tabs>
            <w:rPr>
              <w:sz w:val="21"/>
              <w:szCs w:val="21"/>
            </w:rPr>
          </w:pPr>
          <w:r>
            <w:rPr>
              <w:sz w:val="21"/>
              <w:szCs w:val="21"/>
            </w:rPr>
            <w:fldChar w:fldCharType="begin"/>
          </w:r>
          <w:r>
            <w:rPr>
              <w:sz w:val="21"/>
              <w:szCs w:val="21"/>
            </w:rPr>
            <w:instrText xml:space="preserve"> HYPERLINK \l _Toc15165 </w:instrText>
          </w:r>
          <w:r>
            <w:rPr>
              <w:sz w:val="21"/>
              <w:szCs w:val="21"/>
            </w:rPr>
            <w:fldChar w:fldCharType="separate"/>
          </w:r>
          <w:r>
            <w:rPr>
              <w:rFonts w:hint="eastAsia" w:eastAsia="黑体"/>
              <w:bCs w:val="0"/>
              <w:sz w:val="21"/>
              <w:szCs w:val="40"/>
            </w:rPr>
            <w:t xml:space="preserve">第六章 </w:t>
          </w:r>
          <w:r>
            <w:rPr>
              <w:rFonts w:ascii="Times New Roman" w:hAnsi="Times New Roman" w:eastAsia="黑体" w:cs="Times New Roman"/>
              <w:bCs w:val="0"/>
              <w:sz w:val="21"/>
              <w:szCs w:val="40"/>
            </w:rPr>
            <w:t>非功能需求与性能指标</w:t>
          </w:r>
          <w:r>
            <w:rPr>
              <w:sz w:val="21"/>
              <w:szCs w:val="21"/>
            </w:rPr>
            <w:tab/>
          </w:r>
          <w:r>
            <w:rPr>
              <w:sz w:val="21"/>
              <w:szCs w:val="21"/>
            </w:rPr>
            <w:fldChar w:fldCharType="begin"/>
          </w:r>
          <w:r>
            <w:rPr>
              <w:sz w:val="21"/>
              <w:szCs w:val="21"/>
            </w:rPr>
            <w:instrText xml:space="preserve"> PAGEREF _Toc15165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03816789">
          <w:pPr>
            <w:pStyle w:val="27"/>
            <w:tabs>
              <w:tab w:val="right" w:leader="dot" w:pos="9648"/>
            </w:tabs>
            <w:rPr>
              <w:sz w:val="21"/>
              <w:szCs w:val="21"/>
            </w:rPr>
          </w:pPr>
          <w:r>
            <w:rPr>
              <w:sz w:val="21"/>
              <w:szCs w:val="21"/>
            </w:rPr>
            <w:fldChar w:fldCharType="begin"/>
          </w:r>
          <w:r>
            <w:rPr>
              <w:sz w:val="21"/>
              <w:szCs w:val="21"/>
            </w:rPr>
            <w:instrText xml:space="preserve"> HYPERLINK \l _Toc3256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性能指标基线</w:t>
          </w:r>
          <w:r>
            <w:rPr>
              <w:sz w:val="21"/>
              <w:szCs w:val="21"/>
            </w:rPr>
            <w:tab/>
          </w:r>
          <w:r>
            <w:rPr>
              <w:sz w:val="21"/>
              <w:szCs w:val="21"/>
            </w:rPr>
            <w:fldChar w:fldCharType="begin"/>
          </w:r>
          <w:r>
            <w:rPr>
              <w:sz w:val="21"/>
              <w:szCs w:val="21"/>
            </w:rPr>
            <w:instrText xml:space="preserve"> PAGEREF _Toc3256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2C11B833">
          <w:pPr>
            <w:pStyle w:val="27"/>
            <w:tabs>
              <w:tab w:val="right" w:leader="dot" w:pos="9648"/>
            </w:tabs>
            <w:rPr>
              <w:sz w:val="21"/>
              <w:szCs w:val="21"/>
            </w:rPr>
          </w:pPr>
          <w:r>
            <w:rPr>
              <w:sz w:val="21"/>
              <w:szCs w:val="21"/>
            </w:rPr>
            <w:fldChar w:fldCharType="begin"/>
          </w:r>
          <w:r>
            <w:rPr>
              <w:sz w:val="21"/>
              <w:szCs w:val="21"/>
            </w:rPr>
            <w:instrText xml:space="preserve"> HYPERLINK \l _Toc17329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可靠性与可观测性基线</w:t>
          </w:r>
          <w:r>
            <w:rPr>
              <w:sz w:val="21"/>
              <w:szCs w:val="21"/>
            </w:rPr>
            <w:tab/>
          </w:r>
          <w:r>
            <w:rPr>
              <w:sz w:val="21"/>
              <w:szCs w:val="21"/>
            </w:rPr>
            <w:fldChar w:fldCharType="begin"/>
          </w:r>
          <w:r>
            <w:rPr>
              <w:sz w:val="21"/>
              <w:szCs w:val="21"/>
            </w:rPr>
            <w:instrText xml:space="preserve"> PAGEREF _Toc17329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0120EA13">
          <w:pPr>
            <w:pStyle w:val="27"/>
            <w:tabs>
              <w:tab w:val="right" w:leader="dot" w:pos="9648"/>
            </w:tabs>
            <w:rPr>
              <w:sz w:val="21"/>
              <w:szCs w:val="21"/>
            </w:rPr>
          </w:pPr>
          <w:r>
            <w:rPr>
              <w:sz w:val="21"/>
              <w:szCs w:val="21"/>
            </w:rPr>
            <w:fldChar w:fldCharType="begin"/>
          </w:r>
          <w:r>
            <w:rPr>
              <w:sz w:val="21"/>
              <w:szCs w:val="21"/>
            </w:rPr>
            <w:instrText xml:space="preserve"> HYPERLINK \l _Toc28220 </w:instrText>
          </w:r>
          <w:r>
            <w:rPr>
              <w:sz w:val="21"/>
              <w:szCs w:val="21"/>
            </w:rPr>
            <w:fldChar w:fldCharType="separate"/>
          </w:r>
          <w:r>
            <w:rPr>
              <w:rFonts w:hint="eastAsia" w:eastAsia="黑体"/>
              <w:bCs w:val="0"/>
              <w:sz w:val="21"/>
              <w:szCs w:val="40"/>
            </w:rPr>
            <w:t xml:space="preserve">第七章 </w:t>
          </w:r>
          <w:r>
            <w:rPr>
              <w:rFonts w:ascii="Times New Roman" w:hAnsi="Times New Roman" w:eastAsia="黑体" w:cs="Times New Roman"/>
              <w:bCs w:val="0"/>
              <w:sz w:val="21"/>
              <w:szCs w:val="40"/>
            </w:rPr>
            <w:t>技术架构与系统选型</w:t>
          </w:r>
          <w:r>
            <w:rPr>
              <w:sz w:val="21"/>
              <w:szCs w:val="21"/>
            </w:rPr>
            <w:tab/>
          </w:r>
          <w:r>
            <w:rPr>
              <w:sz w:val="21"/>
              <w:szCs w:val="21"/>
            </w:rPr>
            <w:fldChar w:fldCharType="begin"/>
          </w:r>
          <w:r>
            <w:rPr>
              <w:sz w:val="21"/>
              <w:szCs w:val="21"/>
            </w:rPr>
            <w:instrText xml:space="preserve"> PAGEREF _Toc28220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1C810B7C">
          <w:pPr>
            <w:pStyle w:val="27"/>
            <w:tabs>
              <w:tab w:val="right" w:leader="dot" w:pos="9648"/>
            </w:tabs>
            <w:rPr>
              <w:sz w:val="21"/>
              <w:szCs w:val="21"/>
            </w:rPr>
          </w:pPr>
          <w:r>
            <w:rPr>
              <w:sz w:val="21"/>
              <w:szCs w:val="21"/>
            </w:rPr>
            <w:fldChar w:fldCharType="begin"/>
          </w:r>
          <w:r>
            <w:rPr>
              <w:sz w:val="21"/>
              <w:szCs w:val="21"/>
            </w:rPr>
            <w:instrText xml:space="preserve"> HYPERLINK \l _Toc19241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原型实现技术栈</w:t>
          </w:r>
          <w:r>
            <w:rPr>
              <w:sz w:val="21"/>
              <w:szCs w:val="21"/>
            </w:rPr>
            <w:tab/>
          </w:r>
          <w:r>
            <w:rPr>
              <w:sz w:val="21"/>
              <w:szCs w:val="21"/>
            </w:rPr>
            <w:fldChar w:fldCharType="begin"/>
          </w:r>
          <w:r>
            <w:rPr>
              <w:sz w:val="21"/>
              <w:szCs w:val="21"/>
            </w:rPr>
            <w:instrText xml:space="preserve"> PAGEREF _Toc19241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6B742172">
          <w:pPr>
            <w:pStyle w:val="27"/>
            <w:tabs>
              <w:tab w:val="right" w:leader="dot" w:pos="9648"/>
            </w:tabs>
            <w:rPr>
              <w:sz w:val="21"/>
              <w:szCs w:val="21"/>
            </w:rPr>
          </w:pPr>
          <w:r>
            <w:rPr>
              <w:sz w:val="21"/>
              <w:szCs w:val="21"/>
            </w:rPr>
            <w:fldChar w:fldCharType="begin"/>
          </w:r>
          <w:r>
            <w:rPr>
              <w:sz w:val="21"/>
              <w:szCs w:val="21"/>
            </w:rPr>
            <w:instrText xml:space="preserve"> HYPERLINK \l _Toc32230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关键架构决策（ADR）</w:t>
          </w:r>
          <w:r>
            <w:rPr>
              <w:sz w:val="21"/>
              <w:szCs w:val="21"/>
            </w:rPr>
            <w:tab/>
          </w:r>
          <w:r>
            <w:rPr>
              <w:sz w:val="21"/>
              <w:szCs w:val="21"/>
            </w:rPr>
            <w:fldChar w:fldCharType="begin"/>
          </w:r>
          <w:r>
            <w:rPr>
              <w:sz w:val="21"/>
              <w:szCs w:val="21"/>
            </w:rPr>
            <w:instrText xml:space="preserve"> PAGEREF _Toc32230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0F47CD26">
          <w:pPr>
            <w:pStyle w:val="27"/>
            <w:tabs>
              <w:tab w:val="right" w:leader="dot" w:pos="9648"/>
            </w:tabs>
            <w:rPr>
              <w:sz w:val="21"/>
              <w:szCs w:val="21"/>
            </w:rPr>
          </w:pPr>
          <w:r>
            <w:rPr>
              <w:sz w:val="21"/>
              <w:szCs w:val="21"/>
            </w:rPr>
            <w:fldChar w:fldCharType="begin"/>
          </w:r>
          <w:r>
            <w:rPr>
              <w:sz w:val="21"/>
              <w:szCs w:val="21"/>
            </w:rPr>
            <w:instrText xml:space="preserve"> HYPERLINK \l _Toc11149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待确认技术决策</w:t>
          </w:r>
          <w:r>
            <w:rPr>
              <w:sz w:val="21"/>
              <w:szCs w:val="21"/>
            </w:rPr>
            <w:tab/>
          </w:r>
          <w:r>
            <w:rPr>
              <w:sz w:val="21"/>
              <w:szCs w:val="21"/>
            </w:rPr>
            <w:fldChar w:fldCharType="begin"/>
          </w:r>
          <w:r>
            <w:rPr>
              <w:sz w:val="21"/>
              <w:szCs w:val="21"/>
            </w:rPr>
            <w:instrText xml:space="preserve"> PAGEREF _Toc11149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30EAB98C">
          <w:pPr>
            <w:pStyle w:val="27"/>
            <w:tabs>
              <w:tab w:val="right" w:leader="dot" w:pos="9648"/>
            </w:tabs>
            <w:rPr>
              <w:sz w:val="21"/>
              <w:szCs w:val="21"/>
            </w:rPr>
          </w:pPr>
          <w:r>
            <w:rPr>
              <w:sz w:val="21"/>
              <w:szCs w:val="21"/>
            </w:rPr>
            <w:fldChar w:fldCharType="begin"/>
          </w:r>
          <w:r>
            <w:rPr>
              <w:sz w:val="21"/>
              <w:szCs w:val="21"/>
            </w:rPr>
            <w:instrText xml:space="preserve"> HYPERLINK \l _Toc10669 </w:instrText>
          </w:r>
          <w:r>
            <w:rPr>
              <w:sz w:val="21"/>
              <w:szCs w:val="21"/>
            </w:rPr>
            <w:fldChar w:fldCharType="separate"/>
          </w:r>
          <w:r>
            <w:rPr>
              <w:rFonts w:hint="eastAsia" w:eastAsia="黑体"/>
              <w:bCs w:val="0"/>
              <w:sz w:val="21"/>
              <w:szCs w:val="40"/>
            </w:rPr>
            <w:t xml:space="preserve">第八章 </w:t>
          </w:r>
          <w:r>
            <w:rPr>
              <w:rFonts w:ascii="Times New Roman" w:hAnsi="Times New Roman" w:eastAsia="黑体" w:cs="Times New Roman"/>
              <w:bCs w:val="0"/>
              <w:sz w:val="21"/>
              <w:szCs w:val="40"/>
            </w:rPr>
            <w:t>系统级公共模块需求</w:t>
          </w:r>
          <w:r>
            <w:rPr>
              <w:sz w:val="21"/>
              <w:szCs w:val="21"/>
            </w:rPr>
            <w:tab/>
          </w:r>
          <w:r>
            <w:rPr>
              <w:sz w:val="21"/>
              <w:szCs w:val="21"/>
            </w:rPr>
            <w:fldChar w:fldCharType="begin"/>
          </w:r>
          <w:r>
            <w:rPr>
              <w:sz w:val="21"/>
              <w:szCs w:val="21"/>
            </w:rPr>
            <w:instrText xml:space="preserve"> PAGEREF _Toc10669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7324E03B">
          <w:pPr>
            <w:pStyle w:val="27"/>
            <w:tabs>
              <w:tab w:val="right" w:leader="dot" w:pos="9648"/>
            </w:tabs>
            <w:rPr>
              <w:sz w:val="21"/>
              <w:szCs w:val="21"/>
            </w:rPr>
          </w:pPr>
          <w:r>
            <w:rPr>
              <w:sz w:val="21"/>
              <w:szCs w:val="21"/>
            </w:rPr>
            <w:fldChar w:fldCharType="begin"/>
          </w:r>
          <w:r>
            <w:rPr>
              <w:sz w:val="21"/>
              <w:szCs w:val="21"/>
            </w:rPr>
            <w:instrText xml:space="preserve"> HYPERLINK \l _Toc20479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公共模块清单</w:t>
          </w:r>
          <w:r>
            <w:rPr>
              <w:sz w:val="21"/>
              <w:szCs w:val="21"/>
            </w:rPr>
            <w:tab/>
          </w:r>
          <w:r>
            <w:rPr>
              <w:sz w:val="21"/>
              <w:szCs w:val="21"/>
            </w:rPr>
            <w:fldChar w:fldCharType="begin"/>
          </w:r>
          <w:r>
            <w:rPr>
              <w:sz w:val="21"/>
              <w:szCs w:val="21"/>
            </w:rPr>
            <w:instrText xml:space="preserve"> PAGEREF _Toc20479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2CCD97CD">
          <w:pPr>
            <w:pStyle w:val="27"/>
            <w:tabs>
              <w:tab w:val="right" w:leader="dot" w:pos="9648"/>
            </w:tabs>
            <w:rPr>
              <w:sz w:val="21"/>
              <w:szCs w:val="21"/>
            </w:rPr>
          </w:pPr>
          <w:r>
            <w:rPr>
              <w:sz w:val="21"/>
              <w:szCs w:val="21"/>
            </w:rPr>
            <w:fldChar w:fldCharType="begin"/>
          </w:r>
          <w:r>
            <w:rPr>
              <w:sz w:val="21"/>
              <w:szCs w:val="21"/>
            </w:rPr>
            <w:instrText xml:space="preserve"> HYPERLINK \l _Toc6437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告警中枢分级与响应契约</w:t>
          </w:r>
          <w:r>
            <w:rPr>
              <w:sz w:val="21"/>
              <w:szCs w:val="21"/>
            </w:rPr>
            <w:tab/>
          </w:r>
          <w:r>
            <w:rPr>
              <w:sz w:val="21"/>
              <w:szCs w:val="21"/>
            </w:rPr>
            <w:fldChar w:fldCharType="begin"/>
          </w:r>
          <w:r>
            <w:rPr>
              <w:sz w:val="21"/>
              <w:szCs w:val="21"/>
            </w:rPr>
            <w:instrText xml:space="preserve"> PAGEREF _Toc6437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0E97F9B6">
          <w:pPr>
            <w:pStyle w:val="27"/>
            <w:tabs>
              <w:tab w:val="right" w:leader="dot" w:pos="9648"/>
            </w:tabs>
            <w:rPr>
              <w:sz w:val="21"/>
              <w:szCs w:val="21"/>
            </w:rPr>
          </w:pPr>
          <w:r>
            <w:rPr>
              <w:sz w:val="21"/>
              <w:szCs w:val="21"/>
            </w:rPr>
            <w:fldChar w:fldCharType="begin"/>
          </w:r>
          <w:r>
            <w:rPr>
              <w:sz w:val="21"/>
              <w:szCs w:val="21"/>
            </w:rPr>
            <w:instrText xml:space="preserve"> HYPERLINK \l _Toc28372 </w:instrText>
          </w:r>
          <w:r>
            <w:rPr>
              <w:sz w:val="21"/>
              <w:szCs w:val="21"/>
            </w:rPr>
            <w:fldChar w:fldCharType="separate"/>
          </w:r>
          <w:r>
            <w:rPr>
              <w:rFonts w:hint="eastAsia" w:eastAsia="黑体"/>
              <w:bCs w:val="0"/>
              <w:sz w:val="21"/>
              <w:szCs w:val="40"/>
            </w:rPr>
            <w:t xml:space="preserve">第九章 </w:t>
          </w:r>
          <w:r>
            <w:rPr>
              <w:rFonts w:ascii="Times New Roman" w:hAnsi="Times New Roman" w:eastAsia="黑体" w:cs="Times New Roman"/>
              <w:bCs w:val="0"/>
              <w:sz w:val="21"/>
              <w:szCs w:val="40"/>
            </w:rPr>
            <w:t>安全与合规需求</w:t>
          </w:r>
          <w:r>
            <w:rPr>
              <w:sz w:val="21"/>
              <w:szCs w:val="21"/>
            </w:rPr>
            <w:tab/>
          </w:r>
          <w:r>
            <w:rPr>
              <w:sz w:val="21"/>
              <w:szCs w:val="21"/>
            </w:rPr>
            <w:fldChar w:fldCharType="begin"/>
          </w:r>
          <w:r>
            <w:rPr>
              <w:sz w:val="21"/>
              <w:szCs w:val="21"/>
            </w:rPr>
            <w:instrText xml:space="preserve"> PAGEREF _Toc28372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4A9ED5F6">
          <w:pPr>
            <w:pStyle w:val="27"/>
            <w:tabs>
              <w:tab w:val="right" w:leader="dot" w:pos="9648"/>
            </w:tabs>
            <w:rPr>
              <w:sz w:val="21"/>
              <w:szCs w:val="21"/>
            </w:rPr>
          </w:pPr>
          <w:r>
            <w:rPr>
              <w:sz w:val="21"/>
              <w:szCs w:val="21"/>
            </w:rPr>
            <w:fldChar w:fldCharType="begin"/>
          </w:r>
          <w:r>
            <w:rPr>
              <w:sz w:val="21"/>
              <w:szCs w:val="21"/>
            </w:rPr>
            <w:instrText xml:space="preserve"> HYPERLINK \l _Toc27157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网络安全防护体系</w:t>
          </w:r>
          <w:r>
            <w:rPr>
              <w:sz w:val="21"/>
              <w:szCs w:val="21"/>
            </w:rPr>
            <w:tab/>
          </w:r>
          <w:r>
            <w:rPr>
              <w:sz w:val="21"/>
              <w:szCs w:val="21"/>
            </w:rPr>
            <w:fldChar w:fldCharType="begin"/>
          </w:r>
          <w:r>
            <w:rPr>
              <w:sz w:val="21"/>
              <w:szCs w:val="21"/>
            </w:rPr>
            <w:instrText xml:space="preserve"> PAGEREF _Toc27157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00237304">
          <w:pPr>
            <w:pStyle w:val="27"/>
            <w:tabs>
              <w:tab w:val="right" w:leader="dot" w:pos="9648"/>
            </w:tabs>
            <w:rPr>
              <w:sz w:val="21"/>
              <w:szCs w:val="21"/>
            </w:rPr>
          </w:pPr>
          <w:r>
            <w:rPr>
              <w:sz w:val="21"/>
              <w:szCs w:val="21"/>
            </w:rPr>
            <w:fldChar w:fldCharType="begin"/>
          </w:r>
          <w:r>
            <w:rPr>
              <w:sz w:val="21"/>
              <w:szCs w:val="21"/>
            </w:rPr>
            <w:instrText xml:space="preserve"> HYPERLINK \l _Toc5203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数据出境与合规</w:t>
          </w:r>
          <w:r>
            <w:rPr>
              <w:sz w:val="21"/>
              <w:szCs w:val="21"/>
            </w:rPr>
            <w:tab/>
          </w:r>
          <w:r>
            <w:rPr>
              <w:sz w:val="21"/>
              <w:szCs w:val="21"/>
            </w:rPr>
            <w:fldChar w:fldCharType="begin"/>
          </w:r>
          <w:r>
            <w:rPr>
              <w:sz w:val="21"/>
              <w:szCs w:val="21"/>
            </w:rPr>
            <w:instrText xml:space="preserve"> PAGEREF _Toc5203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169F211A">
          <w:pPr>
            <w:pStyle w:val="27"/>
            <w:tabs>
              <w:tab w:val="right" w:leader="dot" w:pos="9648"/>
            </w:tabs>
            <w:rPr>
              <w:sz w:val="21"/>
              <w:szCs w:val="21"/>
            </w:rPr>
          </w:pPr>
          <w:r>
            <w:rPr>
              <w:sz w:val="21"/>
              <w:szCs w:val="21"/>
            </w:rPr>
            <w:fldChar w:fldCharType="begin"/>
          </w:r>
          <w:r>
            <w:rPr>
              <w:sz w:val="21"/>
              <w:szCs w:val="21"/>
            </w:rPr>
            <w:instrText xml:space="preserve"> HYPERLINK \l _Toc20164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安全合规待确认 / 待补充清单</w:t>
          </w:r>
          <w:r>
            <w:rPr>
              <w:sz w:val="21"/>
              <w:szCs w:val="21"/>
            </w:rPr>
            <w:tab/>
          </w:r>
          <w:r>
            <w:rPr>
              <w:sz w:val="21"/>
              <w:szCs w:val="21"/>
            </w:rPr>
            <w:fldChar w:fldCharType="begin"/>
          </w:r>
          <w:r>
            <w:rPr>
              <w:sz w:val="21"/>
              <w:szCs w:val="21"/>
            </w:rPr>
            <w:instrText xml:space="preserve"> PAGEREF _Toc20164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6406E7FA">
          <w:pPr>
            <w:pStyle w:val="27"/>
            <w:tabs>
              <w:tab w:val="right" w:leader="dot" w:pos="9648"/>
            </w:tabs>
            <w:rPr>
              <w:sz w:val="21"/>
              <w:szCs w:val="21"/>
            </w:rPr>
          </w:pPr>
          <w:r>
            <w:rPr>
              <w:sz w:val="21"/>
              <w:szCs w:val="21"/>
            </w:rPr>
            <w:fldChar w:fldCharType="begin"/>
          </w:r>
          <w:r>
            <w:rPr>
              <w:sz w:val="21"/>
              <w:szCs w:val="21"/>
            </w:rPr>
            <w:instrText xml:space="preserve"> HYPERLINK \l _Toc3168 </w:instrText>
          </w:r>
          <w:r>
            <w:rPr>
              <w:sz w:val="21"/>
              <w:szCs w:val="21"/>
            </w:rPr>
            <w:fldChar w:fldCharType="separate"/>
          </w:r>
          <w:r>
            <w:rPr>
              <w:rFonts w:hint="eastAsia" w:eastAsia="黑体"/>
              <w:bCs w:val="0"/>
              <w:sz w:val="21"/>
              <w:szCs w:val="40"/>
            </w:rPr>
            <w:t xml:space="preserve">第十章 </w:t>
          </w:r>
          <w:r>
            <w:rPr>
              <w:rFonts w:ascii="Times New Roman" w:hAnsi="Times New Roman" w:eastAsia="黑体" w:cs="Times New Roman"/>
              <w:bCs w:val="0"/>
              <w:sz w:val="21"/>
              <w:szCs w:val="40"/>
            </w:rPr>
            <w:t>外部系统集成与数据采集点表</w:t>
          </w:r>
          <w:r>
            <w:rPr>
              <w:sz w:val="21"/>
              <w:szCs w:val="21"/>
            </w:rPr>
            <w:tab/>
          </w:r>
          <w:r>
            <w:rPr>
              <w:sz w:val="21"/>
              <w:szCs w:val="21"/>
            </w:rPr>
            <w:fldChar w:fldCharType="begin"/>
          </w:r>
          <w:r>
            <w:rPr>
              <w:sz w:val="21"/>
              <w:szCs w:val="21"/>
            </w:rPr>
            <w:instrText xml:space="preserve"> PAGEREF _Toc3168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2DD0A7DF">
          <w:pPr>
            <w:pStyle w:val="27"/>
            <w:tabs>
              <w:tab w:val="right" w:leader="dot" w:pos="9648"/>
            </w:tabs>
            <w:rPr>
              <w:sz w:val="21"/>
              <w:szCs w:val="21"/>
            </w:rPr>
          </w:pPr>
          <w:r>
            <w:rPr>
              <w:sz w:val="21"/>
              <w:szCs w:val="21"/>
            </w:rPr>
            <w:fldChar w:fldCharType="begin"/>
          </w:r>
          <w:r>
            <w:rPr>
              <w:sz w:val="21"/>
              <w:szCs w:val="21"/>
            </w:rPr>
            <w:instrText xml:space="preserve"> HYPERLINK \l _Toc882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集成接口</w:t>
          </w:r>
          <w:r>
            <w:rPr>
              <w:sz w:val="21"/>
              <w:szCs w:val="21"/>
            </w:rPr>
            <w:tab/>
          </w:r>
          <w:r>
            <w:rPr>
              <w:sz w:val="21"/>
              <w:szCs w:val="21"/>
            </w:rPr>
            <w:fldChar w:fldCharType="begin"/>
          </w:r>
          <w:r>
            <w:rPr>
              <w:sz w:val="21"/>
              <w:szCs w:val="21"/>
            </w:rPr>
            <w:instrText xml:space="preserve"> PAGEREF _Toc882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519FE0D5">
          <w:pPr>
            <w:pStyle w:val="27"/>
            <w:tabs>
              <w:tab w:val="right" w:leader="dot" w:pos="9648"/>
            </w:tabs>
            <w:rPr>
              <w:sz w:val="21"/>
              <w:szCs w:val="21"/>
            </w:rPr>
          </w:pPr>
          <w:r>
            <w:rPr>
              <w:sz w:val="21"/>
              <w:szCs w:val="21"/>
            </w:rPr>
            <w:fldChar w:fldCharType="begin"/>
          </w:r>
          <w:r>
            <w:rPr>
              <w:sz w:val="21"/>
              <w:szCs w:val="21"/>
            </w:rPr>
            <w:instrText xml:space="preserve"> HYPERLINK \l _Toc27256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采集点表（核心点位）</w:t>
          </w:r>
          <w:r>
            <w:rPr>
              <w:sz w:val="21"/>
              <w:szCs w:val="21"/>
            </w:rPr>
            <w:tab/>
          </w:r>
          <w:r>
            <w:rPr>
              <w:sz w:val="21"/>
              <w:szCs w:val="21"/>
            </w:rPr>
            <w:fldChar w:fldCharType="begin"/>
          </w:r>
          <w:r>
            <w:rPr>
              <w:sz w:val="21"/>
              <w:szCs w:val="21"/>
            </w:rPr>
            <w:instrText xml:space="preserve"> PAGEREF _Toc27256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23B7800E">
          <w:pPr>
            <w:pStyle w:val="27"/>
            <w:tabs>
              <w:tab w:val="right" w:leader="dot" w:pos="9648"/>
            </w:tabs>
            <w:rPr>
              <w:sz w:val="21"/>
              <w:szCs w:val="21"/>
            </w:rPr>
          </w:pPr>
          <w:r>
            <w:rPr>
              <w:sz w:val="21"/>
              <w:szCs w:val="21"/>
            </w:rPr>
            <w:fldChar w:fldCharType="begin"/>
          </w:r>
          <w:r>
            <w:rPr>
              <w:sz w:val="21"/>
              <w:szCs w:val="21"/>
            </w:rPr>
            <w:instrText xml:space="preserve"> HYPERLINK \l _Toc31967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外部数据源与授权</w:t>
          </w:r>
          <w:r>
            <w:rPr>
              <w:sz w:val="21"/>
              <w:szCs w:val="21"/>
            </w:rPr>
            <w:tab/>
          </w:r>
          <w:r>
            <w:rPr>
              <w:sz w:val="21"/>
              <w:szCs w:val="21"/>
            </w:rPr>
            <w:fldChar w:fldCharType="begin"/>
          </w:r>
          <w:r>
            <w:rPr>
              <w:sz w:val="21"/>
              <w:szCs w:val="21"/>
            </w:rPr>
            <w:instrText xml:space="preserve"> PAGEREF _Toc31967 \h </w:instrText>
          </w:r>
          <w:r>
            <w:rPr>
              <w:sz w:val="21"/>
              <w:szCs w:val="21"/>
            </w:rPr>
            <w:fldChar w:fldCharType="separate"/>
          </w:r>
          <w:r>
            <w:rPr>
              <w:sz w:val="21"/>
              <w:szCs w:val="21"/>
            </w:rPr>
            <w:t>183</w:t>
          </w:r>
          <w:r>
            <w:rPr>
              <w:sz w:val="21"/>
              <w:szCs w:val="21"/>
            </w:rPr>
            <w:fldChar w:fldCharType="end"/>
          </w:r>
          <w:r>
            <w:rPr>
              <w:sz w:val="21"/>
              <w:szCs w:val="21"/>
            </w:rPr>
            <w:fldChar w:fldCharType="end"/>
          </w:r>
        </w:p>
        <w:p w14:paraId="14497D9B">
          <w:pPr>
            <w:pStyle w:val="27"/>
            <w:tabs>
              <w:tab w:val="right" w:leader="dot" w:pos="9648"/>
            </w:tabs>
            <w:rPr>
              <w:sz w:val="21"/>
              <w:szCs w:val="21"/>
            </w:rPr>
          </w:pPr>
          <w:r>
            <w:rPr>
              <w:sz w:val="21"/>
              <w:szCs w:val="21"/>
            </w:rPr>
            <w:fldChar w:fldCharType="begin"/>
          </w:r>
          <w:r>
            <w:rPr>
              <w:sz w:val="21"/>
              <w:szCs w:val="21"/>
            </w:rPr>
            <w:instrText xml:space="preserve"> HYPERLINK \l _Toc10931 </w:instrText>
          </w:r>
          <w:r>
            <w:rPr>
              <w:sz w:val="21"/>
              <w:szCs w:val="21"/>
            </w:rPr>
            <w:fldChar w:fldCharType="separate"/>
          </w:r>
          <w:r>
            <w:rPr>
              <w:rFonts w:hint="eastAsia" w:eastAsia="黑体"/>
              <w:bCs w:val="0"/>
              <w:sz w:val="21"/>
              <w:szCs w:val="40"/>
            </w:rPr>
            <w:t xml:space="preserve">第十一章 </w:t>
          </w:r>
          <w:r>
            <w:rPr>
              <w:rFonts w:ascii="Times New Roman" w:hAnsi="Times New Roman" w:eastAsia="黑体" w:cs="Times New Roman"/>
              <w:bCs w:val="0"/>
              <w:sz w:val="21"/>
              <w:szCs w:val="40"/>
            </w:rPr>
            <w:t>测试与验收基线</w:t>
          </w:r>
          <w:r>
            <w:rPr>
              <w:sz w:val="21"/>
              <w:szCs w:val="21"/>
            </w:rPr>
            <w:tab/>
          </w:r>
          <w:r>
            <w:rPr>
              <w:sz w:val="21"/>
              <w:szCs w:val="21"/>
            </w:rPr>
            <w:fldChar w:fldCharType="begin"/>
          </w:r>
          <w:r>
            <w:rPr>
              <w:sz w:val="21"/>
              <w:szCs w:val="21"/>
            </w:rPr>
            <w:instrText xml:space="preserve"> PAGEREF _Toc10931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37417F9B">
          <w:pPr>
            <w:pStyle w:val="27"/>
            <w:tabs>
              <w:tab w:val="right" w:leader="dot" w:pos="9648"/>
            </w:tabs>
            <w:rPr>
              <w:sz w:val="21"/>
              <w:szCs w:val="21"/>
            </w:rPr>
          </w:pPr>
          <w:r>
            <w:rPr>
              <w:sz w:val="21"/>
              <w:szCs w:val="21"/>
            </w:rPr>
            <w:fldChar w:fldCharType="begin"/>
          </w:r>
          <w:r>
            <w:rPr>
              <w:sz w:val="21"/>
              <w:szCs w:val="21"/>
            </w:rPr>
            <w:instrText xml:space="preserve"> HYPERLINK \l _Toc32719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验收准则</w:t>
          </w:r>
          <w:r>
            <w:rPr>
              <w:sz w:val="21"/>
              <w:szCs w:val="21"/>
            </w:rPr>
            <w:tab/>
          </w:r>
          <w:r>
            <w:rPr>
              <w:sz w:val="21"/>
              <w:szCs w:val="21"/>
            </w:rPr>
            <w:fldChar w:fldCharType="begin"/>
          </w:r>
          <w:r>
            <w:rPr>
              <w:sz w:val="21"/>
              <w:szCs w:val="21"/>
            </w:rPr>
            <w:instrText xml:space="preserve"> PAGEREF _Toc32719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1A4FB3D0">
          <w:pPr>
            <w:pStyle w:val="27"/>
            <w:tabs>
              <w:tab w:val="right" w:leader="dot" w:pos="9648"/>
            </w:tabs>
            <w:rPr>
              <w:sz w:val="21"/>
              <w:szCs w:val="21"/>
            </w:rPr>
          </w:pPr>
          <w:r>
            <w:rPr>
              <w:sz w:val="21"/>
              <w:szCs w:val="21"/>
            </w:rPr>
            <w:fldChar w:fldCharType="begin"/>
          </w:r>
          <w:r>
            <w:rPr>
              <w:sz w:val="21"/>
              <w:szCs w:val="21"/>
            </w:rPr>
            <w:instrText xml:space="preserve"> HYPERLINK \l _Toc31649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破坏性测试矩阵（EQP / BVA）</w:t>
          </w:r>
          <w:r>
            <w:rPr>
              <w:sz w:val="21"/>
              <w:szCs w:val="21"/>
            </w:rPr>
            <w:tab/>
          </w:r>
          <w:r>
            <w:rPr>
              <w:sz w:val="21"/>
              <w:szCs w:val="21"/>
            </w:rPr>
            <w:fldChar w:fldCharType="begin"/>
          </w:r>
          <w:r>
            <w:rPr>
              <w:sz w:val="21"/>
              <w:szCs w:val="21"/>
            </w:rPr>
            <w:instrText xml:space="preserve"> PAGEREF _Toc31649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2572D695">
          <w:pPr>
            <w:pStyle w:val="27"/>
            <w:tabs>
              <w:tab w:val="right" w:leader="dot" w:pos="9648"/>
            </w:tabs>
            <w:rPr>
              <w:sz w:val="21"/>
              <w:szCs w:val="21"/>
            </w:rPr>
          </w:pPr>
          <w:r>
            <w:rPr>
              <w:sz w:val="21"/>
              <w:szCs w:val="21"/>
            </w:rPr>
            <w:fldChar w:fldCharType="begin"/>
          </w:r>
          <w:r>
            <w:rPr>
              <w:sz w:val="21"/>
              <w:szCs w:val="21"/>
            </w:rPr>
            <w:instrText xml:space="preserve"> HYPERLINK \l _Toc4587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全系统验收基线</w:t>
          </w:r>
          <w:r>
            <w:rPr>
              <w:sz w:val="21"/>
              <w:szCs w:val="21"/>
            </w:rPr>
            <w:tab/>
          </w:r>
          <w:r>
            <w:rPr>
              <w:sz w:val="21"/>
              <w:szCs w:val="21"/>
            </w:rPr>
            <w:fldChar w:fldCharType="begin"/>
          </w:r>
          <w:r>
            <w:rPr>
              <w:sz w:val="21"/>
              <w:szCs w:val="21"/>
            </w:rPr>
            <w:instrText xml:space="preserve"> PAGEREF _Toc4587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1C9F70AD">
          <w:pPr>
            <w:pStyle w:val="27"/>
            <w:tabs>
              <w:tab w:val="right" w:leader="dot" w:pos="9648"/>
            </w:tabs>
            <w:rPr>
              <w:sz w:val="21"/>
              <w:szCs w:val="21"/>
            </w:rPr>
          </w:pPr>
          <w:r>
            <w:rPr>
              <w:sz w:val="21"/>
              <w:szCs w:val="21"/>
            </w:rPr>
            <w:fldChar w:fldCharType="begin"/>
          </w:r>
          <w:r>
            <w:rPr>
              <w:sz w:val="21"/>
              <w:szCs w:val="21"/>
            </w:rPr>
            <w:instrText xml:space="preserve"> HYPERLINK \l _Toc59 </w:instrText>
          </w:r>
          <w:r>
            <w:rPr>
              <w:sz w:val="21"/>
              <w:szCs w:val="21"/>
            </w:rPr>
            <w:fldChar w:fldCharType="separate"/>
          </w:r>
          <w:r>
            <w:rPr>
              <w:rFonts w:ascii="Times New Roman" w:hAnsi="Times New Roman" w:eastAsia="黑体" w:cs="Times New Roman"/>
              <w:bCs w:val="0"/>
              <w:sz w:val="21"/>
              <w:szCs w:val="22"/>
            </w:rPr>
            <w:t>附录 A：现行国标 / 行标 / 欧标 法规映射表</w:t>
          </w:r>
          <w:r>
            <w:rPr>
              <w:sz w:val="21"/>
              <w:szCs w:val="21"/>
            </w:rPr>
            <w:tab/>
          </w:r>
          <w:r>
            <w:rPr>
              <w:sz w:val="21"/>
              <w:szCs w:val="21"/>
            </w:rPr>
            <w:fldChar w:fldCharType="begin"/>
          </w:r>
          <w:r>
            <w:rPr>
              <w:sz w:val="21"/>
              <w:szCs w:val="21"/>
            </w:rPr>
            <w:instrText xml:space="preserve"> PAGEREF _Toc59 \h </w:instrText>
          </w:r>
          <w:r>
            <w:rPr>
              <w:sz w:val="21"/>
              <w:szCs w:val="21"/>
            </w:rPr>
            <w:fldChar w:fldCharType="separate"/>
          </w:r>
          <w:r>
            <w:rPr>
              <w:sz w:val="21"/>
              <w:szCs w:val="21"/>
            </w:rPr>
            <w:t>185</w:t>
          </w:r>
          <w:r>
            <w:rPr>
              <w:sz w:val="21"/>
              <w:szCs w:val="21"/>
            </w:rPr>
            <w:fldChar w:fldCharType="end"/>
          </w:r>
          <w:r>
            <w:rPr>
              <w:sz w:val="21"/>
              <w:szCs w:val="21"/>
            </w:rPr>
            <w:fldChar w:fldCharType="end"/>
          </w:r>
        </w:p>
        <w:p w14:paraId="6652FDCF">
          <w:pPr>
            <w:pStyle w:val="27"/>
            <w:tabs>
              <w:tab w:val="right" w:leader="dot" w:pos="9648"/>
            </w:tabs>
            <w:rPr>
              <w:sz w:val="21"/>
              <w:szCs w:val="21"/>
            </w:rPr>
          </w:pPr>
          <w:r>
            <w:rPr>
              <w:sz w:val="21"/>
              <w:szCs w:val="21"/>
            </w:rPr>
            <w:fldChar w:fldCharType="begin"/>
          </w:r>
          <w:r>
            <w:rPr>
              <w:sz w:val="21"/>
              <w:szCs w:val="21"/>
            </w:rPr>
            <w:instrText xml:space="preserve"> HYPERLINK \l _Toc30322 </w:instrText>
          </w:r>
          <w:r>
            <w:rPr>
              <w:sz w:val="21"/>
              <w:szCs w:val="21"/>
            </w:rPr>
            <w:fldChar w:fldCharType="separate"/>
          </w:r>
          <w:r>
            <w:rPr>
              <w:rFonts w:ascii="Times New Roman" w:hAnsi="Times New Roman" w:eastAsia="黑体" w:cs="Times New Roman"/>
              <w:bCs w:val="0"/>
              <w:sz w:val="21"/>
              <w:szCs w:val="22"/>
            </w:rPr>
            <w:t>附录 B：反模式与反例对照治理清单</w:t>
          </w:r>
          <w:r>
            <w:rPr>
              <w:sz w:val="21"/>
              <w:szCs w:val="21"/>
            </w:rPr>
            <w:tab/>
          </w:r>
          <w:r>
            <w:rPr>
              <w:sz w:val="21"/>
              <w:szCs w:val="21"/>
            </w:rPr>
            <w:fldChar w:fldCharType="begin"/>
          </w:r>
          <w:r>
            <w:rPr>
              <w:sz w:val="21"/>
              <w:szCs w:val="21"/>
            </w:rPr>
            <w:instrText xml:space="preserve"> PAGEREF _Toc30322 \h </w:instrText>
          </w:r>
          <w:r>
            <w:rPr>
              <w:sz w:val="21"/>
              <w:szCs w:val="21"/>
            </w:rPr>
            <w:fldChar w:fldCharType="separate"/>
          </w:r>
          <w:r>
            <w:rPr>
              <w:sz w:val="21"/>
              <w:szCs w:val="21"/>
            </w:rPr>
            <w:t>185</w:t>
          </w:r>
          <w:r>
            <w:rPr>
              <w:sz w:val="21"/>
              <w:szCs w:val="21"/>
            </w:rPr>
            <w:fldChar w:fldCharType="end"/>
          </w:r>
          <w:r>
            <w:rPr>
              <w:sz w:val="21"/>
              <w:szCs w:val="21"/>
            </w:rPr>
            <w:fldChar w:fldCharType="end"/>
          </w:r>
        </w:p>
        <w:p w14:paraId="42E00445">
          <w:pPr>
            <w:pStyle w:val="27"/>
            <w:tabs>
              <w:tab w:val="right" w:leader="dot" w:pos="9648"/>
            </w:tabs>
            <w:rPr>
              <w:sz w:val="21"/>
              <w:szCs w:val="21"/>
            </w:rPr>
          </w:pPr>
          <w:r>
            <w:rPr>
              <w:sz w:val="21"/>
              <w:szCs w:val="21"/>
            </w:rPr>
            <w:fldChar w:fldCharType="begin"/>
          </w:r>
          <w:r>
            <w:rPr>
              <w:sz w:val="21"/>
              <w:szCs w:val="21"/>
            </w:rPr>
            <w:instrText xml:space="preserve"> HYPERLINK \l _Toc4678 </w:instrText>
          </w:r>
          <w:r>
            <w:rPr>
              <w:sz w:val="21"/>
              <w:szCs w:val="21"/>
            </w:rPr>
            <w:fldChar w:fldCharType="separate"/>
          </w:r>
          <w:r>
            <w:rPr>
              <w:rFonts w:ascii="Times New Roman" w:hAnsi="Times New Roman" w:eastAsia="黑体" w:cs="Times New Roman"/>
              <w:bCs w:val="0"/>
              <w:sz w:val="21"/>
              <w:szCs w:val="22"/>
            </w:rPr>
            <w:t>附录 C：企业组织结构树</w:t>
          </w:r>
          <w:r>
            <w:rPr>
              <w:sz w:val="21"/>
              <w:szCs w:val="21"/>
            </w:rPr>
            <w:tab/>
          </w:r>
          <w:r>
            <w:rPr>
              <w:sz w:val="21"/>
              <w:szCs w:val="21"/>
            </w:rPr>
            <w:fldChar w:fldCharType="begin"/>
          </w:r>
          <w:r>
            <w:rPr>
              <w:sz w:val="21"/>
              <w:szCs w:val="21"/>
            </w:rPr>
            <w:instrText xml:space="preserve"> PAGEREF _Toc4678 \h </w:instrText>
          </w:r>
          <w:r>
            <w:rPr>
              <w:sz w:val="21"/>
              <w:szCs w:val="21"/>
            </w:rPr>
            <w:fldChar w:fldCharType="separate"/>
          </w:r>
          <w:r>
            <w:rPr>
              <w:sz w:val="21"/>
              <w:szCs w:val="21"/>
            </w:rPr>
            <w:t>186</w:t>
          </w:r>
          <w:r>
            <w:rPr>
              <w:sz w:val="21"/>
              <w:szCs w:val="21"/>
            </w:rPr>
            <w:fldChar w:fldCharType="end"/>
          </w:r>
          <w:r>
            <w:rPr>
              <w:sz w:val="21"/>
              <w:szCs w:val="21"/>
            </w:rPr>
            <w:fldChar w:fldCharType="end"/>
          </w:r>
        </w:p>
        <w:p w14:paraId="225FCDC1">
          <w:pPr>
            <w:pStyle w:val="27"/>
            <w:tabs>
              <w:tab w:val="right" w:leader="dot" w:pos="9648"/>
            </w:tabs>
            <w:rPr>
              <w:sz w:val="21"/>
              <w:szCs w:val="21"/>
            </w:rPr>
          </w:pPr>
          <w:r>
            <w:rPr>
              <w:sz w:val="21"/>
              <w:szCs w:val="21"/>
            </w:rPr>
            <w:fldChar w:fldCharType="begin"/>
          </w:r>
          <w:r>
            <w:rPr>
              <w:sz w:val="21"/>
              <w:szCs w:val="21"/>
            </w:rPr>
            <w:instrText xml:space="preserve"> HYPERLINK \l _Toc15759 </w:instrText>
          </w:r>
          <w:r>
            <w:rPr>
              <w:sz w:val="21"/>
              <w:szCs w:val="21"/>
            </w:rPr>
            <w:fldChar w:fldCharType="separate"/>
          </w:r>
          <w:r>
            <w:rPr>
              <w:rFonts w:ascii="Times New Roman" w:hAnsi="Times New Roman" w:eastAsia="黑体" w:cs="Times New Roman"/>
              <w:bCs w:val="0"/>
              <w:sz w:val="21"/>
              <w:szCs w:val="22"/>
            </w:rPr>
            <w:t>附录 D：园区组织结构树</w:t>
          </w:r>
          <w:r>
            <w:rPr>
              <w:sz w:val="21"/>
              <w:szCs w:val="21"/>
            </w:rPr>
            <w:tab/>
          </w:r>
          <w:r>
            <w:rPr>
              <w:sz w:val="21"/>
              <w:szCs w:val="21"/>
            </w:rPr>
            <w:fldChar w:fldCharType="begin"/>
          </w:r>
          <w:r>
            <w:rPr>
              <w:sz w:val="21"/>
              <w:szCs w:val="21"/>
            </w:rPr>
            <w:instrText xml:space="preserve"> PAGEREF _Toc15759 \h </w:instrText>
          </w:r>
          <w:r>
            <w:rPr>
              <w:sz w:val="21"/>
              <w:szCs w:val="21"/>
            </w:rPr>
            <w:fldChar w:fldCharType="separate"/>
          </w:r>
          <w:r>
            <w:rPr>
              <w:sz w:val="21"/>
              <w:szCs w:val="21"/>
            </w:rPr>
            <w:t>187</w:t>
          </w:r>
          <w:r>
            <w:rPr>
              <w:sz w:val="21"/>
              <w:szCs w:val="21"/>
            </w:rPr>
            <w:fldChar w:fldCharType="end"/>
          </w:r>
          <w:r>
            <w:rPr>
              <w:sz w:val="21"/>
              <w:szCs w:val="21"/>
            </w:rPr>
            <w:fldChar w:fldCharType="end"/>
          </w:r>
        </w:p>
        <w:p w14:paraId="0DEC2855">
          <w:pPr>
            <w:pStyle w:val="27"/>
            <w:tabs>
              <w:tab w:val="right" w:leader="dot" w:pos="9648"/>
            </w:tabs>
          </w:pPr>
          <w:r>
            <w:rPr>
              <w:sz w:val="21"/>
              <w:szCs w:val="21"/>
            </w:rPr>
            <w:fldChar w:fldCharType="begin"/>
          </w:r>
          <w:r>
            <w:rPr>
              <w:sz w:val="21"/>
              <w:szCs w:val="21"/>
            </w:rPr>
            <w:instrText xml:space="preserve"> HYPERLINK \l _Toc4309 </w:instrText>
          </w:r>
          <w:r>
            <w:rPr>
              <w:sz w:val="21"/>
              <w:szCs w:val="21"/>
            </w:rPr>
            <w:fldChar w:fldCharType="separate"/>
          </w:r>
          <w:r>
            <w:rPr>
              <w:rFonts w:ascii="Times New Roman" w:hAnsi="Times New Roman" w:eastAsia="黑体" w:cs="Times New Roman"/>
              <w:bCs w:val="0"/>
              <w:sz w:val="21"/>
              <w:szCs w:val="22"/>
            </w:rPr>
            <w:t>附录 E：角色与权限矩阵</w:t>
          </w:r>
          <w:r>
            <w:rPr>
              <w:sz w:val="21"/>
              <w:szCs w:val="21"/>
            </w:rPr>
            <w:tab/>
          </w:r>
          <w:r>
            <w:rPr>
              <w:sz w:val="21"/>
              <w:szCs w:val="21"/>
            </w:rPr>
            <w:fldChar w:fldCharType="begin"/>
          </w:r>
          <w:r>
            <w:rPr>
              <w:sz w:val="21"/>
              <w:szCs w:val="21"/>
            </w:rPr>
            <w:instrText xml:space="preserve"> PAGEREF _Toc4309 \h </w:instrText>
          </w:r>
          <w:r>
            <w:rPr>
              <w:sz w:val="21"/>
              <w:szCs w:val="21"/>
            </w:rPr>
            <w:fldChar w:fldCharType="separate"/>
          </w:r>
          <w:r>
            <w:rPr>
              <w:sz w:val="21"/>
              <w:szCs w:val="21"/>
            </w:rPr>
            <w:t>188</w:t>
          </w:r>
          <w:r>
            <w:rPr>
              <w:sz w:val="21"/>
              <w:szCs w:val="21"/>
            </w:rPr>
            <w:fldChar w:fldCharType="end"/>
          </w:r>
          <w:r>
            <w:rPr>
              <w:sz w:val="21"/>
              <w:szCs w:val="21"/>
            </w:rPr>
            <w:fldChar w:fldCharType="end"/>
          </w:r>
        </w:p>
        <w:p w14:paraId="4C61D3FC">
          <w:r>
            <w:fldChar w:fldCharType="end"/>
          </w:r>
        </w:p>
      </w:sdtContent>
    </w:sdt>
    <w:p w14:paraId="7BD74E1B"/>
    <w:p w14:paraId="294A731F">
      <w:pPr>
        <w:ind w:left="0" w:leftChars="0" w:firstLine="0" w:firstLineChars="0"/>
        <w:rPr>
          <w:rFonts w:eastAsia="黑体"/>
          <w:b w:val="0"/>
          <w:bCs w:val="0"/>
          <w:sz w:val="32"/>
          <w:szCs w:val="44"/>
        </w:rPr>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bookmarkStart w:id="0" w:name="_Toc23783"/>
    </w:p>
    <w:p w14:paraId="1972F910">
      <w:pPr>
        <w:pStyle w:val="3"/>
        <w:numPr>
          <w:ilvl w:val="0"/>
          <w:numId w:val="7"/>
        </w:numPr>
        <w:ind w:left="0" w:leftChars="0" w:firstLine="0" w:firstLineChars="0"/>
        <w:rPr>
          <w:rFonts w:eastAsia="黑体"/>
          <w:b w:val="0"/>
          <w:bCs w:val="0"/>
          <w:sz w:val="32"/>
          <w:szCs w:val="44"/>
        </w:rPr>
      </w:pPr>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rPr>
      </w:pPr>
      <w:bookmarkStart w:id="1" w:name="_Toc25175"/>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rPr>
      </w:pPr>
      <w:bookmarkStart w:id="2" w:name="_Toc9482"/>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rPr>
      </w:pPr>
      <w:bookmarkStart w:id="3" w:name="_Toc11607"/>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683"/>
        <w:gridCol w:w="2288"/>
        <w:gridCol w:w="6813"/>
      </w:tblGrid>
      <w:tr w14:paraId="723DC6FB">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81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8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8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6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8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rPr>
      </w:pPr>
      <w:bookmarkStart w:id="4" w:name="_Toc1776"/>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numId w:val="0"/>
        </w:numPr>
        <w:rPr>
          <w:rFonts w:eastAsia="宋体"/>
          <w:b/>
          <w:i w:val="0"/>
          <w:color w:val="0284C7"/>
          <w:sz w:val="24"/>
          <w:szCs w:val="24"/>
        </w:rPr>
      </w:pPr>
      <w:r>
        <w:rPr>
          <w:rFonts w:ascii="Times New Roman" w:hAnsi="Times New Roman" w:eastAsia="宋体" w:cs="Times New Roman"/>
          <w:b/>
          <w:i w:val="0"/>
          <w:color w:val="1E3A8A"/>
          <w:sz w:val="24"/>
          <w:szCs w:val="24"/>
        </w:rPr>
        <w:t>技术服务范围</w:t>
      </w:r>
    </w:p>
    <w:p w14:paraId="09A7A047">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rPr>
      </w:pPr>
      <w:bookmarkStart w:id="5" w:name="_Toc14229"/>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2"/>
                    <a:stretch>
                      <a:fillRect/>
                    </a:stretch>
                  </pic:blipFill>
                  <pic:spPr>
                    <a:xfrm>
                      <a:off x="0" y="0"/>
                      <a:ext cx="5588000" cy="3547110"/>
                    </a:xfrm>
                    <a:prstGeom prst="rect">
                      <a:avLst/>
                    </a:prstGeom>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rPr>
      </w:pPr>
      <w:bookmarkStart w:id="6" w:name="_Toc28299"/>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时序数仓（TimescaleDB）、业务主库（PostgreSQL）、指标计算引擎、双中心应用集群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rPr>
      </w:pPr>
      <w:bookmarkStart w:id="7" w:name="_Toc11116"/>
      <w:r>
        <w:rPr>
          <w:rFonts w:ascii="Times New Roman" w:hAnsi="Times New Roman" w:eastAsia="黑体" w:cs="Times New Roman"/>
          <w:b w:val="0"/>
          <w:bCs w:val="0"/>
          <w:sz w:val="30"/>
          <w:szCs w:val="24"/>
        </w:rPr>
        <w:t>双中心定位与协同</w:t>
      </w:r>
      <w:bookmarkEnd w:id="7"/>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2464998B">
      <w:pPr>
        <w:pStyle w:val="4"/>
        <w:numPr>
          <w:ilvl w:val="0"/>
          <w:numId w:val="8"/>
        </w:numPr>
        <w:topLinePunct w:val="0"/>
        <w:ind w:left="0" w:leftChars="0" w:firstLine="0" w:firstLineChars="0"/>
        <w:outlineLvl w:val="0"/>
        <w:rPr>
          <w:rFonts w:hint="eastAsia" w:eastAsia="黑体"/>
          <w:b w:val="0"/>
          <w:bCs w:val="0"/>
          <w:sz w:val="30"/>
          <w:szCs w:val="32"/>
        </w:rPr>
      </w:pPr>
      <w:bookmarkStart w:id="8" w:name="_Toc23087"/>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0A7B55E">
      <w:pPr>
        <w:spacing w:after="60"/>
        <w:rPr>
          <w:rFonts w:hint="eastAsia" w:ascii="宋体" w:hAnsi="宋体" w:eastAsia="宋体" w:cs="宋体"/>
          <w:i w:val="0"/>
          <w:iCs w:val="0"/>
          <w:sz w:val="24"/>
          <w:szCs w:val="24"/>
        </w:rPr>
      </w:pPr>
    </w:p>
    <w:p w14:paraId="4CD44814">
      <w:pPr>
        <w:spacing w:after="60"/>
        <w:rPr>
          <w:rFonts w:hint="eastAsia" w:ascii="宋体" w:hAnsi="宋体" w:eastAsia="宋体" w:cs="宋体"/>
          <w:i w:val="0"/>
          <w:iCs w:val="0"/>
          <w:sz w:val="24"/>
          <w:szCs w:val="24"/>
        </w:rPr>
      </w:pPr>
    </w:p>
    <w:p w14:paraId="13102C39">
      <w:pPr>
        <w:spacing w:after="60"/>
        <w:rPr>
          <w:rFonts w:hint="eastAsia" w:ascii="宋体" w:hAnsi="宋体" w:eastAsia="宋体" w:cs="宋体"/>
          <w:i w:val="0"/>
          <w:iCs w:val="0"/>
          <w:sz w:val="24"/>
          <w:szCs w:val="24"/>
        </w:rPr>
      </w:pPr>
    </w:p>
    <w:p w14:paraId="0E5D0A89">
      <w:pPr>
        <w:spacing w:after="60"/>
        <w:rPr>
          <w:rFonts w:hint="eastAsia" w:ascii="宋体" w:hAnsi="宋体" w:eastAsia="宋体" w:cs="宋体"/>
          <w:i w:val="0"/>
          <w:iCs w:val="0"/>
          <w:sz w:val="24"/>
          <w:szCs w:val="24"/>
        </w:rPr>
      </w:pPr>
    </w:p>
    <w:p w14:paraId="5560C252">
      <w:pPr>
        <w:pStyle w:val="4"/>
        <w:numPr>
          <w:ilvl w:val="0"/>
          <w:numId w:val="8"/>
        </w:numPr>
        <w:topLinePunct w:val="0"/>
        <w:ind w:left="0" w:leftChars="0" w:firstLine="0" w:firstLineChars="0"/>
        <w:outlineLvl w:val="0"/>
        <w:rPr>
          <w:rFonts w:hint="eastAsia" w:eastAsia="黑体"/>
          <w:b w:val="0"/>
          <w:bCs w:val="0"/>
          <w:sz w:val="30"/>
          <w:szCs w:val="32"/>
        </w:rPr>
      </w:pPr>
      <w:bookmarkStart w:id="9" w:name="_Toc15776"/>
      <w:r>
        <w:rPr>
          <w:rFonts w:ascii="Times New Roman" w:hAnsi="Times New Roman" w:eastAsia="黑体" w:cs="Times New Roman"/>
          <w:b w:val="0"/>
          <w:bCs w:val="0"/>
          <w:sz w:val="30"/>
          <w:szCs w:val="32"/>
        </w:rPr>
        <w:t>文档编制范式：统一八段式模块模板</w:t>
      </w:r>
      <w:bookmarkEnd w:id="9"/>
    </w:p>
    <w:tbl>
      <w:tblPr>
        <w:tblStyle w:val="38"/>
        <w:tblW w:w="9784" w:type="dxa"/>
        <w:jc w:val="center"/>
        <w:tblLayout w:type="autofit"/>
        <w:tblCellMar>
          <w:top w:w="0" w:type="dxa"/>
          <w:left w:w="108" w:type="dxa"/>
          <w:bottom w:w="0" w:type="dxa"/>
          <w:right w:w="108" w:type="dxa"/>
        </w:tblCellMar>
      </w:tblPr>
      <w:tblGrid>
        <w:gridCol w:w="1023"/>
        <w:gridCol w:w="2382"/>
        <w:gridCol w:w="4031"/>
        <w:gridCol w:w="2348"/>
      </w:tblGrid>
      <w:tr w14:paraId="183A7D12">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40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40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40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40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40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40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40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40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40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rPr>
      </w:pPr>
      <w:bookmarkStart w:id="10" w:name="_Toc9295"/>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6210300" cy="3079115"/>
                    </a:xfrm>
                    <a:prstGeom prst="rect">
                      <a:avLst/>
                    </a:prstGeom>
                    <a:noFill/>
                    <a:ln>
                      <a:noFill/>
                    </a:ln>
                  </pic:spPr>
                </pic:pic>
              </a:graphicData>
            </a:graphic>
          </wp:inline>
        </w:drawing>
      </w:r>
    </w:p>
    <w:p w14:paraId="21C483D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本章严格对应系统切换至【零碳园区集控中心】时的 6 大一级主导航逐层展开，全面覆盖集中监控大屏、集中监管、能耗能效分析、零碳项目评估、统计报表与基础管理六大板块。全章功能权限矩阵见附录 E，验收用例见第十一章，错误码见第五章"标准化错误码字典"。</w:t>
      </w:r>
    </w:p>
    <w:p w14:paraId="0EEEF575">
      <w:pPr>
        <w:pStyle w:val="4"/>
        <w:numPr>
          <w:ilvl w:val="0"/>
          <w:numId w:val="15"/>
        </w:numPr>
        <w:topLinePunct w:val="0"/>
        <w:ind w:left="0" w:leftChars="0" w:firstLine="0" w:firstLineChars="0"/>
        <w:outlineLvl w:val="0"/>
        <w:rPr>
          <w:rFonts w:hint="eastAsia" w:eastAsia="黑体"/>
          <w:b w:val="0"/>
          <w:bCs w:val="0"/>
          <w:sz w:val="30"/>
          <w:szCs w:val="32"/>
        </w:rPr>
      </w:pPr>
      <w:bookmarkStart w:id="11" w:name="_Toc23727"/>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rPr>
      </w:pPr>
      <w:bookmarkStart w:id="12" w:name="_Toc20473"/>
      <w:r>
        <w:rPr>
          <w:rFonts w:ascii="Times New Roman" w:hAnsi="Times New Roman" w:eastAsia="黑体" w:cs="Times New Roman"/>
          <w:b w:val="0"/>
          <w:bCs w:val="0"/>
          <w:sz w:val="30"/>
          <w:szCs w:val="24"/>
        </w:rPr>
        <w:t>全景环幕大屏 46:9</w:t>
      </w:r>
      <w:bookmarkEnd w:id="12"/>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4"/>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lang w:val="en-US" w:eastAsia="zh-CN"/>
        </w:rPr>
      </w:pPr>
      <w:r>
        <w:rPr>
          <w:rFonts w:hint="eastAsia" w:eastAsia="黑体"/>
          <w:b w:val="0"/>
          <w:bCs/>
          <w:sz w:val="28"/>
          <w:szCs w:val="28"/>
          <w:lang w:val="en-US" w:eastAsia="zh-CN"/>
        </w:rPr>
        <w:t>集控中心大屏展示</w:t>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5"/>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lang w:val="en-US" w:eastAsia="zh-CN"/>
        </w:rPr>
      </w:pPr>
      <w:r>
        <w:rPr>
          <w:rFonts w:hint="eastAsia" w:eastAsia="黑体"/>
          <w:b w:val="0"/>
          <w:bCs/>
          <w:sz w:val="28"/>
          <w:szCs w:val="28"/>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集团高层决策者 (Persona P1)</w:t>
      </w:r>
      <w:r>
        <w:rPr>
          <w:rFonts w:ascii="Times New Roman" w:hAnsi="Times New Roman" w:eastAsia="宋体" w:cs="Times New Roman"/>
          <w:i w:val="0"/>
          <w:color w:val="1F2937"/>
          <w:sz w:val="24"/>
          <w:szCs w:val="24"/>
        </w:rPr>
        <w:t>，</w:t>
      </w:r>
    </w:p>
    <w:p w14:paraId="689AD6AF">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在集控中心环幕大屏上一屏穿透全集团实时能耗折标总量、万元产值能耗变动、微电网光储充实时出力与全国制造基地空间分布</w:t>
      </w:r>
      <w:r>
        <w:rPr>
          <w:rFonts w:ascii="Times New Roman" w:hAnsi="Times New Roman" w:eastAsia="宋体" w:cs="Times New Roman"/>
          <w:i w:val="0"/>
          <w:color w:val="1F2937"/>
          <w:sz w:val="24"/>
          <w:szCs w:val="24"/>
        </w:rPr>
        <w:t>，</w:t>
      </w:r>
    </w:p>
    <w:p w14:paraId="51948574">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我能掌握集团能碳战略执行进度，对外彰显特变电工世界级绿色智造硬实力</w:t>
      </w:r>
      <w:r>
        <w:rPr>
          <w:rFonts w:ascii="Times New Roman" w:hAnsi="Times New Roman" w:eastAsia="宋体" w:cs="Times New Roman"/>
          <w:i w:val="0"/>
          <w:color w:val="1F2937"/>
          <w:sz w:val="24"/>
          <w:szCs w:val="24"/>
        </w:rPr>
        <w:t>。</w:t>
      </w:r>
    </w:p>
    <w:p w14:paraId="301F7043">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(3.2%)、柴油/液氮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75"/>
        <w:gridCol w:w="1363"/>
        <w:gridCol w:w="1363"/>
        <w:gridCol w:w="4302"/>
      </w:tblGrid>
      <w:tr w14:paraId="5D995F2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D3C6422">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49C64564">
      <w:pPr>
        <w:pStyle w:val="6"/>
        <w:numPr>
          <w:ilvl w:val="0"/>
          <w:numId w:val="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AAC7E4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rPr>
      </w:pPr>
      <w:bookmarkStart w:id="13" w:name="_Toc15307"/>
      <w:r>
        <w:rPr>
          <w:rFonts w:ascii="Times New Roman" w:hAnsi="Times New Roman" w:eastAsia="黑体" w:cs="Times New Roman"/>
          <w:b w:val="0"/>
          <w:bCs w:val="0"/>
          <w:sz w:val="30"/>
          <w:szCs w:val="24"/>
        </w:rPr>
        <w:t>综合集控大屏 16:9</w:t>
      </w:r>
      <w:bookmarkEnd w:id="13"/>
    </w:p>
    <w:p w14:paraId="6E13D674">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Cs w:val="0"/>
          <w:i/>
          <w:color w:val="9A6A00"/>
          <w:sz w:val="24"/>
          <w:szCs w:val="24"/>
        </w:rPr>
        <w:t>【原型</w:t>
      </w:r>
      <w:r>
        <w:rPr>
          <w:rFonts w:hint="eastAsia" w:cs="Times New Roman"/>
          <w:bCs w:val="0"/>
          <w:i/>
          <w:color w:val="9A6A00"/>
          <w:sz w:val="24"/>
          <w:szCs w:val="24"/>
          <w:lang w:val="en-US" w:eastAsia="zh-CN"/>
        </w:rPr>
        <w:t>暂缺</w:t>
      </w:r>
      <w:r>
        <w:rPr>
          <w:rFonts w:ascii="Times New Roman" w:hAnsi="Times New Roman" w:eastAsia="宋体" w:cs="Times New Roman"/>
          <w:bCs w:val="0"/>
          <w:i/>
          <w:color w:val="9A6A00"/>
          <w:sz w:val="24"/>
          <w:szCs w:val="24"/>
        </w:rPr>
        <w:t>】。</w:t>
      </w:r>
    </w:p>
    <w:p w14:paraId="51BCCC66">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693CFC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DA19C3B">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B42E95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tc>
      </w:tr>
    </w:tbl>
    <w:p w14:paraId="047A172B">
      <w:pPr>
        <w:spacing w:after="40"/>
        <w:rPr>
          <w:rFonts w:hint="eastAsia" w:ascii="宋体" w:hAnsi="宋体" w:eastAsia="宋体" w:cs="宋体"/>
          <w:i w:val="0"/>
          <w:iCs w:val="0"/>
          <w:sz w:val="24"/>
          <w:szCs w:val="24"/>
        </w:rPr>
      </w:pPr>
    </w:p>
    <w:p w14:paraId="4AA3585A">
      <w:pPr>
        <w:pStyle w:val="4"/>
        <w:numPr>
          <w:ilvl w:val="0"/>
          <w:numId w:val="15"/>
        </w:numPr>
        <w:topLinePunct w:val="0"/>
        <w:ind w:left="0" w:leftChars="0" w:firstLine="0" w:firstLineChars="0"/>
        <w:outlineLvl w:val="0"/>
        <w:rPr>
          <w:rFonts w:hint="eastAsia" w:eastAsia="黑体"/>
          <w:b w:val="0"/>
          <w:bCs w:val="0"/>
          <w:sz w:val="30"/>
          <w:szCs w:val="32"/>
        </w:rPr>
      </w:pPr>
      <w:bookmarkStart w:id="14" w:name="_Toc5744"/>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rPr>
      </w:pPr>
      <w:bookmarkStart w:id="15" w:name="_Toc7844"/>
      <w:r>
        <w:rPr>
          <w:rFonts w:ascii="Times New Roman" w:hAnsi="Times New Roman" w:eastAsia="黑体" w:cs="Times New Roman"/>
          <w:b w:val="0"/>
          <w:bCs w:val="0"/>
          <w:sz w:val="30"/>
          <w:szCs w:val="24"/>
        </w:rPr>
        <w:t>指标管控</w:t>
      </w:r>
      <w:bookmarkEnd w:id="15"/>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6210300" cy="307911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 v2.0 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1BD20F0">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在指标卡片矩阵中按组织树与时间维度查看 10 项核心指标，并点击任意指标卡穿透查看其分子分母工程物理量、核算公式、仪表点位路径与近 12 个月趋势</w:t>
      </w:r>
      <w:r>
        <w:rPr>
          <w:rFonts w:ascii="Times New Roman" w:hAnsi="Times New Roman" w:eastAsia="宋体" w:cs="Times New Roman"/>
          <w:i w:val="0"/>
          <w:color w:val="1F2937"/>
          <w:sz w:val="24"/>
          <w:szCs w:val="24"/>
        </w:rPr>
        <w:t>，</w:t>
      </w:r>
    </w:p>
    <w:p w14:paraId="05E3A3B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我能精准定位某工厂某工序的能耗异常根因，形成可追溯的整改依据</w:t>
      </w:r>
      <w:r>
        <w:rPr>
          <w:rFonts w:ascii="Times New Roman" w:hAnsi="Times New Roman" w:eastAsia="宋体" w:cs="Times New Roman"/>
          <w:i w:val="0"/>
          <w:color w:val="1F2937"/>
          <w:sz w:val="24"/>
          <w:szCs w:val="24"/>
        </w:rPr>
        <w:t>。</w:t>
      </w:r>
    </w:p>
    <w:p w14:paraId="79DC1AAD">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指标聚合口径矩阵（22 项参数 × 4 级节点）：</w:t>
      </w:r>
    </w:p>
    <w:tbl>
      <w:tblPr>
        <w:tblStyle w:val="38"/>
        <w:tblW w:w="9784" w:type="dxa"/>
        <w:jc w:val="center"/>
        <w:tblLayout w:type="autofit"/>
        <w:tblCellMar>
          <w:top w:w="0" w:type="dxa"/>
          <w:left w:w="108" w:type="dxa"/>
          <w:bottom w:w="0" w:type="dxa"/>
          <w:right w:w="108" w:type="dxa"/>
        </w:tblCellMar>
      </w:tblPr>
      <w:tblGrid>
        <w:gridCol w:w="2735"/>
        <w:gridCol w:w="2737"/>
        <w:gridCol w:w="2737"/>
        <w:gridCol w:w="1575"/>
      </w:tblGrid>
      <w:tr w14:paraId="76283B5B">
        <w:tblPrEx>
          <w:tblCellMar>
            <w:top w:w="0" w:type="dxa"/>
            <w:left w:w="108" w:type="dxa"/>
            <w:bottom w:w="0" w:type="dxa"/>
            <w:right w:w="108" w:type="dxa"/>
          </w:tblCellMar>
        </w:tblPrEx>
        <w:trPr>
          <w:jc w:val="center"/>
        </w:trPr>
        <w:tc>
          <w:tcPr>
            <w:tcW w:w="27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一级节点</w:t>
            </w:r>
          </w:p>
        </w:tc>
        <w:tc>
          <w:tcPr>
            <w:tcW w:w="2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4E67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二级节点</w:t>
            </w:r>
          </w:p>
        </w:tc>
        <w:tc>
          <w:tcPr>
            <w:tcW w:w="2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798E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三级节点</w:t>
            </w:r>
          </w:p>
        </w:tc>
        <w:tc>
          <w:tcPr>
            <w:tcW w:w="15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四级节点（工厂）</w:t>
            </w:r>
          </w:p>
        </w:tc>
      </w:tr>
      <w:tr w14:paraId="4AE3E17C">
        <w:tblPrEx>
          <w:tblCellMar>
            <w:top w:w="0" w:type="dxa"/>
            <w:left w:w="108" w:type="dxa"/>
            <w:bottom w:w="0" w:type="dxa"/>
            <w:right w:w="108" w:type="dxa"/>
          </w:tblCellMar>
        </w:tblPrEx>
        <w:trPr>
          <w:jc w:val="center"/>
        </w:trPr>
        <w:tc>
          <w:tcPr>
            <w:tcW w:w="27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DAF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B347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167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7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570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43E8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A9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6A6E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784" w:type="dxa"/>
        <w:jc w:val="center"/>
        <w:tblLayout w:type="autofit"/>
        <w:tblCellMar>
          <w:top w:w="0" w:type="dxa"/>
          <w:left w:w="108" w:type="dxa"/>
          <w:bottom w:w="0" w:type="dxa"/>
          <w:right w:w="108" w:type="dxa"/>
        </w:tblCellMar>
      </w:tblPr>
      <w:tblGrid>
        <w:gridCol w:w="883"/>
        <w:gridCol w:w="1520"/>
        <w:gridCol w:w="1362"/>
        <w:gridCol w:w="1916"/>
        <w:gridCol w:w="4103"/>
      </w:tblGrid>
      <w:tr w14:paraId="66A941F9">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13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41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00E7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D82E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B23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C1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2EF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996B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2B6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3B7E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385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5AE4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AC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07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119A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B377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19A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B77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6DF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027B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191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CA1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706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E5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7D5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C042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EE34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628C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541C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DF0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7157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754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6693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65E5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3282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C6BB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3C1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740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B0A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5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C4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083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9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7DE2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6BA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2E46F005">
      <w:pPr>
        <w:spacing w:after="60"/>
        <w:rPr>
          <w:rFonts w:hint="eastAsia" w:ascii="宋体" w:hAnsi="宋体" w:eastAsia="宋体" w:cs="宋体"/>
          <w:i w:val="0"/>
          <w:iCs w:val="0"/>
          <w:sz w:val="24"/>
          <w:szCs w:val="24"/>
        </w:rPr>
      </w:pPr>
    </w:p>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EE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00D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8D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FD5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2A4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B230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09A7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135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C7B3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8AAC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4F8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55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0A1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C3F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F771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6D7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49D7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005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8081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B45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5C0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B35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5018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3A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913"/>
        <w:gridCol w:w="1622"/>
        <w:gridCol w:w="1110"/>
        <w:gridCol w:w="1199"/>
        <w:gridCol w:w="4940"/>
      </w:tblGrid>
      <w:tr w14:paraId="61FB82B6">
        <w:tblPrEx>
          <w:tblCellMar>
            <w:top w:w="0" w:type="dxa"/>
            <w:left w:w="108" w:type="dxa"/>
            <w:bottom w:w="0" w:type="dxa"/>
            <w:right w:w="108" w:type="dxa"/>
          </w:tblCellMar>
        </w:tblPrEx>
        <w:trPr>
          <w:tblHeade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C9FD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A978D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ECD63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48D2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E23D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3322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7849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0F8B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5D10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9952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3A9E3995">
      <w:pPr>
        <w:spacing w:after="60"/>
        <w:rPr>
          <w:rFonts w:hint="eastAsia" w:ascii="宋体" w:hAnsi="宋体" w:eastAsia="宋体" w:cs="宋体"/>
          <w:i w:val="0"/>
          <w:iCs w:val="0"/>
          <w:sz w:val="24"/>
          <w:szCs w:val="24"/>
        </w:rPr>
      </w:pPr>
    </w:p>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【业务约束与工程规范契约】</w:t>
            </w:r>
            <w:r>
              <w:rPr>
                <w:rFonts w:hint="eastAsia" w:ascii="宋体" w:hAnsi="宋体" w:eastAsia="宋体" w:cs="宋体"/>
                <w:b/>
                <w:i w:val="0"/>
                <w:iCs w:val="0"/>
                <w:color w:val="1E3A8A"/>
                <w:sz w:val="24"/>
                <w:szCs w:val="24"/>
              </w:rPr>
              <w:br w:type="textWrapping"/>
            </w: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03A628F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关键工序指标清单（44 项，节选核心字段）：</w:t>
      </w:r>
    </w:p>
    <w:tbl>
      <w:tblPr>
        <w:tblStyle w:val="38"/>
        <w:tblW w:w="9784" w:type="dxa"/>
        <w:jc w:val="center"/>
        <w:tblLayout w:type="autofit"/>
        <w:tblCellMar>
          <w:top w:w="0" w:type="dxa"/>
          <w:left w:w="108" w:type="dxa"/>
          <w:bottom w:w="0" w:type="dxa"/>
          <w:right w:w="108" w:type="dxa"/>
        </w:tblCellMar>
      </w:tblPr>
      <w:tblGrid>
        <w:gridCol w:w="693"/>
        <w:gridCol w:w="5350"/>
        <w:gridCol w:w="1603"/>
        <w:gridCol w:w="2138"/>
      </w:tblGrid>
      <w:tr w14:paraId="428CDB3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13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吨铜电耗（线缆-拉丝）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M_铜</w:t>
            </w:r>
          </w:p>
        </w:tc>
      </w:tr>
      <w:tr w14:paraId="03463B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吨铝电耗（线缆-拉丝）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M_铝</w:t>
            </w:r>
          </w:p>
        </w:tc>
      </w:tr>
      <w:tr w14:paraId="16C2B6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交联电耗（干法）（线缆-中低压-交联）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2504EF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交联电耗（干法）（线缆-高压-交联）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7935CD1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B53E4F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353EF6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5A9406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15E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DBCDE8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28AA6C8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6D0C33B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kWh/万kVA</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3CE21DF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5704B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单位产值电耗（中低压开关柜-钣金喷涂）</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1D2EE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单位产值电耗（套管-干燥）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C17C0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单位产值综合能耗（互感器-干燥）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E3223E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693E3B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单位产量电耗（电容器-芯子卷绕）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49598B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单位产量电耗（电容器-真空浸渍）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05B95D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单位产值电耗（干式电抗器-固化）</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AEE7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D75FB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单位产值电耗（GIL-螺旋焊管生产）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9C0D6E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单位产值电耗（GIL-绝缘子生产）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AEBD78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单位产值电耗（GIS-抽真空）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991DE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单位产值电耗（GIS-绝缘件干燥）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639176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单位产值电耗（GIS-工频耐压试验）</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EC85D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单位产值电耗（GIS-空调恒温除湿）</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5A931C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单位产量电耗（非晶合金铁心-退火）</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67F3EA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单位产量电耗（硅钢铁心-纵剪）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1327289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单位产量电耗（硅钢铁心-中型叠装）</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58D3DED">
        <w:tblPrEx>
          <w:tblCellMar>
            <w:top w:w="0" w:type="dxa"/>
            <w:left w:w="108" w:type="dxa"/>
            <w:bottom w:w="0" w:type="dxa"/>
            <w:right w:w="108" w:type="dxa"/>
          </w:tblCellMar>
        </w:tblPrEx>
        <w:trPr>
          <w:jc w:val="center"/>
        </w:trPr>
        <w:tc>
          <w:tcPr>
            <w:tcW w:w="6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31</w:t>
            </w:r>
          </w:p>
        </w:tc>
        <w:tc>
          <w:tcPr>
            <w:tcW w:w="5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单位产量电耗（硅钢铁心-大型叠装）</w:t>
            </w:r>
          </w:p>
        </w:tc>
        <w:tc>
          <w:tcPr>
            <w:tcW w:w="16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bl>
    <w:p w14:paraId="43668F18">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AB032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BAC6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7C66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2F28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102B9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6C42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B99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421F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336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AD8E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49F6D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3BF3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C8F5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F714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03EC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E78E9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C1EB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E2D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707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514"/>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7667B9C">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C6F44CA">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EEC14D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rPr>
      </w:pPr>
      <w:bookmarkStart w:id="16" w:name="_Toc9809"/>
      <w:r>
        <w:rPr>
          <w:rFonts w:ascii="Times New Roman" w:hAnsi="Times New Roman" w:eastAsia="黑体" w:cs="Times New Roman"/>
          <w:b w:val="0"/>
          <w:bCs w:val="0"/>
          <w:sz w:val="30"/>
          <w:szCs w:val="24"/>
        </w:rPr>
        <w:t>数据变化详情</w:t>
      </w:r>
      <w:bookmarkEnd w:id="16"/>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17"/>
                    <a:stretch>
                      <a:fillRect/>
                    </a:stretch>
                  </pic:blipFill>
                  <pic:spPr>
                    <a:xfrm>
                      <a:off x="0" y="0"/>
                      <a:ext cx="6210300" cy="307911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77A0345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在指标详情抽屉中查看数学核算模型、数仓链路与仪表点位、12 个月走势图与底层抄表台账，并一键导出明细</w:t>
      </w:r>
      <w:r>
        <w:rPr>
          <w:rFonts w:ascii="Times New Roman" w:hAnsi="Times New Roman" w:eastAsia="宋体" w:cs="Times New Roman"/>
          <w:i w:val="0"/>
          <w:color w:val="1F2937"/>
          <w:sz w:val="24"/>
          <w:szCs w:val="24"/>
        </w:rPr>
        <w:t>，</w:t>
      </w:r>
    </w:p>
    <w:p w14:paraId="40C3365F">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我能形成经得起审计追溯的能耗异常归因证据</w:t>
      </w:r>
      <w:r>
        <w:rPr>
          <w:rFonts w:ascii="Times New Roman" w:hAnsi="Times New Roman" w:eastAsia="宋体" w:cs="Times New Roman"/>
          <w:i w:val="0"/>
          <w:color w:val="1F2937"/>
          <w:sz w:val="24"/>
          <w:szCs w:val="24"/>
        </w:rPr>
        <w:t>。</w:t>
      </w:r>
    </w:p>
    <w:p w14:paraId="2AE4547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BCC02D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E39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FE0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7DF4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787BF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DC74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CFFE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A0BA2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F8F1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33C28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B1FF0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9AC28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E5AB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7D233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EDA5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8C4C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E602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199A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5956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810F9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0E95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6D9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84F1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B80D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F474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CC7B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B866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C52B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879021C">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70BD28">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2E8F94D2">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923BF6">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C3A499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rPr>
      </w:pPr>
      <w:bookmarkStart w:id="17" w:name="_Toc13406"/>
      <w:r>
        <w:rPr>
          <w:rFonts w:ascii="Times New Roman" w:hAnsi="Times New Roman" w:eastAsia="黑体" w:cs="Times New Roman"/>
          <w:b w:val="0"/>
          <w:bCs w:val="0"/>
          <w:sz w:val="30"/>
          <w:szCs w:val="24"/>
        </w:rPr>
        <w:t>用能在线监测</w:t>
      </w:r>
      <w:bookmarkEnd w:id="17"/>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6210300" cy="3079115"/>
                    </a:xfrm>
                    <a:prstGeom prst="rect">
                      <a:avLst/>
                    </a:prstGeom>
                    <a:noFill/>
                    <a:ln>
                      <a:noFill/>
                    </a:ln>
                  </pic:spPr>
                </pic:pic>
              </a:graphicData>
            </a:graphic>
          </wp:inline>
        </w:drawing>
      </w:r>
    </w:p>
    <w:p w14:paraId="2DFAB928">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B4B7A2">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3F0C99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1C6A5EC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按能源介质切换查看当日/当月总体峰平谷构成、逐时连续采样走势与额定工艺基准对比，并支持跨月区间查询</w:t>
      </w:r>
      <w:r>
        <w:rPr>
          <w:rFonts w:ascii="Times New Roman" w:hAnsi="Times New Roman" w:eastAsia="宋体" w:cs="Times New Roman"/>
          <w:i w:val="0"/>
          <w:color w:val="1F2937"/>
          <w:sz w:val="24"/>
          <w:szCs w:val="24"/>
        </w:rPr>
        <w:t>，</w:t>
      </w:r>
    </w:p>
    <w:p w14:paraId="6126377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我能及时发现某介质的用能异常攀升并定位到具体工序或车间</w:t>
      </w:r>
      <w:r>
        <w:rPr>
          <w:rFonts w:ascii="Times New Roman" w:hAnsi="Times New Roman" w:eastAsia="宋体" w:cs="Times New Roman"/>
          <w:i w:val="0"/>
          <w:color w:val="1F2937"/>
          <w:sz w:val="24"/>
          <w:szCs w:val="24"/>
        </w:rPr>
        <w:t>。</w:t>
      </w:r>
    </w:p>
    <w:p w14:paraId="17028CB4">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widowControl/>
        <w:numPr>
          <w:ilvl w:val="0"/>
          <w:numId w:val="46"/>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13A9187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B382A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EFD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236C2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D7A8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0ABE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5F2E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A938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3318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E58D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A04D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76D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 TAB 结构与交互规则：</w:t>
      </w:r>
    </w:p>
    <w:p w14:paraId="1A5A75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739E685E">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C4D5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5795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866CE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E652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D7407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C38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F451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6819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9259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CFB7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3C199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D398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864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0D38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0F83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3FE213">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ECCF3D3">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83D3972">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95E5FA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444705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rPr>
      </w:pPr>
      <w:bookmarkStart w:id="18" w:name="_Toc18727"/>
      <w:r>
        <w:rPr>
          <w:rFonts w:ascii="Times New Roman" w:hAnsi="Times New Roman" w:eastAsia="黑体" w:cs="Times New Roman"/>
          <w:b w:val="0"/>
          <w:bCs w:val="0"/>
          <w:sz w:val="30"/>
          <w:szCs w:val="24"/>
        </w:rPr>
        <w:t>重点设备在线监测</w:t>
      </w:r>
      <w:bookmarkEnd w:id="18"/>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19"/>
                    <a:stretch>
                      <a:fillRect/>
                    </a:stretch>
                  </pic:blipFill>
                  <pic:spPr>
                    <a:xfrm>
                      <a:off x="0" y="0"/>
                      <a:ext cx="6210300" cy="3079115"/>
                    </a:xfrm>
                    <a:prstGeom prst="rect">
                      <a:avLst/>
                    </a:prstGeom>
                    <a:noFill/>
                    <a:ln>
                      <a:noFill/>
                    </a:ln>
                  </pic:spPr>
                </pic:pic>
              </a:graphicData>
            </a:graphic>
          </wp:inline>
        </w:drawing>
      </w:r>
    </w:p>
    <w:p w14:paraId="06F2D5DE">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ECE4B9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7079E51">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设备保全工程师</w:t>
      </w:r>
      <w:r>
        <w:rPr>
          <w:rFonts w:ascii="Times New Roman" w:hAnsi="Times New Roman" w:eastAsia="宋体" w:cs="Times New Roman"/>
          <w:i w:val="0"/>
          <w:color w:val="1F2937"/>
          <w:sz w:val="24"/>
          <w:szCs w:val="24"/>
        </w:rPr>
        <w:t>，</w:t>
      </w:r>
    </w:p>
    <w:p w14:paraId="0D189A9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在设备监控看板中按电力驱动或热力驱动分类查看 32 台重点设备的运行负荷、功率因数或蒸汽流量</w:t>
      </w:r>
      <w:r>
        <w:rPr>
          <w:rFonts w:ascii="Times New Roman" w:hAnsi="Times New Roman" w:eastAsia="宋体" w:cs="Times New Roman"/>
          <w:i w:val="0"/>
          <w:color w:val="1F2937"/>
          <w:sz w:val="24"/>
          <w:szCs w:val="24"/>
        </w:rPr>
        <w:t>，</w:t>
      </w:r>
    </w:p>
    <w:p w14:paraId="7950EACF">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我能预防高耗能设备待机空载浪费，实现设备级能效最优</w:t>
      </w:r>
      <w:r>
        <w:rPr>
          <w:rFonts w:ascii="Times New Roman" w:hAnsi="Times New Roman" w:eastAsia="宋体" w:cs="Times New Roman"/>
          <w:i w:val="0"/>
          <w:color w:val="1F2937"/>
          <w:sz w:val="24"/>
          <w:szCs w:val="24"/>
        </w:rPr>
        <w:t>。</w:t>
      </w:r>
    </w:p>
    <w:p w14:paraId="4E95394B">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54A370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6B8782D5">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C98AC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C157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3C1D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91435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BF017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C203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050C4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C610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920B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528D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6784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3463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C2E7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D6BE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0F16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C9D3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6E5E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93E9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0B1AC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48FA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FB2B8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6D1ED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652998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E2173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485BC4">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593ED9EF">
      <w:pPr>
        <w:pStyle w:val="6"/>
        <w:numPr>
          <w:ilvl w:val="0"/>
          <w:numId w:val="4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7B0D0F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rPr>
      </w:pPr>
      <w:bookmarkStart w:id="19" w:name="_Toc879"/>
      <w:r>
        <w:rPr>
          <w:rFonts w:ascii="Times New Roman" w:hAnsi="Times New Roman" w:eastAsia="黑体" w:cs="Times New Roman"/>
          <w:b w:val="0"/>
          <w:bCs w:val="0"/>
          <w:sz w:val="30"/>
          <w:szCs w:val="24"/>
        </w:rPr>
        <w:t>工业微电网监测</w:t>
      </w:r>
      <w:bookmarkEnd w:id="19"/>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20"/>
                    <a:stretch>
                      <a:fillRect/>
                    </a:stretch>
                  </pic:blipFill>
                  <pic:spPr>
                    <a:xfrm>
                      <a:off x="0" y="0"/>
                      <a:ext cx="6210300" cy="3079115"/>
                    </a:xfrm>
                    <a:prstGeom prst="rect">
                      <a:avLst/>
                    </a:prstGeom>
                    <a:noFill/>
                    <a:ln>
                      <a:noFill/>
                    </a:ln>
                  </pic:spPr>
                </pic:pic>
              </a:graphicData>
            </a:graphic>
          </wp:inline>
        </w:drawing>
      </w:r>
    </w:p>
    <w:p w14:paraId="551D72A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9C700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38ABF38">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400D713">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在微电网监测页按企业展开设备树，查看光伏发电功率、储能 SOC 与充放功率、市电负荷及热力设备蒸汽消耗的实时工况与环比</w:t>
      </w:r>
      <w:r>
        <w:rPr>
          <w:rFonts w:ascii="Times New Roman" w:hAnsi="Times New Roman" w:eastAsia="宋体" w:cs="Times New Roman"/>
          <w:i w:val="0"/>
          <w:color w:val="1F2937"/>
          <w:sz w:val="24"/>
          <w:szCs w:val="24"/>
        </w:rPr>
        <w:t>，</w:t>
      </w:r>
    </w:p>
    <w:p w14:paraId="780B5870">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我能优化储能充放策略，提升绿电消纳率并降低尖峰电费</w:t>
      </w:r>
      <w:r>
        <w:rPr>
          <w:rFonts w:ascii="Times New Roman" w:hAnsi="Times New Roman" w:eastAsia="宋体" w:cs="Times New Roman"/>
          <w:i w:val="0"/>
          <w:color w:val="1F2937"/>
          <w:sz w:val="24"/>
          <w:szCs w:val="24"/>
        </w:rPr>
        <w:t>。</w:t>
      </w:r>
    </w:p>
    <w:p w14:paraId="1B2A2A5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：实时点位按 1s~5s 轮询刷新【待确认】，历史区间查询走日结库。</w:t>
      </w:r>
    </w:p>
    <w:p w14:paraId="1F4229C4">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0CDEFEC2">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2845C4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B11FC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335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F7F2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9501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4774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B21F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51487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69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D128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8398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524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EA01C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40E29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0CE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990E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5439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049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C8035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2D5494F">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1FC19D80">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EE96330">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51DB2C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rPr>
      </w:pPr>
      <w:bookmarkStart w:id="20" w:name="_Toc2652"/>
      <w:r>
        <w:rPr>
          <w:rFonts w:ascii="Times New Roman" w:hAnsi="Times New Roman" w:eastAsia="黑体" w:cs="Times New Roman"/>
          <w:b w:val="0"/>
          <w:bCs w:val="0"/>
          <w:sz w:val="30"/>
          <w:szCs w:val="24"/>
        </w:rPr>
        <w:t>能源碳排放监测</w:t>
      </w:r>
      <w:bookmarkEnd w:id="20"/>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21"/>
                    <a:stretch>
                      <a:fillRect/>
                    </a:stretch>
                  </pic:blipFill>
                  <pic:spPr>
                    <a:xfrm>
                      <a:off x="0" y="0"/>
                      <a:ext cx="6210300" cy="3079115"/>
                    </a:xfrm>
                    <a:prstGeom prst="rect">
                      <a:avLst/>
                    </a:prstGeom>
                    <a:noFill/>
                    <a:ln>
                      <a:noFill/>
                    </a:ln>
                  </pic:spPr>
                </pic:pic>
              </a:graphicData>
            </a:graphic>
          </wp:inline>
        </w:drawing>
      </w:r>
    </w:p>
    <w:p w14:paraId="27DA98D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3817FA7">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1E3671F">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园区碳资产核算员 (Persona P4)</w:t>
      </w:r>
      <w:r>
        <w:rPr>
          <w:rFonts w:ascii="Times New Roman" w:hAnsi="Times New Roman" w:eastAsia="宋体" w:cs="Times New Roman"/>
          <w:i w:val="0"/>
          <w:color w:val="1F2937"/>
          <w:sz w:val="24"/>
          <w:szCs w:val="24"/>
        </w:rPr>
        <w:t>，</w:t>
      </w:r>
    </w:p>
    <w:p w14:paraId="0C27063C">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实时掌握企业范围一与范围二碳排放量、万元产值碳排强度</w:t>
      </w:r>
      <w:r>
        <w:rPr>
          <w:rFonts w:ascii="Times New Roman" w:hAnsi="Times New Roman" w:eastAsia="宋体" w:cs="Times New Roman"/>
          <w:i w:val="0"/>
          <w:color w:val="1F2937"/>
          <w:sz w:val="24"/>
          <w:szCs w:val="24"/>
        </w:rPr>
        <w:t>，</w:t>
      </w:r>
    </w:p>
    <w:p w14:paraId="015230EE">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我能为集团减排规划与应对地方发改委碳履约提供合规依据</w:t>
      </w:r>
      <w:r>
        <w:rPr>
          <w:rFonts w:ascii="Times New Roman" w:hAnsi="Times New Roman" w:eastAsia="宋体" w:cs="Times New Roman"/>
          <w:i w:val="0"/>
          <w:color w:val="1F2937"/>
          <w:sz w:val="24"/>
          <w:szCs w:val="24"/>
        </w:rPr>
        <w:t>。</w:t>
      </w:r>
    </w:p>
    <w:p w14:paraId="0762454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7B3494B">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26FE2DAA">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27002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1D81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42F1B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A56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2AD39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4C9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688F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B2D42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2081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0599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4FCA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3A7F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C560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2322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01B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F4D86B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54857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302BA51">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4E5ED4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6C7DCA8E">
      <w:pPr>
        <w:pStyle w:val="4"/>
        <w:numPr>
          <w:ilvl w:val="0"/>
          <w:numId w:val="15"/>
        </w:numPr>
        <w:topLinePunct w:val="0"/>
        <w:ind w:left="0" w:leftChars="0" w:firstLine="0" w:firstLineChars="0"/>
        <w:outlineLvl w:val="0"/>
        <w:rPr>
          <w:rFonts w:hint="eastAsia" w:eastAsia="黑体"/>
          <w:b w:val="0"/>
          <w:bCs w:val="0"/>
          <w:sz w:val="30"/>
          <w:szCs w:val="32"/>
        </w:rPr>
      </w:pPr>
      <w:bookmarkStart w:id="21" w:name="_Toc13625"/>
      <w:r>
        <w:rPr>
          <w:rFonts w:ascii="Times New Roman" w:hAnsi="Times New Roman" w:eastAsia="黑体" w:cs="Times New Roman"/>
          <w:b w:val="0"/>
          <w:bCs w:val="0"/>
          <w:sz w:val="30"/>
          <w:szCs w:val="32"/>
        </w:rPr>
        <w:t>能耗能效分析</w:t>
      </w:r>
      <w:bookmarkEnd w:id="21"/>
    </w:p>
    <w:p w14:paraId="55286C6D">
      <w:pPr>
        <w:pStyle w:val="5"/>
        <w:numPr>
          <w:ilvl w:val="0"/>
          <w:numId w:val="64"/>
        </w:numPr>
        <w:ind w:left="0" w:leftChars="0" w:firstLine="0" w:firstLineChars="0"/>
        <w:outlineLvl w:val="1"/>
        <w:rPr>
          <w:rFonts w:eastAsia="黑体"/>
          <w:b w:val="0"/>
          <w:bCs w:val="0"/>
          <w:sz w:val="30"/>
          <w:szCs w:val="24"/>
        </w:rPr>
      </w:pPr>
      <w:bookmarkStart w:id="22" w:name="_Toc4835"/>
      <w:r>
        <w:rPr>
          <w:rFonts w:ascii="Times New Roman" w:hAnsi="Times New Roman" w:eastAsia="黑体" w:cs="Times New Roman"/>
          <w:b w:val="0"/>
          <w:bCs w:val="0"/>
          <w:sz w:val="30"/>
          <w:szCs w:val="24"/>
        </w:rPr>
        <w:t>用能结构分析</w:t>
      </w:r>
      <w:bookmarkEnd w:id="22"/>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6210300" cy="3079115"/>
                    </a:xfrm>
                    <a:prstGeom prst="rect">
                      <a:avLst/>
                    </a:prstGeom>
                    <a:noFill/>
                    <a:ln>
                      <a:noFill/>
                    </a:ln>
                  </pic:spPr>
                </pic:pic>
              </a:graphicData>
            </a:graphic>
          </wp:inline>
        </w:drawing>
      </w:r>
    </w:p>
    <w:p w14:paraId="6C837094">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968715">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3A0C89E">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能耗分析专家</w:t>
      </w:r>
      <w:r>
        <w:rPr>
          <w:rFonts w:ascii="Times New Roman" w:hAnsi="Times New Roman" w:eastAsia="宋体" w:cs="Times New Roman"/>
          <w:i w:val="0"/>
          <w:color w:val="1F2937"/>
          <w:sz w:val="24"/>
          <w:szCs w:val="24"/>
        </w:rPr>
        <w:t>，</w:t>
      </w:r>
    </w:p>
    <w:p w14:paraId="6CDDD331">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穿透分析各生产基地的能源消费结构占比与历史月度推移</w:t>
      </w:r>
      <w:r>
        <w:rPr>
          <w:rFonts w:ascii="Times New Roman" w:hAnsi="Times New Roman" w:eastAsia="宋体" w:cs="Times New Roman"/>
          <w:i w:val="0"/>
          <w:color w:val="1F2937"/>
          <w:sz w:val="24"/>
          <w:szCs w:val="24"/>
        </w:rPr>
        <w:t>，</w:t>
      </w:r>
    </w:p>
    <w:p w14:paraId="02EDF80B">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我能制定以电代气、以绿代灰的能源清洁化替代方案</w:t>
      </w:r>
      <w:r>
        <w:rPr>
          <w:rFonts w:ascii="Times New Roman" w:hAnsi="Times New Roman" w:eastAsia="宋体" w:cs="Times New Roman"/>
          <w:i w:val="0"/>
          <w:color w:val="1F2937"/>
          <w:sz w:val="24"/>
          <w:szCs w:val="24"/>
        </w:rPr>
        <w:t>。</w:t>
      </w:r>
    </w:p>
    <w:p w14:paraId="53D919EC">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F298B5C">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38D7F602">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58D78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B8F184D">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D26193B">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169F4B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0A5CE855">
      <w:pPr>
        <w:pStyle w:val="5"/>
        <w:numPr>
          <w:ilvl w:val="0"/>
          <w:numId w:val="64"/>
        </w:numPr>
        <w:ind w:left="0" w:leftChars="0" w:firstLine="0" w:firstLineChars="0"/>
        <w:outlineLvl w:val="1"/>
        <w:rPr>
          <w:rFonts w:eastAsia="黑体"/>
          <w:b w:val="0"/>
          <w:bCs w:val="0"/>
          <w:sz w:val="30"/>
          <w:szCs w:val="24"/>
        </w:rPr>
      </w:pPr>
      <w:bookmarkStart w:id="23" w:name="_Toc18327"/>
      <w:r>
        <w:rPr>
          <w:rFonts w:ascii="Times New Roman" w:hAnsi="Times New Roman" w:eastAsia="黑体" w:cs="Times New Roman"/>
          <w:b w:val="0"/>
          <w:bCs w:val="0"/>
          <w:sz w:val="30"/>
          <w:szCs w:val="24"/>
        </w:rPr>
        <w:t>能源成本分析</w:t>
      </w:r>
      <w:bookmarkEnd w:id="23"/>
    </w:p>
    <w:p w14:paraId="1850078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23"/>
                    <a:stretch>
                      <a:fillRect/>
                    </a:stretch>
                  </pic:blipFill>
                  <pic:spPr>
                    <a:xfrm>
                      <a:off x="0" y="0"/>
                      <a:ext cx="6210300" cy="3079115"/>
                    </a:xfrm>
                    <a:prstGeom prst="rect">
                      <a:avLst/>
                    </a:prstGeom>
                    <a:noFill/>
                    <a:ln>
                      <a:noFill/>
                    </a:ln>
                  </pic:spPr>
                </pic:pic>
              </a:graphicData>
            </a:graphic>
          </wp:inline>
        </w:drawing>
      </w:r>
    </w:p>
    <w:p w14:paraId="54828F37">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0981E65">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：电度电费、基本电费、力调电费、天然气费、蒸汽采购费的构成分析与移峰填谷效益模拟，支撑用能成本压降。</w:t>
      </w:r>
    </w:p>
    <w:p w14:paraId="1E96082B">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园区能碳专员、园区财务兼能碳核算专员。</w:t>
      </w:r>
    </w:p>
    <w:p w14:paraId="61761A8E">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/monitor/analysis/cost </w:t>
      </w:r>
      <w:r>
        <w:rPr>
          <w:rFonts w:ascii="Times New Roman" w:hAnsi="Times New Roman" w:eastAsia="宋体" w:cs="Times New Roman"/>
          <w:i w:val="0"/>
          <w:color w:val="1F2937"/>
          <w:sz w:val="24"/>
          <w:szCs w:val="24"/>
        </w:rPr>
        <w:t>。</w:t>
      </w:r>
    </w:p>
    <w:p w14:paraId="789DD542">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：能源价格管理分时电价版本、用能在线监测分时电量、基本电费计费方式配置。</w:t>
      </w:r>
    </w:p>
    <w:p w14:paraId="3185BE62">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：成本报表、移峰填谷调度建议、储能充放策略依据。</w:t>
      </w:r>
    </w:p>
    <w:p w14:paraId="56CE71F4">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B02CA37">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：分析电度电费、基本电费、力调电费、天然气费、蒸汽采购费支出，评估分时峰谷价差套利成效与移峰填谷节约潜力。</w:t>
      </w:r>
    </w:p>
    <w:p w14:paraId="61DD8DD2">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5890FC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2F178B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测算各生产车间分时尖峰平谷电费支出与力调电费奖惩</w:t>
      </w:r>
      <w:r>
        <w:rPr>
          <w:rFonts w:ascii="Times New Roman" w:hAnsi="Times New Roman" w:eastAsia="宋体" w:cs="Times New Roman"/>
          <w:i w:val="0"/>
          <w:color w:val="1F2937"/>
          <w:sz w:val="24"/>
          <w:szCs w:val="24"/>
        </w:rPr>
        <w:t>，</w:t>
      </w:r>
    </w:p>
    <w:p w14:paraId="5985A534">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优化生产排班与储能充放策略，压降综合用能成本</w:t>
      </w:r>
      <w:r>
        <w:rPr>
          <w:rFonts w:ascii="Times New Roman" w:hAnsi="Times New Roman" w:eastAsia="宋体" w:cs="Times New Roman"/>
          <w:i w:val="0"/>
          <w:color w:val="1F2937"/>
          <w:sz w:val="24"/>
          <w:szCs w:val="24"/>
        </w:rPr>
        <w:t>。</w:t>
      </w:r>
    </w:p>
    <w:p w14:paraId="2F81B0D1">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46CEE24">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成本总览卡片</w:t>
      </w:r>
      <w:r>
        <w:rPr>
          <w:rFonts w:ascii="Times New Roman" w:hAnsi="Times New Roman" w:eastAsia="宋体" w:cs="Times New Roman"/>
          <w:i w:val="0"/>
          <w:color w:val="1F2937"/>
          <w:sz w:val="24"/>
          <w:szCs w:val="24"/>
        </w:rPr>
        <w:t>：综合能源总费用 (万元)、度电平均成本 (元/kWh)、尖峰电费占比 (%)</w:t>
      </w:r>
    </w:p>
    <w:p w14:paraId="72D72286">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分时费用对比柱状图</w:t>
      </w:r>
      <w:r>
        <w:rPr>
          <w:rFonts w:ascii="Times New Roman" w:hAnsi="Times New Roman" w:eastAsia="宋体" w:cs="Times New Roman"/>
          <w:i w:val="0"/>
          <w:color w:val="1F2937"/>
          <w:sz w:val="24"/>
          <w:szCs w:val="24"/>
        </w:rPr>
        <w:t>：直观展示尖、峰、平、谷各时段费用。</w:t>
      </w:r>
    </w:p>
    <w:p w14:paraId="7F276A25">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移峰填谷效益模拟器</w:t>
      </w:r>
      <w:r>
        <w:rPr>
          <w:rFonts w:ascii="Times New Roman" w:hAnsi="Times New Roman" w:eastAsia="宋体" w:cs="Times New Roman"/>
          <w:i w:val="0"/>
          <w:color w:val="1F2937"/>
          <w:sz w:val="24"/>
          <w:szCs w:val="24"/>
        </w:rPr>
        <w:t>：用户输入预计转移负荷比例，系统自动测算年化电费节约额。</w:t>
      </w:r>
    </w:p>
    <w:p w14:paraId="282E5B20">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力调电费预警</w:t>
      </w:r>
      <w:r>
        <w:rPr>
          <w:rFonts w:ascii="Times New Roman" w:hAnsi="Times New Roman" w:eastAsia="宋体" w:cs="Times New Roman"/>
          <w:i w:val="0"/>
          <w:color w:val="1F2937"/>
          <w:sz w:val="24"/>
          <w:szCs w:val="24"/>
        </w:rPr>
        <w:t>：功率因数低于考核值 0.90 时预警提示。</w:t>
      </w:r>
    </w:p>
    <w:p w14:paraId="62E69450">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：页面右上角常驻显示当前生效的能源价格版本与生效日期。</w:t>
      </w:r>
    </w:p>
    <w:p w14:paraId="1A68996B">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3"/>
        <w:gridCol w:w="1871"/>
        <w:gridCol w:w="1365"/>
        <w:gridCol w:w="1365"/>
        <w:gridCol w:w="4300"/>
      </w:tblGrid>
      <w:tr w14:paraId="3EB985E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6093BB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53FE04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C4C1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5AF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7014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7CDA2DB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5B4A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2F16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EBD1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8E7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581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（高电价时段）</w:t>
            </w:r>
          </w:p>
        </w:tc>
      </w:tr>
      <w:tr w14:paraId="4ECE863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973C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D01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72F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B52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7C77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5DB7B2A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7646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2AE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E63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ED0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1F0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2A0C45D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5BEF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02E3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7F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5DB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E5F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r>
              <w:rPr>
                <w:rFonts w:hint="eastAsia" w:ascii="宋体" w:hAnsi="宋体" w:eastAsia="宋体" w:cs="宋体"/>
                <w:i w:val="0"/>
                <w:iCs w:val="0"/>
                <w:color w:val="1F2937"/>
                <w:sz w:val="24"/>
                <w:szCs w:val="24"/>
              </w:rPr>
              <w:t>（低电价谷段）</w:t>
            </w:r>
          </w:p>
        </w:tc>
      </w:tr>
      <w:tr w14:paraId="1E27BA3C">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30D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66E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8A5F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B9C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258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按变压器容量（元/kVA·月）或最大需量（元/kW·月）</w:t>
            </w:r>
          </w:p>
        </w:tc>
      </w:tr>
      <w:tr w14:paraId="2E6AE60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CDCB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EFEF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1233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175C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9DD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依据国家电力力率调整系数表计算奖惩金额</w:t>
            </w:r>
          </w:p>
        </w:tc>
      </w:tr>
      <w:tr w14:paraId="46549F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2C00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E038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536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2EB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D02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分时电费 + 基本电费 ± 力调电费</w:t>
            </w:r>
          </w:p>
        </w:tc>
      </w:tr>
      <w:tr w14:paraId="42FA424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2CEC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FA1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58E2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975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9A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087C58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7E5B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927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F731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705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584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现行生效单价</w:t>
            </w:r>
          </w:p>
        </w:tc>
      </w:tr>
      <w:tr w14:paraId="169C9BE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EC5A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48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移峰填谷年化节约额</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787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919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222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模拟器按转移比例测算</w:t>
            </w:r>
          </w:p>
        </w:tc>
      </w:tr>
    </w:tbl>
    <w:p w14:paraId="7E542139">
      <w:pPr>
        <w:spacing w:after="60"/>
        <w:rPr>
          <w:rFonts w:hint="eastAsia" w:ascii="宋体" w:hAnsi="宋体" w:eastAsia="宋体" w:cs="宋体"/>
          <w:i w:val="0"/>
          <w:iCs w:val="0"/>
          <w:sz w:val="24"/>
          <w:szCs w:val="24"/>
        </w:rPr>
      </w:pPr>
    </w:p>
    <w:p w14:paraId="04B45253">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06BED7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68AA0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5B452D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Cost_tou = Σ ( Q_seg × P_seg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分时电度电费</w:t>
            </w:r>
          </w:p>
          <w:p w14:paraId="4C3949A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Cost_basic = C_capacity × P_cap   或  MD × P_md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基本电费（容量法制或需量法制）</w:t>
            </w:r>
          </w:p>
          <w:p w14:paraId="2B274D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5808C1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Cost_pf = f( cosφ ) × Cost_tou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功率因数调整电费（奖惩）</w:t>
            </w:r>
          </w:p>
          <w:p w14:paraId="5FD90A7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Unit_price = Cost_total / Σ Q_media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综合度电综合单价</w:t>
            </w:r>
          </w:p>
          <w:p w14:paraId="6148D8B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Save_annual = Q_shift × ( P_peak - P_valley ) × 12  移峰填谷年化节约额</w:t>
            </w:r>
          </w:p>
        </w:tc>
      </w:tr>
    </w:tbl>
    <w:p w14:paraId="1A73C288">
      <w:pPr>
        <w:spacing w:after="40"/>
        <w:rPr>
          <w:rFonts w:hint="eastAsia" w:ascii="宋体" w:hAnsi="宋体" w:eastAsia="宋体" w:cs="宋体"/>
          <w:i w:val="0"/>
          <w:iCs w:val="0"/>
          <w:sz w:val="24"/>
          <w:szCs w:val="24"/>
        </w:rPr>
      </w:pPr>
    </w:p>
    <w:p w14:paraId="1C38A93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Q_seg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P_seg </w:t>
      </w:r>
      <w:r>
        <w:rPr>
          <w:rFonts w:ascii="Times New Roman" w:hAnsi="Times New Roman" w:eastAsia="宋体" w:cs="Times New Roman"/>
          <w:i w:val="0"/>
          <w:color w:val="1F2937"/>
          <w:sz w:val="24"/>
          <w:szCs w:val="24"/>
        </w:rPr>
        <w:t xml:space="preserve"> 分别为各时段电量与对应电价；</w:t>
      </w:r>
      <w:r>
        <w:rPr>
          <w:rFonts w:ascii="Times New Roman" w:hAnsi="Times New Roman" w:eastAsia="宋体" w:cs="Times New Roman"/>
          <w:b w:val="0"/>
          <w:i w:val="0"/>
          <w:color w:val="0284C7"/>
          <w:sz w:val="24"/>
          <w:szCs w:val="24"/>
        </w:rPr>
        <w:t xml:space="preserve"> C_capacity </w:t>
      </w:r>
      <w:r>
        <w:rPr>
          <w:rFonts w:ascii="Times New Roman" w:hAnsi="Times New Roman" w:eastAsia="宋体" w:cs="Times New Roman"/>
          <w:i w:val="0"/>
          <w:color w:val="1F2937"/>
          <w:sz w:val="24"/>
          <w:szCs w:val="24"/>
        </w:rPr>
        <w:t xml:space="preserve"> 为变压器容量；</w:t>
      </w:r>
      <w:r>
        <w:rPr>
          <w:rFonts w:ascii="Times New Roman" w:hAnsi="Times New Roman" w:eastAsia="宋体" w:cs="Times New Roman"/>
          <w:b w:val="0"/>
          <w:i w:val="0"/>
          <w:color w:val="0284C7"/>
          <w:sz w:val="24"/>
          <w:szCs w:val="24"/>
        </w:rPr>
        <w:t xml:space="preserve"> MD </w:t>
      </w:r>
      <w:r>
        <w:rPr>
          <w:rFonts w:ascii="Times New Roman" w:hAnsi="Times New Roman" w:eastAsia="宋体" w:cs="Times New Roman"/>
          <w:i w:val="0"/>
          <w:color w:val="1F2937"/>
          <w:sz w:val="24"/>
          <w:szCs w:val="24"/>
        </w:rPr>
        <w:t xml:space="preserve"> 为最大需量；</w:t>
      </w:r>
      <w:r>
        <w:rPr>
          <w:rFonts w:ascii="Times New Roman" w:hAnsi="Times New Roman" w:eastAsia="宋体" w:cs="Times New Roman"/>
          <w:b w:val="0"/>
          <w:i w:val="0"/>
          <w:color w:val="0284C7"/>
          <w:sz w:val="24"/>
          <w:szCs w:val="24"/>
        </w:rPr>
        <w:t xml:space="preserve"> Cost_pf </w:t>
      </w:r>
      <w:r>
        <w:rPr>
          <w:rFonts w:ascii="Times New Roman" w:hAnsi="Times New Roman" w:eastAsia="宋体" w:cs="Times New Roman"/>
          <w:i w:val="0"/>
          <w:color w:val="1F2937"/>
          <w:sz w:val="24"/>
          <w:szCs w:val="24"/>
        </w:rPr>
        <w:t xml:space="preserve"> 依据国家电力力率调整系数表，功率因数 0.90 为不奖不罚考核点；</w:t>
      </w:r>
      <w:r>
        <w:rPr>
          <w:rFonts w:ascii="Times New Roman" w:hAnsi="Times New Roman" w:eastAsia="宋体" w:cs="Times New Roman"/>
          <w:b w:val="0"/>
          <w:i w:val="0"/>
          <w:color w:val="0284C7"/>
          <w:sz w:val="24"/>
          <w:szCs w:val="24"/>
        </w:rPr>
        <w:t xml:space="preserve"> Q_shift </w:t>
      </w:r>
      <w:r>
        <w:rPr>
          <w:rFonts w:ascii="Times New Roman" w:hAnsi="Times New Roman" w:eastAsia="宋体" w:cs="Times New Roman"/>
          <w:i w:val="0"/>
          <w:color w:val="1F2937"/>
          <w:sz w:val="24"/>
          <w:szCs w:val="24"/>
        </w:rPr>
        <w:t xml:space="preserve"> 为模拟转移负荷量。</w:t>
      </w:r>
    </w:p>
    <w:p w14:paraId="00BFD27B">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B6FBF92">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：所有单价取自能源价格管理模块</w:t>
      </w:r>
      <w:r>
        <w:rPr>
          <w:rFonts w:ascii="Times New Roman" w:hAnsi="Times New Roman" w:eastAsia="宋体" w:cs="Times New Roman"/>
          <w:b/>
          <w:i w:val="0"/>
          <w:color w:val="1E3A8A"/>
          <w:sz w:val="24"/>
          <w:szCs w:val="24"/>
        </w:rPr>
        <w:t>最新生效版本</w:t>
      </w:r>
      <w:r>
        <w:rPr>
          <w:rFonts w:ascii="Times New Roman" w:hAnsi="Times New Roman" w:eastAsia="宋体" w:cs="Times New Roman"/>
          <w:i w:val="0"/>
          <w:color w:val="1F2937"/>
          <w:sz w:val="24"/>
          <w:szCs w:val="24"/>
        </w:rPr>
        <w:t>，跨期价差调整【待补充】。</w:t>
      </w:r>
    </w:p>
    <w:p w14:paraId="09B0B4F7">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基本电费口径</w:t>
      </w:r>
      <w:r>
        <w:rPr>
          <w:rFonts w:ascii="Times New Roman" w:hAnsi="Times New Roman" w:eastAsia="宋体" w:cs="Times New Roman"/>
          <w:i w:val="0"/>
          <w:color w:val="1F2937"/>
          <w:sz w:val="24"/>
          <w:szCs w:val="24"/>
        </w:rPr>
        <w:t>：计费方式（按容量 or 按最大需量）由配置决定，模拟器须沿用同一口径。</w:t>
      </w:r>
    </w:p>
    <w:p w14:paraId="6678D176">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：功率因数考核基准为 0.90；高于 0.90 为奖励（负值费用），低于为罚金。</w:t>
      </w:r>
    </w:p>
    <w:p w14:paraId="4774D17A">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：费用测算结果可下钻查看所用电价版本与时段划分。</w:t>
      </w:r>
    </w:p>
    <w:p w14:paraId="6D8E3FF1">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9F46EB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08D3061">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44D54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电价为 0 或未配置：禁止测算，页面提示"待配置当期能源价格"，不输出 0 元结果。</w:t>
            </w:r>
          </w:p>
          <w:p w14:paraId="26F0262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分时电量与总电量不匹配：按总电量为准，分时按比例归一并标注"分时数据待核对"。</w:t>
            </w:r>
          </w:p>
          <w:p w14:paraId="2CA26A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ABB627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模拟器输入非法：转移比例超出 0~100% 时输入框即时拦截并阻断测算。</w:t>
            </w:r>
          </w:p>
        </w:tc>
      </w:tr>
    </w:tbl>
    <w:p w14:paraId="47DECFFE">
      <w:pPr>
        <w:spacing w:after="40"/>
        <w:rPr>
          <w:rFonts w:hint="eastAsia" w:ascii="宋体" w:hAnsi="宋体" w:eastAsia="宋体" w:cs="宋体"/>
          <w:i w:val="0"/>
          <w:iCs w:val="0"/>
          <w:sz w:val="24"/>
          <w:szCs w:val="24"/>
        </w:rPr>
      </w:pPr>
    </w:p>
    <w:p w14:paraId="00D7EFC6">
      <w:pPr>
        <w:pStyle w:val="6"/>
        <w:numPr>
          <w:ilvl w:val="0"/>
          <w:numId w:val="7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5F9764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9F3ED6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78145B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能源成本分析与移峰填谷模拟</w:t>
            </w:r>
          </w:p>
          <w:p w14:paraId="666B0C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电费构成完整核算</w:t>
            </w:r>
          </w:p>
          <w:p w14:paraId="153BC4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园区已配置当期生效的尖峰平谷电价与基本电费计费方式</w:t>
            </w:r>
          </w:p>
          <w:p w14:paraId="38D63C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系统核算当月能源成本</w:t>
            </w:r>
          </w:p>
          <w:p w14:paraId="00C9E43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总用电成本 = 尖峰电费 + 高峰电费 + 平时段电费 + 低谷电费 + 基本电费 ± 功率因数调整电费</w:t>
            </w:r>
          </w:p>
          <w:p w14:paraId="42D1BD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37E964A7">
            <w:pPr>
              <w:spacing w:before="0" w:after="20" w:line="264" w:lineRule="auto"/>
              <w:rPr>
                <w:rFonts w:hint="eastAsia" w:ascii="宋体" w:hAnsi="宋体" w:eastAsia="宋体" w:cs="宋体"/>
                <w:i w:val="0"/>
                <w:iCs w:val="0"/>
                <w:sz w:val="24"/>
                <w:szCs w:val="24"/>
              </w:rPr>
            </w:pPr>
          </w:p>
          <w:p w14:paraId="78BB44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移峰填谷模拟器输入校验</w:t>
            </w:r>
          </w:p>
          <w:p w14:paraId="343E8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用户打开移峰填谷效益模拟器</w:t>
            </w:r>
          </w:p>
          <w:p w14:paraId="39200E5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输入预计转移负荷比例为 130%</w:t>
            </w:r>
          </w:p>
          <w:p w14:paraId="157A0E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输入框即时拦截并阻断测算</w:t>
            </w:r>
          </w:p>
          <w:p w14:paraId="6F02AC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页面提示转移比例须在 0% 至 100% 之间</w:t>
            </w:r>
          </w:p>
          <w:p w14:paraId="1F2845E0">
            <w:pPr>
              <w:spacing w:before="0" w:after="20" w:line="264" w:lineRule="auto"/>
              <w:rPr>
                <w:rFonts w:hint="eastAsia" w:ascii="宋体" w:hAnsi="宋体" w:eastAsia="宋体" w:cs="宋体"/>
                <w:i w:val="0"/>
                <w:iCs w:val="0"/>
                <w:sz w:val="24"/>
                <w:szCs w:val="24"/>
              </w:rPr>
            </w:pPr>
          </w:p>
          <w:p w14:paraId="1C3D7C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力调电费预警</w:t>
            </w:r>
          </w:p>
          <w:p w14:paraId="24B7E3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园区当月平均功率因数为 0.86</w:t>
            </w:r>
          </w:p>
          <w:p w14:paraId="7B564D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系统核算功率因数调整电费</w:t>
            </w:r>
          </w:p>
          <w:p w14:paraId="39C1CC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页面以预警标识提示力调电费罚金</w:t>
            </w:r>
          </w:p>
          <w:p w14:paraId="4BBBC60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测算结果沿用国家电力力率调整系数表</w:t>
            </w:r>
          </w:p>
        </w:tc>
      </w:tr>
    </w:tbl>
    <w:p w14:paraId="17651FC7">
      <w:pPr>
        <w:spacing w:after="40"/>
        <w:rPr>
          <w:rFonts w:hint="eastAsia" w:ascii="宋体" w:hAnsi="宋体" w:eastAsia="宋体" w:cs="宋体"/>
          <w:i w:val="0"/>
          <w:iCs w:val="0"/>
          <w:sz w:val="24"/>
          <w:szCs w:val="24"/>
        </w:rPr>
      </w:pPr>
    </w:p>
    <w:p w14:paraId="3F042077">
      <w:pPr>
        <w:pStyle w:val="5"/>
        <w:numPr>
          <w:ilvl w:val="0"/>
          <w:numId w:val="64"/>
        </w:numPr>
        <w:ind w:left="0" w:leftChars="0" w:firstLine="0" w:firstLineChars="0"/>
        <w:outlineLvl w:val="1"/>
        <w:rPr>
          <w:rFonts w:eastAsia="黑体"/>
          <w:b w:val="0"/>
          <w:bCs w:val="0"/>
          <w:sz w:val="30"/>
          <w:szCs w:val="24"/>
        </w:rPr>
      </w:pPr>
      <w:bookmarkStart w:id="24" w:name="_Toc18198"/>
      <w:r>
        <w:rPr>
          <w:rFonts w:ascii="Times New Roman" w:hAnsi="Times New Roman" w:eastAsia="黑体" w:cs="Times New Roman"/>
          <w:b w:val="0"/>
          <w:bCs w:val="0"/>
          <w:sz w:val="30"/>
          <w:szCs w:val="24"/>
        </w:rPr>
        <w:t>单位产品能耗</w:t>
      </w:r>
      <w:bookmarkEnd w:id="24"/>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4"/>
                    <a:stretch>
                      <a:fillRect/>
                    </a:stretch>
                  </pic:blipFill>
                  <pic:spPr>
                    <a:xfrm>
                      <a:off x="0" y="0"/>
                      <a:ext cx="6210300" cy="3079115"/>
                    </a:xfrm>
                    <a:prstGeom prst="rect">
                      <a:avLst/>
                    </a:prstGeom>
                    <a:noFill/>
                    <a:ln>
                      <a:noFill/>
                    </a:ln>
                  </pic:spPr>
                </pic:pic>
              </a:graphicData>
            </a:graphic>
          </wp:inline>
        </w:drawing>
      </w:r>
    </w:p>
    <w:p w14:paraId="631D6A94">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472AA69">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8DE765A">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5C458BD6">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依据本车间变压器额定容量（万 kVA）或线缆长度（km）核算单台产品单耗，与行业先进基准对比</w:t>
      </w:r>
      <w:r>
        <w:rPr>
          <w:rFonts w:ascii="Times New Roman" w:hAnsi="Times New Roman" w:eastAsia="宋体" w:cs="Times New Roman"/>
          <w:i w:val="0"/>
          <w:color w:val="1F2937"/>
          <w:sz w:val="24"/>
          <w:szCs w:val="24"/>
        </w:rPr>
        <w:t>，</w:t>
      </w:r>
    </w:p>
    <w:p w14:paraId="6FC5E403">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我能掌握生产工艺能效水平，推进技改升级</w:t>
      </w:r>
      <w:r>
        <w:rPr>
          <w:rFonts w:ascii="Times New Roman" w:hAnsi="Times New Roman" w:eastAsia="宋体" w:cs="Times New Roman"/>
          <w:i w:val="0"/>
          <w:color w:val="1F2937"/>
          <w:sz w:val="24"/>
          <w:szCs w:val="24"/>
        </w:rPr>
        <w:t>。</w:t>
      </w:r>
    </w:p>
    <w:p w14:paraId="309B6EF1">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B6AE647">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A06F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0096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A594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C98DD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BE8E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80970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1F9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BEF6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C1F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D6D87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0BFD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7B96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D18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3EF294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170F122">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94BB609">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7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D5A966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4"/>
        </w:numPr>
        <w:ind w:left="0" w:leftChars="0" w:firstLine="0" w:firstLineChars="0"/>
        <w:outlineLvl w:val="1"/>
        <w:rPr>
          <w:rFonts w:eastAsia="黑体"/>
          <w:b w:val="0"/>
          <w:bCs w:val="0"/>
          <w:sz w:val="30"/>
          <w:szCs w:val="24"/>
        </w:rPr>
      </w:pPr>
      <w:bookmarkStart w:id="25" w:name="_Toc7098"/>
      <w:r>
        <w:rPr>
          <w:rFonts w:ascii="Times New Roman" w:hAnsi="Times New Roman" w:eastAsia="黑体" w:cs="Times New Roman"/>
          <w:b w:val="0"/>
          <w:bCs w:val="0"/>
          <w:sz w:val="30"/>
          <w:szCs w:val="24"/>
        </w:rPr>
        <w:t>单位产值能耗</w:t>
      </w:r>
      <w:bookmarkEnd w:id="25"/>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5"/>
                    <a:stretch>
                      <a:fillRect/>
                    </a:stretch>
                  </pic:blipFill>
                  <pic:spPr>
                    <a:xfrm>
                      <a:off x="0" y="0"/>
                      <a:ext cx="6210300" cy="3079115"/>
                    </a:xfrm>
                    <a:prstGeom prst="rect">
                      <a:avLst/>
                    </a:prstGeom>
                    <a:noFill/>
                    <a:ln>
                      <a:noFill/>
                    </a:ln>
                  </pic:spPr>
                </pic:pic>
              </a:graphicData>
            </a:graphic>
          </wp:inline>
        </w:drawing>
      </w:r>
    </w:p>
    <w:p w14:paraId="6C53373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23ACFF7">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38D01E6">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集团能碳战略规划员</w:t>
      </w:r>
      <w:r>
        <w:rPr>
          <w:rFonts w:ascii="Times New Roman" w:hAnsi="Times New Roman" w:eastAsia="宋体" w:cs="Times New Roman"/>
          <w:i w:val="0"/>
          <w:color w:val="1F2937"/>
          <w:sz w:val="24"/>
          <w:szCs w:val="24"/>
        </w:rPr>
        <w:t>，</w:t>
      </w:r>
    </w:p>
    <w:p w14:paraId="29AF6817">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分析历年各分子公司万元产值能耗推移与行业标杆基准偏差</w:t>
      </w:r>
      <w:r>
        <w:rPr>
          <w:rFonts w:ascii="Times New Roman" w:hAnsi="Times New Roman" w:eastAsia="宋体" w:cs="Times New Roman"/>
          <w:i w:val="0"/>
          <w:color w:val="1F2937"/>
          <w:sz w:val="24"/>
          <w:szCs w:val="24"/>
        </w:rPr>
        <w:t>，</w:t>
      </w:r>
    </w:p>
    <w:p w14:paraId="77D0B5A3">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识别高产低耗标杆实体，推进节能降耗考核</w:t>
      </w:r>
      <w:r>
        <w:rPr>
          <w:rFonts w:ascii="Times New Roman" w:hAnsi="Times New Roman" w:eastAsia="宋体" w:cs="Times New Roman"/>
          <w:i w:val="0"/>
          <w:color w:val="1F2937"/>
          <w:sz w:val="24"/>
          <w:szCs w:val="24"/>
        </w:rPr>
        <w:t>。</w:t>
      </w:r>
    </w:p>
    <w:p w14:paraId="41F4AA2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39CBB30">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widowControl/>
        <w:numPr>
          <w:ilvl w:val="0"/>
          <w:numId w:val="83"/>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D0D17FD">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1A7B3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C0E6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6AA4B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39B0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25831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AD09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6464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BEBA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42D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55B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403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029C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6DA2C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6245F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569D78">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6C97EF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4D0FBB">
      <w:pPr>
        <w:pStyle w:val="6"/>
        <w:numPr>
          <w:ilvl w:val="0"/>
          <w:numId w:val="8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8684A1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tc>
      </w:tr>
    </w:tbl>
    <w:p w14:paraId="5B063A01">
      <w:pPr>
        <w:spacing w:after="40"/>
        <w:rPr>
          <w:rFonts w:hint="eastAsia" w:ascii="宋体" w:hAnsi="宋体" w:eastAsia="宋体" w:cs="宋体"/>
          <w:i w:val="0"/>
          <w:iCs w:val="0"/>
          <w:sz w:val="24"/>
          <w:szCs w:val="24"/>
        </w:rPr>
      </w:pPr>
    </w:p>
    <w:p w14:paraId="027CB06C">
      <w:pPr>
        <w:pStyle w:val="5"/>
        <w:numPr>
          <w:ilvl w:val="0"/>
          <w:numId w:val="64"/>
        </w:numPr>
        <w:ind w:left="0" w:leftChars="0" w:firstLine="0" w:firstLineChars="0"/>
        <w:outlineLvl w:val="1"/>
        <w:rPr>
          <w:rFonts w:eastAsia="黑体"/>
          <w:b w:val="0"/>
          <w:bCs w:val="0"/>
          <w:sz w:val="30"/>
          <w:szCs w:val="24"/>
        </w:rPr>
      </w:pPr>
      <w:bookmarkStart w:id="26" w:name="_Toc24728"/>
      <w:r>
        <w:rPr>
          <w:rFonts w:ascii="Times New Roman" w:hAnsi="Times New Roman" w:eastAsia="黑体" w:cs="Times New Roman"/>
          <w:b w:val="0"/>
          <w:bCs w:val="0"/>
          <w:sz w:val="30"/>
          <w:szCs w:val="24"/>
        </w:rPr>
        <w:t>对标管理</w:t>
      </w:r>
      <w:bookmarkEnd w:id="26"/>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6"/>
                    <a:stretch>
                      <a:fillRect/>
                    </a:stretch>
                  </pic:blipFill>
                  <pic:spPr>
                    <a:xfrm>
                      <a:off x="0" y="0"/>
                      <a:ext cx="6210300" cy="3079115"/>
                    </a:xfrm>
                    <a:prstGeom prst="rect">
                      <a:avLst/>
                    </a:prstGeom>
                    <a:noFill/>
                    <a:ln>
                      <a:noFill/>
                    </a:ln>
                  </pic:spPr>
                </pic:pic>
              </a:graphicData>
            </a:graphic>
          </wp:inline>
        </w:drawing>
      </w:r>
    </w:p>
    <w:p w14:paraId="35BA35FA">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2980834">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CB34F49">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p>
    <w:p w14:paraId="2725AA47">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A3D0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391A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D62C9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58550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635F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E2DA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D85A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B814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B4C9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917E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4476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D07D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94C5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16B7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79739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0F6D8659">
      <w:pPr>
        <w:spacing w:after="60"/>
        <w:rPr>
          <w:rFonts w:hint="eastAsia" w:ascii="宋体" w:hAnsi="宋体" w:eastAsia="宋体" w:cs="宋体"/>
          <w:i w:val="0"/>
          <w:iCs w:val="0"/>
          <w:sz w:val="24"/>
          <w:szCs w:val="24"/>
        </w:rPr>
      </w:pPr>
    </w:p>
    <w:p w14:paraId="5FCDA8D7">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6E6C54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21D9D02">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1E2510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2F0AF7E6">
      <w:pPr>
        <w:pStyle w:val="6"/>
        <w:numPr>
          <w:ilvl w:val="0"/>
          <w:numId w:val="8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4B1AF9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5DE871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tc>
      </w:tr>
    </w:tbl>
    <w:p w14:paraId="2C9987CC">
      <w:pPr>
        <w:spacing w:after="40"/>
        <w:rPr>
          <w:rFonts w:hint="eastAsia" w:ascii="宋体" w:hAnsi="宋体" w:eastAsia="宋体" w:cs="宋体"/>
          <w:i w:val="0"/>
          <w:iCs w:val="0"/>
          <w:sz w:val="24"/>
          <w:szCs w:val="24"/>
        </w:rPr>
      </w:pPr>
    </w:p>
    <w:p w14:paraId="2CADF01A">
      <w:pPr>
        <w:pStyle w:val="5"/>
        <w:numPr>
          <w:ilvl w:val="0"/>
          <w:numId w:val="64"/>
        </w:numPr>
        <w:ind w:left="0" w:leftChars="0" w:firstLine="0" w:firstLineChars="0"/>
        <w:outlineLvl w:val="1"/>
        <w:rPr>
          <w:rFonts w:eastAsia="黑体"/>
          <w:b w:val="0"/>
          <w:bCs w:val="0"/>
          <w:sz w:val="30"/>
          <w:szCs w:val="24"/>
        </w:rPr>
      </w:pPr>
      <w:bookmarkStart w:id="27" w:name="_Toc21770"/>
      <w:r>
        <w:rPr>
          <w:rFonts w:ascii="Times New Roman" w:hAnsi="Times New Roman" w:eastAsia="黑体" w:cs="Times New Roman"/>
          <w:b w:val="0"/>
          <w:bCs w:val="0"/>
          <w:sz w:val="30"/>
          <w:szCs w:val="24"/>
        </w:rPr>
        <w:t>综合能耗平衡与能效自评估</w:t>
      </w:r>
      <w:bookmarkEnd w:id="27"/>
    </w:p>
    <w:p w14:paraId="16F4FB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Cs w:val="0"/>
          <w:i/>
          <w:color w:val="9A6A00"/>
          <w:sz w:val="24"/>
          <w:szCs w:val="24"/>
        </w:rPr>
        <w:t>【原型缺口】本模块原型图尚未提供，待设计与业务方补充后插入本行下方（责任人与计划完成时间待确认）。</w:t>
      </w:r>
    </w:p>
    <w:p w14:paraId="04F3AA56">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F859654">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：以能量平衡表形式校核全厂购入、转换、输送、终端消费各环节能耗守恒关系，识别输配损耗，并输出能效自评估结论。</w:t>
      </w:r>
    </w:p>
    <w:p w14:paraId="77A0D056">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园区能碳专员、能源管理体系内审员。</w:t>
      </w:r>
    </w:p>
    <w:p w14:paraId="0CFDEB0E">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/monitor/analysis/balance </w:t>
      </w:r>
      <w:r>
        <w:rPr>
          <w:rFonts w:ascii="Times New Roman" w:hAnsi="Times New Roman" w:eastAsia="宋体" w:cs="Times New Roman"/>
          <w:i w:val="0"/>
          <w:color w:val="1F2937"/>
          <w:sz w:val="24"/>
          <w:szCs w:val="24"/>
        </w:rPr>
        <w:t>。</w:t>
      </w:r>
    </w:p>
    <w:p w14:paraId="089C4FE7">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：用能在线监测介质数据、变配电损耗遥测、蒸汽管网流量计、ISO 50001 体系文件。</w:t>
      </w:r>
    </w:p>
    <w:p w14:paraId="4BA1B4B3">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：输配损耗诊断结论、零碳工厂自评估运营管理维度佐证材料。</w:t>
      </w:r>
    </w:p>
    <w:p w14:paraId="3BC3C91F">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B457389">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：园区年度能源管理体系内审与节能诊断场景，需验证全厂能量平衡表是否闭合，并定位蒸汽管网与配电线路的输配损耗异常。</w:t>
      </w:r>
    </w:p>
    <w:p w14:paraId="7A065AFE">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7611B98">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4061E653">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查看全厂能量平衡表与购入—转换—输送—消费四环节损耗分解，自动校核平衡偏差</w:t>
      </w:r>
      <w:r>
        <w:rPr>
          <w:rFonts w:ascii="Times New Roman" w:hAnsi="Times New Roman" w:eastAsia="宋体" w:cs="Times New Roman"/>
          <w:i w:val="0"/>
          <w:color w:val="1F2937"/>
          <w:sz w:val="24"/>
          <w:szCs w:val="24"/>
        </w:rPr>
        <w:t>，</w:t>
      </w:r>
    </w:p>
    <w:p w14:paraId="1977DE6F">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我能定位输配损耗热点并形成管网保温与变压器更换技改依据</w:t>
      </w:r>
      <w:r>
        <w:rPr>
          <w:rFonts w:ascii="Times New Roman" w:hAnsi="Times New Roman" w:eastAsia="宋体" w:cs="Times New Roman"/>
          <w:i w:val="0"/>
          <w:color w:val="1F2937"/>
          <w:sz w:val="24"/>
          <w:szCs w:val="24"/>
        </w:rPr>
        <w:t>。</w:t>
      </w:r>
    </w:p>
    <w:p w14:paraId="598F23AB">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6699A50">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能量平衡表</w:t>
      </w:r>
      <w:r>
        <w:rPr>
          <w:rFonts w:ascii="Times New Roman" w:hAnsi="Times New Roman" w:eastAsia="宋体" w:cs="Times New Roman"/>
          <w:i w:val="0"/>
          <w:color w:val="1F2937"/>
          <w:sz w:val="24"/>
          <w:szCs w:val="24"/>
        </w:rPr>
        <w:t>：按行呈现购入、转换、输送、终端消费各环节的实物量与折标煤量，按列呈现电力、蒸汽、天然气、水等介质，交叉单元格自动计算，末行/末列封闭校验。</w:t>
      </w:r>
    </w:p>
    <w:p w14:paraId="58F7FD45">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损耗分解桑基图</w:t>
      </w:r>
      <w:r>
        <w:rPr>
          <w:rFonts w:ascii="Times New Roman" w:hAnsi="Times New Roman" w:eastAsia="宋体" w:cs="Times New Roman"/>
          <w:i w:val="0"/>
          <w:color w:val="1F2937"/>
          <w:sz w:val="24"/>
          <w:szCs w:val="24"/>
        </w:rPr>
        <w:t>：展示电能在变配电环节、蒸汽在管网输送环节的损耗流向与占比。</w:t>
      </w:r>
    </w:p>
    <w:p w14:paraId="211CAB2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平衡偏差自检</w:t>
      </w:r>
      <w:r>
        <w:rPr>
          <w:rFonts w:ascii="Times New Roman" w:hAnsi="Times New Roman" w:eastAsia="宋体" w:cs="Times New Roman"/>
          <w:i w:val="0"/>
          <w:color w:val="1F2937"/>
          <w:sz w:val="24"/>
          <w:szCs w:val="24"/>
        </w:rPr>
        <w:t>：输入侧折标总量与输出侧折标总量偏差超过 ±2% 时页面自动标注"平衡偏差待核查"并列出偏差最大介质。</w:t>
      </w:r>
    </w:p>
    <w:p w14:paraId="1D8CCDB9">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能效自评估结论区</w:t>
      </w:r>
      <w:r>
        <w:rPr>
          <w:rFonts w:ascii="Times New Roman" w:hAnsi="Times New Roman" w:eastAsia="宋体" w:cs="Times New Roman"/>
          <w:i w:val="0"/>
          <w:color w:val="1F2937"/>
          <w:sz w:val="24"/>
          <w:szCs w:val="24"/>
        </w:rPr>
        <w:t>：按 ISO 50001 体系要求输出能效基线、主要用能设备能效等级分布与改进建议清单。</w:t>
      </w:r>
    </w:p>
    <w:p w14:paraId="1D42908E">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2044"/>
        <w:gridCol w:w="1372"/>
        <w:gridCol w:w="1637"/>
        <w:gridCol w:w="3841"/>
      </w:tblGrid>
      <w:tr w14:paraId="0119AC48">
        <w:trPr>
          <w:tblHeade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03B3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B1AC98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A5FE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3F625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A19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1456C53B">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C226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57F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购入侧能耗量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94F9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197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71C1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外购电、外购蒸汽、天然气等折标合计</w:t>
            </w:r>
          </w:p>
        </w:tc>
      </w:tr>
      <w:tr w14:paraId="19A7DAA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3DE7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C8A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转换环节能耗量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5A4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93E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593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锅炉、空压机等转换设备投入与产出差</w:t>
            </w:r>
          </w:p>
        </w:tc>
      </w:tr>
      <w:tr w14:paraId="5C852B7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37740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E0BC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93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E59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E31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管网与线路损失，≥ 0</w:t>
            </w:r>
          </w:p>
        </w:tc>
      </w:tr>
      <w:tr w14:paraId="26C3D5CE">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88B8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FA7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终端消费量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4B3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EE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A95D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各车间与公辅设施实耗合计</w:t>
            </w:r>
          </w:p>
        </w:tc>
      </w:tr>
      <w:tr w14:paraId="6DD49A1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1B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7B4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平衡偏差率</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BF19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FCF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7F5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 − 转换 − 输送 − 终端) / 购入 × 100%</w:t>
            </w:r>
          </w:p>
        </w:tc>
      </w:tr>
      <w:tr w14:paraId="45C4E35F">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982C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A07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输配损耗占比</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8EF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1C6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068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 / 购入侧能耗量 × 100%</w:t>
            </w:r>
          </w:p>
        </w:tc>
      </w:tr>
      <w:tr w14:paraId="1C0F4EE3">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2591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A9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主要用能设备能效等级</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187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B6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1级/2级/3级/达标</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BB4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依据能效国标判定</w:t>
            </w:r>
          </w:p>
        </w:tc>
      </w:tr>
      <w:tr w14:paraId="634C958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3350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13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自评估结论</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36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914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49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非空，须给出改进建议清单</w:t>
            </w:r>
          </w:p>
        </w:tc>
      </w:tr>
    </w:tbl>
    <w:p w14:paraId="70AA03E5">
      <w:pPr>
        <w:spacing w:after="60"/>
        <w:rPr>
          <w:rFonts w:hint="eastAsia" w:ascii="宋体" w:hAnsi="宋体" w:eastAsia="宋体" w:cs="宋体"/>
          <w:i w:val="0"/>
          <w:iCs w:val="0"/>
          <w:sz w:val="24"/>
          <w:szCs w:val="24"/>
        </w:rPr>
      </w:pPr>
    </w:p>
    <w:p w14:paraId="39E15832">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254CD1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1300674">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0ED84D3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E_purchase = E_convert + E_transmit_loss + E_end_use ± Deviation</w:t>
            </w:r>
          </w:p>
          <w:p w14:paraId="6786E7B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Deviation_rate = ( E_purchase - E_convert - E_transmit_loss - E_end_use ) / E_purchase × 100%</w:t>
            </w:r>
          </w:p>
          <w:p w14:paraId="6EFAC2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Loss_ratio = E_transmit_loss / E_purchase × 100%</w:t>
            </w:r>
          </w:p>
          <w:p w14:paraId="6D12F91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η_trans = E_out / E_in × 100%                        转换设备效率</w:t>
            </w:r>
          </w:p>
          <w:p w14:paraId="1B6B37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 Deviation_rate | &gt; 2% → 标注"平衡偏差待核查"</w:t>
            </w:r>
          </w:p>
        </w:tc>
      </w:tr>
    </w:tbl>
    <w:p w14:paraId="337C3D39">
      <w:pPr>
        <w:spacing w:after="40"/>
        <w:rPr>
          <w:rFonts w:hint="eastAsia" w:ascii="宋体" w:hAnsi="宋体" w:eastAsia="宋体" w:cs="宋体"/>
          <w:i w:val="0"/>
          <w:iCs w:val="0"/>
          <w:sz w:val="24"/>
          <w:szCs w:val="24"/>
        </w:rPr>
      </w:pPr>
    </w:p>
    <w:p w14:paraId="10B77FD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各环节能耗量均以折标准煤量（tce）为统一量纲；</w:t>
      </w:r>
      <w:r>
        <w:rPr>
          <w:rFonts w:ascii="Times New Roman" w:hAnsi="Times New Roman" w:eastAsia="宋体" w:cs="Times New Roman"/>
          <w:b w:val="0"/>
          <w:i w:val="0"/>
          <w:color w:val="0284C7"/>
          <w:sz w:val="24"/>
          <w:szCs w:val="24"/>
        </w:rPr>
        <w:t xml:space="preserve"> η_trans </w:t>
      </w:r>
      <w:r>
        <w:rPr>
          <w:rFonts w:ascii="Times New Roman" w:hAnsi="Times New Roman" w:eastAsia="宋体" w:cs="Times New Roman"/>
          <w:i w:val="0"/>
          <w:color w:val="1F2937"/>
          <w:sz w:val="24"/>
          <w:szCs w:val="24"/>
        </w:rPr>
        <w:t xml:space="preserve"> 为锅炉、空压机等转换设备综合效率；平衡偏差率阈值 ±2% 为固定业务铁律。</w:t>
      </w:r>
    </w:p>
    <w:p w14:paraId="5848C69D">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DDDA217">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量纲口径</w:t>
      </w:r>
      <w:r>
        <w:rPr>
          <w:rFonts w:ascii="Times New Roman" w:hAnsi="Times New Roman" w:eastAsia="宋体" w:cs="Times New Roman"/>
          <w:i w:val="0"/>
          <w:color w:val="1F2937"/>
          <w:sz w:val="24"/>
          <w:szCs w:val="24"/>
        </w:rPr>
        <w:t>：平衡表内部统一折算为 tce，实物量作为辅助列呈现。</w:t>
      </w:r>
    </w:p>
    <w:p w14:paraId="433B1342">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损耗口径</w:t>
      </w:r>
      <w:r>
        <w:rPr>
          <w:rFonts w:ascii="Times New Roman" w:hAnsi="Times New Roman" w:eastAsia="宋体" w:cs="Times New Roman"/>
          <w:i w:val="0"/>
          <w:color w:val="1F2937"/>
          <w:sz w:val="24"/>
          <w:szCs w:val="24"/>
        </w:rPr>
        <w:t>：输配损耗仅统计计量点之间的差额，不包含未计量区域的估算量。</w:t>
      </w:r>
    </w:p>
    <w:p w14:paraId="786FA39D">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能效等级口径</w:t>
      </w:r>
      <w:r>
        <w:rPr>
          <w:rFonts w:ascii="Times New Roman" w:hAnsi="Times New Roman" w:eastAsia="宋体" w:cs="Times New Roman"/>
          <w:i w:val="0"/>
          <w:color w:val="1F2937"/>
          <w:sz w:val="24"/>
          <w:szCs w:val="24"/>
        </w:rPr>
        <w:t>：主要用能设备能效等级依据现行能效国家标准判定，节能装备应用占比的分子口径与之保持一致。</w:t>
      </w:r>
    </w:p>
    <w:p w14:paraId="7C56B45E">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：偏差率绝对值 ≤2% 判定平衡，2%~5% 标注待核查，&gt;5% 强制进入核查流程。</w:t>
      </w:r>
    </w:p>
    <w:p w14:paraId="03BEBFAF">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03B4119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600CC3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14B74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平衡偏差率超 ±2%：页面自动标注"平衡偏差待核查"并列出偏差最大介质，不抛出技术错误。</w:t>
            </w:r>
          </w:p>
          <w:p w14:paraId="027ADE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某计量点缺失：平衡表该单元格留空并整体标注数据不全，不以 0 代替。</w:t>
            </w:r>
          </w:p>
          <w:p w14:paraId="6E41972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除零兜底：购入侧能耗量为 0 时偏差率与损耗占比显示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0D03D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自评估结论区为空：禁止提交内审，强制填写改进建议清单。</w:t>
            </w:r>
          </w:p>
        </w:tc>
      </w:tr>
    </w:tbl>
    <w:p w14:paraId="2F9A3C9C">
      <w:pPr>
        <w:spacing w:after="40"/>
        <w:rPr>
          <w:rFonts w:hint="eastAsia" w:ascii="宋体" w:hAnsi="宋体" w:eastAsia="宋体" w:cs="宋体"/>
          <w:i w:val="0"/>
          <w:iCs w:val="0"/>
          <w:sz w:val="24"/>
          <w:szCs w:val="24"/>
        </w:rPr>
      </w:pPr>
    </w:p>
    <w:p w14:paraId="0C4D9B59">
      <w:pPr>
        <w:pStyle w:val="6"/>
        <w:numPr>
          <w:ilvl w:val="0"/>
          <w:numId w:val="9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7DEE0E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87707C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422C5E7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综合能耗平衡与能效自评估</w:t>
            </w:r>
          </w:p>
          <w:p w14:paraId="11E10B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能量平衡表封闭校验</w:t>
            </w:r>
          </w:p>
          <w:p w14:paraId="5DD2AE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园区已录入手电汽水各介质的购入、转换、输送与终端消费量</w:t>
            </w:r>
          </w:p>
          <w:p w14:paraId="39EC90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系统生成全厂能量平衡表</w:t>
            </w:r>
          </w:p>
          <w:p w14:paraId="4CC5D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末行与末列折标总量自动封闭</w:t>
            </w:r>
          </w:p>
          <w:p w14:paraId="4FC6642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平衡偏差率 =（购入 − 转换 − 输送 − 终端）÷ 购入 × 100%</w:t>
            </w:r>
          </w:p>
          <w:p w14:paraId="0E8242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偏差率绝对值超过 2% 时标注"平衡偏差待核查"并列出偏差最大介质</w:t>
            </w:r>
          </w:p>
          <w:p w14:paraId="73155562">
            <w:pPr>
              <w:spacing w:before="0" w:after="20" w:line="264" w:lineRule="auto"/>
              <w:rPr>
                <w:rFonts w:hint="eastAsia" w:ascii="宋体" w:hAnsi="宋体" w:eastAsia="宋体" w:cs="宋体"/>
                <w:i w:val="0"/>
                <w:iCs w:val="0"/>
                <w:sz w:val="24"/>
                <w:szCs w:val="24"/>
              </w:rPr>
            </w:pPr>
          </w:p>
          <w:p w14:paraId="3D1A47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输配损耗热点识别</w:t>
            </w:r>
          </w:p>
          <w:p w14:paraId="62748A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蒸汽管网输送环节损耗占购入侧能耗的 6.5%</w:t>
            </w:r>
          </w:p>
          <w:p w14:paraId="2EDDAB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系统渲染损耗分解桑基图</w:t>
            </w:r>
          </w:p>
          <w:p w14:paraId="6FB58D1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桑基图按介质呈现损耗流向与占比</w:t>
            </w:r>
          </w:p>
          <w:p w14:paraId="66D7248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损耗最高介质节点被突出显示</w:t>
            </w:r>
          </w:p>
        </w:tc>
      </w:tr>
    </w:tbl>
    <w:p w14:paraId="55665B93">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rPr>
      </w:pPr>
      <w:bookmarkStart w:id="28" w:name="_Toc19522"/>
      <w:r>
        <w:rPr>
          <w:rFonts w:ascii="Times New Roman" w:hAnsi="Times New Roman" w:eastAsia="黑体" w:cs="Times New Roman"/>
          <w:b w:val="0"/>
          <w:bCs w:val="0"/>
          <w:sz w:val="30"/>
          <w:szCs w:val="32"/>
        </w:rPr>
        <w:t>零碳项目评估</w:t>
      </w:r>
      <w:bookmarkEnd w:id="28"/>
    </w:p>
    <w:p w14:paraId="23F1C6EE">
      <w:pPr>
        <w:pStyle w:val="5"/>
        <w:numPr>
          <w:ilvl w:val="0"/>
          <w:numId w:val="95"/>
        </w:numPr>
        <w:ind w:left="0" w:leftChars="0" w:firstLine="0" w:firstLineChars="0"/>
        <w:outlineLvl w:val="1"/>
        <w:rPr>
          <w:rFonts w:eastAsia="黑体"/>
          <w:b w:val="0"/>
          <w:bCs w:val="0"/>
          <w:sz w:val="30"/>
          <w:szCs w:val="24"/>
        </w:rPr>
      </w:pPr>
      <w:bookmarkStart w:id="29" w:name="_Toc20449"/>
      <w:r>
        <w:rPr>
          <w:rFonts w:ascii="Times New Roman" w:hAnsi="Times New Roman" w:eastAsia="黑体" w:cs="Times New Roman"/>
          <w:b w:val="0"/>
          <w:bCs w:val="0"/>
          <w:sz w:val="30"/>
          <w:szCs w:val="24"/>
        </w:rPr>
        <w:t>项目档案管理</w:t>
      </w:r>
      <w:bookmarkEnd w:id="29"/>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7"/>
                    <a:stretch>
                      <a:fillRect/>
                    </a:stretch>
                  </pic:blipFill>
                  <pic:spPr>
                    <a:xfrm>
                      <a:off x="0" y="0"/>
                      <a:ext cx="6210300" cy="3079115"/>
                    </a:xfrm>
                    <a:prstGeom prst="rect">
                      <a:avLst/>
                    </a:prstGeom>
                    <a:noFill/>
                    <a:ln>
                      <a:noFill/>
                    </a:ln>
                  </pic:spPr>
                </pic:pic>
              </a:graphicData>
            </a:graphic>
          </wp:inline>
        </w:drawing>
      </w:r>
    </w:p>
    <w:p w14:paraId="33396B7F">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5BDBF18">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F5B0059">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647A70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550E1E5D">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763A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0690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B715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71676D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BA9B8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42CE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9C29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67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D3DA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8F8E1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B99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E9D7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0E36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D689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F62E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0A6809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667410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0A099502">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E623FB">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9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79DC9C">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95"/>
        </w:numPr>
        <w:ind w:left="0" w:leftChars="0" w:firstLine="0" w:firstLineChars="0"/>
        <w:outlineLvl w:val="1"/>
        <w:rPr>
          <w:rFonts w:eastAsia="黑体"/>
          <w:b w:val="0"/>
          <w:bCs w:val="0"/>
          <w:sz w:val="30"/>
          <w:szCs w:val="24"/>
        </w:rPr>
      </w:pPr>
      <w:bookmarkStart w:id="30" w:name="_Toc5210"/>
      <w:r>
        <w:rPr>
          <w:rFonts w:ascii="Times New Roman" w:hAnsi="Times New Roman" w:eastAsia="黑体" w:cs="Times New Roman"/>
          <w:b w:val="0"/>
          <w:bCs w:val="0"/>
          <w:sz w:val="30"/>
          <w:szCs w:val="24"/>
        </w:rPr>
        <w:t>实时监控</w:t>
      </w:r>
      <w:bookmarkEnd w:id="30"/>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8"/>
                    <a:stretch>
                      <a:fillRect/>
                    </a:stretch>
                  </pic:blipFill>
                  <pic:spPr>
                    <a:xfrm>
                      <a:off x="0" y="0"/>
                      <a:ext cx="6210300" cy="3079115"/>
                    </a:xfrm>
                    <a:prstGeom prst="rect">
                      <a:avLst/>
                    </a:prstGeom>
                    <a:noFill/>
                    <a:ln>
                      <a:noFill/>
                    </a:ln>
                  </pic:spPr>
                </pic:pic>
              </a:graphicData>
            </a:graphic>
          </wp:inline>
        </w:drawing>
      </w:r>
    </w:p>
    <w:p w14:paraId="1007803F">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274BCB">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B220A0B">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50444A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33476929">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25C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E22D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D32AE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2B0C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8D94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7DCF2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AC5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54D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70B2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1802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27D8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B5D2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1DC2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32D114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370E8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68AC47B6">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F8983A">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135EB583">
      <w:pPr>
        <w:pStyle w:val="6"/>
        <w:numPr>
          <w:ilvl w:val="0"/>
          <w:numId w:val="10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FCC31B4">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tc>
      </w:tr>
    </w:tbl>
    <w:p w14:paraId="113DDEF2">
      <w:pPr>
        <w:pStyle w:val="5"/>
        <w:numPr>
          <w:ilvl w:val="0"/>
          <w:numId w:val="95"/>
        </w:numPr>
        <w:ind w:left="0" w:leftChars="0" w:firstLine="0" w:firstLineChars="0"/>
        <w:outlineLvl w:val="1"/>
        <w:rPr>
          <w:rFonts w:eastAsia="黑体"/>
          <w:b w:val="0"/>
          <w:bCs w:val="0"/>
          <w:sz w:val="30"/>
          <w:szCs w:val="24"/>
        </w:rPr>
      </w:pPr>
      <w:bookmarkStart w:id="31" w:name="_Toc30561"/>
      <w:r>
        <w:rPr>
          <w:rFonts w:ascii="Times New Roman" w:hAnsi="Times New Roman" w:eastAsia="黑体" w:cs="Times New Roman"/>
          <w:b w:val="0"/>
          <w:bCs w:val="0"/>
          <w:sz w:val="30"/>
          <w:szCs w:val="24"/>
        </w:rPr>
        <w:t>项目运行评估</w:t>
      </w:r>
      <w:bookmarkEnd w:id="31"/>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9"/>
                    <a:stretch>
                      <a:fillRect/>
                    </a:stretch>
                  </pic:blipFill>
                  <pic:spPr>
                    <a:xfrm>
                      <a:off x="0" y="0"/>
                      <a:ext cx="6210300" cy="3079115"/>
                    </a:xfrm>
                    <a:prstGeom prst="rect">
                      <a:avLst/>
                    </a:prstGeom>
                    <a:noFill/>
                    <a:ln>
                      <a:noFill/>
                    </a:ln>
                  </pic:spPr>
                </pic:pic>
              </a:graphicData>
            </a:graphic>
          </wp:inline>
        </w:drawing>
      </w:r>
    </w:p>
    <w:p w14:paraId="08ED313A">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B0A2E10">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A268C99">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2A0A14BE">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M&amp;V 四要素测算节能量与考虑贴现率的动态投资回收期</w:t>
      </w:r>
      <w:r>
        <w:rPr>
          <w:rFonts w:ascii="Times New Roman" w:hAnsi="Times New Roman" w:eastAsia="宋体" w:cs="Times New Roman"/>
          <w:i w:val="0"/>
          <w:color w:val="1F2937"/>
          <w:sz w:val="24"/>
          <w:szCs w:val="24"/>
        </w:rPr>
        <w:t>，</w:t>
      </w:r>
    </w:p>
    <w:p w14:paraId="67AA17F4">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我能客观证明技改投资效益并支撑下一年度技改立项</w:t>
      </w:r>
      <w:r>
        <w:rPr>
          <w:rFonts w:ascii="Times New Roman" w:hAnsi="Times New Roman" w:eastAsia="宋体" w:cs="Times New Roman"/>
          <w:i w:val="0"/>
          <w:color w:val="1F2937"/>
          <w:sz w:val="24"/>
          <w:szCs w:val="24"/>
        </w:rPr>
        <w:t>。</w:t>
      </w:r>
    </w:p>
    <w:p w14:paraId="4FADF90F">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9DF12C5">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个月数据，【待补充】）。</w:t>
      </w:r>
    </w:p>
    <w:p w14:paraId="5C508F00">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0256C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5AAD8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92EC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6102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D1E012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3C2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E5A9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19A9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9F21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09C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6AB6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E30F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4A5F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F5E5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E76F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158D44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E66CC89">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2C3868">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10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2C94AC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A213E5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95"/>
        </w:numPr>
        <w:ind w:left="0" w:leftChars="0" w:firstLine="0" w:firstLineChars="0"/>
        <w:outlineLvl w:val="1"/>
        <w:rPr>
          <w:rFonts w:eastAsia="黑体"/>
          <w:b w:val="0"/>
          <w:bCs w:val="0"/>
          <w:sz w:val="30"/>
          <w:szCs w:val="24"/>
        </w:rPr>
      </w:pPr>
      <w:bookmarkStart w:id="32" w:name="_Toc8615"/>
      <w:r>
        <w:rPr>
          <w:rFonts w:ascii="Times New Roman" w:hAnsi="Times New Roman" w:eastAsia="黑体" w:cs="Times New Roman"/>
          <w:b w:val="0"/>
          <w:bCs w:val="0"/>
          <w:sz w:val="30"/>
          <w:szCs w:val="24"/>
        </w:rPr>
        <w:t>零碳工厂自评估</w:t>
      </w:r>
      <w:bookmarkEnd w:id="32"/>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70707075">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782EF41">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37FEDB6">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1EB0FD31">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6 大维度 100 分细化考核表上传佐证材料并由系统自动计分评级</w:t>
      </w:r>
      <w:r>
        <w:rPr>
          <w:rFonts w:ascii="Times New Roman" w:hAnsi="Times New Roman" w:eastAsia="宋体" w:cs="Times New Roman"/>
          <w:i w:val="0"/>
          <w:color w:val="1F2937"/>
          <w:sz w:val="24"/>
          <w:szCs w:val="24"/>
        </w:rPr>
        <w:t>，</w:t>
      </w:r>
    </w:p>
    <w:p w14:paraId="438A11D3">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我能清晰掌握本园区零碳建设短板并针对性整改</w:t>
      </w:r>
      <w:r>
        <w:rPr>
          <w:rFonts w:ascii="Times New Roman" w:hAnsi="Times New Roman" w:eastAsia="宋体" w:cs="Times New Roman"/>
          <w:i w:val="0"/>
          <w:color w:val="1F2937"/>
          <w:sz w:val="24"/>
          <w:szCs w:val="24"/>
        </w:rPr>
        <w:t>。</w:t>
      </w:r>
    </w:p>
    <w:p w14:paraId="7BCF3324">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EE406E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5DB96DB">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A6AB03A">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1DA0D055">
      <w:pPr>
        <w:pStyle w:val="6"/>
        <w:numPr>
          <w:ilvl w:val="0"/>
          <w:numId w:val="11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207429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tc>
      </w:tr>
    </w:tbl>
    <w:p w14:paraId="2CFE6F7F">
      <w:pPr>
        <w:spacing w:after="40"/>
        <w:rPr>
          <w:rFonts w:hint="eastAsia" w:ascii="宋体" w:hAnsi="宋体" w:eastAsia="宋体" w:cs="宋体"/>
          <w:i w:val="0"/>
          <w:iCs w:val="0"/>
          <w:sz w:val="24"/>
          <w:szCs w:val="24"/>
        </w:rPr>
      </w:pPr>
    </w:p>
    <w:p w14:paraId="3D522A28">
      <w:pPr>
        <w:pStyle w:val="4"/>
        <w:numPr>
          <w:ilvl w:val="0"/>
          <w:numId w:val="15"/>
        </w:numPr>
        <w:topLinePunct w:val="0"/>
        <w:ind w:left="0" w:leftChars="0" w:firstLine="0" w:firstLineChars="0"/>
        <w:outlineLvl w:val="0"/>
        <w:rPr>
          <w:rFonts w:hint="eastAsia" w:eastAsia="黑体"/>
          <w:b w:val="0"/>
          <w:bCs w:val="0"/>
          <w:sz w:val="30"/>
          <w:szCs w:val="32"/>
        </w:rPr>
      </w:pPr>
      <w:bookmarkStart w:id="33" w:name="_Toc15026"/>
      <w:r>
        <w:rPr>
          <w:rFonts w:ascii="Times New Roman" w:hAnsi="Times New Roman" w:eastAsia="黑体" w:cs="Times New Roman"/>
          <w:b w:val="0"/>
          <w:bCs w:val="0"/>
          <w:sz w:val="30"/>
          <w:szCs w:val="32"/>
        </w:rPr>
        <w:t>统计报表</w:t>
      </w:r>
      <w:bookmarkEnd w:id="33"/>
    </w:p>
    <w:p w14:paraId="67D9D936">
      <w:pPr>
        <w:pStyle w:val="5"/>
        <w:numPr>
          <w:ilvl w:val="0"/>
          <w:numId w:val="115"/>
        </w:numPr>
        <w:ind w:left="0" w:leftChars="0" w:firstLine="0" w:firstLineChars="0"/>
        <w:outlineLvl w:val="1"/>
        <w:rPr>
          <w:rFonts w:eastAsia="黑体"/>
          <w:b w:val="0"/>
          <w:bCs w:val="0"/>
          <w:sz w:val="30"/>
          <w:szCs w:val="24"/>
        </w:rPr>
      </w:pPr>
      <w:bookmarkStart w:id="34" w:name="_Toc12842"/>
      <w:r>
        <w:rPr>
          <w:rFonts w:ascii="Times New Roman" w:hAnsi="Times New Roman" w:eastAsia="黑体" w:cs="Times New Roman"/>
          <w:b w:val="0"/>
          <w:bCs w:val="0"/>
          <w:sz w:val="30"/>
          <w:szCs w:val="24"/>
        </w:rPr>
        <w:t>用能报表</w:t>
      </w:r>
      <w:bookmarkEnd w:id="34"/>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1"/>
                    <a:stretch>
                      <a:fillRect/>
                    </a:stretch>
                  </pic:blipFill>
                  <pic:spPr>
                    <a:xfrm>
                      <a:off x="0" y="0"/>
                      <a:ext cx="6210300" cy="3079115"/>
                    </a:xfrm>
                    <a:prstGeom prst="rect">
                      <a:avLst/>
                    </a:prstGeom>
                    <a:noFill/>
                    <a:ln>
                      <a:noFill/>
                    </a:ln>
                  </pic:spPr>
                </pic:pic>
              </a:graphicData>
            </a:graphic>
          </wp:inline>
        </w:drawing>
      </w:r>
    </w:p>
    <w:p w14:paraId="39613AA7">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147851F">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0AD9A57">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59BCD98">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按组织 × 时间 × 介质三维交叉生成用能台账并带防伪水印导出 Excel/PDF</w:t>
      </w:r>
      <w:r>
        <w:rPr>
          <w:rFonts w:ascii="Times New Roman" w:hAnsi="Times New Roman" w:eastAsia="宋体" w:cs="Times New Roman"/>
          <w:i w:val="0"/>
          <w:color w:val="1F2937"/>
          <w:sz w:val="24"/>
          <w:szCs w:val="24"/>
        </w:rPr>
        <w:t>，</w:t>
      </w:r>
    </w:p>
    <w:p w14:paraId="4BB3D4AA">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我能高效完成月度能源统计上报且报表具备防篡改权威性</w:t>
      </w:r>
      <w:r>
        <w:rPr>
          <w:rFonts w:ascii="Times New Roman" w:hAnsi="Times New Roman" w:eastAsia="宋体" w:cs="Times New Roman"/>
          <w:i w:val="0"/>
          <w:color w:val="1F2937"/>
          <w:sz w:val="24"/>
          <w:szCs w:val="24"/>
        </w:rPr>
        <w:t>。</w:t>
      </w:r>
    </w:p>
    <w:p w14:paraId="4200C364">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06FD2F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：其余格式与打印模板【待补充】。</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A1EF87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812B2AD">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8948102">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1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4CF4E6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15"/>
        </w:numPr>
        <w:ind w:left="0" w:leftChars="0" w:firstLine="0" w:firstLineChars="0"/>
        <w:outlineLvl w:val="1"/>
        <w:rPr>
          <w:rFonts w:eastAsia="黑体"/>
          <w:b w:val="0"/>
          <w:bCs w:val="0"/>
          <w:sz w:val="30"/>
          <w:szCs w:val="24"/>
        </w:rPr>
      </w:pPr>
      <w:bookmarkStart w:id="35" w:name="_Toc9574"/>
      <w:r>
        <w:rPr>
          <w:rFonts w:ascii="Times New Roman" w:hAnsi="Times New Roman" w:eastAsia="黑体" w:cs="Times New Roman"/>
          <w:b w:val="0"/>
          <w:bCs w:val="0"/>
          <w:sz w:val="30"/>
          <w:szCs w:val="24"/>
        </w:rPr>
        <w:t>成本报表</w:t>
      </w:r>
      <w:bookmarkEnd w:id="35"/>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2"/>
                    <a:stretch>
                      <a:fillRect/>
                    </a:stretch>
                  </pic:blipFill>
                  <pic:spPr>
                    <a:xfrm>
                      <a:off x="0" y="0"/>
                      <a:ext cx="6210300" cy="3079115"/>
                    </a:xfrm>
                    <a:prstGeom prst="rect">
                      <a:avLst/>
                    </a:prstGeom>
                    <a:noFill/>
                    <a:ln>
                      <a:noFill/>
                    </a:ln>
                  </pic:spPr>
                </pic:pic>
              </a:graphicData>
            </a:graphic>
          </wp:inline>
        </w:drawing>
      </w:r>
    </w:p>
    <w:p w14:paraId="51EBACF1">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28C2F2E">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572009D">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01123D8">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按电费构成与非电介质成本生成能源成本台账，单价自动取最新生效版本</w:t>
      </w:r>
      <w:r>
        <w:rPr>
          <w:rFonts w:ascii="Times New Roman" w:hAnsi="Times New Roman" w:eastAsia="宋体" w:cs="Times New Roman"/>
          <w:i w:val="0"/>
          <w:color w:val="1F2937"/>
          <w:sz w:val="24"/>
          <w:szCs w:val="24"/>
        </w:rPr>
        <w:t>，</w:t>
      </w:r>
    </w:p>
    <w:p w14:paraId="2D2D7245">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我能快速完成能源成本入账与财务对账，避免单价用错版本</w:t>
      </w:r>
      <w:r>
        <w:rPr>
          <w:rFonts w:ascii="Times New Roman" w:hAnsi="Times New Roman" w:eastAsia="宋体" w:cs="Times New Roman"/>
          <w:i w:val="0"/>
          <w:color w:val="1F2937"/>
          <w:sz w:val="24"/>
          <w:szCs w:val="24"/>
        </w:rPr>
        <w:t>。</w:t>
      </w:r>
    </w:p>
    <w:p w14:paraId="09C9BC19">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E82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DAA579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E3FB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809D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B0B1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1E1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：跨期价差调整【待补充】。</w:t>
      </w:r>
    </w:p>
    <w:p w14:paraId="314AA3DB">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C74291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单价 </w:t>
      </w:r>
      <w:r>
        <w:rPr>
          <w:rFonts w:ascii="Times New Roman" w:hAnsi="Times New Roman" w:eastAsia="宋体" w:cs="Times New Roman"/>
          <w:b w:val="0"/>
          <w:i w:val="0"/>
          <w:color w:val="0284C7"/>
          <w:sz w:val="24"/>
          <w:szCs w:val="24"/>
        </w:rPr>
        <w:t xml:space="preserve"> P_seg / P_media </w:t>
      </w:r>
      <w:r>
        <w:rPr>
          <w:rFonts w:ascii="Times New Roman" w:hAnsi="Times New Roman" w:eastAsia="宋体" w:cs="Times New Roman"/>
          <w:i w:val="0"/>
          <w:color w:val="1F2937"/>
          <w:sz w:val="24"/>
          <w:szCs w:val="24"/>
        </w:rPr>
        <w:t xml:space="preserve"> 均取自能源价格管理模块当前生效版本，跨期调整须重新出表并留痕。</w:t>
      </w:r>
    </w:p>
    <w:p w14:paraId="0F27717D">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1EEA82F">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8C0B045">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1AECB470">
      <w:pPr>
        <w:pStyle w:val="6"/>
        <w:numPr>
          <w:ilvl w:val="0"/>
          <w:numId w:val="12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8A1A9F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15"/>
        </w:numPr>
        <w:ind w:left="0" w:leftChars="0" w:firstLine="0" w:firstLineChars="0"/>
        <w:outlineLvl w:val="1"/>
        <w:rPr>
          <w:rFonts w:eastAsia="黑体"/>
          <w:b w:val="0"/>
          <w:bCs w:val="0"/>
          <w:sz w:val="30"/>
          <w:szCs w:val="24"/>
        </w:rPr>
      </w:pPr>
      <w:bookmarkStart w:id="36" w:name="_Toc6777"/>
      <w:r>
        <w:rPr>
          <w:rFonts w:ascii="Times New Roman" w:hAnsi="Times New Roman" w:eastAsia="黑体" w:cs="Times New Roman"/>
          <w:b w:val="0"/>
          <w:bCs w:val="0"/>
          <w:sz w:val="30"/>
          <w:szCs w:val="24"/>
        </w:rPr>
        <w:t>单耗报表</w:t>
      </w:r>
      <w:bookmarkEnd w:id="36"/>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3"/>
                    <a:stretch>
                      <a:fillRect/>
                    </a:stretch>
                  </pic:blipFill>
                  <pic:spPr>
                    <a:xfrm>
                      <a:off x="0" y="0"/>
                      <a:ext cx="6210300" cy="3079115"/>
                    </a:xfrm>
                    <a:prstGeom prst="rect">
                      <a:avLst/>
                    </a:prstGeom>
                    <a:noFill/>
                    <a:ln>
                      <a:noFill/>
                    </a:ln>
                  </pic:spPr>
                </pic:pic>
              </a:graphicData>
            </a:graphic>
          </wp:inline>
        </w:drawing>
      </w:r>
    </w:p>
    <w:p w14:paraId="6970784A">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B077449">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2C6FA79">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4D42ACA2">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6E801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9E6DC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7558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C025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009A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0ADF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BBA7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2F32D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25E4B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49C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894F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3BE7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518C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20DC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EF08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80C18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5120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B86F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E29B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F6DA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2E941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F0E95C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F4F0D5">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58498416">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0B3438F">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3935B647">
      <w:pPr>
        <w:pStyle w:val="6"/>
        <w:numPr>
          <w:ilvl w:val="0"/>
          <w:numId w:val="12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787BA0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p>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tc>
      </w:tr>
    </w:tbl>
    <w:p w14:paraId="59F85BDE">
      <w:pPr>
        <w:pStyle w:val="4"/>
        <w:numPr>
          <w:ilvl w:val="0"/>
          <w:numId w:val="15"/>
        </w:numPr>
        <w:topLinePunct w:val="0"/>
        <w:ind w:left="0" w:leftChars="0" w:firstLine="0" w:firstLineChars="0"/>
        <w:outlineLvl w:val="0"/>
        <w:rPr>
          <w:rFonts w:hint="eastAsia" w:eastAsia="黑体"/>
          <w:b w:val="0"/>
          <w:bCs w:val="0"/>
          <w:sz w:val="30"/>
          <w:szCs w:val="32"/>
        </w:rPr>
      </w:pPr>
      <w:bookmarkStart w:id="37" w:name="_Toc31707"/>
      <w:r>
        <w:rPr>
          <w:rFonts w:ascii="Times New Roman" w:hAnsi="Times New Roman" w:eastAsia="黑体" w:cs="Times New Roman"/>
          <w:b w:val="0"/>
          <w:bCs w:val="0"/>
          <w:sz w:val="30"/>
          <w:szCs w:val="32"/>
        </w:rPr>
        <w:t>基础管理</w:t>
      </w:r>
      <w:bookmarkEnd w:id="37"/>
    </w:p>
    <w:p w14:paraId="4EA01BBA">
      <w:pPr>
        <w:pStyle w:val="5"/>
        <w:numPr>
          <w:ilvl w:val="0"/>
          <w:numId w:val="131"/>
        </w:numPr>
        <w:ind w:left="0" w:leftChars="0" w:firstLine="0" w:firstLineChars="0"/>
        <w:outlineLvl w:val="1"/>
        <w:rPr>
          <w:rFonts w:eastAsia="黑体"/>
          <w:b w:val="0"/>
          <w:bCs w:val="0"/>
          <w:sz w:val="30"/>
          <w:szCs w:val="24"/>
        </w:rPr>
      </w:pPr>
      <w:bookmarkStart w:id="38" w:name="_Toc20240"/>
      <w:r>
        <w:rPr>
          <w:rFonts w:ascii="Times New Roman" w:hAnsi="Times New Roman" w:eastAsia="黑体" w:cs="Times New Roman"/>
          <w:b w:val="0"/>
          <w:bCs w:val="0"/>
          <w:sz w:val="30"/>
          <w:szCs w:val="24"/>
        </w:rPr>
        <w:t>数据录入</w:t>
      </w:r>
      <w:bookmarkEnd w:id="38"/>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4"/>
                    <a:stretch>
                      <a:fillRect/>
                    </a:stretch>
                  </pic:blipFill>
                  <pic:spPr>
                    <a:xfrm>
                      <a:off x="0" y="0"/>
                      <a:ext cx="6210300" cy="3079115"/>
                    </a:xfrm>
                    <a:prstGeom prst="rect">
                      <a:avLst/>
                    </a:prstGeom>
                    <a:noFill/>
                    <a:ln>
                      <a:noFill/>
                    </a:ln>
                  </pic:spPr>
                </pic:pic>
              </a:graphicData>
            </a:graphic>
          </wp:inline>
        </w:drawing>
      </w:r>
    </w:p>
    <w:p w14:paraId="253DADDB">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8A0810">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534C579">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车间填报员 (Persona P3)</w:t>
      </w:r>
      <w:r>
        <w:rPr>
          <w:rFonts w:ascii="Times New Roman" w:hAnsi="Times New Roman" w:eastAsia="宋体" w:cs="Times New Roman"/>
          <w:i w:val="0"/>
          <w:color w:val="1F2937"/>
          <w:sz w:val="24"/>
          <w:szCs w:val="24"/>
        </w:rPr>
        <w:t>，</w:t>
      </w:r>
    </w:p>
    <w:p w14:paraId="75203ACA">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在四个标签页中快速录入产量、能耗、相册与大事记，并由系统自动校验单位与数值合法性</w:t>
      </w:r>
      <w:r>
        <w:rPr>
          <w:rFonts w:ascii="Times New Roman" w:hAnsi="Times New Roman" w:eastAsia="宋体" w:cs="Times New Roman"/>
          <w:i w:val="0"/>
          <w:color w:val="1F2937"/>
          <w:sz w:val="24"/>
          <w:szCs w:val="24"/>
        </w:rPr>
        <w:t>，</w:t>
      </w:r>
    </w:p>
    <w:p w14:paraId="146973A5">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我能高效完成月度基层数据上报且不因录错导致核算失真</w:t>
      </w:r>
      <w:r>
        <w:rPr>
          <w:rFonts w:ascii="Times New Roman" w:hAnsi="Times New Roman" w:eastAsia="宋体" w:cs="Times New Roman"/>
          <w:i w:val="0"/>
          <w:color w:val="1F2937"/>
          <w:sz w:val="24"/>
          <w:szCs w:val="24"/>
        </w:rPr>
        <w:t>。</w:t>
      </w:r>
    </w:p>
    <w:p w14:paraId="5C3EBA7C">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4F834F29">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94E3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82FD2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929DD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C7852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242E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41092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8E5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3E9CB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B060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8B3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E31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DEE0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669E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0777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07B891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C518CDB">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ABB7AAF">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3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57FDB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31"/>
        </w:numPr>
        <w:ind w:left="0" w:leftChars="0" w:firstLine="0" w:firstLineChars="0"/>
        <w:outlineLvl w:val="1"/>
        <w:rPr>
          <w:rFonts w:eastAsia="黑体"/>
          <w:b w:val="0"/>
          <w:bCs w:val="0"/>
          <w:sz w:val="30"/>
          <w:szCs w:val="24"/>
        </w:rPr>
      </w:pPr>
      <w:bookmarkStart w:id="39" w:name="_Toc979"/>
      <w:r>
        <w:rPr>
          <w:rFonts w:ascii="Times New Roman" w:hAnsi="Times New Roman" w:eastAsia="黑体" w:cs="Times New Roman"/>
          <w:b w:val="0"/>
          <w:bCs w:val="0"/>
          <w:sz w:val="30"/>
          <w:szCs w:val="24"/>
        </w:rPr>
        <w:t>基础参数配置</w:t>
      </w:r>
      <w:bookmarkEnd w:id="39"/>
    </w:p>
    <w:p w14:paraId="106B59DF">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Cs w:val="0"/>
          <w:i/>
          <w:color w:val="9A6A00"/>
          <w:sz w:val="24"/>
          <w:szCs w:val="24"/>
        </w:rPr>
        <w:t>【原型缺口】本模块原型图尚未提供，待设计与业务方补充后插入本行下方（责任人与计划完成时间待确认）。</w:t>
      </w:r>
    </w:p>
    <w:p w14:paraId="154452A7">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12CBD0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741D8">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AF27C0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版本化维护分时电价阶梯与折标系数，并明确系数变更对历史核算的影响策略</w:t>
      </w:r>
      <w:r>
        <w:rPr>
          <w:rFonts w:ascii="Times New Roman" w:hAnsi="Times New Roman" w:eastAsia="宋体" w:cs="Times New Roman"/>
          <w:i w:val="0"/>
          <w:color w:val="1F2937"/>
          <w:sz w:val="24"/>
          <w:szCs w:val="24"/>
        </w:rPr>
        <w:t>，</w:t>
      </w:r>
    </w:p>
    <w:p w14:paraId="130FC69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我能保证参数变更可追溯、历史报表口径不被追溯性污染</w:t>
      </w:r>
      <w:r>
        <w:rPr>
          <w:rFonts w:ascii="Times New Roman" w:hAnsi="Times New Roman" w:eastAsia="宋体" w:cs="Times New Roman"/>
          <w:i w:val="0"/>
          <w:color w:val="1F2937"/>
          <w:sz w:val="24"/>
          <w:szCs w:val="24"/>
        </w:rPr>
        <w:t>。</w:t>
      </w:r>
    </w:p>
    <w:p w14:paraId="32899B71">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字段字典与审批流【待补充】。</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17EA7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CFFA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D9748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53B1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DEE8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2C737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版本化维护，记录修改人、时间、依据标准；系数变更对历史核算的影响策略（重算/仅新周期生效）【待补充】</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：能源价格与折标系数的新增/变更/废止须经审核后生效【待补充：审批流程归属第八章公共工作流模块】。</w:t>
      </w:r>
    </w:p>
    <w:p w14:paraId="350D3184">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3D17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A8D72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22BE29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0777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5CA50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DFB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E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015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0D9F6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CD1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E9E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CBCC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270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重算 / 仅新周期生效</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1719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36D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276D93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Cost = Q × P_version( t )                      按业务发生时间匹配对应生效版本单价</w:t>
            </w:r>
          </w:p>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24C9329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to_new ] ∩ [ from_old, to_old ] = ∅    生效区间不可重叠</w:t>
            </w:r>
          </w:p>
          <w:p w14:paraId="5CE98E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重算 ? Recalculate( history ) : Apply( future_only )</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P_version(t)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k_version(t) </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w:t>
      </w:r>
    </w:p>
    <w:p w14:paraId="4709B6A3">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147DE67">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：系数变更须显式选择"重算历史"或"仅新周期生效"，不得默认。</w:t>
      </w:r>
    </w:p>
    <w:p w14:paraId="71BB94C6">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8EFBBF0">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3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E961DF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基础参数版本化管理</w:t>
            </w:r>
          </w:p>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572D5A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某介质折标系数已存在生效区间为 2026-01-01 至 2026-06-30 的版本</w:t>
            </w:r>
          </w:p>
          <w:p w14:paraId="0EA291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维护人员新增一个生效开始日期落在该区间内的新版本</w:t>
            </w:r>
          </w:p>
          <w:p w14:paraId="4E2B9F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2D00F5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页面提示生效区间不可重叠</w:t>
            </w:r>
          </w:p>
          <w:p w14:paraId="31BAD9FB">
            <w:pPr>
              <w:spacing w:before="0" w:after="20" w:line="264" w:lineRule="auto"/>
              <w:rPr>
                <w:rFonts w:hint="eastAsia" w:ascii="宋体" w:hAnsi="宋体" w:eastAsia="宋体" w:cs="宋体"/>
                <w:i w:val="0"/>
                <w:iCs w:val="0"/>
                <w:sz w:val="24"/>
                <w:szCs w:val="24"/>
              </w:rPr>
            </w:pPr>
          </w:p>
          <w:p w14:paraId="5ED64AD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历史核算口径不被污染</w:t>
            </w:r>
          </w:p>
          <w:p w14:paraId="3BCC04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2026 年 3 月的成本报表已按当时生效的电价版本生成</w:t>
            </w:r>
          </w:p>
          <w:p w14:paraId="315C4F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维护人员新增一个 2026-07-01 起生效的新电价版本</w:t>
            </w:r>
          </w:p>
          <w:p w14:paraId="2017D43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2026 年 3 月的报表数值保持不变</w:t>
            </w:r>
          </w:p>
          <w:p w14:paraId="251390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系统按业务发生时间匹配当时生效版本，不使用当前版本倒推历史</w:t>
            </w:r>
          </w:p>
          <w:p w14:paraId="6F180D3B">
            <w:pPr>
              <w:spacing w:before="0" w:after="20" w:line="264" w:lineRule="auto"/>
              <w:rPr>
                <w:rFonts w:hint="eastAsia" w:ascii="宋体" w:hAnsi="宋体" w:eastAsia="宋体" w:cs="宋体"/>
                <w:i w:val="0"/>
                <w:iCs w:val="0"/>
                <w:sz w:val="24"/>
                <w:szCs w:val="24"/>
              </w:rPr>
            </w:pPr>
          </w:p>
          <w:p w14:paraId="5355D1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3EC05F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维护人员修改某折标系数数值</w:t>
            </w:r>
          </w:p>
          <w:p w14:paraId="444C72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未选择变更影响策略即点击保存</w:t>
            </w:r>
          </w:p>
          <w:p w14:paraId="60E842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保存按钮保持置灰不可点击</w:t>
            </w:r>
          </w:p>
          <w:p w14:paraId="464A87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页面强制要求在"重算历史"与"仅新周期生效"之间做出选择</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rPr>
      </w:pPr>
      <w:bookmarkStart w:id="40" w:name="_Toc23830"/>
      <w:r>
        <w:rPr>
          <w:rFonts w:ascii="Times New Roman" w:hAnsi="Times New Roman" w:eastAsia="黑体" w:cs="Times New Roman"/>
          <w:b w:val="0"/>
          <w:bCs w:val="0"/>
          <w:sz w:val="32"/>
          <w:szCs w:val="44"/>
        </w:rPr>
        <w:t>产品碳足迹集采中心功能需求规格</w:t>
      </w:r>
      <w:bookmarkEnd w:id="40"/>
    </w:p>
    <w:p w14:paraId="417EE830">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本章严格对应系统切换至【产品碳足迹集采中心】时的 6 大一级主导航逐层展开，全面支撑产品全生命周期 LCA 建模、ISO 14067 认证、二维码数字碳标签与欧盟 CBAM 关税申报。本章功能权限矩阵见附录 E（P4 LCA 工程师 / P5 报关专家 / P6 外部审计机构），北极星指标（NSM）见附录 F，验收用例见第十一章 Gherkin 准则；LCA / CBAM 错误码见第五章"标准化错误码字典"。</w:t>
      </w:r>
    </w:p>
    <w:p w14:paraId="5B45C204">
      <w:pPr>
        <w:pStyle w:val="4"/>
        <w:numPr>
          <w:ilvl w:val="0"/>
          <w:numId w:val="144"/>
        </w:numPr>
        <w:topLinePunct w:val="0"/>
        <w:ind w:left="0" w:leftChars="0" w:firstLine="0" w:firstLineChars="0"/>
        <w:outlineLvl w:val="0"/>
        <w:rPr>
          <w:rFonts w:hint="eastAsia" w:eastAsia="黑体"/>
          <w:b w:val="0"/>
          <w:bCs w:val="0"/>
          <w:sz w:val="30"/>
          <w:szCs w:val="32"/>
        </w:rPr>
      </w:pPr>
      <w:bookmarkStart w:id="41" w:name="_Toc8855"/>
      <w:r>
        <w:rPr>
          <w:rFonts w:ascii="Times New Roman" w:hAnsi="Times New Roman" w:eastAsia="黑体" w:cs="Times New Roman"/>
          <w:b w:val="0"/>
          <w:bCs w:val="0"/>
          <w:sz w:val="30"/>
          <w:szCs w:val="32"/>
        </w:rPr>
        <w:t>对外示范窗口</w:t>
      </w:r>
      <w:bookmarkEnd w:id="41"/>
    </w:p>
    <w:p w14:paraId="39BCBB03">
      <w:pPr>
        <w:pStyle w:val="5"/>
        <w:numPr>
          <w:ilvl w:val="0"/>
          <w:numId w:val="13"/>
        </w:numPr>
        <w:ind w:left="0" w:leftChars="0" w:firstLine="0" w:firstLineChars="0"/>
        <w:outlineLvl w:val="1"/>
        <w:rPr>
          <w:rFonts w:ascii="Times New Roman" w:hAnsi="Times New Roman" w:eastAsia="黑体" w:cs="Times New Roman"/>
          <w:b w:val="0"/>
          <w:bCs w:val="0"/>
          <w:sz w:val="30"/>
          <w:szCs w:val="24"/>
        </w:rPr>
      </w:pPr>
      <w:bookmarkStart w:id="42" w:name="_Toc30314"/>
      <w:r>
        <w:rPr>
          <w:rFonts w:ascii="Times New Roman" w:hAnsi="Times New Roman" w:eastAsia="黑体" w:cs="Times New Roman"/>
          <w:b w:val="0"/>
          <w:bCs w:val="0"/>
          <w:sz w:val="30"/>
          <w:szCs w:val="24"/>
        </w:rPr>
        <w:t>碳足迹总览驾驶舱</w:t>
      </w:r>
      <w:bookmarkEnd w:id="42"/>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5"/>
                    <a:stretch>
                      <a:fillRect/>
                    </a:stretch>
                  </pic:blipFill>
                  <pic:spPr>
                    <a:xfrm>
                      <a:off x="0" y="0"/>
                      <a:ext cx="6210300" cy="3079115"/>
                    </a:xfrm>
                    <a:prstGeom prst="rect">
                      <a:avLst/>
                    </a:prstGeom>
                    <a:noFill/>
                    <a:ln>
                      <a:noFill/>
                    </a:ln>
                  </pic:spPr>
                </pic:pic>
              </a:graphicData>
            </a:graphic>
          </wp:inline>
        </w:drawing>
      </w:r>
    </w:p>
    <w:p w14:paraId="3CBDAEDB">
      <w:pPr>
        <w:pStyle w:val="6"/>
        <w:numPr>
          <w:ilvl w:val="0"/>
          <w:numId w:val="14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645DB96">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1B05598C">
      <w:pPr>
        <w:pStyle w:val="6"/>
        <w:numPr>
          <w:ilvl w:val="0"/>
          <w:numId w:val="14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46A406">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A887562">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在对外示范驾驶舱全屏展示产品 LCA 五阶段碳排构成、可扫码验证的数字碳标签与 CBAM 关税节省测算</w:t>
      </w:r>
      <w:r>
        <w:rPr>
          <w:rFonts w:ascii="Times New Roman" w:hAnsi="Times New Roman" w:eastAsia="宋体" w:cs="Times New Roman"/>
          <w:i w:val="0"/>
          <w:color w:val="1F2937"/>
          <w:sz w:val="24"/>
          <w:szCs w:val="24"/>
        </w:rPr>
        <w:t>，</w:t>
      </w:r>
    </w:p>
    <w:p w14:paraId="2C15A2FF">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我能以权威可视化证据赢得国际客户与欧盟审查专员的信任</w:t>
      </w:r>
      <w:r>
        <w:rPr>
          <w:rFonts w:ascii="Times New Roman" w:hAnsi="Times New Roman" w:eastAsia="宋体" w:cs="Times New Roman"/>
          <w:i w:val="0"/>
          <w:color w:val="1F2937"/>
          <w:sz w:val="24"/>
          <w:szCs w:val="24"/>
        </w:rPr>
        <w:t>。</w:t>
      </w:r>
    </w:p>
    <w:p w14:paraId="63789662">
      <w:pPr>
        <w:pStyle w:val="6"/>
        <w:numPr>
          <w:ilvl w:val="0"/>
          <w:numId w:val="14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：面向参观与验收场景默认全屏自动轮播，关键指标卡循环展示，支持手动切换与暂停（轮播周期【待确认】）。</w:t>
      </w:r>
    </w:p>
    <w:p w14:paraId="67962568">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指标按日结刷新，欧盟碳价按小时级联动刷新（【待确认】）。</w:t>
      </w:r>
    </w:p>
    <w:p w14:paraId="43C23325">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对外展示数据脱敏规则与白名单（面向外部参观者的字段裁剪）。</w:t>
      </w:r>
    </w:p>
    <w:p w14:paraId="1415680A">
      <w:pPr>
        <w:pStyle w:val="6"/>
        <w:numPr>
          <w:ilvl w:val="0"/>
          <w:numId w:val="14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0F209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33EF9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8FC0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B8ED3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CAF8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数据来源与核算逻辑</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A023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单台产品全生命周期碳排</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kgCO2e/台 或 kgCO2e/km</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5 大阶段排放滚算累加</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69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(E_{原材料} / E_{总碳足迹}) × 100%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2A57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(E_{加工} / E_{总碳足迹}) × 100%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56DD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绿电消纳贡献减排量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光伏自发自用量 × 区域电网碳因子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240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关税累计节省金额</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已抵扣国内碳成本折算节省关税</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C9E58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防伪数字验真哈希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认证机构私钥数字签名</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6F30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全球产品电子代码，唯一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E733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bl>
    <w:p w14:paraId="6102E8A0">
      <w:pPr>
        <w:spacing w:after="60"/>
        <w:rPr>
          <w:rFonts w:hint="eastAsia" w:ascii="宋体" w:hAnsi="宋体" w:eastAsia="宋体" w:cs="宋体"/>
          <w:i w:val="0"/>
          <w:iCs w:val="0"/>
          <w:sz w:val="24"/>
          <w:szCs w:val="24"/>
        </w:rPr>
      </w:pPr>
    </w:p>
    <w:p w14:paraId="004620A1">
      <w:pPr>
        <w:pStyle w:val="6"/>
        <w:numPr>
          <w:ilvl w:val="0"/>
          <w:numId w:val="14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985E1F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3109F6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E_PCF = E_raw + E_trans + E_manuf + E_test + E_pack   单台产品全生命周期碳足迹</w:t>
            </w:r>
          </w:p>
          <w:p w14:paraId="164FC6C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各阶段碳排占比</w:t>
            </w:r>
          </w:p>
          <w:p w14:paraId="1FBE06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Save_CBAM = Export_Qty × Embedded_Carbon × ( Price_EU_ETS - Price_Domestic )</w:t>
            </w:r>
          </w:p>
          <w:p w14:paraId="108EC7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tc>
      </w:tr>
    </w:tbl>
    <w:p w14:paraId="0638C117">
      <w:pPr>
        <w:spacing w:after="40"/>
        <w:rPr>
          <w:rFonts w:hint="eastAsia" w:ascii="宋体" w:hAnsi="宋体" w:eastAsia="宋体" w:cs="宋体"/>
          <w:i w:val="0"/>
          <w:iCs w:val="0"/>
          <w:sz w:val="24"/>
          <w:szCs w:val="24"/>
        </w:rPr>
      </w:pPr>
    </w:p>
    <w:p w14:paraId="781DC27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五阶段碳排定义详见本章三、2 LCA 核算引擎；</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为欧洲能源交易所碳配额结算均价；</w:t>
      </w:r>
      <w:r>
        <w:rPr>
          <w:rFonts w:ascii="Times New Roman" w:hAnsi="Times New Roman" w:eastAsia="宋体" w:cs="Times New Roman"/>
          <w:b w:val="0"/>
          <w:i w:val="0"/>
          <w:color w:val="0284C7"/>
          <w:sz w:val="24"/>
          <w:szCs w:val="24"/>
        </w:rPr>
        <w:t xml:space="preserve"> Price_Domestic </w:t>
      </w:r>
      <w:r>
        <w:rPr>
          <w:rFonts w:ascii="Times New Roman" w:hAnsi="Times New Roman" w:eastAsia="宋体" w:cs="Times New Roman"/>
          <w:i w:val="0"/>
          <w:color w:val="1F2937"/>
          <w:sz w:val="24"/>
          <w:szCs w:val="24"/>
        </w:rPr>
        <w:t xml:space="preserve"> 为国内已支付碳成本折算价。</w:t>
      </w:r>
    </w:p>
    <w:p w14:paraId="2FA0D389">
      <w:pPr>
        <w:pStyle w:val="6"/>
        <w:numPr>
          <w:ilvl w:val="0"/>
          <w:numId w:val="14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ACC2F9F">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：对外展示统一采用 Cradle-to-Gate（摇篮到大门）边界，并在页面明确标注。</w:t>
      </w:r>
    </w:p>
    <w:p w14:paraId="77E76009">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数据脱敏口径</w:t>
      </w:r>
      <w:r>
        <w:rPr>
          <w:rFonts w:ascii="Times New Roman" w:hAnsi="Times New Roman" w:eastAsia="宋体" w:cs="Times New Roman"/>
          <w:i w:val="0"/>
          <w:color w:val="1F2937"/>
          <w:sz w:val="24"/>
          <w:szCs w:val="24"/>
        </w:rPr>
        <w:t>：对外展示版本按白名单裁剪字段，不呈现供应商名称、工艺配方等 L2 以上敏感信息。</w:t>
      </w:r>
    </w:p>
    <w:p w14:paraId="3654EC5C">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：页面底部常驻展示数据截止时间与因子版本号。</w:t>
      </w:r>
    </w:p>
    <w:p w14:paraId="6BA00DFC">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：对外展示的碳足迹数值必须与已签发认证报告完全一致，不允许展示草稿态数据。</w:t>
      </w:r>
    </w:p>
    <w:p w14:paraId="524F9B8C">
      <w:pPr>
        <w:pStyle w:val="6"/>
        <w:numPr>
          <w:ilvl w:val="0"/>
          <w:numId w:val="14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42C3FF4">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tc>
      </w:tr>
    </w:tbl>
    <w:p w14:paraId="4D748162">
      <w:pPr>
        <w:spacing w:after="40"/>
        <w:rPr>
          <w:rFonts w:hint="eastAsia" w:ascii="宋体" w:hAnsi="宋体" w:eastAsia="宋体" w:cs="宋体"/>
          <w:i w:val="0"/>
          <w:iCs w:val="0"/>
          <w:sz w:val="24"/>
          <w:szCs w:val="24"/>
        </w:rPr>
      </w:pPr>
    </w:p>
    <w:p w14:paraId="7E6E09CD">
      <w:pPr>
        <w:pStyle w:val="6"/>
        <w:numPr>
          <w:ilvl w:val="0"/>
          <w:numId w:val="14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FFFAC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tc>
      </w:tr>
    </w:tbl>
    <w:p w14:paraId="5578F86A">
      <w:pPr>
        <w:spacing w:after="40"/>
        <w:rPr>
          <w:rFonts w:hint="eastAsia" w:ascii="宋体" w:hAnsi="宋体" w:eastAsia="宋体" w:cs="宋体"/>
          <w:i w:val="0"/>
          <w:iCs w:val="0"/>
          <w:sz w:val="24"/>
          <w:szCs w:val="24"/>
        </w:rPr>
      </w:pPr>
    </w:p>
    <w:p w14:paraId="61235EAF">
      <w:pPr>
        <w:pStyle w:val="4"/>
        <w:numPr>
          <w:ilvl w:val="0"/>
          <w:numId w:val="144"/>
        </w:numPr>
        <w:topLinePunct w:val="0"/>
        <w:ind w:left="0" w:leftChars="0" w:firstLine="0" w:firstLineChars="0"/>
        <w:outlineLvl w:val="0"/>
        <w:rPr>
          <w:rFonts w:hint="eastAsia" w:eastAsia="黑体"/>
          <w:b w:val="0"/>
          <w:bCs w:val="0"/>
          <w:sz w:val="30"/>
          <w:szCs w:val="32"/>
        </w:rPr>
      </w:pPr>
      <w:bookmarkStart w:id="43" w:name="_Toc1373"/>
      <w:r>
        <w:rPr>
          <w:rFonts w:ascii="Times New Roman" w:hAnsi="Times New Roman" w:eastAsia="黑体" w:cs="Times New Roman"/>
          <w:b w:val="0"/>
          <w:bCs w:val="0"/>
          <w:sz w:val="30"/>
          <w:szCs w:val="32"/>
        </w:rPr>
        <w:t>多维分析</w:t>
      </w:r>
      <w:bookmarkEnd w:id="43"/>
    </w:p>
    <w:p w14:paraId="06C8EC8B">
      <w:pPr>
        <w:pStyle w:val="5"/>
        <w:numPr>
          <w:ilvl w:val="0"/>
          <w:numId w:val="150"/>
        </w:numPr>
        <w:ind w:left="0" w:leftChars="0" w:firstLine="0" w:firstLineChars="0"/>
        <w:outlineLvl w:val="1"/>
        <w:rPr>
          <w:rFonts w:eastAsia="黑体"/>
          <w:b w:val="0"/>
          <w:bCs w:val="0"/>
          <w:sz w:val="30"/>
          <w:szCs w:val="24"/>
        </w:rPr>
      </w:pPr>
      <w:bookmarkStart w:id="44" w:name="_Toc4851"/>
      <w:r>
        <w:rPr>
          <w:rFonts w:ascii="Times New Roman" w:hAnsi="Times New Roman" w:eastAsia="黑体" w:cs="Times New Roman"/>
          <w:b w:val="0"/>
          <w:bCs w:val="0"/>
          <w:sz w:val="30"/>
          <w:szCs w:val="24"/>
        </w:rPr>
        <w:t>横向对比</w:t>
      </w:r>
      <w:bookmarkEnd w:id="44"/>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6"/>
                    <a:stretch>
                      <a:fillRect/>
                    </a:stretch>
                  </pic:blipFill>
                  <pic:spPr>
                    <a:xfrm>
                      <a:off x="0" y="0"/>
                      <a:ext cx="6210300" cy="3079115"/>
                    </a:xfrm>
                    <a:prstGeom prst="rect">
                      <a:avLst/>
                    </a:prstGeom>
                    <a:noFill/>
                    <a:ln>
                      <a:noFill/>
                    </a:ln>
                  </pic:spPr>
                </pic:pic>
              </a:graphicData>
            </a:graphic>
          </wp:inline>
        </w:drawing>
      </w:r>
    </w:p>
    <w:p w14:paraId="26FC4F4B">
      <w:pPr>
        <w:pStyle w:val="6"/>
        <w:numPr>
          <w:ilvl w:val="0"/>
          <w:numId w:val="15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46A75C2">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6C7FFA19">
      <w:pPr>
        <w:pStyle w:val="6"/>
        <w:numPr>
          <w:ilvl w:val="0"/>
          <w:numId w:val="15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2F84533">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E517880">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选择同规格产品按五大阶段横向对标各生产基地的单位产品碳足迹并下钻至主材与工序构成</w:t>
      </w:r>
      <w:r>
        <w:rPr>
          <w:rFonts w:ascii="Times New Roman" w:hAnsi="Times New Roman" w:eastAsia="宋体" w:cs="Times New Roman"/>
          <w:i w:val="0"/>
          <w:color w:val="1F2937"/>
          <w:sz w:val="24"/>
          <w:szCs w:val="24"/>
        </w:rPr>
        <w:t>，</w:t>
      </w:r>
    </w:p>
    <w:p w14:paraId="63C90728">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我能精准定位各基地的工艺降碳潜力并推动横向最佳实践复制</w:t>
      </w:r>
      <w:r>
        <w:rPr>
          <w:rFonts w:ascii="Times New Roman" w:hAnsi="Times New Roman" w:eastAsia="宋体" w:cs="Times New Roman"/>
          <w:i w:val="0"/>
          <w:color w:val="1F2937"/>
          <w:sz w:val="24"/>
          <w:szCs w:val="24"/>
        </w:rPr>
        <w:t>。</w:t>
      </w:r>
    </w:p>
    <w:p w14:paraId="5D7B222D">
      <w:pPr>
        <w:pStyle w:val="6"/>
        <w:numPr>
          <w:ilvl w:val="0"/>
          <w:numId w:val="15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1F1E431">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5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2106"/>
        <w:gridCol w:w="1365"/>
        <w:gridCol w:w="1635"/>
        <w:gridCol w:w="3796"/>
      </w:tblGrid>
      <w:tr w14:paraId="62AEA626">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25D53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1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257A0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70035F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24A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7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C90B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C8405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A7BD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DAD4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87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3CA2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4F2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变压器/线缆/开关，决定特征量口径</w:t>
            </w:r>
          </w:p>
        </w:tc>
      </w:tr>
      <w:tr w14:paraId="5FFCF85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588B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99BA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07F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5D4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8C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物料主数据编码，非空</w:t>
            </w:r>
          </w:p>
        </w:tc>
      </w:tr>
      <w:tr w14:paraId="112FB5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4013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7C6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B1A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BB1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CAEB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六级组织架构经营单位节点</w:t>
            </w:r>
          </w:p>
        </w:tc>
      </w:tr>
      <w:tr w14:paraId="16A08AF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A782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AB5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特征量数值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E0CB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C16B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 / 台</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FFD2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0，作为单位产品碳足迹分母</w:t>
            </w:r>
          </w:p>
        </w:tc>
      </w:tr>
      <w:tr w14:paraId="5DC703E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5A43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D23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E6F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A7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5DA4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E_{PCF} / Feature</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33AB818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E769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5A8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034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020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C4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所选范围内算术平均，空集显示 </w:t>
            </w:r>
            <w:r>
              <w:rPr>
                <w:rFonts w:hint="eastAsia" w:ascii="宋体" w:hAnsi="宋体" w:eastAsia="宋体" w:cs="宋体"/>
                <w:b w:val="0"/>
                <w:i w:val="0"/>
                <w:iCs w:val="0"/>
                <w:color w:val="0284C7"/>
                <w:sz w:val="24"/>
                <w:szCs w:val="24"/>
              </w:rPr>
              <w:t xml:space="preserve"> -- </w:t>
            </w:r>
          </w:p>
        </w:tc>
      </w:tr>
      <w:tr w14:paraId="17B6806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8C11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232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基准值</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8F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F7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A395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取自基准管理配置</w:t>
            </w:r>
          </w:p>
        </w:tc>
      </w:tr>
      <w:tr w14:paraId="085761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2B39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52EE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达标状态</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B1B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381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156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达标（主色）/ 超基准（红色）</w:t>
            </w:r>
          </w:p>
        </w:tc>
      </w:tr>
      <w:tr w14:paraId="732C4EB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4953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C5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销售订单数量</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228B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FD7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 / km</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59C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关联销售订单实际数量</w:t>
            </w:r>
          </w:p>
        </w:tc>
      </w:tr>
      <w:tr w14:paraId="1EA4A89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CF11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D9C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项目公司标识</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700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16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747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949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为真时该行置灰且不计入排名</w:t>
            </w:r>
          </w:p>
        </w:tc>
      </w:tr>
    </w:tbl>
    <w:p w14:paraId="0CF3077D">
      <w:pPr>
        <w:spacing w:after="60"/>
        <w:rPr>
          <w:rFonts w:hint="eastAsia" w:ascii="宋体" w:hAnsi="宋体" w:eastAsia="宋体" w:cs="宋体"/>
          <w:i w:val="0"/>
          <w:iCs w:val="0"/>
          <w:sz w:val="24"/>
          <w:szCs w:val="24"/>
        </w:rPr>
      </w:pPr>
    </w:p>
    <w:p w14:paraId="3C4A3CFD">
      <w:pPr>
        <w:pStyle w:val="6"/>
        <w:numPr>
          <w:ilvl w:val="0"/>
          <w:numId w:val="15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8FE8C20">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616B5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CF_unit = E_PCF / Feature                                 单位产品碳足迹</w:t>
            </w:r>
          </w:p>
          <w:p w14:paraId="5491E8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各阶段构成占比</w:t>
            </w:r>
          </w:p>
          <w:p w14:paraId="24C32F4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Mean_unit = Σ CF_unit,i / N                               单位产品碳足迹均值</w:t>
            </w:r>
          </w:p>
          <w:p w14:paraId="7201047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 = CF_unit &lt;= Benchmark ? 达标 : 超基准              达标判定</w:t>
            </w:r>
          </w:p>
        </w:tc>
      </w:tr>
    </w:tbl>
    <w:p w14:paraId="1B8DB53C">
      <w:pPr>
        <w:spacing w:after="40"/>
        <w:rPr>
          <w:rFonts w:hint="eastAsia" w:ascii="宋体" w:hAnsi="宋体" w:eastAsia="宋体" w:cs="宋体"/>
          <w:i w:val="0"/>
          <w:iCs w:val="0"/>
          <w:sz w:val="24"/>
          <w:szCs w:val="24"/>
        </w:rPr>
      </w:pPr>
    </w:p>
    <w:p w14:paraId="21E845C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Feature </w:t>
      </w:r>
      <w:r>
        <w:rPr>
          <w:rFonts w:ascii="Times New Roman" w:hAnsi="Times New Roman" w:eastAsia="宋体" w:cs="Times New Roman"/>
          <w:i w:val="0"/>
          <w:color w:val="1F2937"/>
          <w:sz w:val="24"/>
          <w:szCs w:val="24"/>
        </w:rPr>
        <w:t xml:space="preserve"> 为特征量（变压器 kVA、电缆 km、开关 台/间隔）；</w:t>
      </w:r>
      <w:r>
        <w:rPr>
          <w:rFonts w:ascii="Times New Roman" w:hAnsi="Times New Roman" w:eastAsia="宋体" w:cs="Times New Roman"/>
          <w:b w:val="0"/>
          <w:i w:val="0"/>
          <w:color w:val="0284C7"/>
          <w:sz w:val="24"/>
          <w:szCs w:val="24"/>
        </w:rPr>
        <w:t xml:space="preserve"> E_PCF </w:t>
      </w:r>
      <w:r>
        <w:rPr>
          <w:rFonts w:ascii="Times New Roman" w:hAnsi="Times New Roman" w:eastAsia="宋体" w:cs="Times New Roman"/>
          <w:i w:val="0"/>
          <w:color w:val="1F2937"/>
          <w:sz w:val="24"/>
          <w:szCs w:val="24"/>
        </w:rPr>
        <w:t xml:space="preserve"> 为该单位该型号的单台全生命周期碳足迹。</w:t>
      </w:r>
    </w:p>
    <w:p w14:paraId="207BB16A">
      <w:pPr>
        <w:pStyle w:val="6"/>
        <w:numPr>
          <w:ilvl w:val="0"/>
          <w:numId w:val="15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BDCDBA">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可比口径</w:t>
      </w:r>
      <w:r>
        <w:rPr>
          <w:rFonts w:ascii="Times New Roman" w:hAnsi="Times New Roman" w:eastAsia="宋体" w:cs="Times New Roman"/>
          <w:i w:val="0"/>
          <w:color w:val="1F2937"/>
          <w:sz w:val="24"/>
          <w:szCs w:val="24"/>
        </w:rPr>
        <w:t>：所有对比必须在同一特征量口径下进行，严禁跨特征量（如 kVA 与 km）直接对比。</w:t>
      </w:r>
    </w:p>
    <w:p w14:paraId="2F88FED2">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：基准线取自基准管理配置，超基准柱标红。</w:t>
      </w:r>
    </w:p>
    <w:p w14:paraId="6D197E35">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：按单位产品碳足迹升序排名，第 1 名为低碳标杆；项目公司行置灰且不计入排名序号。</w:t>
      </w:r>
    </w:p>
    <w:p w14:paraId="5D14D410">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筛级口径</w:t>
      </w:r>
      <w:r>
        <w:rPr>
          <w:rFonts w:ascii="Times New Roman" w:hAnsi="Times New Roman" w:eastAsia="宋体" w:cs="Times New Roman"/>
          <w:i w:val="0"/>
          <w:color w:val="1F2937"/>
          <w:sz w:val="24"/>
          <w:szCs w:val="24"/>
        </w:rPr>
        <w:t>：上级筛选变更时逐级重置下级到首项，避免残留无效组合。</w:t>
      </w:r>
    </w:p>
    <w:p w14:paraId="109B6DB8">
      <w:pPr>
        <w:pStyle w:val="6"/>
        <w:numPr>
          <w:ilvl w:val="0"/>
          <w:numId w:val="15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9983AB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9A2C941">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3C086B8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，该实体不参与排名与均值计算。</w:t>
            </w:r>
          </w:p>
          <w:p w14:paraId="3432C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筛选组合无数据：主对比图与排名表输出客观空态"当前条件下无可比数据"，不显示空白占位卡片。</w:t>
            </w:r>
          </w:p>
          <w:p w14:paraId="134990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跨特征量对比：前端禁止（下拉互斥），后端 API 拒绝混合特征量请求。</w:t>
            </w:r>
          </w:p>
          <w:p w14:paraId="4175B91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项目公司：强制置灰并排除排名统计。</w:t>
            </w:r>
          </w:p>
        </w:tc>
      </w:tr>
    </w:tbl>
    <w:p w14:paraId="1B565982">
      <w:pPr>
        <w:spacing w:after="40"/>
        <w:rPr>
          <w:rFonts w:hint="eastAsia" w:ascii="宋体" w:hAnsi="宋体" w:eastAsia="宋体" w:cs="宋体"/>
          <w:i w:val="0"/>
          <w:iCs w:val="0"/>
          <w:sz w:val="24"/>
          <w:szCs w:val="24"/>
        </w:rPr>
      </w:pPr>
    </w:p>
    <w:p w14:paraId="425806EB">
      <w:pPr>
        <w:pStyle w:val="6"/>
        <w:numPr>
          <w:ilvl w:val="0"/>
          <w:numId w:val="15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DE5F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tc>
      </w:tr>
    </w:tbl>
    <w:p w14:paraId="304D430B">
      <w:pPr>
        <w:spacing w:after="40"/>
        <w:rPr>
          <w:rFonts w:hint="eastAsia" w:ascii="宋体" w:hAnsi="宋体" w:eastAsia="宋体" w:cs="宋体"/>
          <w:i w:val="0"/>
          <w:iCs w:val="0"/>
          <w:sz w:val="24"/>
          <w:szCs w:val="24"/>
        </w:rPr>
      </w:pPr>
    </w:p>
    <w:p w14:paraId="435205D0">
      <w:pPr>
        <w:pStyle w:val="5"/>
        <w:numPr>
          <w:ilvl w:val="0"/>
          <w:numId w:val="150"/>
        </w:numPr>
        <w:ind w:left="0" w:leftChars="0" w:firstLine="0" w:firstLineChars="0"/>
        <w:outlineLvl w:val="1"/>
        <w:rPr>
          <w:rFonts w:eastAsia="黑体"/>
          <w:b w:val="0"/>
          <w:bCs w:val="0"/>
          <w:sz w:val="30"/>
          <w:szCs w:val="24"/>
        </w:rPr>
      </w:pPr>
      <w:bookmarkStart w:id="45" w:name="_Toc28114"/>
      <w:r>
        <w:rPr>
          <w:rFonts w:ascii="Times New Roman" w:hAnsi="Times New Roman" w:eastAsia="黑体" w:cs="Times New Roman"/>
          <w:b w:val="0"/>
          <w:bCs w:val="0"/>
          <w:sz w:val="30"/>
          <w:szCs w:val="24"/>
        </w:rPr>
        <w:t>纵向</w:t>
      </w:r>
      <w:r>
        <w:rPr>
          <w:rFonts w:hint="eastAsia" w:cs="Times New Roman"/>
          <w:b w:val="0"/>
          <w:bCs w:val="0"/>
          <w:sz w:val="30"/>
          <w:szCs w:val="24"/>
          <w:lang w:val="en-US" w:eastAsia="zh-CN"/>
        </w:rPr>
        <w:t>对比</w:t>
      </w:r>
      <w:bookmarkEnd w:id="45"/>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7"/>
                    <a:stretch>
                      <a:fillRect/>
                    </a:stretch>
                  </pic:blipFill>
                  <pic:spPr>
                    <a:xfrm>
                      <a:off x="0" y="0"/>
                      <a:ext cx="6210300" cy="3079115"/>
                    </a:xfrm>
                    <a:prstGeom prst="rect">
                      <a:avLst/>
                    </a:prstGeom>
                    <a:noFill/>
                    <a:ln>
                      <a:noFill/>
                    </a:ln>
                  </pic:spPr>
                </pic:pic>
              </a:graphicData>
            </a:graphic>
          </wp:inline>
        </w:drawing>
      </w:r>
    </w:p>
    <w:p w14:paraId="27195640">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D1A5ACF">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465D9A17">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40E3985">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262B508">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按批次追踪同型号产品碳足迹演变，并以瀑布图量化各减碳举措的贡献度</w:t>
      </w:r>
      <w:r>
        <w:rPr>
          <w:rFonts w:ascii="Times New Roman" w:hAnsi="Times New Roman" w:eastAsia="宋体" w:cs="Times New Roman"/>
          <w:i w:val="0"/>
          <w:color w:val="1F2937"/>
          <w:sz w:val="24"/>
          <w:szCs w:val="24"/>
        </w:rPr>
        <w:t>，</w:t>
      </w:r>
    </w:p>
    <w:p w14:paraId="3FCAFA43">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我能识别最有效的减碳路径并复制到其他产线</w:t>
      </w:r>
      <w:r>
        <w:rPr>
          <w:rFonts w:ascii="Times New Roman" w:hAnsi="Times New Roman" w:eastAsia="宋体" w:cs="Times New Roman"/>
          <w:i w:val="0"/>
          <w:color w:val="1F2937"/>
          <w:sz w:val="24"/>
          <w:szCs w:val="24"/>
        </w:rPr>
        <w:t>。</w:t>
      </w:r>
    </w:p>
    <w:p w14:paraId="45A0DCCC">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B63DF2B">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1"/>
        <w:gridCol w:w="2030"/>
        <w:gridCol w:w="1373"/>
        <w:gridCol w:w="1480"/>
        <w:gridCol w:w="4010"/>
      </w:tblGrid>
      <w:tr w14:paraId="4B41067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BDEE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135FF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10F50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69CB7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E475D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01F8895">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96CA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9A1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78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060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42A9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唯一主数据编码</w:t>
            </w:r>
          </w:p>
        </w:tc>
      </w:tr>
      <w:tr w14:paraId="757FE82C">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B2EC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F39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6E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0C2D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308F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048F2B3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60F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D9E8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生产计划标识</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506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9F3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F87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同一型号下按时间拆分的生产计划</w:t>
            </w:r>
          </w:p>
        </w:tc>
      </w:tr>
      <w:tr w14:paraId="7944E406">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BCC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446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2B02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B90F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335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p>
        </w:tc>
      </w:tr>
      <w:tr w14:paraId="25D0E2CB">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92F7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98F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碳足迹变动量</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0AB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91D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DC69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基期，可正可负</w:t>
            </w:r>
          </w:p>
        </w:tc>
      </w:tr>
      <w:tr w14:paraId="3207E953">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90FA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DCE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归因贡献率</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C9C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095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A2E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各因素贡献量 / 总变动量 × 100%</w:t>
            </w:r>
          </w:p>
        </w:tc>
      </w:tr>
      <w:tr w14:paraId="5397C319">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A8E5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8FA0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红榜排名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5D4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CC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B9E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升序取前 5，第 1 名挂标杆徽标</w:t>
            </w:r>
          </w:p>
        </w:tc>
      </w:tr>
      <w:tr w14:paraId="403B3F21">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7BF5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D66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黑榜排名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CFF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16B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A709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升序取后 5，第 1 名挂警示徽标</w:t>
            </w:r>
          </w:p>
        </w:tc>
      </w:tr>
      <w:tr w14:paraId="7B68A82D">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FCF4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ED9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组织范围（scope）</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67D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7D9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3355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具体经营单位 / 全部经营单位（跨单位均值）</w:t>
            </w:r>
          </w:p>
        </w:tc>
      </w:tr>
    </w:tbl>
    <w:p w14:paraId="1D4E3FCE">
      <w:pPr>
        <w:spacing w:after="60"/>
        <w:rPr>
          <w:rFonts w:hint="eastAsia" w:ascii="宋体" w:hAnsi="宋体" w:eastAsia="宋体" w:cs="宋体"/>
          <w:i w:val="0"/>
          <w:iCs w:val="0"/>
          <w:sz w:val="24"/>
          <w:szCs w:val="24"/>
        </w:rPr>
      </w:pPr>
    </w:p>
    <w:p w14:paraId="6FA0F738">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6477CE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0973F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ΔCF = CF_t - CF_base                             碳足迹变动量</w:t>
            </w:r>
          </w:p>
          <w:p w14:paraId="713B61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Con_i = ΔCF_i / ΔCF × 100%                     各因素归因贡献率</w:t>
            </w:r>
          </w:p>
          <w:p w14:paraId="73BA16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CF_scope_all = Σ CF_unit,i / N                   跨单位均值</w:t>
            </w:r>
          </w:p>
          <w:p w14:paraId="548EFD1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Top_red = ORDER_BY( CF_unit ) ASC LIMIT 5         红榜（低碳标杆）</w:t>
            </w:r>
          </w:p>
          <w:p w14:paraId="0633836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Top_black = ORDER_BY( CF_unit ) DESC LIMIT 5      黑榜（改进对象）</w:t>
            </w:r>
          </w:p>
        </w:tc>
      </w:tr>
    </w:tbl>
    <w:p w14:paraId="2C6D282B">
      <w:pPr>
        <w:spacing w:after="40"/>
        <w:rPr>
          <w:rFonts w:hint="eastAsia" w:ascii="宋体" w:hAnsi="宋体" w:eastAsia="宋体" w:cs="宋体"/>
          <w:i w:val="0"/>
          <w:iCs w:val="0"/>
          <w:sz w:val="24"/>
          <w:szCs w:val="24"/>
        </w:rPr>
      </w:pPr>
    </w:p>
    <w:p w14:paraId="0FC4E39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ΔCF_i </w:t>
      </w:r>
      <w:r>
        <w:rPr>
          <w:rFonts w:ascii="Times New Roman" w:hAnsi="Times New Roman" w:eastAsia="宋体" w:cs="Times New Roman"/>
          <w:i w:val="0"/>
          <w:color w:val="1F2937"/>
          <w:sz w:val="24"/>
          <w:szCs w:val="24"/>
        </w:rPr>
        <w:t xml:space="preserve"> 为第 i 项减碳举措（原材料替代、绿电接入、工艺优化）带来的碳足迹变化量；归因贡献率之和应为 100%，偏差超 ±1% 提示归因不完整。</w:t>
      </w:r>
    </w:p>
    <w:p w14:paraId="2F766CF1">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B7004D8">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时间口径</w:t>
      </w:r>
      <w:r>
        <w:rPr>
          <w:rFonts w:ascii="Times New Roman" w:hAnsi="Times New Roman" w:eastAsia="宋体" w:cs="Times New Roman"/>
          <w:i w:val="0"/>
          <w:color w:val="1F2937"/>
          <w:sz w:val="24"/>
          <w:szCs w:val="24"/>
        </w:rPr>
        <w:t>：纵向追溯以生产批次时间轴为准，不以销售订单时间为准。</w:t>
      </w:r>
    </w:p>
    <w:p w14:paraId="66D51FF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均值口径</w:t>
      </w:r>
      <w:r>
        <w:rPr>
          <w:rFonts w:ascii="Times New Roman" w:hAnsi="Times New Roman" w:eastAsia="宋体" w:cs="Times New Roman"/>
          <w:i w:val="0"/>
          <w:color w:val="1F2937"/>
          <w:sz w:val="24"/>
          <w:szCs w:val="24"/>
        </w:rPr>
        <w:t>：scope 为"全部经营单位"时采用跨单位算术平均，非加权。</w:t>
      </w:r>
    </w:p>
    <w:p w14:paraId="408C0D49">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红黑榜口径</w:t>
      </w:r>
      <w:r>
        <w:rPr>
          <w:rFonts w:ascii="Times New Roman" w:hAnsi="Times New Roman" w:eastAsia="宋体" w:cs="Times New Roman"/>
          <w:i w:val="0"/>
          <w:color w:val="1F2937"/>
          <w:sz w:val="24"/>
          <w:szCs w:val="24"/>
        </w:rPr>
        <w:t>：红黑榜基于同类别内各型号升序排序，前 5 与后 5，型号数少于 10 时不重复上榜。</w:t>
      </w:r>
    </w:p>
    <w:p w14:paraId="183BA9D9">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归因口径</w:t>
      </w:r>
      <w:r>
        <w:rPr>
          <w:rFonts w:ascii="Times New Roman" w:hAnsi="Times New Roman" w:eastAsia="宋体" w:cs="Times New Roman"/>
          <w:i w:val="0"/>
          <w:color w:val="1F2937"/>
          <w:sz w:val="24"/>
          <w:szCs w:val="24"/>
        </w:rPr>
        <w:t>：归因须完整覆盖全部减碳举措，贡献率之和强制配平至 100%。</w:t>
      </w:r>
    </w:p>
    <w:p w14:paraId="6AB4D60A">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7FE8D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D62E3FF">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317C21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同型号历史批次少于 2 个：不绘制归因瀑布图，输出客观提示"历史批次不足，暂不支持归因"。</w:t>
            </w:r>
          </w:p>
          <w:p w14:paraId="06129C3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归属贡献率之和不等于 100%：标注"归因待补充"并列出未归因残差。</w:t>
            </w:r>
          </w:p>
          <w:p w14:paraId="437FBA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项目公司：置灰且不参与红黑榜。</w:t>
            </w:r>
          </w:p>
          <w:p w14:paraId="14FD721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BCA6FF7">
      <w:pPr>
        <w:spacing w:after="40"/>
        <w:rPr>
          <w:rFonts w:hint="eastAsia" w:ascii="宋体" w:hAnsi="宋体" w:eastAsia="宋体" w:cs="宋体"/>
          <w:i w:val="0"/>
          <w:iCs w:val="0"/>
          <w:sz w:val="24"/>
          <w:szCs w:val="24"/>
        </w:rPr>
      </w:pPr>
    </w:p>
    <w:p w14:paraId="394D55FC">
      <w:pPr>
        <w:pStyle w:val="6"/>
        <w:numPr>
          <w:ilvl w:val="0"/>
          <w:numId w:val="15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4D879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tc>
      </w:tr>
    </w:tbl>
    <w:p w14:paraId="188330CC">
      <w:pPr>
        <w:spacing w:after="40"/>
        <w:rPr>
          <w:rFonts w:hint="eastAsia" w:ascii="宋体" w:hAnsi="宋体" w:eastAsia="宋体" w:cs="宋体"/>
          <w:i w:val="0"/>
          <w:iCs w:val="0"/>
          <w:sz w:val="24"/>
          <w:szCs w:val="24"/>
        </w:rPr>
      </w:pPr>
    </w:p>
    <w:p w14:paraId="7E8EB1C9">
      <w:pPr>
        <w:pStyle w:val="4"/>
        <w:numPr>
          <w:ilvl w:val="0"/>
          <w:numId w:val="144"/>
        </w:numPr>
        <w:topLinePunct w:val="0"/>
        <w:ind w:left="0" w:leftChars="0" w:firstLine="0" w:firstLineChars="0"/>
        <w:outlineLvl w:val="0"/>
        <w:rPr>
          <w:rFonts w:hint="eastAsia" w:eastAsia="黑体"/>
          <w:b w:val="0"/>
          <w:bCs w:val="0"/>
          <w:sz w:val="30"/>
          <w:szCs w:val="32"/>
        </w:rPr>
      </w:pPr>
      <w:bookmarkStart w:id="46" w:name="_Toc31107"/>
      <w:r>
        <w:rPr>
          <w:rFonts w:ascii="Times New Roman" w:hAnsi="Times New Roman" w:eastAsia="黑体" w:cs="Times New Roman"/>
          <w:b w:val="0"/>
          <w:bCs w:val="0"/>
          <w:sz w:val="30"/>
          <w:szCs w:val="32"/>
        </w:rPr>
        <w:t>实景数据库与碳足迹核算</w:t>
      </w:r>
      <w:bookmarkEnd w:id="46"/>
    </w:p>
    <w:p w14:paraId="64D449FD">
      <w:pPr>
        <w:pStyle w:val="5"/>
        <w:numPr>
          <w:ilvl w:val="0"/>
          <w:numId w:val="161"/>
        </w:numPr>
        <w:ind w:left="0" w:leftChars="0" w:firstLine="0" w:firstLineChars="0"/>
        <w:outlineLvl w:val="1"/>
        <w:rPr>
          <w:rFonts w:eastAsia="黑体"/>
          <w:b w:val="0"/>
          <w:bCs w:val="0"/>
          <w:sz w:val="30"/>
          <w:szCs w:val="24"/>
        </w:rPr>
      </w:pPr>
      <w:bookmarkStart w:id="47" w:name="_Toc19441"/>
      <w:r>
        <w:rPr>
          <w:rFonts w:ascii="Times New Roman" w:hAnsi="Times New Roman" w:eastAsia="黑体" w:cs="Times New Roman"/>
          <w:b w:val="0"/>
          <w:bCs w:val="0"/>
          <w:sz w:val="30"/>
          <w:szCs w:val="24"/>
        </w:rPr>
        <w:t>实景数据库</w:t>
      </w:r>
      <w:bookmarkEnd w:id="47"/>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8"/>
                    <a:stretch>
                      <a:fillRect/>
                    </a:stretch>
                  </pic:blipFill>
                  <pic:spPr>
                    <a:xfrm>
                      <a:off x="0" y="0"/>
                      <a:ext cx="6210300" cy="3079115"/>
                    </a:xfrm>
                    <a:prstGeom prst="rect">
                      <a:avLst/>
                    </a:prstGeom>
                    <a:noFill/>
                    <a:ln>
                      <a:noFill/>
                    </a:ln>
                  </pic:spPr>
                </pic:pic>
              </a:graphicData>
            </a:graphic>
          </wp:inline>
        </w:drawing>
      </w:r>
    </w:p>
    <w:p w14:paraId="143BD801">
      <w:pPr>
        <w:pStyle w:val="6"/>
        <w:numPr>
          <w:ilvl w:val="0"/>
          <w:numId w:val="16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756D9C1">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：汇聚硅钢片、电解铜、变压器油、绝缘纸板、结构钢材等重点原材料本土实测碳排放因子图谱，每个物料节点均具备完整的供应链溯源链条、实测检测报告附件与第三方认证声明编号。</w:t>
      </w:r>
    </w:p>
    <w:p w14:paraId="7F86C474">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碳核算工程师（主维护）、P6 外部独立审计机构（只读核验）。</w:t>
      </w:r>
    </w:p>
    <w:p w14:paraId="5979702A">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/carbon-footprint/database/realscene </w:t>
      </w:r>
      <w:r>
        <w:rPr>
          <w:rFonts w:ascii="Times New Roman" w:hAnsi="Times New Roman" w:eastAsia="宋体" w:cs="Times New Roman"/>
          <w:i w:val="0"/>
          <w:color w:val="1F2937"/>
          <w:sz w:val="24"/>
          <w:szCs w:val="24"/>
        </w:rPr>
        <w:t>。</w:t>
      </w:r>
    </w:p>
    <w:p w14:paraId="486D6355">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：供应商检测报告、第三方认证声明、因子库匹配结果。</w:t>
      </w:r>
    </w:p>
    <w:p w14:paraId="21661C91">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核算引擎的物料因子输入、CBAM 隐含碳核算底数。</w:t>
      </w:r>
    </w:p>
    <w:p w14:paraId="79F084A6">
      <w:pPr>
        <w:pStyle w:val="6"/>
        <w:numPr>
          <w:ilvl w:val="0"/>
          <w:numId w:val="16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CF7EC">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6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FC5D3D4">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物料节点结构</w:t>
      </w:r>
      <w:r>
        <w:rPr>
          <w:rFonts w:ascii="Times New Roman" w:hAnsi="Times New Roman" w:eastAsia="宋体" w:cs="Times New Roman"/>
          <w:i w:val="0"/>
          <w:color w:val="1F2937"/>
          <w:sz w:val="24"/>
          <w:szCs w:val="24"/>
        </w:rPr>
        <w:t>：每节点包含物料编码、名称、规格、实测因子值、检测报告附件、第三方认证声明编号、供应链溯源链条（供应商 → 生产地 → 运输方式与距离）。</w:t>
      </w:r>
    </w:p>
    <w:p w14:paraId="46A15F9D">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检索与筛选</w:t>
      </w:r>
      <w:r>
        <w:rPr>
          <w:rFonts w:ascii="Times New Roman" w:hAnsi="Times New Roman" w:eastAsia="宋体" w:cs="Times New Roman"/>
          <w:i w:val="0"/>
          <w:color w:val="1F2937"/>
          <w:sz w:val="24"/>
          <w:szCs w:val="24"/>
        </w:rPr>
        <w:t>：支持按物料大类（金属 / 绝缘材料 / 化工辅料 / 包装材料）、因子来源（实测 / Ecoinvent / CLCD）、有效期状态筛选。</w:t>
      </w:r>
    </w:p>
    <w:p w14:paraId="3D7570E4">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溯源链条可视化</w:t>
      </w:r>
      <w:r>
        <w:rPr>
          <w:rFonts w:ascii="Times New Roman" w:hAnsi="Times New Roman" w:eastAsia="宋体" w:cs="Times New Roman"/>
          <w:i w:val="0"/>
          <w:color w:val="1F2937"/>
          <w:sz w:val="24"/>
          <w:szCs w:val="24"/>
        </w:rPr>
        <w:t>：以链路图呈现从供应商到工厂的完整溯源路径，节点可点击查看佐证文件。</w:t>
      </w:r>
    </w:p>
    <w:p w14:paraId="53C70B14">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因子匹配优先级展示</w:t>
      </w:r>
      <w:r>
        <w:rPr>
          <w:rFonts w:ascii="Times New Roman" w:hAnsi="Times New Roman" w:eastAsia="宋体" w:cs="Times New Roman"/>
          <w:i w:val="0"/>
          <w:color w:val="1F2937"/>
          <w:sz w:val="24"/>
          <w:szCs w:val="24"/>
        </w:rPr>
        <w:t>：对每个物料展示当前匹配到的因子来源与匹配层级，便于核对兜底逻辑。</w:t>
      </w:r>
    </w:p>
    <w:p w14:paraId="79DD000F">
      <w:pPr>
        <w:pStyle w:val="6"/>
        <w:numPr>
          <w:ilvl w:val="0"/>
          <w:numId w:val="16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900"/>
        <w:gridCol w:w="1444"/>
        <w:gridCol w:w="1271"/>
        <w:gridCol w:w="4282"/>
      </w:tblGrid>
      <w:tr w14:paraId="0AFD7A9F">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88EA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DAFF3B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6897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203B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7B07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497F0A6">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4852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CF87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物料唯一编码</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3B54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707A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432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唯一主键，与 ERP 主数据一致</w:t>
            </w:r>
          </w:p>
        </w:tc>
      </w:tr>
      <w:tr w14:paraId="1DE823E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A9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74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B10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B56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12C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381DD7B0">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58E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12B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物料大类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728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6EA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9662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金属/绝缘材料/化工辅料/包装材料</w:t>
            </w:r>
          </w:p>
        </w:tc>
      </w:tr>
      <w:tr w14:paraId="250B0A91">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C68E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A44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实测碳因子</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C94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783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kgCO2e/kg</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ECA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0.0000，缺失时使用兜底因子并标注</w:t>
            </w:r>
          </w:p>
        </w:tc>
      </w:tr>
      <w:tr w14:paraId="55D28A0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18B2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F077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因子来源</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7A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B1E5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09BF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 / Ecoinvent 3.8 / CLCD 0.2 / 国家发改委折标</w:t>
            </w:r>
          </w:p>
        </w:tc>
      </w:tr>
      <w:tr w14:paraId="6AA1C4F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8EA2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A53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检测报告附件</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B24F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78B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16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本土实测因子强制上传，缺失即不可发布</w:t>
            </w:r>
          </w:p>
        </w:tc>
      </w:tr>
      <w:tr w14:paraId="2DFC3299">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6F78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B80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第三方认证声明编号</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B4D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237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1D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非空（本土实测因子）</w:t>
            </w:r>
          </w:p>
        </w:tc>
      </w:tr>
      <w:tr w14:paraId="4CC31048">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F43A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746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供应链溯源链条</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141C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BFE1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F9D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至少含一级供应商与生产地</w:t>
            </w:r>
          </w:p>
        </w:tc>
      </w:tr>
      <w:tr w14:paraId="02F3503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47A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EC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运输方式与距离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E6E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 / 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F05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km</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5278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运输距离 ≥ 0</w:t>
            </w:r>
          </w:p>
        </w:tc>
      </w:tr>
      <w:tr w14:paraId="109020B4">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5F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7C8A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因子有效期</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EE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DC7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4C9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生效期外拦截选用（E_VAL_FACTOR_EXPIRED）</w:t>
            </w:r>
          </w:p>
        </w:tc>
      </w:tr>
      <w:tr w14:paraId="2A72416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DDC9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C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数据分级</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992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AAB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034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INTERNAL / SENSITIVE</w:t>
            </w:r>
          </w:p>
        </w:tc>
      </w:tr>
      <w:tr w14:paraId="6AE735AD">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2B77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2A43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生命周期状态</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6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8F1F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D94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历史废止</w:t>
            </w:r>
          </w:p>
        </w:tc>
      </w:tr>
    </w:tbl>
    <w:p w14:paraId="6361C421">
      <w:pPr>
        <w:spacing w:after="60"/>
        <w:rPr>
          <w:rFonts w:hint="eastAsia" w:ascii="宋体" w:hAnsi="宋体" w:eastAsia="宋体" w:cs="宋体"/>
          <w:i w:val="0"/>
          <w:iCs w:val="0"/>
          <w:sz w:val="24"/>
          <w:szCs w:val="24"/>
        </w:rPr>
      </w:pPr>
    </w:p>
    <w:p w14:paraId="08468AAF">
      <w:pPr>
        <w:pStyle w:val="6"/>
        <w:numPr>
          <w:ilvl w:val="0"/>
          <w:numId w:val="16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0387F25">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2890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p>
          <w:p w14:paraId="27DFBE1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 = PRIORITY( Ecoinvent_exact, CLCD_approx, NDRC_fallback )</w:t>
            </w:r>
          </w:p>
          <w:p w14:paraId="7AA265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Q_mat_actual = Q_bom × ( 1 + R_loss )           实际物料需求量（含工艺损耗）</w:t>
            </w:r>
          </w:p>
          <w:p w14:paraId="0EB19D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Q_mat_actual × EF_mat )            原材料阶段碳排</w:t>
            </w:r>
          </w:p>
          <w:p w14:paraId="64BAACA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EF_match_level = LEVEL( EF_match )                  因子匹配层级（1=精确，3=兜底）</w:t>
            </w:r>
          </w:p>
        </w:tc>
      </w:tr>
    </w:tbl>
    <w:p w14:paraId="0ED84183">
      <w:pPr>
        <w:spacing w:after="40"/>
        <w:rPr>
          <w:rFonts w:hint="eastAsia" w:ascii="宋体" w:hAnsi="宋体" w:eastAsia="宋体" w:cs="宋体"/>
          <w:i w:val="0"/>
          <w:iCs w:val="0"/>
          <w:sz w:val="24"/>
          <w:szCs w:val="24"/>
        </w:rPr>
      </w:pPr>
    </w:p>
    <w:p w14:paraId="16B4161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EF_match </w:t>
      </w:r>
      <w:r>
        <w:rPr>
          <w:rFonts w:ascii="Times New Roman" w:hAnsi="Times New Roman" w:eastAsia="宋体" w:cs="Times New Roman"/>
          <w:i w:val="0"/>
          <w:color w:val="1F2937"/>
          <w:sz w:val="24"/>
          <w:szCs w:val="24"/>
        </w:rPr>
        <w:t xml:space="preserve"> 遵循精确物料优先、本土近似次之、国家折标兜底的匹配优先级；匹配层级 1 为精确匹配，2 为本土近似，3 为兜底匹配，层级 3 时页面须标注"兜底因子"。</w:t>
      </w:r>
    </w:p>
    <w:p w14:paraId="5E943D67">
      <w:pPr>
        <w:pStyle w:val="6"/>
        <w:numPr>
          <w:ilvl w:val="0"/>
          <w:numId w:val="16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0BD4C62">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分级口径</w:t>
      </w:r>
      <w:r>
        <w:rPr>
          <w:rFonts w:ascii="Times New Roman" w:hAnsi="Times New Roman" w:eastAsia="宋体" w:cs="Times New Roman"/>
          <w:i w:val="0"/>
          <w:color w:val="1F2937"/>
          <w:sz w:val="24"/>
          <w:szCs w:val="24"/>
        </w:rPr>
        <w:t>：原辅料因子标为 INTERNAL，Ecoinvent 跨境因子标为 SENSITIVE（含供应商来源）。</w:t>
      </w:r>
    </w:p>
    <w:p w14:paraId="4DEA949C">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匹配口径</w:t>
      </w:r>
      <w:r>
        <w:rPr>
          <w:rFonts w:ascii="Times New Roman" w:hAnsi="Times New Roman" w:eastAsia="宋体" w:cs="Times New Roman"/>
          <w:i w:val="0"/>
          <w:color w:val="1F2937"/>
          <w:sz w:val="24"/>
          <w:szCs w:val="24"/>
        </w:rPr>
        <w:t>：匹配优先级固定为 Ecoinvent v3.8（精确物料）→ CLCD 0.2（本土近似）→ 国家发改委折标（兜底）。</w:t>
      </w:r>
    </w:p>
    <w:p w14:paraId="5B03B650">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证据口径</w:t>
      </w:r>
      <w:r>
        <w:rPr>
          <w:rFonts w:ascii="Times New Roman" w:hAnsi="Times New Roman" w:eastAsia="宋体" w:cs="Times New Roman"/>
          <w:i w:val="0"/>
          <w:color w:val="1F2937"/>
          <w:sz w:val="24"/>
          <w:szCs w:val="24"/>
        </w:rPr>
        <w:t>：本土实测因子必须附检测报告与第三方认证声明编号，二者缺一不可发布。</w:t>
      </w:r>
    </w:p>
    <w:p w14:paraId="3F2CF92B">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：因子条目含 version_id、effective_from、effective_to，生效期外拦截选用。</w:t>
      </w:r>
    </w:p>
    <w:p w14:paraId="70DAEA95">
      <w:pPr>
        <w:pStyle w:val="6"/>
        <w:numPr>
          <w:ilvl w:val="0"/>
          <w:numId w:val="16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8161E36">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tc>
      </w:tr>
    </w:tbl>
    <w:p w14:paraId="325D296C">
      <w:pPr>
        <w:spacing w:after="40"/>
        <w:rPr>
          <w:rFonts w:hint="eastAsia" w:ascii="宋体" w:hAnsi="宋体" w:eastAsia="宋体" w:cs="宋体"/>
          <w:i w:val="0"/>
          <w:iCs w:val="0"/>
          <w:sz w:val="24"/>
          <w:szCs w:val="24"/>
        </w:rPr>
      </w:pPr>
    </w:p>
    <w:p w14:paraId="2D310810">
      <w:pPr>
        <w:pStyle w:val="6"/>
        <w:numPr>
          <w:ilvl w:val="0"/>
          <w:numId w:val="16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70A5CE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tc>
      </w:tr>
    </w:tbl>
    <w:p w14:paraId="28885A2A">
      <w:pPr>
        <w:spacing w:after="40"/>
        <w:rPr>
          <w:rFonts w:hint="eastAsia" w:ascii="宋体" w:hAnsi="宋体" w:eastAsia="宋体" w:cs="宋体"/>
          <w:i w:val="0"/>
          <w:iCs w:val="0"/>
          <w:sz w:val="24"/>
          <w:szCs w:val="24"/>
        </w:rPr>
      </w:pPr>
    </w:p>
    <w:p w14:paraId="3BCFD703">
      <w:pPr>
        <w:pStyle w:val="5"/>
        <w:numPr>
          <w:ilvl w:val="0"/>
          <w:numId w:val="161"/>
        </w:numPr>
        <w:ind w:left="0" w:leftChars="0" w:firstLine="0" w:firstLineChars="0"/>
        <w:outlineLvl w:val="1"/>
        <w:rPr>
          <w:rFonts w:eastAsia="黑体"/>
          <w:b w:val="0"/>
          <w:bCs w:val="0"/>
          <w:sz w:val="30"/>
          <w:szCs w:val="24"/>
        </w:rPr>
      </w:pPr>
      <w:bookmarkStart w:id="48" w:name="_Toc21717"/>
      <w:r>
        <w:rPr>
          <w:rFonts w:ascii="Times New Roman" w:hAnsi="Times New Roman" w:eastAsia="黑体" w:cs="Times New Roman"/>
          <w:b w:val="0"/>
          <w:bCs w:val="0"/>
          <w:sz w:val="30"/>
          <w:szCs w:val="24"/>
        </w:rPr>
        <w:t>碳足迹核算</w:t>
      </w:r>
      <w:bookmarkEnd w:id="48"/>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9"/>
                    <a:stretch>
                      <a:fillRect/>
                    </a:stretch>
                  </pic:blipFill>
                  <pic:spPr>
                    <a:xfrm>
                      <a:off x="0" y="0"/>
                      <a:ext cx="6210300" cy="3079115"/>
                    </a:xfrm>
                    <a:prstGeom prst="rect">
                      <a:avLst/>
                    </a:prstGeom>
                    <a:noFill/>
                    <a:ln>
                      <a:noFill/>
                    </a:ln>
                  </pic:spPr>
                </pic:pic>
              </a:graphicData>
            </a:graphic>
          </wp:inline>
        </w:drawing>
      </w:r>
    </w:p>
    <w:p w14:paraId="7C75CDAA">
      <w:pPr>
        <w:pStyle w:val="6"/>
        <w:numPr>
          <w:ilvl w:val="0"/>
          <w:numId w:val="16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41B5BDC">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5BEA47B">
      <w:pPr>
        <w:pStyle w:val="6"/>
        <w:numPr>
          <w:ilvl w:val="0"/>
          <w:numId w:val="16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7A0962">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6B5D367">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一键展开 BOM 并完成 ISO 14067 五阶段滚算，系统自动校验加总一致性与因子有效期</w:t>
      </w:r>
      <w:r>
        <w:rPr>
          <w:rFonts w:ascii="Times New Roman" w:hAnsi="Times New Roman" w:eastAsia="宋体" w:cs="Times New Roman"/>
          <w:i w:val="0"/>
          <w:color w:val="1F2937"/>
          <w:sz w:val="24"/>
          <w:szCs w:val="24"/>
        </w:rPr>
        <w:t>，</w:t>
      </w:r>
    </w:p>
    <w:p w14:paraId="5CC6406C">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我能快速产出经得起第三方审计与欧盟审查的碳足迹报告</w:t>
      </w:r>
      <w:r>
        <w:rPr>
          <w:rFonts w:ascii="Times New Roman" w:hAnsi="Times New Roman" w:eastAsia="宋体" w:cs="Times New Roman"/>
          <w:i w:val="0"/>
          <w:color w:val="1F2937"/>
          <w:sz w:val="24"/>
          <w:szCs w:val="24"/>
        </w:rPr>
        <w:t>。</w:t>
      </w:r>
    </w:p>
    <w:p w14:paraId="1DEF708B">
      <w:pPr>
        <w:pStyle w:val="6"/>
        <w:numPr>
          <w:ilvl w:val="0"/>
          <w:numId w:val="16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70"/>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2F8D3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A2F3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EBED8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580CA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9DCF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874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BE32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666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E6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F4DD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6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2040"/>
        <w:gridCol w:w="1363"/>
        <w:gridCol w:w="1363"/>
        <w:gridCol w:w="4137"/>
      </w:tblGrid>
      <w:tr w14:paraId="7ECF8F0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5EC9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5F4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28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506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4591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042193B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EB90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750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产品唯一物料号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875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F75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738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主物料编号，唯一主键</w:t>
            </w:r>
          </w:p>
        </w:tc>
      </w:tr>
      <w:tr w14:paraId="7F8907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7A74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65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清单版本号</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0F8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F6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9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工程技术部生效版本，如 REV-C</w:t>
            </w:r>
          </w:p>
        </w:tc>
      </w:tr>
      <w:tr w14:paraId="5F54337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B88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31BE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132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74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05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4F87E7F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A98E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A78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550B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344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Σ(物料重量 × 实测因子)</w:t>
            </w:r>
            <w:r>
              <w:rPr>
                <w:rFonts w:hint="eastAsia" w:ascii="宋体" w:hAnsi="宋体" w:eastAsia="宋体" w:cs="宋体"/>
                <w:i w:val="0"/>
                <w:iCs w:val="0"/>
                <w:color w:val="1F2937"/>
                <w:sz w:val="24"/>
                <w:szCs w:val="24"/>
              </w:rPr>
              <w:t>，占比通常超 70%</w:t>
            </w:r>
          </w:p>
        </w:tc>
      </w:tr>
      <w:tr w14:paraId="7962C27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55EAA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8CE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上游运输阶段碳排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F88A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44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BB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Σ(吨公里 × 运输工具排放因子)</w:t>
            </w:r>
          </w:p>
        </w:tc>
      </w:tr>
      <w:tr w14:paraId="62D6F8E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E0F8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E13E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生产加工阶段碳排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F2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5F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DD3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制造工序电/汽/气消耗公摊碳排</w:t>
            </w:r>
          </w:p>
        </w:tc>
      </w:tr>
      <w:tr w14:paraId="49E3790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239D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C8E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试验检测阶段碳排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ABB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4C8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B95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出厂耐压/温升试验用电碳排</w:t>
            </w:r>
          </w:p>
        </w:tc>
      </w:tr>
      <w:tr w14:paraId="4AAAE31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7B6F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C73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包装出厂阶段碳排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E8D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440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88E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包装箱木材/缠绕膜碳排</w:t>
            </w:r>
          </w:p>
        </w:tc>
      </w:tr>
      <w:tr w14:paraId="6D2E49A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69B7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56D7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总碳足迹数值</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9897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9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AB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大阶段排放量严密累加和</w:t>
            </w:r>
          </w:p>
        </w:tc>
      </w:tr>
      <w:tr w14:paraId="50F9F9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5734C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318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核算审批状态</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35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9F0F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D84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草稿/已提交/认证中/已签发/已归档</w:t>
            </w:r>
          </w:p>
        </w:tc>
      </w:tr>
      <w:tr w14:paraId="111F4A0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80A7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CB3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审计哈希链尾节点</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1E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530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B0DC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尾节点 prev 须指向上一节点哈希</w:t>
            </w:r>
          </w:p>
        </w:tc>
      </w:tr>
      <w:tr w14:paraId="5768878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8370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ED2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工艺损耗率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F71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3EEE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E013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R_loss &lt; 100%</w:t>
            </w:r>
          </w:p>
        </w:tc>
      </w:tr>
    </w:tbl>
    <w:p w14:paraId="4EFEF9B5">
      <w:pPr>
        <w:spacing w:after="60"/>
        <w:rPr>
          <w:rFonts w:hint="eastAsia" w:ascii="宋体" w:hAnsi="宋体" w:eastAsia="宋体" w:cs="宋体"/>
          <w:i w:val="0"/>
          <w:iCs w:val="0"/>
          <w:sz w:val="24"/>
          <w:szCs w:val="24"/>
        </w:rPr>
      </w:pPr>
    </w:p>
    <w:p w14:paraId="212C9E6D">
      <w:pPr>
        <w:pStyle w:val="6"/>
        <w:numPr>
          <w:ilvl w:val="0"/>
          <w:numId w:val="16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49408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76FDE32E">
      <w:pPr>
        <w:pStyle w:val="6"/>
        <w:numPr>
          <w:ilvl w:val="0"/>
          <w:numId w:val="16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0E46A8E">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：严格 Cradle-to-Gate 五阶段，阶段定义不可增减。</w:t>
      </w:r>
    </w:p>
    <w:p w14:paraId="71F01ABA">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分配口径</w:t>
      </w:r>
      <w:r>
        <w:rPr>
          <w:rFonts w:ascii="Times New Roman" w:hAnsi="Times New Roman" w:eastAsia="宋体" w:cs="Times New Roman"/>
          <w:i w:val="0"/>
          <w:color w:val="1F2937"/>
          <w:sz w:val="24"/>
          <w:szCs w:val="24"/>
        </w:rPr>
        <w:t>：公共工序（真空干燥、退火炉）水电气能耗按工时或产量权重分摊，分配方法须在报告中声明。</w:t>
      </w:r>
    </w:p>
    <w:p w14:paraId="72785A71">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容差口径</w:t>
      </w:r>
      <w:r>
        <w:rPr>
          <w:rFonts w:ascii="Times New Roman" w:hAnsi="Times New Roman" w:eastAsia="宋体" w:cs="Times New Roman"/>
          <w:i w:val="0"/>
          <w:color w:val="1F2937"/>
          <w:sz w:val="24"/>
          <w:szCs w:val="24"/>
        </w:rPr>
        <w:t>：总碳足迹与五阶段加总的容差上限 0.01 kgCO2e，超差即阻断证书签发。</w:t>
      </w:r>
    </w:p>
    <w:p w14:paraId="4681D8F2">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：认证中状态不可编辑；发布须 P4 + PM 联合签字。</w:t>
      </w:r>
    </w:p>
    <w:p w14:paraId="40F05193">
      <w:pPr>
        <w:pStyle w:val="6"/>
        <w:numPr>
          <w:ilvl w:val="0"/>
          <w:numId w:val="16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C8D236">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6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FFB9C3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tc>
      </w:tr>
    </w:tbl>
    <w:p w14:paraId="0C3B6364">
      <w:pPr>
        <w:spacing w:after="40"/>
        <w:rPr>
          <w:rFonts w:hint="eastAsia" w:ascii="宋体" w:hAnsi="宋体" w:eastAsia="宋体" w:cs="宋体"/>
          <w:i w:val="0"/>
          <w:iCs w:val="0"/>
          <w:sz w:val="24"/>
          <w:szCs w:val="24"/>
        </w:rPr>
      </w:pPr>
    </w:p>
    <w:p w14:paraId="66341356">
      <w:pPr>
        <w:pStyle w:val="5"/>
        <w:numPr>
          <w:ilvl w:val="0"/>
          <w:numId w:val="161"/>
        </w:numPr>
        <w:ind w:left="0" w:leftChars="0" w:firstLine="0" w:firstLineChars="0"/>
        <w:outlineLvl w:val="1"/>
        <w:rPr>
          <w:rFonts w:eastAsia="黑体"/>
          <w:b w:val="0"/>
          <w:bCs w:val="0"/>
          <w:sz w:val="30"/>
          <w:szCs w:val="24"/>
        </w:rPr>
      </w:pPr>
      <w:bookmarkStart w:id="49" w:name="_Toc22414"/>
      <w:r>
        <w:rPr>
          <w:rFonts w:ascii="Times New Roman" w:hAnsi="Times New Roman" w:eastAsia="黑体" w:cs="Times New Roman"/>
          <w:b w:val="0"/>
          <w:bCs w:val="0"/>
          <w:sz w:val="30"/>
          <w:szCs w:val="24"/>
        </w:rPr>
        <w:t>碳足迹报告</w:t>
      </w:r>
      <w:bookmarkEnd w:id="49"/>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40"/>
                    <a:stretch>
                      <a:fillRect/>
                    </a:stretch>
                  </pic:blipFill>
                  <pic:spPr>
                    <a:xfrm>
                      <a:off x="0" y="0"/>
                      <a:ext cx="6210300" cy="3079115"/>
                    </a:xfrm>
                    <a:prstGeom prst="rect">
                      <a:avLst/>
                    </a:prstGeom>
                    <a:noFill/>
                    <a:ln>
                      <a:noFill/>
                    </a:ln>
                  </pic:spPr>
                </pic:pic>
              </a:graphicData>
            </a:graphic>
          </wp:inline>
        </w:drawing>
      </w:r>
    </w:p>
    <w:p w14:paraId="5660250F">
      <w:pPr>
        <w:pStyle w:val="6"/>
        <w:numPr>
          <w:ilvl w:val="0"/>
          <w:numId w:val="17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970951">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E8AC537">
      <w:pPr>
        <w:pStyle w:val="6"/>
        <w:numPr>
          <w:ilvl w:val="0"/>
          <w:numId w:val="17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EC7AAF">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3201B7D7">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一键导出中英双语 ISO 14067 报告并生成可扫码验真的数字碳标签二维码</w:t>
      </w:r>
      <w:r>
        <w:rPr>
          <w:rFonts w:ascii="Times New Roman" w:hAnsi="Times New Roman" w:eastAsia="宋体" w:cs="Times New Roman"/>
          <w:i w:val="0"/>
          <w:color w:val="1F2937"/>
          <w:sz w:val="24"/>
          <w:szCs w:val="24"/>
        </w:rPr>
        <w:t>，</w:t>
      </w:r>
    </w:p>
    <w:p w14:paraId="4B7939FF">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产品出口时能即时提供具备防伪能力的碳足迹证明</w:t>
      </w:r>
      <w:r>
        <w:rPr>
          <w:rFonts w:ascii="Times New Roman" w:hAnsi="Times New Roman" w:eastAsia="宋体" w:cs="Times New Roman"/>
          <w:i w:val="0"/>
          <w:color w:val="1F2937"/>
          <w:sz w:val="24"/>
          <w:szCs w:val="24"/>
        </w:rPr>
        <w:t>。</w:t>
      </w:r>
    </w:p>
    <w:p w14:paraId="3995A684">
      <w:pPr>
        <w:pStyle w:val="6"/>
        <w:numPr>
          <w:ilvl w:val="0"/>
          <w:numId w:val="17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72CDD41">
      <w:pPr>
        <w:pStyle w:val="19"/>
        <w:widowControl/>
        <w:numPr>
          <w:ilvl w:val="0"/>
          <w:numId w:val="175"/>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双语报告导出</w:t>
      </w:r>
      <w:r>
        <w:rPr>
          <w:rFonts w:ascii="Times New Roman" w:hAnsi="Times New Roman" w:eastAsia="宋体" w:cs="Times New Roman"/>
          <w:i w:val="0"/>
          <w:color w:val="1F2937"/>
          <w:sz w:val="24"/>
          <w:szCs w:val="24"/>
        </w:rPr>
        <w:t>：一键导出符合 ISO 14067:2018 规范的双语（中、英文）官方碳足迹核算报告。</w:t>
      </w:r>
    </w:p>
    <w:p w14:paraId="23A3C143">
      <w:pPr>
        <w:pStyle w:val="19"/>
        <w:widowControl/>
        <w:numPr>
          <w:ilvl w:val="0"/>
          <w:numId w:val="175"/>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数字碳标签</w:t>
      </w:r>
      <w:r>
        <w:rPr>
          <w:rFonts w:ascii="Times New Roman" w:hAnsi="Times New Roman" w:eastAsia="宋体" w:cs="Times New Roman"/>
          <w:i w:val="0"/>
          <w:color w:val="1F2937"/>
          <w:sz w:val="24"/>
          <w:szCs w:val="24"/>
        </w:rPr>
        <w:t>：生成包含产品唯一 EPC 编码与防伪签名哈希的二维码标签，支持手机扫码穿透查验原材料来源与第三方证书。</w:t>
      </w:r>
    </w:p>
    <w:p w14:paraId="7BE89D43">
      <w:pPr>
        <w:pStyle w:val="19"/>
        <w:widowControl/>
        <w:numPr>
          <w:ilvl w:val="0"/>
          <w:numId w:val="175"/>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报告水印</w:t>
      </w:r>
      <w:r>
        <w:rPr>
          <w:rFonts w:ascii="Times New Roman" w:hAnsi="Times New Roman" w:eastAsia="宋体" w:cs="Times New Roman"/>
          <w:i w:val="0"/>
          <w:color w:val="1F2937"/>
          <w:sz w:val="24"/>
          <w:szCs w:val="24"/>
        </w:rPr>
        <w:t>：导出 PDF 强制注入操作员工号与时间戳水印。</w:t>
      </w:r>
    </w:p>
    <w:p w14:paraId="6138962F">
      <w:pPr>
        <w:pStyle w:val="19"/>
        <w:widowControl/>
        <w:numPr>
          <w:ilvl w:val="0"/>
          <w:numId w:val="175"/>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标签批量生成</w:t>
      </w:r>
      <w:r>
        <w:rPr>
          <w:rFonts w:ascii="Times New Roman" w:hAnsi="Times New Roman" w:eastAsia="宋体" w:cs="Times New Roman"/>
          <w:i w:val="0"/>
          <w:color w:val="1F2937"/>
          <w:sz w:val="24"/>
          <w:szCs w:val="24"/>
        </w:rPr>
        <w:t>：支持按生产批次批量生成二维码标签并导出为可打印文件。</w:t>
      </w:r>
    </w:p>
    <w:p w14:paraId="36F02BED">
      <w:pPr>
        <w:pStyle w:val="19"/>
        <w:widowControl/>
        <w:numPr>
          <w:ilvl w:val="0"/>
          <w:numId w:val="175"/>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验真弹窗</w:t>
      </w:r>
      <w:r>
        <w:rPr>
          <w:rFonts w:ascii="Times New Roman" w:hAnsi="Times New Roman" w:eastAsia="宋体" w:cs="Times New Roman"/>
          <w:i w:val="0"/>
          <w:color w:val="1F2937"/>
          <w:sz w:val="24"/>
          <w:szCs w:val="24"/>
        </w:rPr>
        <w:t>：扫码后弹窗呈现 EPC 编码、防伪签名哈希、溯源链摘要与认证证书有效期。</w:t>
      </w:r>
    </w:p>
    <w:p w14:paraId="051A82C1">
      <w:pPr>
        <w:pStyle w:val="6"/>
        <w:numPr>
          <w:ilvl w:val="0"/>
          <w:numId w:val="17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8"/>
        <w:gridCol w:w="1946"/>
        <w:gridCol w:w="1279"/>
        <w:gridCol w:w="1529"/>
        <w:gridCol w:w="4312"/>
      </w:tblGrid>
      <w:tr w14:paraId="390B95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B236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E5AA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EC8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B493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13B4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5763B5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825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DD1C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报告编号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4DC6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9F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C5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CF-RPT-&lt;年&gt;-&lt;序号&gt; </w:t>
            </w:r>
          </w:p>
        </w:tc>
      </w:tr>
      <w:tr w14:paraId="223BFDE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58AF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05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报告语言版本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046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5E4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119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中文 / 英文 / 双语</w:t>
            </w:r>
          </w:p>
        </w:tc>
      </w:tr>
      <w:tr w14:paraId="5FFD6F5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CF6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FC5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核算标准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E55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C22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990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4C1D99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0840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243F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2F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C64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74C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全球唯一，非空</w:t>
            </w:r>
          </w:p>
        </w:tc>
      </w:tr>
      <w:tr w14:paraId="482BC83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F4CF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D33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防伪签名哈希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5B6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B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ADF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认证机构私钥签名</w:t>
            </w:r>
          </w:p>
        </w:tc>
      </w:tr>
      <w:tr w14:paraId="20850B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E068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00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二维码图像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7F7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Binary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D92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1C0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分辨率 ≥ 300dpi，支持矢量导出</w:t>
            </w:r>
          </w:p>
        </w:tc>
      </w:tr>
      <w:tr w14:paraId="2F56F9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F99F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DF8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2A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67F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93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2179AD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68D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E246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6FC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25F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48B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到期后标签自动标注"已过期"</w:t>
            </w:r>
          </w:p>
        </w:tc>
      </w:tr>
      <w:tr w14:paraId="78B3E50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0B3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36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导出水印信息</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E4A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F9C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198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操作员工号 + 时间戳，强制注入</w:t>
            </w:r>
          </w:p>
        </w:tc>
      </w:tr>
      <w:tr w14:paraId="48B266BB">
        <w:tblPrEx>
          <w:tblCellMar>
            <w:top w:w="0" w:type="dxa"/>
            <w:left w:w="108" w:type="dxa"/>
            <w:bottom w:w="0" w:type="dxa"/>
            <w:right w:w="108" w:type="dxa"/>
          </w:tblCellMar>
        </w:tblPrEx>
        <w:trPr>
          <w:jc w:val="center"/>
        </w:trPr>
        <w:tc>
          <w:tcPr>
            <w:tcW w:w="7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BB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7F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报告哈希存证</w:t>
            </w:r>
          </w:p>
        </w:tc>
        <w:tc>
          <w:tcPr>
            <w:tcW w:w="12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641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ADC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46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与报告内容绑定，供完整性校验</w:t>
            </w:r>
          </w:p>
        </w:tc>
      </w:tr>
    </w:tbl>
    <w:p w14:paraId="3D43A91A">
      <w:pPr>
        <w:spacing w:after="60"/>
        <w:rPr>
          <w:rFonts w:hint="eastAsia" w:ascii="宋体" w:hAnsi="宋体" w:eastAsia="宋体" w:cs="宋体"/>
          <w:i w:val="0"/>
          <w:iCs w:val="0"/>
          <w:sz w:val="24"/>
          <w:szCs w:val="24"/>
        </w:rPr>
      </w:pPr>
    </w:p>
    <w:p w14:paraId="617FF1E0">
      <w:pPr>
        <w:pStyle w:val="6"/>
        <w:numPr>
          <w:ilvl w:val="0"/>
          <w:numId w:val="17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E7302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29A347E6">
      <w:pPr>
        <w:pStyle w:val="6"/>
        <w:numPr>
          <w:ilvl w:val="0"/>
          <w:numId w:val="17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2942165">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报告口径</w:t>
      </w:r>
      <w:r>
        <w:rPr>
          <w:rFonts w:ascii="Times New Roman" w:hAnsi="Times New Roman" w:eastAsia="宋体" w:cs="Times New Roman"/>
          <w:i w:val="0"/>
          <w:color w:val="1F2937"/>
          <w:sz w:val="24"/>
          <w:szCs w:val="24"/>
        </w:rPr>
        <w:t>：仅状态为"已认证/已发布"的报告可导出，草稿与送审态禁止导出。</w:t>
      </w:r>
    </w:p>
    <w:p w14:paraId="3CF8188D">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5942603E">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标签口径</w:t>
      </w:r>
      <w:r>
        <w:rPr>
          <w:rFonts w:ascii="Times New Roman" w:hAnsi="Times New Roman" w:eastAsia="宋体" w:cs="Times New Roman"/>
          <w:i w:val="0"/>
          <w:color w:val="1F2937"/>
          <w:sz w:val="24"/>
          <w:szCs w:val="24"/>
        </w:rPr>
        <w:t>：证书过期后标签自动标记"已过期"并暂停对应产品碳标签发布。</w:t>
      </w:r>
    </w:p>
    <w:p w14:paraId="449E8174">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存证口径</w:t>
      </w:r>
      <w:r>
        <w:rPr>
          <w:rFonts w:ascii="Times New Roman" w:hAnsi="Times New Roman" w:eastAsia="宋体" w:cs="Times New Roman"/>
          <w:i w:val="0"/>
          <w:color w:val="1F2937"/>
          <w:sz w:val="24"/>
          <w:szCs w:val="24"/>
        </w:rPr>
        <w:t>：导出报告须包含报告哈希，支持事后完整性校验。</w:t>
      </w:r>
    </w:p>
    <w:p w14:paraId="2402F5E8">
      <w:pPr>
        <w:pStyle w:val="6"/>
        <w:numPr>
          <w:ilvl w:val="0"/>
          <w:numId w:val="17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09CDC4D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8DD0D10">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19E3AD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草稿或送审态报告：导出按钮置灰。</w:t>
            </w:r>
          </w:p>
          <w:p w14:paraId="778921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，强制阻断导出并标记数据篡改。</w:t>
            </w:r>
          </w:p>
          <w:p w14:paraId="3AFE3E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证书已过期：标签生成按钮置灰，提示需先完成证书续期（到期前 90/30/7 天分级预警）。</w:t>
            </w:r>
          </w:p>
          <w:p w14:paraId="470E1B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二维码签名密钥不可用：标签生成失败并告警，不输出无签名标签。</w:t>
            </w:r>
          </w:p>
        </w:tc>
      </w:tr>
    </w:tbl>
    <w:p w14:paraId="100ECC46">
      <w:pPr>
        <w:spacing w:after="40"/>
        <w:rPr>
          <w:rFonts w:hint="eastAsia" w:ascii="宋体" w:hAnsi="宋体" w:eastAsia="宋体" w:cs="宋体"/>
          <w:i w:val="0"/>
          <w:iCs w:val="0"/>
          <w:sz w:val="24"/>
          <w:szCs w:val="24"/>
        </w:rPr>
      </w:pPr>
    </w:p>
    <w:p w14:paraId="0E73562B">
      <w:pPr>
        <w:pStyle w:val="6"/>
        <w:numPr>
          <w:ilvl w:val="0"/>
          <w:numId w:val="17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EBF7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D491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tc>
      </w:tr>
    </w:tbl>
    <w:p w14:paraId="4FD04470">
      <w:pPr>
        <w:spacing w:after="40"/>
        <w:rPr>
          <w:rFonts w:hint="eastAsia" w:ascii="宋体" w:hAnsi="宋体" w:eastAsia="宋体" w:cs="宋体"/>
          <w:i w:val="0"/>
          <w:iCs w:val="0"/>
          <w:sz w:val="24"/>
          <w:szCs w:val="24"/>
        </w:rPr>
      </w:pPr>
    </w:p>
    <w:p w14:paraId="2B21B588">
      <w:pPr>
        <w:pStyle w:val="4"/>
        <w:numPr>
          <w:ilvl w:val="0"/>
          <w:numId w:val="144"/>
        </w:numPr>
        <w:topLinePunct w:val="0"/>
        <w:ind w:left="0" w:leftChars="0" w:firstLine="0" w:firstLineChars="0"/>
        <w:outlineLvl w:val="0"/>
        <w:rPr>
          <w:rFonts w:hint="eastAsia" w:eastAsia="黑体"/>
          <w:b w:val="0"/>
          <w:bCs w:val="0"/>
          <w:sz w:val="30"/>
          <w:szCs w:val="32"/>
        </w:rPr>
      </w:pPr>
      <w:bookmarkStart w:id="50" w:name="_Toc23911"/>
      <w:r>
        <w:rPr>
          <w:rFonts w:ascii="Times New Roman" w:hAnsi="Times New Roman" w:eastAsia="黑体" w:cs="Times New Roman"/>
          <w:b w:val="0"/>
          <w:bCs w:val="0"/>
          <w:sz w:val="30"/>
          <w:szCs w:val="32"/>
        </w:rPr>
        <w:t>CBAM 管理</w:t>
      </w:r>
      <w:bookmarkEnd w:id="50"/>
    </w:p>
    <w:p w14:paraId="6B198EB8">
      <w:pPr>
        <w:pStyle w:val="5"/>
        <w:numPr>
          <w:ilvl w:val="0"/>
          <w:numId w:val="177"/>
        </w:numPr>
        <w:ind w:left="0" w:leftChars="0" w:firstLine="0" w:firstLineChars="0"/>
        <w:outlineLvl w:val="1"/>
        <w:rPr>
          <w:rFonts w:eastAsia="黑体"/>
          <w:b w:val="0"/>
          <w:bCs w:val="0"/>
          <w:sz w:val="30"/>
          <w:szCs w:val="24"/>
        </w:rPr>
      </w:pPr>
      <w:bookmarkStart w:id="51" w:name="_Toc12094"/>
      <w:r>
        <w:rPr>
          <w:rFonts w:ascii="Times New Roman" w:hAnsi="Times New Roman" w:eastAsia="黑体" w:cs="Times New Roman"/>
          <w:b w:val="0"/>
          <w:bCs w:val="0"/>
          <w:sz w:val="30"/>
          <w:szCs w:val="24"/>
        </w:rPr>
        <w:t>合规管理</w:t>
      </w:r>
      <w:bookmarkEnd w:id="51"/>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41"/>
                    <a:stretch>
                      <a:fillRect/>
                    </a:stretch>
                  </pic:blipFill>
                  <pic:spPr>
                    <a:xfrm>
                      <a:off x="0" y="0"/>
                      <a:ext cx="6210300" cy="3079115"/>
                    </a:xfrm>
                    <a:prstGeom prst="rect">
                      <a:avLst/>
                    </a:prstGeom>
                    <a:noFill/>
                    <a:ln>
                      <a:noFill/>
                    </a:ln>
                  </pic:spPr>
                </pic:pic>
              </a:graphicData>
            </a:graphic>
          </wp:inline>
        </w:drawing>
      </w:r>
    </w:p>
    <w:p w14:paraId="4ED66580">
      <w:pPr>
        <w:pStyle w:val="6"/>
        <w:numPr>
          <w:ilvl w:val="0"/>
          <w:numId w:val="17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DE23B5">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：维护出口欧盟电气装备海关 CN 税号白名单，明确直接排放与前驱物隐含间接排放的法定边界，并承载 CBAM 申报状态机。</w:t>
      </w:r>
    </w:p>
    <w:p w14:paraId="11C25A74">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报关与关税专家（主操作）、P1 集团决策层（终审双签）。</w:t>
      </w:r>
    </w:p>
    <w:p w14:paraId="3EBA219A">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/carbon-footprint/cbam/compliance </w:t>
      </w:r>
      <w:r>
        <w:rPr>
          <w:rFonts w:ascii="Times New Roman" w:hAnsi="Times New Roman" w:eastAsia="宋体" w:cs="Times New Roman"/>
          <w:i w:val="0"/>
          <w:color w:val="1F2937"/>
          <w:sz w:val="24"/>
          <w:szCs w:val="24"/>
        </w:rPr>
        <w:t>。</w:t>
      </w:r>
    </w:p>
    <w:p w14:paraId="27406144">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报告、海关税则编码库、CBAM 法规知识库。</w:t>
      </w:r>
    </w:p>
    <w:p w14:paraId="6A94F06C">
      <w:pPr>
        <w:pStyle w:val="19"/>
        <w:widowControl/>
        <w:numPr>
          <w:ilvl w:val="0"/>
          <w:numId w:val="1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申报状态流转记录、申报包生成前置校验结果。</w:t>
      </w:r>
    </w:p>
    <w:p w14:paraId="3642F735">
      <w:pPr>
        <w:pStyle w:val="6"/>
        <w:numPr>
          <w:ilvl w:val="0"/>
          <w:numId w:val="17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FA845EA">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04C87B5">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维护海关 CN 税号白名单并确认产品直接排放与前驱物隐含间接排放的法定边界</w:t>
      </w:r>
      <w:r>
        <w:rPr>
          <w:rFonts w:ascii="Times New Roman" w:hAnsi="Times New Roman" w:eastAsia="宋体" w:cs="Times New Roman"/>
          <w:i w:val="0"/>
          <w:color w:val="1F2937"/>
          <w:sz w:val="24"/>
          <w:szCs w:val="24"/>
        </w:rPr>
        <w:t>，</w:t>
      </w:r>
    </w:p>
    <w:p w14:paraId="3E197760">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 CBAM 申报范围准确、不多报不漏报</w:t>
      </w:r>
      <w:r>
        <w:rPr>
          <w:rFonts w:ascii="Times New Roman" w:hAnsi="Times New Roman" w:eastAsia="宋体" w:cs="Times New Roman"/>
          <w:i w:val="0"/>
          <w:color w:val="1F2937"/>
          <w:sz w:val="24"/>
          <w:szCs w:val="24"/>
        </w:rPr>
        <w:t>。</w:t>
      </w:r>
    </w:p>
    <w:p w14:paraId="755BEF72">
      <w:pPr>
        <w:pStyle w:val="6"/>
        <w:numPr>
          <w:ilvl w:val="0"/>
          <w:numId w:val="17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DD3D4FE">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合规规则</w:t>
      </w:r>
      <w:r>
        <w:rPr>
          <w:rFonts w:ascii="Times New Roman" w:hAnsi="Times New Roman" w:eastAsia="宋体" w:cs="Times New Roman"/>
          <w:i w:val="0"/>
          <w:color w:val="1F2937"/>
          <w:sz w:val="24"/>
          <w:szCs w:val="24"/>
        </w:rPr>
        <w:t>：维护特变电工出口欧盟电气装备海关 CN 税号白名单（变压器 CN 85042100、85042200、85042300；电缆 CN 85444920 等），明确直接排放与前驱物隐含间接排放的法定边界。</w:t>
      </w:r>
    </w:p>
    <w:p w14:paraId="7BEA3E13">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申报状态机（回捞 PRD-07）</w:t>
      </w:r>
      <w:r>
        <w:rPr>
          <w:rFonts w:ascii="Times New Roman" w:hAnsi="Times New Roman" w:eastAsia="宋体" w:cs="Times New Roman"/>
          <w:i w:val="0"/>
          <w:color w:val="1F2937"/>
          <w:sz w:val="24"/>
          <w:szCs w:val="24"/>
        </w:rPr>
        <w:t>：</w:t>
      </w:r>
    </w:p>
    <w:p w14:paraId="3C2D906F">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LCA_CERTIFIED </w:t>
      </w:r>
      <w:r>
        <w:rPr>
          <w:rFonts w:ascii="Times New Roman" w:hAnsi="Times New Roman" w:eastAsia="宋体" w:cs="Times New Roman"/>
          <w:i w:val="0"/>
          <w:color w:val="1F2937"/>
          <w:sz w:val="24"/>
          <w:szCs w:val="24"/>
        </w:rPr>
        <w:t xml:space="preserve"> --P5 触发申报--&gt; </w:t>
      </w:r>
      <w:r>
        <w:rPr>
          <w:rFonts w:ascii="Times New Roman" w:hAnsi="Times New Roman" w:eastAsia="宋体" w:cs="Times New Roman"/>
          <w:b w:val="0"/>
          <w:i w:val="0"/>
          <w:color w:val="0284C7"/>
          <w:sz w:val="24"/>
          <w:szCs w:val="24"/>
        </w:rPr>
        <w:t xml:space="preserve"> CBAM_DECL_PENDING </w:t>
      </w:r>
      <w:r>
        <w:rPr>
          <w:rFonts w:ascii="Times New Roman" w:hAnsi="Times New Roman" w:eastAsia="宋体" w:cs="Times New Roman"/>
          <w:i w:val="0"/>
          <w:color w:val="1F2937"/>
          <w:sz w:val="24"/>
          <w:szCs w:val="24"/>
        </w:rPr>
        <w:t>；</w:t>
      </w:r>
    </w:p>
    <w:p w14:paraId="5651B556">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CBAM_DECL_PENDING </w:t>
      </w:r>
      <w:r>
        <w:rPr>
          <w:rFonts w:ascii="Times New Roman" w:hAnsi="Times New Roman" w:eastAsia="宋体" w:cs="Times New Roman"/>
          <w:i w:val="0"/>
          <w:color w:val="1F2937"/>
          <w:sz w:val="24"/>
          <w:szCs w:val="24"/>
        </w:rPr>
        <w:t xml:space="preserve"> --P5 + P1 双签--&gt; </w:t>
      </w:r>
      <w:r>
        <w:rPr>
          <w:rFonts w:ascii="Times New Roman" w:hAnsi="Times New Roman" w:eastAsia="宋体" w:cs="Times New Roman"/>
          <w:b w:val="0"/>
          <w:i w:val="0"/>
          <w:color w:val="0284C7"/>
          <w:sz w:val="24"/>
          <w:szCs w:val="24"/>
        </w:rPr>
        <w:t xml:space="preserve"> CBAM_DECL_SUBMITTED </w:t>
      </w:r>
      <w:r>
        <w:rPr>
          <w:rFonts w:ascii="Times New Roman" w:hAnsi="Times New Roman" w:eastAsia="宋体" w:cs="Times New Roman"/>
          <w:i w:val="0"/>
          <w:color w:val="1F2937"/>
          <w:sz w:val="24"/>
          <w:szCs w:val="24"/>
        </w:rPr>
        <w:t>；</w:t>
      </w:r>
    </w:p>
    <w:p w14:paraId="68F6100F">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--海关反馈--&gt; </w:t>
      </w:r>
      <w:r>
        <w:rPr>
          <w:rFonts w:ascii="Times New Roman" w:hAnsi="Times New Roman" w:eastAsia="宋体" w:cs="Times New Roman"/>
          <w:b w:val="0"/>
          <w:i w:val="0"/>
          <w:color w:val="0284C7"/>
          <w:sz w:val="24"/>
          <w:szCs w:val="24"/>
        </w:rPr>
        <w:t xml:space="preserve"> CBAM_DECL_FEEDBACK </w:t>
      </w:r>
      <w:r>
        <w:rPr>
          <w:rFonts w:ascii="Times New Roman" w:hAnsi="Times New Roman" w:eastAsia="宋体" w:cs="Times New Roman"/>
          <w:i w:val="0"/>
          <w:color w:val="1F2937"/>
          <w:sz w:val="24"/>
          <w:szCs w:val="24"/>
        </w:rPr>
        <w:t>（补正后回到 SUBMITTED）；</w:t>
      </w:r>
    </w:p>
    <w:p w14:paraId="6D5EB87E">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--年度归档--&gt; </w:t>
      </w:r>
      <w:r>
        <w:rPr>
          <w:rFonts w:ascii="Times New Roman" w:hAnsi="Times New Roman" w:eastAsia="宋体" w:cs="Times New Roman"/>
          <w:b w:val="0"/>
          <w:i w:val="0"/>
          <w:color w:val="0284C7"/>
          <w:sz w:val="24"/>
          <w:szCs w:val="24"/>
        </w:rPr>
        <w:t xml:space="preserve"> CBAM_DECL_ARCHIVED </w:t>
      </w:r>
      <w:r>
        <w:rPr>
          <w:rFonts w:ascii="Times New Roman" w:hAnsi="Times New Roman" w:eastAsia="宋体" w:cs="Times New Roman"/>
          <w:i w:val="0"/>
          <w:color w:val="1F2937"/>
          <w:sz w:val="24"/>
          <w:szCs w:val="24"/>
        </w:rPr>
        <w:t>。</w:t>
      </w:r>
    </w:p>
    <w:p w14:paraId="1B476301">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白名单校验</w:t>
      </w:r>
      <w:r>
        <w:rPr>
          <w:rFonts w:ascii="Times New Roman" w:hAnsi="Times New Roman" w:eastAsia="宋体" w:cs="Times New Roman"/>
          <w:i w:val="0"/>
          <w:color w:val="1F2937"/>
          <w:sz w:val="24"/>
          <w:szCs w:val="24"/>
        </w:rPr>
        <w:t>：非白名单税号产品在申报入口被拦截，并提示不在 CBAM 涵盖范围。</w:t>
      </w:r>
    </w:p>
    <w:p w14:paraId="2AA933DA">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边界声明</w:t>
      </w:r>
      <w:r>
        <w:rPr>
          <w:rFonts w:ascii="Times New Roman" w:hAnsi="Times New Roman" w:eastAsia="宋体" w:cs="Times New Roman"/>
          <w:i w:val="0"/>
          <w:color w:val="1F2937"/>
          <w:sz w:val="24"/>
          <w:szCs w:val="24"/>
        </w:rPr>
        <w:t>：每个税号展示其涵盖的排放边界（直接排放 / 前驱物隐含间接排放）与证据要求。</w:t>
      </w:r>
    </w:p>
    <w:p w14:paraId="667F539E">
      <w:pPr>
        <w:pStyle w:val="6"/>
        <w:numPr>
          <w:ilvl w:val="0"/>
          <w:numId w:val="17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1862"/>
        <w:gridCol w:w="1380"/>
        <w:gridCol w:w="827"/>
        <w:gridCol w:w="4817"/>
      </w:tblGrid>
      <w:tr w14:paraId="66CF0EB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14A3F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C80B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18F2C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EDCDD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FBD3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DD5A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1DC8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6D2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E7DB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5C83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2EB5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位数字，须在白名单内</w:t>
            </w:r>
          </w:p>
        </w:tc>
      </w:tr>
      <w:tr w14:paraId="48C171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368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AE2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3DC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124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7DC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与税号对应的产品类别名称</w:t>
            </w:r>
          </w:p>
        </w:tc>
      </w:tr>
      <w:tr w14:paraId="78BD274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FEC0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B4F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排放边界类型</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69B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D20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E46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 / 前驱物隐含间接排放 / 二者兼具</w:t>
            </w:r>
          </w:p>
        </w:tc>
      </w:tr>
      <w:tr w14:paraId="097B738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1D7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22B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228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979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D5B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74A3601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7B7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551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3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69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89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LCA_CERTIFIED / CBAM_DECL_PENDING / SUBMITTED / FEEDBACK / ARCHIVED</w:t>
            </w:r>
          </w:p>
        </w:tc>
      </w:tr>
      <w:tr w14:paraId="1A5AAE5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E36E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FDD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双签人信息</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B7F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057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42D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 与 P1 电子签章记录，缺一不可提交</w:t>
            </w:r>
          </w:p>
        </w:tc>
      </w:tr>
      <w:tr w14:paraId="1D36BD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F462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0FA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海关反馈意见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5CF3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6EC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9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海关质询时必填，补正依据</w:t>
            </w:r>
          </w:p>
        </w:tc>
      </w:tr>
      <w:tr w14:paraId="581C74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C8B5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FFD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修订流水号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8F5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7B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91E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每次补正重新生成</w:t>
            </w:r>
          </w:p>
        </w:tc>
      </w:tr>
      <w:tr w14:paraId="54049CF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D80B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EB6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申报年度</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0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8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AB3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D46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bl>
    <w:p w14:paraId="0E3C95D3">
      <w:pPr>
        <w:spacing w:after="60"/>
        <w:rPr>
          <w:rFonts w:hint="eastAsia" w:ascii="宋体" w:hAnsi="宋体" w:eastAsia="宋体" w:cs="宋体"/>
          <w:i w:val="0"/>
          <w:iCs w:val="0"/>
          <w:sz w:val="24"/>
          <w:szCs w:val="24"/>
        </w:rPr>
      </w:pPr>
    </w:p>
    <w:p w14:paraId="5EDB2B0A">
      <w:pPr>
        <w:pStyle w:val="6"/>
        <w:numPr>
          <w:ilvl w:val="0"/>
          <w:numId w:val="17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C302E6D">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9C7680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In_Scope = CN_Code ∈ Whitelist                             税号涵盖判定</w:t>
            </w:r>
          </w:p>
          <w:p w14:paraId="79AF296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Boundary = f( CN_Code )                                     排放边界映射</w:t>
            </w:r>
          </w:p>
          <w:p w14:paraId="6694597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Gate_Submit = ( Sign_P5 == true ) AND ( Sign_P1 == true )   双签门禁</w:t>
            </w:r>
          </w:p>
          <w:p w14:paraId="624B59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State_next = Transitions( State_current, Action )           状态机流转</w:t>
            </w:r>
          </w:p>
        </w:tc>
      </w:tr>
    </w:tbl>
    <w:p w14:paraId="6ED7E9C3">
      <w:pPr>
        <w:spacing w:after="40"/>
        <w:rPr>
          <w:rFonts w:hint="eastAsia" w:ascii="宋体" w:hAnsi="宋体" w:eastAsia="宋体" w:cs="宋体"/>
          <w:i w:val="0"/>
          <w:iCs w:val="0"/>
          <w:sz w:val="24"/>
          <w:szCs w:val="24"/>
        </w:rPr>
      </w:pPr>
    </w:p>
    <w:p w14:paraId="1E12870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双签门禁为硬约束，任一签章缺失则提交动作不可执行；状态流转遵循既定转移表，非法转移一律拒绝。</w:t>
      </w:r>
    </w:p>
    <w:p w14:paraId="6D848AE1">
      <w:pPr>
        <w:pStyle w:val="6"/>
        <w:numPr>
          <w:ilvl w:val="0"/>
          <w:numId w:val="17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C860932">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范围口径</w:t>
      </w:r>
      <w:r>
        <w:rPr>
          <w:rFonts w:ascii="Times New Roman" w:hAnsi="Times New Roman" w:eastAsia="宋体" w:cs="Times New Roman"/>
          <w:i w:val="0"/>
          <w:color w:val="1F2937"/>
          <w:sz w:val="24"/>
          <w:szCs w:val="24"/>
        </w:rPr>
        <w:t>：仅白名单税号产品可发起申报，非白名单产品入口不出现。</w:t>
      </w:r>
    </w:p>
    <w:p w14:paraId="00B32865">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：排放边界按税号固定映射，不允许逐单自定义。</w:t>
      </w:r>
    </w:p>
    <w:p w14:paraId="33CCB2B1">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签批口径</w:t>
      </w:r>
      <w:r>
        <w:rPr>
          <w:rFonts w:ascii="Times New Roman" w:hAnsi="Times New Roman" w:eastAsia="宋体" w:cs="Times New Roman"/>
          <w:i w:val="0"/>
          <w:color w:val="1F2937"/>
          <w:sz w:val="24"/>
          <w:szCs w:val="24"/>
        </w:rPr>
        <w:t>：提交必须经 P5 报关专家与 P1 集团决策层双重电子签章。</w:t>
      </w:r>
    </w:p>
    <w:p w14:paraId="63F5227A">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回退口径</w:t>
      </w:r>
      <w:r>
        <w:rPr>
          <w:rFonts w:ascii="Times New Roman" w:hAnsi="Times New Roman" w:eastAsia="宋体" w:cs="Times New Roman"/>
          <w:i w:val="0"/>
          <w:color w:val="1F2937"/>
          <w:sz w:val="24"/>
          <w:szCs w:val="24"/>
        </w:rPr>
        <w:t>：海关质询时转入"海关反馈"，补正后重新提交并生成新修订流水号。</w:t>
      </w:r>
    </w:p>
    <w:p w14:paraId="2987E91D">
      <w:pPr>
        <w:pStyle w:val="6"/>
        <w:numPr>
          <w:ilvl w:val="0"/>
          <w:numId w:val="17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3C6714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820AF8">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1C3E2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非白名单税号：申报入口拦截并提示不在 CBAM 涵盖范围。</w:t>
            </w:r>
          </w:p>
          <w:p w14:paraId="7CDC48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报告非已认证状态：申报按钮置灰。</w:t>
            </w:r>
          </w:p>
          <w:p w14:paraId="1587BA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双签不完整：提交动作不可执行，页面明确标注缺失签章方。</w:t>
            </w:r>
          </w:p>
          <w:p w14:paraId="7D948F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已归档申报：只读锁定，不允许再流转。</w:t>
            </w:r>
          </w:p>
        </w:tc>
      </w:tr>
    </w:tbl>
    <w:p w14:paraId="7FF0DA89">
      <w:pPr>
        <w:spacing w:after="40"/>
        <w:rPr>
          <w:rFonts w:hint="eastAsia" w:ascii="宋体" w:hAnsi="宋体" w:eastAsia="宋体" w:cs="宋体"/>
          <w:i w:val="0"/>
          <w:iCs w:val="0"/>
          <w:sz w:val="24"/>
          <w:szCs w:val="24"/>
        </w:rPr>
      </w:pPr>
    </w:p>
    <w:p w14:paraId="52E3C63C">
      <w:pPr>
        <w:pStyle w:val="6"/>
        <w:numPr>
          <w:ilvl w:val="0"/>
          <w:numId w:val="17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61341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tc>
      </w:tr>
    </w:tbl>
    <w:p w14:paraId="79D7FBBF">
      <w:pPr>
        <w:spacing w:after="40"/>
        <w:rPr>
          <w:rFonts w:hint="eastAsia" w:ascii="宋体" w:hAnsi="宋体" w:eastAsia="宋体" w:cs="宋体"/>
          <w:i w:val="0"/>
          <w:iCs w:val="0"/>
          <w:sz w:val="24"/>
          <w:szCs w:val="24"/>
        </w:rPr>
      </w:pPr>
    </w:p>
    <w:p w14:paraId="164E7AC9">
      <w:pPr>
        <w:pStyle w:val="5"/>
        <w:numPr>
          <w:ilvl w:val="0"/>
          <w:numId w:val="177"/>
        </w:numPr>
        <w:ind w:left="0" w:leftChars="0" w:firstLine="0" w:firstLineChars="0"/>
        <w:outlineLvl w:val="1"/>
        <w:rPr>
          <w:rFonts w:eastAsia="黑体"/>
          <w:b w:val="0"/>
          <w:bCs w:val="0"/>
          <w:sz w:val="30"/>
          <w:szCs w:val="24"/>
        </w:rPr>
      </w:pPr>
      <w:bookmarkStart w:id="52" w:name="_Toc10052"/>
      <w:r>
        <w:rPr>
          <w:rFonts w:ascii="Times New Roman" w:hAnsi="Times New Roman" w:eastAsia="黑体" w:cs="Times New Roman"/>
          <w:b w:val="0"/>
          <w:bCs w:val="0"/>
          <w:sz w:val="30"/>
          <w:szCs w:val="24"/>
        </w:rPr>
        <w:t>申报模拟</w:t>
      </w:r>
      <w:bookmarkEnd w:id="52"/>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2"/>
                    <a:stretch>
                      <a:fillRect/>
                    </a:stretch>
                  </pic:blipFill>
                  <pic:spPr>
                    <a:xfrm>
                      <a:off x="0" y="0"/>
                      <a:ext cx="6118860" cy="3034030"/>
                    </a:xfrm>
                    <a:prstGeom prst="rect">
                      <a:avLst/>
                    </a:prstGeom>
                    <a:noFill/>
                    <a:ln>
                      <a:noFill/>
                    </a:ln>
                  </pic:spPr>
                </pic:pic>
              </a:graphicData>
            </a:graphic>
          </wp:inline>
        </w:drawing>
      </w:r>
    </w:p>
    <w:p w14:paraId="4952D40F">
      <w:pPr>
        <w:pStyle w:val="6"/>
        <w:numPr>
          <w:ilvl w:val="0"/>
          <w:numId w:val="18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89A1858">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2C5F1259">
      <w:pPr>
        <w:pStyle w:val="6"/>
        <w:numPr>
          <w:ilvl w:val="0"/>
          <w:numId w:val="18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6D691CE">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44CA053">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基于实时 ETS 碳价与国内已付碳成本测算应缴 CBAM 关税，并在多情景下对比成本敞口</w:t>
      </w:r>
      <w:r>
        <w:rPr>
          <w:rFonts w:ascii="Times New Roman" w:hAnsi="Times New Roman" w:eastAsia="宋体" w:cs="Times New Roman"/>
          <w:i w:val="0"/>
          <w:color w:val="1F2937"/>
          <w:sz w:val="24"/>
          <w:szCs w:val="24"/>
        </w:rPr>
        <w:t>，</w:t>
      </w:r>
    </w:p>
    <w:p w14:paraId="278717EB">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我能优化出口定价与国内碳成本抵扣策略，实现关税成本最小化</w:t>
      </w:r>
      <w:r>
        <w:rPr>
          <w:rFonts w:ascii="Times New Roman" w:hAnsi="Times New Roman" w:eastAsia="宋体" w:cs="Times New Roman"/>
          <w:i w:val="0"/>
          <w:color w:val="1F2937"/>
          <w:sz w:val="24"/>
          <w:szCs w:val="24"/>
        </w:rPr>
        <w:t>。</w:t>
      </w:r>
    </w:p>
    <w:p w14:paraId="6B682C46">
      <w:pPr>
        <w:pStyle w:val="6"/>
        <w:numPr>
          <w:ilvl w:val="0"/>
          <w:numId w:val="18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1332F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关税模型：</w:t>
      </w:r>
    </w:p>
    <w:p w14:paraId="273FE06E">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联动与情景模拟</w:t>
      </w:r>
      <w:r>
        <w:rPr>
          <w:rFonts w:ascii="Times New Roman" w:hAnsi="Times New Roman" w:eastAsia="宋体" w:cs="Times New Roman"/>
          <w:i w:val="0"/>
          <w:color w:val="1F2937"/>
          <w:sz w:val="24"/>
          <w:szCs w:val="24"/>
        </w:rPr>
        <w:t>（回捞 PRD-07 /《集采中心功能梳理 V1.0》"成本测算"）：</w:t>
      </w:r>
    </w:p>
    <w:p w14:paraId="1BE297C6">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碳价联动</w:t>
      </w:r>
      <w:r>
        <w:rPr>
          <w:rFonts w:ascii="Times New Roman" w:hAnsi="Times New Roman" w:eastAsia="宋体" w:cs="Times New Roman"/>
          <w:i w:val="0"/>
          <w:color w:val="1F2937"/>
          <w:sz w:val="24"/>
          <w:szCs w:val="24"/>
        </w:rPr>
        <w:t>：API 动态对接欧洲能源交易所（EEX）碳配额拍卖结算均价，刷新频率【待确认】（建议小时级）。</w:t>
      </w:r>
    </w:p>
    <w:p w14:paraId="388F9C1D">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多情景碳价模拟</w:t>
      </w:r>
      <w:r>
        <w:rPr>
          <w:rFonts w:ascii="Times New Roman" w:hAnsi="Times New Roman" w:eastAsia="宋体" w:cs="Times New Roman"/>
          <w:i w:val="0"/>
          <w:color w:val="1F2937"/>
          <w:sz w:val="24"/>
          <w:szCs w:val="24"/>
        </w:rPr>
        <w:t>：按欧盟当期碳价与情景碳价（乐观/基准/悲观）测算出口欧盟产品碳关税成本并对比。</w:t>
      </w:r>
    </w:p>
    <w:p w14:paraId="6A1EAE40">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默认值回退</w:t>
      </w:r>
      <w:r>
        <w:rPr>
          <w:rFonts w:ascii="Times New Roman" w:hAnsi="Times New Roman" w:eastAsia="宋体" w:cs="Times New Roman"/>
          <w:i w:val="0"/>
          <w:color w:val="1F2937"/>
          <w:sz w:val="24"/>
          <w:szCs w:val="24"/>
        </w:rPr>
        <w:t>：无实测数据时一键套用 CBAM 官方各行业默认排放因子库完成估算。</w:t>
      </w:r>
    </w:p>
    <w:p w14:paraId="6705AEDB">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数据出境合规</w:t>
      </w:r>
      <w:r>
        <w:rPr>
          <w:rFonts w:ascii="Times New Roman" w:hAnsi="Times New Roman" w:eastAsia="宋体" w:cs="Times New Roman"/>
          <w:i w:val="0"/>
          <w:color w:val="1F2937"/>
          <w:sz w:val="24"/>
          <w:szCs w:val="24"/>
        </w:rPr>
        <w:t>：CBAM 申报数据跨境传输路径与审批【待补充：由信息安全合规组确认】。</w:t>
      </w:r>
    </w:p>
    <w:p w14:paraId="470F023A">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核算流程</w:t>
      </w:r>
      <w:r>
        <w:rPr>
          <w:rFonts w:ascii="Times New Roman" w:hAnsi="Times New Roman" w:eastAsia="宋体" w:cs="Times New Roman"/>
          <w:i w:val="0"/>
          <w:color w:val="1F2937"/>
          <w:sz w:val="24"/>
          <w:szCs w:val="24"/>
        </w:rPr>
        <w:t>：</w:t>
      </w:r>
    </w:p>
    <w:p w14:paraId="625BA757">
      <w:pPr>
        <w:pStyle w:val="19"/>
        <w:widowControl/>
        <w:numPr>
          <w:ilvl w:val="0"/>
          <w:numId w:val="18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隐含碳强度核算</w:t>
      </w:r>
      <w:r>
        <w:rPr>
          <w:rFonts w:ascii="Times New Roman" w:hAnsi="Times New Roman" w:eastAsia="宋体" w:cs="Times New Roman"/>
          <w:i w:val="0"/>
          <w:color w:val="1F2937"/>
          <w:sz w:val="24"/>
          <w:szCs w:val="24"/>
        </w:rPr>
        <w:t xml:space="preserve">：测算出口单位产品直接与间接隐含碳强度 </w:t>
      </w:r>
      <w:r>
        <w:rPr>
          <w:rFonts w:ascii="Times New Roman" w:hAnsi="Times New Roman" w:eastAsia="宋体" w:cs="Times New Roman"/>
          <w:i w:val="0"/>
          <w:color w:val="15803D"/>
          <w:sz w:val="24"/>
          <w:szCs w:val="24"/>
        </w:rPr>
        <w:t>Embedded\_Carbon</w:t>
      </w:r>
      <w:r>
        <w:rPr>
          <w:rFonts w:ascii="Times New Roman" w:hAnsi="Times New Roman" w:eastAsia="宋体" w:cs="Times New Roman"/>
          <w:i w:val="0"/>
          <w:color w:val="1F2937"/>
          <w:sz w:val="24"/>
          <w:szCs w:val="24"/>
        </w:rPr>
        <w:t xml:space="preserve"> (tCO2e/t)。</w:t>
      </w:r>
    </w:p>
    <w:p w14:paraId="4E358A4E">
      <w:pPr>
        <w:pStyle w:val="19"/>
        <w:widowControl/>
        <w:numPr>
          <w:ilvl w:val="0"/>
          <w:numId w:val="18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欧盟 ETS 实时碳价联动</w:t>
      </w:r>
      <w:r>
        <w:rPr>
          <w:rFonts w:ascii="Times New Roman" w:hAnsi="Times New Roman" w:eastAsia="宋体" w:cs="Times New Roman"/>
          <w:i w:val="0"/>
          <w:color w:val="1F2937"/>
          <w:sz w:val="24"/>
          <w:szCs w:val="24"/>
        </w:rPr>
        <w:t>：API 动态对接欧洲能源交易所 (EEX) 碳配额拍卖结算均价（€75 ~ €95/tCO2e）。</w:t>
      </w:r>
    </w:p>
    <w:p w14:paraId="186F5E58">
      <w:pPr>
        <w:pStyle w:val="19"/>
        <w:widowControl/>
        <w:numPr>
          <w:ilvl w:val="0"/>
          <w:numId w:val="18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国内已支付碳成本抵扣</w:t>
      </w:r>
      <w:r>
        <w:rPr>
          <w:rFonts w:ascii="Times New Roman" w:hAnsi="Times New Roman" w:eastAsia="宋体" w:cs="Times New Roman"/>
          <w:i w:val="0"/>
          <w:color w:val="1F2937"/>
          <w:sz w:val="24"/>
          <w:szCs w:val="24"/>
        </w:rPr>
        <w:t>：严格计算在国内已承担的全国碳市场配额费用或绿电附加成本，依法申请等额抵扣。</w:t>
      </w:r>
    </w:p>
    <w:p w14:paraId="689BFC46">
      <w:pPr>
        <w:pStyle w:val="19"/>
        <w:widowControl/>
        <w:numPr>
          <w:ilvl w:val="0"/>
          <w:numId w:val="18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官方 XML 申报包导出</w:t>
      </w:r>
      <w:r>
        <w:rPr>
          <w:rFonts w:ascii="Times New Roman" w:hAnsi="Times New Roman" w:eastAsia="宋体" w:cs="Times New Roman"/>
          <w:i w:val="0"/>
          <w:color w:val="1F2937"/>
          <w:sz w:val="24"/>
          <w:szCs w:val="24"/>
        </w:rPr>
        <w:t>：生成完全符合欧盟委员会 CBAM Communication Template v2.1 规范的结构化 XML 申报包。</w:t>
      </w:r>
    </w:p>
    <w:p w14:paraId="7AA52E63">
      <w:pPr>
        <w:pStyle w:val="6"/>
        <w:numPr>
          <w:ilvl w:val="0"/>
          <w:numId w:val="18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2"/>
        <w:gridCol w:w="2468"/>
        <w:gridCol w:w="1334"/>
        <w:gridCol w:w="1572"/>
        <w:gridCol w:w="3558"/>
      </w:tblGrid>
      <w:tr w14:paraId="6B16FEF0">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6DDB26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5E2E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A30A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5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C76B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BDC4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核算模型与业务规则</w:t>
            </w:r>
          </w:p>
        </w:tc>
      </w:tr>
      <w:tr w14:paraId="0ECA6CF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D88A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5AD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910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814E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F707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欧盟海关税则编码，如 85042100</w:t>
            </w:r>
          </w:p>
        </w:tc>
      </w:tr>
      <w:tr w14:paraId="55D01E68">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46C4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89BF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申报出口数量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12C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A3E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台/km/t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2C72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国际贸易报关单提单实际数量</w:t>
            </w:r>
          </w:p>
        </w:tc>
      </w:tr>
      <w:tr w14:paraId="08D24106">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9A99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705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89D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7A9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887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厂内燃烧直接排放总量</w:t>
            </w:r>
          </w:p>
        </w:tc>
      </w:tr>
      <w:tr w14:paraId="01F6C36A">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306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B4C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外购电热间接排放量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D60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5E4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F6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外购电力及前驱物隐含间接排放</w:t>
            </w:r>
          </w:p>
        </w:tc>
      </w:tr>
      <w:tr w14:paraId="41FF2C0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4F17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340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单位产品隐含碳强度</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D7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7A0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42A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(Direct + Indirect) / 总产量</w:t>
            </w:r>
          </w:p>
        </w:tc>
      </w:tr>
      <w:tr w14:paraId="12622C97">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53E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8F7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ETS 结算碳价</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15B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573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5CB8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EEX 官方接口实时拉取最新周结算均价</w:t>
            </w:r>
          </w:p>
        </w:tc>
      </w:tr>
      <w:tr w14:paraId="184FEC8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321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599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国内已付碳成本折算</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ACE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085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E41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中国碳市场价格汇率折算（€）</w:t>
            </w:r>
          </w:p>
        </w:tc>
      </w:tr>
      <w:tr w14:paraId="34FE2DC4">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5B27B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922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 CBAM 凭证数</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34F0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2342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张</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BE1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每张对应 1 tCO2e 需清缴凭证</w:t>
            </w:r>
          </w:p>
        </w:tc>
      </w:tr>
      <w:tr w14:paraId="713BF8B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3311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D52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预计应纳 CBAM 关税</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9CD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588E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D8F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应缴凭证数 ×（ETS 碳价 − 国内已付成本）</w:t>
            </w:r>
          </w:p>
        </w:tc>
      </w:tr>
      <w:tr w14:paraId="2DE55B6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143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5F5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情景类型</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9A9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0F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892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乐观 / 基准 / 悲观</w:t>
            </w:r>
          </w:p>
        </w:tc>
      </w:tr>
      <w:tr w14:paraId="3F66DDE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A85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356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 Schema 校验结果</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8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F1F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290B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通过 / 违规（含节点级违规信息）</w:t>
            </w:r>
          </w:p>
        </w:tc>
      </w:tr>
    </w:tbl>
    <w:p w14:paraId="006854D3">
      <w:pPr>
        <w:spacing w:after="60"/>
        <w:rPr>
          <w:rFonts w:hint="eastAsia" w:ascii="宋体" w:hAnsi="宋体" w:eastAsia="宋体" w:cs="宋体"/>
          <w:i w:val="0"/>
          <w:iCs w:val="0"/>
          <w:sz w:val="24"/>
          <w:szCs w:val="24"/>
        </w:rPr>
      </w:pPr>
    </w:p>
    <w:p w14:paraId="0497D3B1">
      <w:pPr>
        <w:pStyle w:val="6"/>
        <w:numPr>
          <w:ilvl w:val="0"/>
          <w:numId w:val="18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B05F2A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00F76F51">
      <w:pPr>
        <w:pStyle w:val="6"/>
        <w:numPr>
          <w:ilvl w:val="0"/>
          <w:numId w:val="18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46638A8">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碳价口径</w:t>
      </w:r>
      <w:r>
        <w:rPr>
          <w:rFonts w:ascii="Times New Roman" w:hAnsi="Times New Roman" w:eastAsia="宋体" w:cs="Times New Roman"/>
          <w:i w:val="0"/>
          <w:color w:val="1F2937"/>
          <w:sz w:val="24"/>
          <w:szCs w:val="24"/>
        </w:rPr>
        <w:t>：ETS 碳价以 EEX 官方接口最新周结算均价为准；碳价滞后超 24h 须标注时间戳。</w:t>
      </w:r>
    </w:p>
    <w:p w14:paraId="2A105093">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：国内已付碳成本须为可凭证明的全国碳市场配额费用或绿电附加成本。</w:t>
      </w:r>
    </w:p>
    <w:p w14:paraId="7A187377">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零关税口径</w:t>
      </w:r>
      <w:r>
        <w:rPr>
          <w:rFonts w:ascii="Times New Roman" w:hAnsi="Times New Roman" w:eastAsia="宋体" w:cs="Times New Roman"/>
          <w:i w:val="0"/>
          <w:color w:val="1F2937"/>
          <w:sz w:val="24"/>
          <w:szCs w:val="24"/>
        </w:rPr>
        <w:t>：国内已付成本 ≥ 欧盟 ETS 碳价时应缴金额为 0，不允许出现负值退税。</w:t>
      </w:r>
    </w:p>
    <w:p w14:paraId="4F8EDAB7">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情景口径</w:t>
      </w:r>
      <w:r>
        <w:rPr>
          <w:rFonts w:ascii="Times New Roman" w:hAnsi="Times New Roman" w:eastAsia="宋体" w:cs="Times New Roman"/>
          <w:i w:val="0"/>
          <w:color w:val="1F2937"/>
          <w:sz w:val="24"/>
          <w:szCs w:val="24"/>
        </w:rPr>
        <w:t>：情景碳价以当期价为基准按固定系数上下浮动，系数须在页面明示。</w:t>
      </w:r>
    </w:p>
    <w:p w14:paraId="2EB3DAC4">
      <w:pPr>
        <w:pStyle w:val="6"/>
        <w:numPr>
          <w:ilvl w:val="0"/>
          <w:numId w:val="18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02DCF3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8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10A63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tc>
      </w:tr>
    </w:tbl>
    <w:p w14:paraId="22AD017B">
      <w:pPr>
        <w:spacing w:after="40"/>
        <w:rPr>
          <w:rFonts w:hint="eastAsia" w:ascii="宋体" w:hAnsi="宋体" w:eastAsia="宋体" w:cs="宋体"/>
          <w:i w:val="0"/>
          <w:iCs w:val="0"/>
          <w:sz w:val="24"/>
          <w:szCs w:val="24"/>
        </w:rPr>
      </w:pPr>
    </w:p>
    <w:p w14:paraId="452F02D7">
      <w:pPr>
        <w:pStyle w:val="5"/>
        <w:numPr>
          <w:ilvl w:val="0"/>
          <w:numId w:val="177"/>
        </w:numPr>
        <w:ind w:left="0" w:leftChars="0" w:firstLine="0" w:firstLineChars="0"/>
        <w:outlineLvl w:val="1"/>
        <w:rPr>
          <w:rFonts w:eastAsia="黑体"/>
          <w:b w:val="0"/>
          <w:bCs w:val="0"/>
          <w:sz w:val="30"/>
          <w:szCs w:val="24"/>
        </w:rPr>
      </w:pPr>
      <w:bookmarkStart w:id="53" w:name="_Toc28549"/>
      <w:r>
        <w:rPr>
          <w:rFonts w:ascii="Times New Roman" w:hAnsi="Times New Roman" w:eastAsia="黑体" w:cs="Times New Roman"/>
          <w:b w:val="0"/>
          <w:bCs w:val="0"/>
          <w:sz w:val="30"/>
          <w:szCs w:val="24"/>
        </w:rPr>
        <w:t>知识库</w:t>
      </w:r>
      <w:bookmarkEnd w:id="53"/>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43"/>
                    <a:stretch>
                      <a:fillRect/>
                    </a:stretch>
                  </pic:blipFill>
                  <pic:spPr>
                    <a:xfrm>
                      <a:off x="0" y="0"/>
                      <a:ext cx="6210300" cy="3079115"/>
                    </a:xfrm>
                    <a:prstGeom prst="rect">
                      <a:avLst/>
                    </a:prstGeom>
                    <a:noFill/>
                    <a:ln>
                      <a:noFill/>
                    </a:ln>
                  </pic:spPr>
                </pic:pic>
              </a:graphicData>
            </a:graphic>
          </wp:inline>
        </w:drawing>
      </w:r>
    </w:p>
    <w:p w14:paraId="0C78B61B">
      <w:pPr>
        <w:pStyle w:val="6"/>
        <w:numPr>
          <w:ilvl w:val="0"/>
          <w:numId w:val="1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5E1F79">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1824E87C">
      <w:pPr>
        <w:pStyle w:val="6"/>
        <w:numPr>
          <w:ilvl w:val="0"/>
          <w:numId w:val="1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C73F198">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C1C02C3">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按生效日期检索官方填报指引、默认值清单与豁免条款，并查看历史版本对照</w:t>
      </w:r>
      <w:r>
        <w:rPr>
          <w:rFonts w:ascii="Times New Roman" w:hAnsi="Times New Roman" w:eastAsia="宋体" w:cs="Times New Roman"/>
          <w:i w:val="0"/>
          <w:color w:val="1F2937"/>
          <w:sz w:val="24"/>
          <w:szCs w:val="24"/>
        </w:rPr>
        <w:t>，</w:t>
      </w:r>
    </w:p>
    <w:p w14:paraId="6CE8F032">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我能确保每次申报都依据当时生效的官方规则</w:t>
      </w:r>
      <w:r>
        <w:rPr>
          <w:rFonts w:ascii="Times New Roman" w:hAnsi="Times New Roman" w:eastAsia="宋体" w:cs="Times New Roman"/>
          <w:i w:val="0"/>
          <w:color w:val="1F2937"/>
          <w:sz w:val="24"/>
          <w:szCs w:val="24"/>
        </w:rPr>
        <w:t>。</w:t>
      </w:r>
    </w:p>
    <w:p w14:paraId="575162D8">
      <w:pPr>
        <w:pStyle w:val="6"/>
        <w:numPr>
          <w:ilvl w:val="0"/>
          <w:numId w:val="1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E95BAB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知识库结构与版本化：</w:t>
      </w:r>
    </w:p>
    <w:p w14:paraId="0DCEE4A4">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内容分类</w:t>
      </w:r>
      <w:r>
        <w:rPr>
          <w:rFonts w:ascii="Times New Roman" w:hAnsi="Times New Roman" w:eastAsia="宋体" w:cs="Times New Roman"/>
          <w:i w:val="0"/>
          <w:color w:val="1F2937"/>
          <w:sz w:val="24"/>
          <w:szCs w:val="24"/>
        </w:rPr>
        <w:t>：欧盟委员会官方行业填报指引、默认值清单、过渡期质询问答库、豁免条款与法规释义。</w:t>
      </w:r>
    </w:p>
    <w:p w14:paraId="4EE32120">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版本化</w:t>
      </w:r>
      <w:r>
        <w:rPr>
          <w:rFonts w:ascii="Times New Roman" w:hAnsi="Times New Roman" w:eastAsia="宋体" w:cs="Times New Roman"/>
          <w:i w:val="0"/>
          <w:color w:val="1F2937"/>
          <w:sz w:val="24"/>
          <w:szCs w:val="24"/>
        </w:rPr>
        <w:t>：法规与默认值按生效日期版本化管理，历史版本可查、变更留痕。</w:t>
      </w:r>
    </w:p>
    <w:p w14:paraId="200C3750">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更新订阅机制（官方发布源与同步频率）。</w:t>
      </w:r>
    </w:p>
    <w:p w14:paraId="073A8082">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w:t>
      </w:r>
      <w:r>
        <w:rPr>
          <w:rFonts w:ascii="Times New Roman" w:hAnsi="Times New Roman" w:eastAsia="宋体" w:cs="Times New Roman"/>
          <w:i w:val="0"/>
          <w:color w:val="1F2937"/>
          <w:sz w:val="24"/>
          <w:szCs w:val="24"/>
        </w:rPr>
        <w:t>：支持按关键词、税号、生效日期范围、内容分类多维检索。</w:t>
      </w:r>
    </w:p>
    <w:p w14:paraId="7D13111E">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版本对照</w:t>
      </w:r>
      <w:r>
        <w:rPr>
          <w:rFonts w:ascii="Times New Roman" w:hAnsi="Times New Roman" w:eastAsia="宋体" w:cs="Times New Roman"/>
          <w:i w:val="0"/>
          <w:color w:val="1F2937"/>
          <w:sz w:val="24"/>
          <w:szCs w:val="24"/>
        </w:rPr>
        <w:t>：支持两版本并排对照查看差异段落。</w:t>
      </w:r>
    </w:p>
    <w:p w14:paraId="3C2303E7">
      <w:pPr>
        <w:pStyle w:val="6"/>
        <w:numPr>
          <w:ilvl w:val="0"/>
          <w:numId w:val="1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903"/>
        <w:gridCol w:w="1864"/>
        <w:gridCol w:w="1820"/>
        <w:gridCol w:w="1193"/>
        <w:gridCol w:w="4004"/>
      </w:tblGrid>
      <w:tr w14:paraId="0DB2E27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E3B43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540F0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8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8023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6D477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2DB44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1800EF">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A03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849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文档编号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1B3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0B3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07B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w:t>
            </w:r>
          </w:p>
        </w:tc>
      </w:tr>
      <w:tr w14:paraId="4DC98FFA">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9125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F081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文档标题</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8AA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FBA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FE4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256 字符</w:t>
            </w:r>
          </w:p>
        </w:tc>
      </w:tr>
      <w:tr w14:paraId="5F3A519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0DAE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814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内容分类</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903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505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2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填报指引 / 默认值清单 / 质询问答 / 豁免条款</w:t>
            </w:r>
          </w:p>
        </w:tc>
      </w:tr>
      <w:tr w14:paraId="2E81D83B">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F50B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613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适用税号</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49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911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9F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可为空表示通用</w:t>
            </w:r>
          </w:p>
        </w:tc>
      </w:tr>
      <w:tr w14:paraId="796E54FC">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26C73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661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83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E3B6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A555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唯一，按生效日期递增</w:t>
            </w:r>
          </w:p>
        </w:tc>
      </w:tr>
      <w:tr w14:paraId="5806FE5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8BB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43AF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52F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769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922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0AFD266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FC92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8EC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308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635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2A66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可空表示当前有效</w:t>
            </w:r>
          </w:p>
        </w:tc>
      </w:tr>
      <w:tr w14:paraId="29C929E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91D0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43FD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法规原文附件</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6ADB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594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8FB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PDF，单个不超过 30MB</w:t>
            </w:r>
          </w:p>
        </w:tc>
      </w:tr>
      <w:tr w14:paraId="0D04DB81">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7ADF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22B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录入人 / 录入时间</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203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D8C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44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w:t>
            </w:r>
          </w:p>
        </w:tc>
      </w:tr>
      <w:tr w14:paraId="7C1E80C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A1D5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DE3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引用状态</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6D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AA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B98A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生效中 / 历史版本 / 已废止</w:t>
            </w:r>
          </w:p>
        </w:tc>
      </w:tr>
    </w:tbl>
    <w:p w14:paraId="0368285C">
      <w:pPr>
        <w:spacing w:after="60"/>
        <w:rPr>
          <w:rFonts w:hint="eastAsia" w:ascii="宋体" w:hAnsi="宋体" w:eastAsia="宋体" w:cs="宋体"/>
          <w:i w:val="0"/>
          <w:iCs w:val="0"/>
          <w:sz w:val="24"/>
          <w:szCs w:val="24"/>
        </w:rPr>
      </w:pPr>
    </w:p>
    <w:p w14:paraId="0320C0FB">
      <w:pPr>
        <w:pStyle w:val="6"/>
        <w:numPr>
          <w:ilvl w:val="0"/>
          <w:numId w:val="1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21E4A2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699E9769">
      <w:pPr>
        <w:pStyle w:val="6"/>
        <w:numPr>
          <w:ilvl w:val="0"/>
          <w:numId w:val="1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D64BC9D">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：申报核算默认引用当前生效版本，可手动指定历史版本做追溯核验。</w:t>
      </w:r>
    </w:p>
    <w:p w14:paraId="38C5CAC7">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变更口径</w:t>
      </w:r>
      <w:r>
        <w:rPr>
          <w:rFonts w:ascii="Times New Roman" w:hAnsi="Times New Roman" w:eastAsia="宋体" w:cs="Times New Roman"/>
          <w:i w:val="0"/>
          <w:color w:val="1F2937"/>
          <w:sz w:val="24"/>
          <w:szCs w:val="24"/>
        </w:rPr>
        <w:t>：法规与默认值变更全程留痕，可追溯变更内容、时间与录入人。</w:t>
      </w:r>
    </w:p>
    <w:p w14:paraId="3164D39D">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引用口径</w:t>
      </w:r>
      <w:r>
        <w:rPr>
          <w:rFonts w:ascii="Times New Roman" w:hAnsi="Times New Roman" w:eastAsia="宋体" w:cs="Times New Roman"/>
          <w:i w:val="0"/>
          <w:color w:val="1F2937"/>
          <w:sz w:val="24"/>
          <w:szCs w:val="24"/>
        </w:rPr>
        <w:t>：知识库条目被核算引擎引用时记录引用日志，保证口径可追溯。</w:t>
      </w:r>
    </w:p>
    <w:p w14:paraId="1DF42277">
      <w:pPr>
        <w:pStyle w:val="6"/>
        <w:numPr>
          <w:ilvl w:val="0"/>
          <w:numId w:val="1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A46CE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ADB0863">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56F566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版本生效区间重叠：前端即时拦截并阻断保存。</w:t>
            </w:r>
          </w:p>
          <w:p w14:paraId="7F45C3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无当前生效版本：核算引擎提示"适用法规版本缺失"，阻断使用默认值。</w:t>
            </w:r>
          </w:p>
          <w:p w14:paraId="010EDD3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附件超限或格式不符：上传即时拒绝。</w:t>
            </w:r>
          </w:p>
          <w:p w14:paraId="1CE88DA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已废止版本被引用：标注"已废止法规"并提示核对最新版本。</w:t>
            </w:r>
          </w:p>
        </w:tc>
      </w:tr>
    </w:tbl>
    <w:p w14:paraId="6ABDADC5">
      <w:pPr>
        <w:spacing w:after="40"/>
        <w:rPr>
          <w:rFonts w:hint="eastAsia" w:ascii="宋体" w:hAnsi="宋体" w:eastAsia="宋体" w:cs="宋体"/>
          <w:i w:val="0"/>
          <w:iCs w:val="0"/>
          <w:sz w:val="24"/>
          <w:szCs w:val="24"/>
        </w:rPr>
      </w:pPr>
    </w:p>
    <w:p w14:paraId="51F08793">
      <w:pPr>
        <w:pStyle w:val="6"/>
        <w:numPr>
          <w:ilvl w:val="0"/>
          <w:numId w:val="18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FE9A26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tc>
      </w:tr>
    </w:tbl>
    <w:p w14:paraId="111CC11B">
      <w:pPr>
        <w:spacing w:after="40"/>
        <w:rPr>
          <w:rFonts w:hint="eastAsia" w:ascii="宋体" w:hAnsi="宋体" w:eastAsia="宋体" w:cs="宋体"/>
          <w:i w:val="0"/>
          <w:iCs w:val="0"/>
          <w:sz w:val="24"/>
          <w:szCs w:val="24"/>
        </w:rPr>
      </w:pPr>
    </w:p>
    <w:p w14:paraId="45F7FC88">
      <w:pPr>
        <w:pStyle w:val="4"/>
        <w:numPr>
          <w:ilvl w:val="0"/>
          <w:numId w:val="144"/>
        </w:numPr>
        <w:topLinePunct w:val="0"/>
        <w:ind w:left="0" w:leftChars="0" w:firstLine="0" w:firstLineChars="0"/>
        <w:outlineLvl w:val="0"/>
        <w:rPr>
          <w:rFonts w:hint="eastAsia" w:eastAsia="黑体"/>
          <w:b w:val="0"/>
          <w:bCs w:val="0"/>
          <w:sz w:val="30"/>
          <w:szCs w:val="32"/>
        </w:rPr>
      </w:pPr>
      <w:bookmarkStart w:id="54" w:name="_Toc23286"/>
      <w:r>
        <w:rPr>
          <w:rFonts w:ascii="Times New Roman" w:hAnsi="Times New Roman" w:eastAsia="黑体" w:cs="Times New Roman"/>
          <w:b w:val="0"/>
          <w:bCs w:val="0"/>
          <w:sz w:val="30"/>
          <w:szCs w:val="32"/>
        </w:rPr>
        <w:t>第三方认证管理</w:t>
      </w:r>
      <w:bookmarkEnd w:id="54"/>
    </w:p>
    <w:p w14:paraId="5123E682">
      <w:pPr>
        <w:pStyle w:val="5"/>
        <w:numPr>
          <w:ilvl w:val="0"/>
          <w:numId w:val="13"/>
        </w:numPr>
        <w:ind w:left="0" w:leftChars="0" w:firstLine="0" w:firstLineChars="0"/>
        <w:outlineLvl w:val="1"/>
        <w:rPr>
          <w:rFonts w:ascii="Times New Roman" w:hAnsi="Times New Roman" w:eastAsia="黑体" w:cs="Times New Roman"/>
          <w:b w:val="0"/>
          <w:bCs w:val="0"/>
          <w:sz w:val="30"/>
          <w:szCs w:val="24"/>
        </w:rPr>
      </w:pPr>
      <w:bookmarkStart w:id="55" w:name="_Toc3187"/>
      <w:r>
        <w:rPr>
          <w:rFonts w:ascii="Times New Roman" w:hAnsi="Times New Roman" w:eastAsia="黑体" w:cs="Times New Roman"/>
          <w:b w:val="0"/>
          <w:bCs w:val="0"/>
          <w:sz w:val="30"/>
          <w:szCs w:val="24"/>
        </w:rPr>
        <w:t>认证资料维护</w:t>
      </w:r>
      <w:bookmarkEnd w:id="55"/>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44"/>
                    <a:stretch>
                      <a:fillRect/>
                    </a:stretch>
                  </pic:blipFill>
                  <pic:spPr>
                    <a:xfrm>
                      <a:off x="0" y="0"/>
                      <a:ext cx="6210300" cy="3079115"/>
                    </a:xfrm>
                    <a:prstGeom prst="rect">
                      <a:avLst/>
                    </a:prstGeom>
                    <a:noFill/>
                    <a:ln>
                      <a:noFill/>
                    </a:ln>
                  </pic:spPr>
                </pic:pic>
              </a:graphicData>
            </a:graphic>
          </wp:inline>
        </w:drawing>
      </w:r>
    </w:p>
    <w:p w14:paraId="3465176A">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A9247AE">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：管理机构认证资料库、第三方在线申请流转、认证证书存证与到期预警，是产品碳足迹权威性的最终背书环节。</w:t>
      </w:r>
    </w:p>
    <w:p w14:paraId="080E8C54">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碳核算工程师（资料提交）、P6 外部独立审计机构（在线核验）、PM（流程管理）。</w:t>
      </w:r>
    </w:p>
    <w:p w14:paraId="510FC546">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/carbon-footprint/certification/material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/apply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/result </w:t>
      </w:r>
      <w:r>
        <w:rPr>
          <w:rFonts w:ascii="Times New Roman" w:hAnsi="Times New Roman" w:eastAsia="宋体" w:cs="Times New Roman"/>
          <w:i w:val="0"/>
          <w:color w:val="1F2937"/>
          <w:sz w:val="24"/>
          <w:szCs w:val="24"/>
        </w:rPr>
        <w:t>。</w:t>
      </w:r>
    </w:p>
    <w:p w14:paraId="5E041BE6">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报告、原始凭证（物料平衡单、绿电发票）、认证机构协同通道。</w:t>
      </w:r>
    </w:p>
    <w:p w14:paraId="0C31C995">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：认证证书存证记录、数字碳标签签发授权。</w:t>
      </w:r>
    </w:p>
    <w:p w14:paraId="25B0AF48">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D96C19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 SGS / TÜV 南德 / 中国方圆等机构发起认证申请，完成在线核验、证书签发与存证，并跟踪证书有效期。</w:t>
      </w:r>
    </w:p>
    <w:p w14:paraId="6CCE6037">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7770F0D">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在线封装 LCA 原始凭证并发起第三方认证申请，跟踪核验流程与证书有效期预警</w:t>
      </w:r>
      <w:r>
        <w:rPr>
          <w:rFonts w:ascii="Times New Roman" w:hAnsi="Times New Roman" w:eastAsia="宋体" w:cs="Times New Roman"/>
          <w:i w:val="0"/>
          <w:color w:val="1F2937"/>
          <w:sz w:val="24"/>
          <w:szCs w:val="24"/>
        </w:rPr>
        <w:t>，</w:t>
      </w:r>
    </w:p>
    <w:p w14:paraId="60D009DC">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我能确保产品碳标签始终基于有效认证，避免过期风险</w:t>
      </w:r>
      <w:r>
        <w:rPr>
          <w:rFonts w:ascii="Times New Roman" w:hAnsi="Times New Roman" w:eastAsia="宋体" w:cs="Times New Roman"/>
          <w:i w:val="0"/>
          <w:color w:val="1F2937"/>
          <w:sz w:val="24"/>
          <w:szCs w:val="24"/>
        </w:rPr>
        <w:t>。</w:t>
      </w:r>
    </w:p>
    <w:p w14:paraId="5DD5DAB2">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认证资料维护：</w:t>
      </w:r>
      <w:r>
        <w:rPr>
          <w:rFonts w:ascii="Times New Roman" w:hAnsi="Times New Roman" w:eastAsia="宋体" w:cs="Times New Roman"/>
          <w:i w:val="0"/>
          <w:color w:val="1F2937"/>
          <w:sz w:val="24"/>
          <w:szCs w:val="24"/>
        </w:rPr>
        <w:t xml:space="preserve"> 全套 LCA 计算原始凭证、物料平衡单与绿电发票在线封装。</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认证申请流转状态机：</w:t>
      </w:r>
    </w:p>
    <w:p w14:paraId="7D9543EE">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流程：受理 → 在线核验（SGS / TÜV 南德 / 中国方圆）→ 签发证书 → 证书存证；核验退回时回到资料维护并记录退回原因。</w:t>
      </w:r>
    </w:p>
    <w:p w14:paraId="39C88AD5">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证书存证字段</w:t>
      </w:r>
      <w:r>
        <w:rPr>
          <w:rFonts w:ascii="Times New Roman" w:hAnsi="Times New Roman" w:eastAsia="宋体" w:cs="Times New Roman"/>
          <w:i w:val="0"/>
          <w:color w:val="1F2937"/>
          <w:sz w:val="24"/>
          <w:szCs w:val="24"/>
        </w:rPr>
        <w:t>：证书流水号、颁证机构、有效期限、标准代号、证书 PDF 存证哈希。</w:t>
      </w:r>
    </w:p>
    <w:p w14:paraId="1B1E8E95">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到期预警</w:t>
      </w:r>
      <w:r>
        <w:rPr>
          <w:rFonts w:ascii="Times New Roman" w:hAnsi="Times New Roman" w:eastAsia="宋体" w:cs="Times New Roman"/>
          <w:i w:val="0"/>
          <w:color w:val="1F2937"/>
          <w:sz w:val="24"/>
          <w:szCs w:val="24"/>
        </w:rPr>
        <w:t>：证书到期前 90 / 30 / 7 天分级预警，到期未续自动标记"已过期"并暂停对应产品碳标签发布。</w:t>
      </w:r>
    </w:p>
    <w:p w14:paraId="7D81E491">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认证机构对接方式（门户上传 / 邮件 / API）。</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认证结果公示与碳标签：</w:t>
      </w:r>
      <w:r>
        <w:rPr>
          <w:rFonts w:ascii="Times New Roman" w:hAnsi="Times New Roman" w:eastAsia="宋体" w:cs="Times New Roman"/>
          <w:i w:val="0"/>
          <w:color w:val="1F2937"/>
          <w:sz w:val="24"/>
          <w:szCs w:val="24"/>
        </w:rPr>
        <w:t xml:space="preserve"> 认证证书结构化存储与公示，授权数字碳标签签发。</w:t>
      </w:r>
    </w:p>
    <w:p w14:paraId="55D9DF47">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5976494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5630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5E1A6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5AF3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1D55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4E99C9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0E5720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56C5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CERT-&lt;年&gt;-&lt;序号&gt; </w:t>
            </w:r>
          </w:p>
        </w:tc>
      </w:tr>
      <w:tr w14:paraId="31F6BFD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6B6C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92F3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094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BE1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5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2F29A7F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1C90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F00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申请机构</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5BEB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84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29D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7234021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A768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745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资料包清单</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B5CF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EC48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167C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原始凭证、物料平衡单、绿电发票均须齐备</w:t>
            </w:r>
          </w:p>
        </w:tc>
      </w:tr>
      <w:tr w14:paraId="625D742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9409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480A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598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3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E33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受理 / 核验中 / 退回 / 已签发 / 已存证</w:t>
            </w:r>
          </w:p>
        </w:tc>
      </w:tr>
      <w:tr w14:paraId="021DBBF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5C98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94B8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退回原因</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6840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470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E081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状态为退回时必填</w:t>
            </w:r>
          </w:p>
        </w:tc>
      </w:tr>
      <w:tr w14:paraId="1F2B3F3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6C8DA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361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CECB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C28B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61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颁证机构下发，唯一</w:t>
            </w:r>
          </w:p>
        </w:tc>
      </w:tr>
      <w:tr w14:paraId="0E2C4AF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BCB0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E7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标准代号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7B47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F9E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FA4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33E547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D105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CBB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EEF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02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313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非空，到期前 90/30/7 天分级预警</w:t>
            </w:r>
          </w:p>
        </w:tc>
      </w:tr>
      <w:tr w14:paraId="407D977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85F8F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A418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C48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FAF9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77B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66AB8DE4">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955B0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64E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预警级别</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51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657D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B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 天 / 30 天 / 7 天 / 已过期</w:t>
            </w:r>
          </w:p>
        </w:tc>
      </w:tr>
    </w:tbl>
    <w:p w14:paraId="3B71CF2D">
      <w:pPr>
        <w:spacing w:after="60"/>
        <w:rPr>
          <w:rFonts w:hint="eastAsia" w:ascii="宋体" w:hAnsi="宋体" w:eastAsia="宋体" w:cs="宋体"/>
          <w:i w:val="0"/>
          <w:iCs w:val="0"/>
          <w:sz w:val="24"/>
          <w:szCs w:val="24"/>
        </w:rPr>
      </w:pPr>
    </w:p>
    <w:p w14:paraId="285D52B7">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CED41E4">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Days_left = ValidUntil - today                    剩余有效天数</w:t>
            </w:r>
          </w:p>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&lt;= 7 ? 7天 : ( Days_left &lt;= 30 ? 30天 : ( Days_left &lt;= 90 ? 90天 : 无 ) )</w:t>
            </w:r>
          </w:p>
          <w:p w14:paraId="3733D10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Days_left &gt; 0 ) AND ( Cert_Hash_Valid == true )</w:t>
            </w:r>
          </w:p>
          <w:p w14:paraId="73DE817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Hash_cert = SHA256( Cert_PDF )                    证书 PDF 存证哈希</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证书过期后 </w:t>
      </w:r>
      <w:r>
        <w:rPr>
          <w:rFonts w:ascii="Times New Roman" w:hAnsi="Times New Roman" w:eastAsia="宋体" w:cs="Times New Roman"/>
          <w:b w:val="0"/>
          <w:i w:val="0"/>
          <w:color w:val="0284C7"/>
          <w:sz w:val="24"/>
          <w:szCs w:val="24"/>
        </w:rPr>
        <w:t xml:space="preserve"> Label_Allowed </w:t>
      </w:r>
      <w:r>
        <w:rPr>
          <w:rFonts w:ascii="Times New Roman" w:hAnsi="Times New Roman" w:eastAsia="宋体" w:cs="Times New Roman"/>
          <w:i w:val="0"/>
          <w:color w:val="1F2937"/>
          <w:sz w:val="24"/>
          <w:szCs w:val="24"/>
        </w:rPr>
        <w:t xml:space="preserve"> 立即置为 false，对应产品碳标签暂停发布；证书 PDF 哈希用于防篡改校验。</w:t>
      </w:r>
    </w:p>
    <w:p w14:paraId="1FCC03B9">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0A0F22">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资料口径</w:t>
      </w:r>
      <w:r>
        <w:rPr>
          <w:rFonts w:ascii="Times New Roman" w:hAnsi="Times New Roman" w:eastAsia="宋体" w:cs="Times New Roman"/>
          <w:i w:val="0"/>
          <w:color w:val="1F2937"/>
          <w:sz w:val="24"/>
          <w:szCs w:val="24"/>
        </w:rPr>
        <w:t>：原始凭证、物料平衡单、绿电发票三类资料齐备方可提交申请。</w:t>
      </w:r>
    </w:p>
    <w:p w14:paraId="7E7C584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：核验退回须记录退回原因并回到资料维护状态，重新提交生成新流水号。</w:t>
      </w:r>
    </w:p>
    <w:p w14:paraId="7041AD1A">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：90/30/7 天三级预警阈值为固定铁律。</w:t>
      </w:r>
    </w:p>
    <w:p w14:paraId="17D8A242">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暂停口径</w:t>
      </w:r>
      <w:r>
        <w:rPr>
          <w:rFonts w:ascii="Times New Roman" w:hAnsi="Times New Roman" w:eastAsia="宋体" w:cs="Times New Roman"/>
          <w:i w:val="0"/>
          <w:color w:val="1F2937"/>
          <w:sz w:val="24"/>
          <w:szCs w:val="24"/>
        </w:rPr>
        <w:t>：证书到期未续，自动标记"已过期"并暂停对应产品碳标签发布。</w:t>
      </w:r>
    </w:p>
    <w:p w14:paraId="2152EEDC">
      <w:pPr>
        <w:pStyle w:val="6"/>
        <w:numPr>
          <w:ilvl w:val="0"/>
          <w:numId w:val="19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0AA506">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资料包不齐备：提交按钮置灰并列出缺失资料清单。</w:t>
            </w:r>
          </w:p>
          <w:p w14:paraId="144D236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报告非已认证：申请入口拦截。</w:t>
            </w:r>
          </w:p>
          <w:p w14:paraId="0CFF50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 PDF 哈希校验失败：触发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，标记"证书已被非法篡改"并锁定单据。</w:t>
            </w:r>
          </w:p>
          <w:p w14:paraId="2796312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证书到期未续：自动暂停碳标签发布，页面标注"已过期"。</w:t>
            </w:r>
          </w:p>
        </w:tc>
      </w:tr>
    </w:tbl>
    <w:p w14:paraId="4088DA81">
      <w:pPr>
        <w:spacing w:after="40"/>
        <w:rPr>
          <w:rFonts w:hint="eastAsia" w:ascii="宋体" w:hAnsi="宋体" w:eastAsia="宋体" w:cs="宋体"/>
          <w:i w:val="0"/>
          <w:iCs w:val="0"/>
          <w:sz w:val="24"/>
          <w:szCs w:val="24"/>
        </w:rPr>
      </w:pPr>
    </w:p>
    <w:p w14:paraId="3F0D530C">
      <w:pPr>
        <w:pStyle w:val="6"/>
        <w:numPr>
          <w:ilvl w:val="0"/>
          <w:numId w:val="19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D0D8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84749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第三方认证管理与证书预警</w:t>
            </w:r>
          </w:p>
          <w:p w14:paraId="3D75A4C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资料齐备性前置校验</w:t>
            </w:r>
          </w:p>
          <w:p w14:paraId="05C24B6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某认证申请尚未上传绿电发票</w:t>
            </w:r>
          </w:p>
          <w:p w14:paraId="555CA0A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尝试提交认证申请</w:t>
            </w:r>
          </w:p>
          <w:p w14:paraId="0FF876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提交按钮置灰不可点击</w:t>
            </w:r>
          </w:p>
          <w:p w14:paraId="68E3F3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页面明确列出缺失资料清单并包含"绿电发票"</w:t>
            </w:r>
          </w:p>
          <w:p w14:paraId="3BAD3986">
            <w:pPr>
              <w:spacing w:before="0" w:after="20" w:line="264" w:lineRule="auto"/>
              <w:rPr>
                <w:rFonts w:hint="eastAsia" w:ascii="宋体" w:hAnsi="宋体" w:eastAsia="宋体" w:cs="宋体"/>
                <w:i w:val="0"/>
                <w:iCs w:val="0"/>
                <w:sz w:val="24"/>
                <w:szCs w:val="24"/>
              </w:rPr>
            </w:pPr>
          </w:p>
          <w:p w14:paraId="44BDD4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4E1835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某认证证书的有效期剩余 25 天</w:t>
            </w:r>
          </w:p>
          <w:p w14:paraId="07E5F1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系统执行每日证书健康检查</w:t>
            </w:r>
          </w:p>
          <w:p w14:paraId="5A09D8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30 天级预警并推送至 P4 与 PM</w:t>
            </w:r>
          </w:p>
          <w:p w14:paraId="38E23D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有效期剩余 5 天</w:t>
            </w:r>
          </w:p>
          <w:p w14:paraId="7BDEC9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7 天级预警</w:t>
            </w:r>
          </w:p>
          <w:p w14:paraId="7613EBE6">
            <w:pPr>
              <w:spacing w:before="0" w:after="20" w:line="264" w:lineRule="auto"/>
              <w:rPr>
                <w:rFonts w:hint="eastAsia" w:ascii="宋体" w:hAnsi="宋体" w:eastAsia="宋体" w:cs="宋体"/>
                <w:i w:val="0"/>
                <w:iCs w:val="0"/>
                <w:sz w:val="24"/>
                <w:szCs w:val="24"/>
              </w:rPr>
            </w:pPr>
          </w:p>
          <w:p w14:paraId="356663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证书过期自动暂停碳标签</w:t>
            </w:r>
          </w:p>
          <w:p w14:paraId="0AFD27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某产品认证证书已于昨日到期且尚未完成续期</w:t>
            </w:r>
          </w:p>
          <w:p w14:paraId="702594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系统尝试发布该产品的数字碳标签</w:t>
            </w:r>
          </w:p>
          <w:p w14:paraId="7B0197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碳标签发布被暂停</w:t>
            </w:r>
          </w:p>
          <w:p w14:paraId="54E903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证书状态自动标记为"已过期"</w:t>
            </w:r>
          </w:p>
          <w:p w14:paraId="71D7ECB9">
            <w:pPr>
              <w:spacing w:before="0" w:after="20" w:line="264" w:lineRule="auto"/>
              <w:rPr>
                <w:rFonts w:hint="eastAsia" w:ascii="宋体" w:hAnsi="宋体" w:eastAsia="宋体" w:cs="宋体"/>
                <w:i w:val="0"/>
                <w:iCs w:val="0"/>
                <w:sz w:val="24"/>
                <w:szCs w:val="24"/>
              </w:rPr>
            </w:pPr>
          </w:p>
          <w:p w14:paraId="0EF9E1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核验退回回到资料维护</w:t>
            </w:r>
          </w:p>
          <w:p w14:paraId="472279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认证机构在在线核验环节退回申请并填写退回原因</w:t>
            </w:r>
          </w:p>
          <w:p w14:paraId="67B9A5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系统处理退回动作</w:t>
            </w:r>
          </w:p>
          <w:p w14:paraId="05606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申请状态回到资料维护环节</w:t>
            </w:r>
          </w:p>
          <w:p w14:paraId="0D235F7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退回原因完整记录且重新提交时生成新的申请流水号</w:t>
            </w:r>
          </w:p>
        </w:tc>
      </w:tr>
    </w:tbl>
    <w:p w14:paraId="5B348932">
      <w:pPr>
        <w:spacing w:after="40"/>
        <w:rPr>
          <w:rFonts w:hint="eastAsia" w:ascii="宋体" w:hAnsi="宋体" w:eastAsia="宋体" w:cs="宋体"/>
          <w:i w:val="0"/>
          <w:iCs w:val="0"/>
          <w:sz w:val="24"/>
          <w:szCs w:val="24"/>
        </w:rPr>
      </w:pPr>
    </w:p>
    <w:p w14:paraId="450C6CF4">
      <w:pPr>
        <w:pStyle w:val="5"/>
        <w:numPr>
          <w:ilvl w:val="0"/>
          <w:numId w:val="13"/>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56" w:name="_Toc6972"/>
      <w:r>
        <w:rPr>
          <w:rFonts w:hint="eastAsia" w:cs="Times New Roman"/>
          <w:b w:val="0"/>
          <w:bCs w:val="0"/>
          <w:sz w:val="30"/>
          <w:szCs w:val="24"/>
          <w:lang w:val="en-US" w:eastAsia="zh-CN"/>
        </w:rPr>
        <w:t>认证申请</w:t>
      </w:r>
      <w:bookmarkEnd w:id="56"/>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45"/>
                    <a:stretch>
                      <a:fillRect/>
                    </a:stretch>
                  </pic:blipFill>
                  <pic:spPr>
                    <a:xfrm>
                      <a:off x="0" y="0"/>
                      <a:ext cx="6118860" cy="3034030"/>
                    </a:xfrm>
                    <a:prstGeom prst="rect">
                      <a:avLst/>
                    </a:prstGeom>
                    <a:noFill/>
                    <a:ln>
                      <a:noFill/>
                    </a:ln>
                  </pic:spPr>
                </pic:pic>
              </a:graphicData>
            </a:graphic>
          </wp:inline>
        </w:drawing>
      </w:r>
    </w:p>
    <w:p w14:paraId="3819448C">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：管理机构认证资料库、第三方在线申请流转、认证证书存证与到期预警，是产品碳足迹权威性的最终背书环节。</w:t>
      </w:r>
    </w:p>
    <w:p w14:paraId="7D29056A">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碳核算工程师（资料提交）、P6 外部独立审计机构（在线核验）、PM（流程管理）。</w:t>
      </w:r>
    </w:p>
    <w:p w14:paraId="3FDEC446">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/carbon-footprint/certification/material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/apply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/result </w:t>
      </w:r>
      <w:r>
        <w:rPr>
          <w:rFonts w:ascii="Times New Roman" w:hAnsi="Times New Roman" w:eastAsia="宋体" w:cs="Times New Roman"/>
          <w:i w:val="0"/>
          <w:color w:val="1F2937"/>
          <w:sz w:val="24"/>
          <w:szCs w:val="24"/>
        </w:rPr>
        <w:t>。</w:t>
      </w:r>
    </w:p>
    <w:p w14:paraId="5D0C7BB8">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报告、原始凭证（物料平衡单、绿电发票）、认证机构协同通道。</w:t>
      </w:r>
    </w:p>
    <w:p w14:paraId="0E295AFF">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：认证证书存证记录、数字碳标签签发授权。</w:t>
      </w:r>
    </w:p>
    <w:p w14:paraId="1A8E39B7">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 SGS / TÜV 南德 / 中国方圆等机构发起认证申请，完成在线核验、证书签发与存证，并跟踪证书有效期。</w:t>
      </w:r>
    </w:p>
    <w:p w14:paraId="0CA9D0E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4869F7B">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在线封装 LCA 原始凭证并发起第三方认证申请，跟踪核验流程与证书有效期预警</w:t>
      </w:r>
      <w:r>
        <w:rPr>
          <w:rFonts w:ascii="Times New Roman" w:hAnsi="Times New Roman" w:eastAsia="宋体" w:cs="Times New Roman"/>
          <w:i w:val="0"/>
          <w:color w:val="1F2937"/>
          <w:sz w:val="24"/>
          <w:szCs w:val="24"/>
        </w:rPr>
        <w:t>，</w:t>
      </w:r>
    </w:p>
    <w:p w14:paraId="5FA5621D">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我能确保产品碳标签始终基于有效认证，避免过期风险</w:t>
      </w:r>
      <w:r>
        <w:rPr>
          <w:rFonts w:ascii="Times New Roman" w:hAnsi="Times New Roman" w:eastAsia="宋体" w:cs="Times New Roman"/>
          <w:i w:val="0"/>
          <w:color w:val="1F2937"/>
          <w:sz w:val="24"/>
          <w:szCs w:val="24"/>
        </w:rPr>
        <w:t>。</w:t>
      </w:r>
    </w:p>
    <w:p w14:paraId="03122919">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认证资料维护：</w:t>
      </w:r>
      <w:r>
        <w:rPr>
          <w:rFonts w:ascii="Times New Roman" w:hAnsi="Times New Roman" w:eastAsia="宋体" w:cs="Times New Roman"/>
          <w:i w:val="0"/>
          <w:color w:val="1F2937"/>
          <w:sz w:val="24"/>
          <w:szCs w:val="24"/>
        </w:rPr>
        <w:t xml:space="preserve"> 全套 LCA 计算原始凭证、物料平衡单与绿电发票在线封装。</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认证申请流转状态机：</w:t>
      </w:r>
    </w:p>
    <w:p w14:paraId="5F1663C8">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流程：受理 → 在线核验（SGS / TÜV 南德 / 中国方圆）→ 签发证书 → 证书存证；核验退回时回到资料维护并记录退回原因。</w:t>
      </w:r>
    </w:p>
    <w:p w14:paraId="550B744B">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证书存证字段</w:t>
      </w:r>
      <w:r>
        <w:rPr>
          <w:rFonts w:ascii="Times New Roman" w:hAnsi="Times New Roman" w:eastAsia="宋体" w:cs="Times New Roman"/>
          <w:i w:val="0"/>
          <w:color w:val="1F2937"/>
          <w:sz w:val="24"/>
          <w:szCs w:val="24"/>
        </w:rPr>
        <w:t>：证书流水号、颁证机构、有效期限、标准代号、证书 PDF 存证哈希。</w:t>
      </w:r>
    </w:p>
    <w:p w14:paraId="0CE6F3C8">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到期预警</w:t>
      </w:r>
      <w:r>
        <w:rPr>
          <w:rFonts w:ascii="Times New Roman" w:hAnsi="Times New Roman" w:eastAsia="宋体" w:cs="Times New Roman"/>
          <w:i w:val="0"/>
          <w:color w:val="1F2937"/>
          <w:sz w:val="24"/>
          <w:szCs w:val="24"/>
        </w:rPr>
        <w:t>：证书到期前 90 / 30 / 7 天分级预警，到期未续自动标记"已过期"并暂停对应产品碳标签发布。</w:t>
      </w:r>
    </w:p>
    <w:p w14:paraId="67FFE47E">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认证机构对接方式（门户上传 / 邮件 / API）。</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认证结果公示与碳标签：</w:t>
      </w:r>
      <w:r>
        <w:rPr>
          <w:rFonts w:ascii="Times New Roman" w:hAnsi="Times New Roman" w:eastAsia="宋体" w:cs="Times New Roman"/>
          <w:i w:val="0"/>
          <w:color w:val="1F2937"/>
          <w:sz w:val="24"/>
          <w:szCs w:val="24"/>
        </w:rPr>
        <w:t xml:space="preserve"> 认证证书结构化存储与公示，授权数字碳标签签发。</w:t>
      </w:r>
    </w:p>
    <w:p w14:paraId="0E860BD2">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64090C0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36DB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4540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B8DAA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176CC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1229D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8B7DF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EBB4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B4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398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D184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9B55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CERT-&lt;年&gt;-&lt;序号&gt; </w:t>
            </w:r>
          </w:p>
        </w:tc>
      </w:tr>
      <w:tr w14:paraId="510F08C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40F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946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1814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74B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E3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019E046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235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D976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申请机构</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6D8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211A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6383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001BBA1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F5E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17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资料包清单</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FFF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8F2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DB5F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原始凭证、物料平衡单、绿电发票均须齐备</w:t>
            </w:r>
          </w:p>
        </w:tc>
      </w:tr>
      <w:tr w14:paraId="100C869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1544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253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13F8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CDF2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0D83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受理 / 核验中 / 退回 / 已签发 / 已存证</w:t>
            </w:r>
          </w:p>
        </w:tc>
      </w:tr>
      <w:tr w14:paraId="37BDD51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89B87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E4C4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退回原因</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A9E4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286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8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状态为退回时必填</w:t>
            </w:r>
          </w:p>
        </w:tc>
      </w:tr>
      <w:tr w14:paraId="4474FD2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F542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4AD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5AC4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96A2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099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颁证机构下发，唯一</w:t>
            </w:r>
          </w:p>
        </w:tc>
      </w:tr>
      <w:tr w14:paraId="457B973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797F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DA62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标准代号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AB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A1C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F2AA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08A44E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0D77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509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167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3B48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F5D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非空，到期前 90/30/7 天分级预警</w:t>
            </w:r>
          </w:p>
        </w:tc>
      </w:tr>
      <w:tr w14:paraId="7B25F63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4C6D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DBB0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2E3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95B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6E3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45563B1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03A6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1D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预警级别</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020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D96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DEB6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 天 / 30 天 / 7 天 / 已过期</w:t>
            </w:r>
          </w:p>
        </w:tc>
      </w:tr>
    </w:tbl>
    <w:p w14:paraId="13FCADF3">
      <w:pPr>
        <w:spacing w:after="60"/>
        <w:rPr>
          <w:rFonts w:hint="eastAsia" w:ascii="宋体" w:hAnsi="宋体" w:eastAsia="宋体" w:cs="宋体"/>
          <w:i w:val="0"/>
          <w:iCs w:val="0"/>
          <w:sz w:val="24"/>
          <w:szCs w:val="24"/>
        </w:rPr>
      </w:pPr>
    </w:p>
    <w:p w14:paraId="481AE1DA">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5EB8FA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Days_left = ValidUntil - today                    剩余有效天数</w:t>
            </w:r>
          </w:p>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&lt;= 7 ? 7天 : ( Days_left &lt;= 30 ? 30天 : ( Days_left &lt;= 90 ? 90天 : 无 ) )</w:t>
            </w:r>
          </w:p>
          <w:p w14:paraId="2D185AA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Days_left &gt; 0 ) AND ( Cert_Hash_Valid == true )</w:t>
            </w:r>
          </w:p>
          <w:p w14:paraId="30678B1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Hash_cert = SHA256( Cert_PDF )                    证书 PDF 存证哈希</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证书过期后 </w:t>
      </w:r>
      <w:r>
        <w:rPr>
          <w:rFonts w:ascii="Times New Roman" w:hAnsi="Times New Roman" w:eastAsia="宋体" w:cs="Times New Roman"/>
          <w:b w:val="0"/>
          <w:i w:val="0"/>
          <w:color w:val="0284C7"/>
          <w:sz w:val="24"/>
          <w:szCs w:val="24"/>
        </w:rPr>
        <w:t xml:space="preserve"> Label_Allowed </w:t>
      </w:r>
      <w:r>
        <w:rPr>
          <w:rFonts w:ascii="Times New Roman" w:hAnsi="Times New Roman" w:eastAsia="宋体" w:cs="Times New Roman"/>
          <w:i w:val="0"/>
          <w:color w:val="1F2937"/>
          <w:sz w:val="24"/>
          <w:szCs w:val="24"/>
        </w:rPr>
        <w:t xml:space="preserve"> 立即置为 false，对应产品碳标签暂停发布；证书 PDF 哈希用于防篡改校验。</w:t>
      </w:r>
    </w:p>
    <w:p w14:paraId="405CA444">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165C81">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资料口径</w:t>
      </w:r>
      <w:r>
        <w:rPr>
          <w:rFonts w:ascii="Times New Roman" w:hAnsi="Times New Roman" w:eastAsia="宋体" w:cs="Times New Roman"/>
          <w:i w:val="0"/>
          <w:color w:val="1F2937"/>
          <w:sz w:val="24"/>
          <w:szCs w:val="24"/>
        </w:rPr>
        <w:t>：原始凭证、物料平衡单、绿电发票三类资料齐备方可提交申请。</w:t>
      </w:r>
    </w:p>
    <w:p w14:paraId="46A4CB7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：核验退回须记录退回原因并回到资料维护状态，重新提交生成新流水号。</w:t>
      </w:r>
    </w:p>
    <w:p w14:paraId="676E3376">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：90/30/7 天三级预警阈值为固定铁律。</w:t>
      </w:r>
    </w:p>
    <w:p w14:paraId="722D3AF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暂停口径</w:t>
      </w:r>
      <w:r>
        <w:rPr>
          <w:rFonts w:ascii="Times New Roman" w:hAnsi="Times New Roman" w:eastAsia="宋体" w:cs="Times New Roman"/>
          <w:i w:val="0"/>
          <w:color w:val="1F2937"/>
          <w:sz w:val="24"/>
          <w:szCs w:val="24"/>
        </w:rPr>
        <w:t>：证书到期未续，自动标记"已过期"并暂停对应产品碳标签发布。</w:t>
      </w:r>
    </w:p>
    <w:p w14:paraId="76867CDC">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723DDBF">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资料包不齐备：提交按钮置灰并列出缺失资料清单。</w:t>
            </w:r>
          </w:p>
          <w:p w14:paraId="781D82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报告非已认证：申请入口拦截。</w:t>
            </w:r>
          </w:p>
          <w:p w14:paraId="01CA6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 PDF 哈希校验失败：触发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，标记"证书已被非法篡改"并锁定单据。</w:t>
            </w:r>
          </w:p>
          <w:p w14:paraId="4A3999C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证书到期未续：自动暂停碳标签发布，页面标注"已过期"。</w:t>
            </w:r>
          </w:p>
        </w:tc>
      </w:tr>
    </w:tbl>
    <w:p w14:paraId="55A46698">
      <w:pPr>
        <w:spacing w:after="40"/>
        <w:rPr>
          <w:rFonts w:hint="eastAsia" w:ascii="宋体" w:hAnsi="宋体" w:eastAsia="宋体" w:cs="宋体"/>
          <w:i w:val="0"/>
          <w:iCs w:val="0"/>
          <w:sz w:val="24"/>
          <w:szCs w:val="24"/>
        </w:rPr>
      </w:pPr>
    </w:p>
    <w:p w14:paraId="35A4123D">
      <w:pPr>
        <w:pStyle w:val="6"/>
        <w:numPr>
          <w:ilvl w:val="0"/>
          <w:numId w:val="19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96E5E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42AB243">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第三方认证管理与证书预警</w:t>
            </w:r>
          </w:p>
          <w:p w14:paraId="2D5751C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资料齐备性前置校验</w:t>
            </w:r>
          </w:p>
          <w:p w14:paraId="46EC525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某认证申请尚未上传绿电发票</w:t>
            </w:r>
          </w:p>
          <w:p w14:paraId="156503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尝试提交认证申请</w:t>
            </w:r>
          </w:p>
          <w:p w14:paraId="5EB7E20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提交按钮置灰不可点击</w:t>
            </w:r>
          </w:p>
          <w:p w14:paraId="2CC35F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页面明确列出缺失资料清单并包含"绿电发票"</w:t>
            </w:r>
          </w:p>
          <w:p w14:paraId="72946795">
            <w:pPr>
              <w:spacing w:before="0" w:after="20" w:line="264" w:lineRule="auto"/>
              <w:rPr>
                <w:rFonts w:hint="eastAsia" w:ascii="宋体" w:hAnsi="宋体" w:eastAsia="宋体" w:cs="宋体"/>
                <w:i w:val="0"/>
                <w:iCs w:val="0"/>
                <w:sz w:val="24"/>
                <w:szCs w:val="24"/>
              </w:rPr>
            </w:pPr>
          </w:p>
          <w:p w14:paraId="77A77A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24669A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某认证证书的有效期剩余 25 天</w:t>
            </w:r>
          </w:p>
          <w:p w14:paraId="55CC22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系统执行每日证书健康检查</w:t>
            </w:r>
          </w:p>
          <w:p w14:paraId="75CA10C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30 天级预警并推送至 P4 与 PM</w:t>
            </w:r>
          </w:p>
          <w:p w14:paraId="1C59E3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有效期剩余 5 天</w:t>
            </w:r>
          </w:p>
          <w:p w14:paraId="24FADF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7 天级预警</w:t>
            </w:r>
          </w:p>
          <w:p w14:paraId="45BF7605">
            <w:pPr>
              <w:spacing w:before="0" w:after="20" w:line="264" w:lineRule="auto"/>
              <w:rPr>
                <w:rFonts w:hint="eastAsia" w:ascii="宋体" w:hAnsi="宋体" w:eastAsia="宋体" w:cs="宋体"/>
                <w:i w:val="0"/>
                <w:iCs w:val="0"/>
                <w:sz w:val="24"/>
                <w:szCs w:val="24"/>
              </w:rPr>
            </w:pPr>
          </w:p>
          <w:p w14:paraId="15335F1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证书过期自动暂停碳标签</w:t>
            </w:r>
          </w:p>
          <w:p w14:paraId="3DD8CB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某产品认证证书已于昨日到期且尚未完成续期</w:t>
            </w:r>
          </w:p>
          <w:p w14:paraId="2B9356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系统尝试发布该产品的数字碳标签</w:t>
            </w:r>
          </w:p>
          <w:p w14:paraId="2250E21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碳标签发布被暂停</w:t>
            </w:r>
          </w:p>
          <w:p w14:paraId="57629A1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证书状态自动标记为"已过期"</w:t>
            </w:r>
          </w:p>
          <w:p w14:paraId="0BF89AC7">
            <w:pPr>
              <w:spacing w:before="0" w:after="20" w:line="264" w:lineRule="auto"/>
              <w:rPr>
                <w:rFonts w:hint="eastAsia" w:ascii="宋体" w:hAnsi="宋体" w:eastAsia="宋体" w:cs="宋体"/>
                <w:i w:val="0"/>
                <w:iCs w:val="0"/>
                <w:sz w:val="24"/>
                <w:szCs w:val="24"/>
              </w:rPr>
            </w:pPr>
          </w:p>
          <w:p w14:paraId="2723833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核验退回回到资料维护</w:t>
            </w:r>
          </w:p>
          <w:p w14:paraId="106EC74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认证机构在在线核验环节退回申请并填写退回原因</w:t>
            </w:r>
          </w:p>
          <w:p w14:paraId="74A754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系统处理退回动作</w:t>
            </w:r>
          </w:p>
          <w:p w14:paraId="06E46C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申请状态回到资料维护环节</w:t>
            </w:r>
          </w:p>
          <w:p w14:paraId="297A88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退回原因完整记录且重新提交时生成新的申请流水号</w:t>
            </w:r>
          </w:p>
        </w:tc>
      </w:tr>
    </w:tbl>
    <w:p w14:paraId="656C8D1A">
      <w:pPr>
        <w:spacing w:after="40"/>
        <w:rPr>
          <w:rFonts w:hint="eastAsia" w:ascii="宋体" w:hAnsi="宋体" w:eastAsia="宋体" w:cs="宋体"/>
          <w:i w:val="0"/>
          <w:iCs w:val="0"/>
          <w:sz w:val="24"/>
          <w:szCs w:val="24"/>
        </w:rPr>
      </w:pPr>
    </w:p>
    <w:p w14:paraId="5EE86900">
      <w:pPr>
        <w:pStyle w:val="5"/>
        <w:numPr>
          <w:ilvl w:val="0"/>
          <w:numId w:val="13"/>
        </w:numPr>
        <w:ind w:left="0" w:leftChars="0" w:firstLine="0" w:firstLineChars="0"/>
        <w:outlineLvl w:val="1"/>
        <w:rPr>
          <w:rFonts w:hint="default" w:ascii="Times New Roman" w:hAnsi="Times New Roman" w:eastAsia="黑体" w:cs="Times New Roman"/>
          <w:b w:val="0"/>
          <w:bCs w:val="0"/>
          <w:sz w:val="30"/>
          <w:szCs w:val="24"/>
          <w:lang w:val="en-US" w:eastAsia="zh-CN"/>
        </w:rPr>
      </w:pPr>
      <w:bookmarkStart w:id="57" w:name="_Toc18704"/>
      <w:r>
        <w:rPr>
          <w:rFonts w:hint="eastAsia" w:cs="Times New Roman"/>
          <w:b w:val="0"/>
          <w:bCs w:val="0"/>
          <w:sz w:val="30"/>
          <w:szCs w:val="24"/>
          <w:lang w:val="en-US" w:eastAsia="zh-CN"/>
        </w:rPr>
        <w:t>认证结果管理</w:t>
      </w:r>
      <w:bookmarkEnd w:id="57"/>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6"/>
                    <a:stretch>
                      <a:fillRect/>
                    </a:stretch>
                  </pic:blipFill>
                  <pic:spPr>
                    <a:xfrm>
                      <a:off x="0" y="0"/>
                      <a:ext cx="6118860" cy="3034030"/>
                    </a:xfrm>
                    <a:prstGeom prst="rect">
                      <a:avLst/>
                    </a:prstGeom>
                    <a:noFill/>
                    <a:ln>
                      <a:noFill/>
                    </a:ln>
                  </pic:spPr>
                </pic:pic>
              </a:graphicData>
            </a:graphic>
          </wp:inline>
        </w:drawing>
      </w:r>
    </w:p>
    <w:p w14:paraId="13EB1A78">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：管理机构认证资料库、第三方在线申请流转、认证证书存证与到期预警，是产品碳足迹权威性的最终背书环节。</w:t>
      </w:r>
    </w:p>
    <w:p w14:paraId="6AC0DFB5">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碳核算工程师（资料提交）、P6 外部独立审计机构（在线核验）、PM（流程管理）。</w:t>
      </w:r>
    </w:p>
    <w:p w14:paraId="33309CBD">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/carbon-footprint/certification/material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/apply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/result </w:t>
      </w:r>
      <w:r>
        <w:rPr>
          <w:rFonts w:ascii="Times New Roman" w:hAnsi="Times New Roman" w:eastAsia="宋体" w:cs="Times New Roman"/>
          <w:i w:val="0"/>
          <w:color w:val="1F2937"/>
          <w:sz w:val="24"/>
          <w:szCs w:val="24"/>
        </w:rPr>
        <w:t>。</w:t>
      </w:r>
    </w:p>
    <w:p w14:paraId="000C968B">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报告、原始凭证（物料平衡单、绿电发票）、认证机构协同通道。</w:t>
      </w:r>
    </w:p>
    <w:p w14:paraId="7BCB2E75">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：认证证书存证记录、数字碳标签签发授权。</w:t>
      </w:r>
    </w:p>
    <w:p w14:paraId="5ED1C095">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 SGS / TÜV 南德 / 中国方圆等机构发起认证申请，完成在线核验、证书签发与存证，并跟踪证书有效期。</w:t>
      </w:r>
    </w:p>
    <w:p w14:paraId="5200BD1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2066914">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在线封装 LCA 原始凭证并发起第三方认证申请，跟踪核验流程与证书有效期预警</w:t>
      </w:r>
      <w:r>
        <w:rPr>
          <w:rFonts w:ascii="Times New Roman" w:hAnsi="Times New Roman" w:eastAsia="宋体" w:cs="Times New Roman"/>
          <w:i w:val="0"/>
          <w:color w:val="1F2937"/>
          <w:sz w:val="24"/>
          <w:szCs w:val="24"/>
        </w:rPr>
        <w:t>，</w:t>
      </w:r>
    </w:p>
    <w:p w14:paraId="08BF06EA">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我能确保产品碳标签始终基于有效认证，避免过期风险</w:t>
      </w:r>
      <w:r>
        <w:rPr>
          <w:rFonts w:ascii="Times New Roman" w:hAnsi="Times New Roman" w:eastAsia="宋体" w:cs="Times New Roman"/>
          <w:i w:val="0"/>
          <w:color w:val="1F2937"/>
          <w:sz w:val="24"/>
          <w:szCs w:val="24"/>
        </w:rPr>
        <w:t>。</w:t>
      </w:r>
    </w:p>
    <w:p w14:paraId="1644A62C">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认证资料维护：</w:t>
      </w:r>
      <w:r>
        <w:rPr>
          <w:rFonts w:ascii="Times New Roman" w:hAnsi="Times New Roman" w:eastAsia="宋体" w:cs="Times New Roman"/>
          <w:i w:val="0"/>
          <w:color w:val="1F2937"/>
          <w:sz w:val="24"/>
          <w:szCs w:val="24"/>
        </w:rPr>
        <w:t xml:space="preserve"> 全套 LCA 计算原始凭证、物料平衡单与绿电发票在线封装。</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认证申请流转状态机：</w:t>
      </w:r>
    </w:p>
    <w:p w14:paraId="1DAEE333">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流程：受理 → 在线核验（SGS / TÜV 南德 / 中国方圆）→ 签发证书 → 证书存证；核验退回时回到资料维护并记录退回原因。</w:t>
      </w:r>
    </w:p>
    <w:p w14:paraId="3817ADF4">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证书存证字段</w:t>
      </w:r>
      <w:r>
        <w:rPr>
          <w:rFonts w:ascii="Times New Roman" w:hAnsi="Times New Roman" w:eastAsia="宋体" w:cs="Times New Roman"/>
          <w:i w:val="0"/>
          <w:color w:val="1F2937"/>
          <w:sz w:val="24"/>
          <w:szCs w:val="24"/>
        </w:rPr>
        <w:t>：证书流水号、颁证机构、有效期限、标准代号、证书 PDF 存证哈希。</w:t>
      </w:r>
    </w:p>
    <w:p w14:paraId="07FD133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到期预警</w:t>
      </w:r>
      <w:r>
        <w:rPr>
          <w:rFonts w:ascii="Times New Roman" w:hAnsi="Times New Roman" w:eastAsia="宋体" w:cs="Times New Roman"/>
          <w:i w:val="0"/>
          <w:color w:val="1F2937"/>
          <w:sz w:val="24"/>
          <w:szCs w:val="24"/>
        </w:rPr>
        <w:t>：证书到期前 90 / 30 / 7 天分级预警，到期未续自动标记"已过期"并暂停对应产品碳标签发布。</w:t>
      </w:r>
    </w:p>
    <w:p w14:paraId="3AA5530F">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认证机构对接方式（门户上传 / 邮件 / API）。</w:t>
      </w:r>
    </w:p>
    <w:p w14:paraId="0C39C8A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认证结果公示与碳标签：</w:t>
      </w:r>
      <w:r>
        <w:rPr>
          <w:rFonts w:ascii="Times New Roman" w:hAnsi="Times New Roman" w:eastAsia="宋体" w:cs="Times New Roman"/>
          <w:i w:val="0"/>
          <w:color w:val="1F2937"/>
          <w:sz w:val="24"/>
          <w:szCs w:val="24"/>
        </w:rPr>
        <w:t xml:space="preserve"> 认证证书结构化存储与公示，授权数字碳标签签发。</w:t>
      </w:r>
    </w:p>
    <w:p w14:paraId="7FEC6372">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148B3BF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8047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75B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86FCE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CC0A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B1DA2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414652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D0A8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1108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13A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438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2593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CERT-&lt;年&gt;-&lt;序号&gt; </w:t>
            </w:r>
          </w:p>
        </w:tc>
      </w:tr>
      <w:tr w14:paraId="0E7B476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6FB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CB53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89E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042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E51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36F6124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2A20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64C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申请机构</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5ACC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7DAD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889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1BC35AB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7D1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AB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资料包清单</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C16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F2C0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B60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原始凭证、物料平衡单、绿电发票均须齐备</w:t>
            </w:r>
          </w:p>
        </w:tc>
      </w:tr>
      <w:tr w14:paraId="75E6BF95">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AE118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546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B1CB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26E0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B1E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受理 / 核验中 / 退回 / 已签发 / 已存证</w:t>
            </w:r>
          </w:p>
        </w:tc>
      </w:tr>
      <w:tr w14:paraId="6F9C358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ADA8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86D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退回原因</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F48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62A4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F7B4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状态为退回时必填</w:t>
            </w:r>
          </w:p>
        </w:tc>
      </w:tr>
      <w:tr w14:paraId="5FE3F36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9F9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2A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8081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5526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8B3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颁证机构下发，唯一</w:t>
            </w:r>
          </w:p>
        </w:tc>
      </w:tr>
      <w:tr w14:paraId="77A4EF4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380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83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标准代号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EE7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68F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BD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58A0DF2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8A3A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B249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41B8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6E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E9D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非空，到期前 90/30/7 天分级预警</w:t>
            </w:r>
          </w:p>
        </w:tc>
      </w:tr>
      <w:tr w14:paraId="1CE8B6D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F5DC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D1B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4D0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37A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5D84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31C2587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B9C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E570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预警级别</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E039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AC4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728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 天 / 30 天 / 7 天 / 已过期</w:t>
            </w:r>
          </w:p>
        </w:tc>
      </w:tr>
    </w:tbl>
    <w:p w14:paraId="50D491BF">
      <w:pPr>
        <w:spacing w:after="60"/>
        <w:rPr>
          <w:rFonts w:hint="eastAsia" w:ascii="宋体" w:hAnsi="宋体" w:eastAsia="宋体" w:cs="宋体"/>
          <w:i w:val="0"/>
          <w:iCs w:val="0"/>
          <w:sz w:val="24"/>
          <w:szCs w:val="24"/>
        </w:rPr>
      </w:pPr>
    </w:p>
    <w:p w14:paraId="6C0B942B">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E7397B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r>
              <w:rPr>
                <w:rFonts w:hint="eastAsia" w:ascii="宋体" w:hAnsi="宋体" w:eastAsia="宋体" w:cs="宋体"/>
                <w:b/>
                <w:i w:val="0"/>
                <w:iCs w:val="0"/>
                <w:color w:val="1E3A8A"/>
                <w:sz w:val="24"/>
                <w:szCs w:val="24"/>
              </w:rPr>
              <w:t>Days_left = ValidUntil - today                    剩余有效天数</w:t>
            </w:r>
          </w:p>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&lt;= 7 ? 7天 : ( Days_left &lt;= 30 ? 30天 : ( Days_left &lt;= 90 ? 90天 : 无 ) )</w:t>
            </w:r>
          </w:p>
          <w:p w14:paraId="430F72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Days_left &gt; 0 ) AND ( Cert_Hash_Valid == true )</w:t>
            </w:r>
          </w:p>
          <w:p w14:paraId="028FC2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Hash_cert = SHA256( Cert_PDF )                    证书 PDF 存证哈希</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证书过期后 </w:t>
      </w:r>
      <w:r>
        <w:rPr>
          <w:rFonts w:ascii="Times New Roman" w:hAnsi="Times New Roman" w:eastAsia="宋体" w:cs="Times New Roman"/>
          <w:b w:val="0"/>
          <w:i w:val="0"/>
          <w:color w:val="0284C7"/>
          <w:sz w:val="24"/>
          <w:szCs w:val="24"/>
        </w:rPr>
        <w:t xml:space="preserve"> Label_Allowed </w:t>
      </w:r>
      <w:r>
        <w:rPr>
          <w:rFonts w:ascii="Times New Roman" w:hAnsi="Times New Roman" w:eastAsia="宋体" w:cs="Times New Roman"/>
          <w:i w:val="0"/>
          <w:color w:val="1F2937"/>
          <w:sz w:val="24"/>
          <w:szCs w:val="24"/>
        </w:rPr>
        <w:t xml:space="preserve"> 立即置为 false，对应产品碳标签暂停发布；证书 PDF 哈希用于防篡改校验。</w:t>
      </w:r>
    </w:p>
    <w:p w14:paraId="2C84ED44">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6F01D81">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资料口径</w:t>
      </w:r>
      <w:r>
        <w:rPr>
          <w:rFonts w:ascii="Times New Roman" w:hAnsi="Times New Roman" w:eastAsia="宋体" w:cs="Times New Roman"/>
          <w:i w:val="0"/>
          <w:color w:val="1F2937"/>
          <w:sz w:val="24"/>
          <w:szCs w:val="24"/>
        </w:rPr>
        <w:t>：原始凭证、物料平衡单、绿电发票三类资料齐备方可提交申请。</w:t>
      </w:r>
    </w:p>
    <w:p w14:paraId="0EF461F9">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：核验退回须记录退回原因并回到资料维护状态，重新提交生成新流水号。</w:t>
      </w:r>
    </w:p>
    <w:p w14:paraId="0154CA0F">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：90/30/7 天三级预警阈值为固定铁律。</w:t>
      </w:r>
    </w:p>
    <w:p w14:paraId="4DDCF879">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暂停口径</w:t>
      </w:r>
      <w:r>
        <w:rPr>
          <w:rFonts w:ascii="Times New Roman" w:hAnsi="Times New Roman" w:eastAsia="宋体" w:cs="Times New Roman"/>
          <w:i w:val="0"/>
          <w:color w:val="1F2937"/>
          <w:sz w:val="24"/>
          <w:szCs w:val="24"/>
        </w:rPr>
        <w:t>：证书到期未续，自动标记"已过期"并暂停对应产品碳标签发布。</w:t>
      </w:r>
    </w:p>
    <w:p w14:paraId="6871A47B">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5B84911">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p>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资料包不齐备：提交按钮置灰并列出缺失资料清单。</w:t>
            </w:r>
          </w:p>
          <w:p w14:paraId="2FD4B0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报告非已认证：申请入口拦截。</w:t>
            </w:r>
          </w:p>
          <w:p w14:paraId="6561DC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 PDF 哈希校验失败：触发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，标记"证书已被非法篡改"并锁定单据。</w:t>
            </w:r>
          </w:p>
          <w:p w14:paraId="07C3FD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证书到期未续：自动暂停碳标签发布，页面标注"已过期"。</w:t>
            </w:r>
          </w:p>
        </w:tc>
      </w:tr>
    </w:tbl>
    <w:p w14:paraId="419BF54E">
      <w:pPr>
        <w:spacing w:after="40"/>
        <w:rPr>
          <w:rFonts w:hint="eastAsia" w:ascii="宋体" w:hAnsi="宋体" w:eastAsia="宋体" w:cs="宋体"/>
          <w:i w:val="0"/>
          <w:iCs w:val="0"/>
          <w:sz w:val="24"/>
          <w:szCs w:val="24"/>
        </w:rPr>
      </w:pPr>
    </w:p>
    <w:p w14:paraId="18C8B562">
      <w:pPr>
        <w:pStyle w:val="6"/>
        <w:numPr>
          <w:ilvl w:val="0"/>
          <w:numId w:val="20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DF401A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B5309C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r>
              <w:rPr>
                <w:rFonts w:hint="eastAsia" w:ascii="宋体" w:hAnsi="宋体" w:eastAsia="宋体" w:cs="宋体"/>
                <w:b/>
                <w:i w:val="0"/>
                <w:iCs w:val="0"/>
                <w:color w:val="1E3A8A"/>
                <w:sz w:val="24"/>
                <w:szCs w:val="24"/>
              </w:rPr>
              <w:t>Feature: 第三方认证管理与证书预警</w:t>
            </w:r>
          </w:p>
          <w:p w14:paraId="6530E2E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资料齐备性前置校验</w:t>
            </w:r>
          </w:p>
          <w:p w14:paraId="28B5ED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某认证申请尚未上传绿电发票</w:t>
            </w:r>
          </w:p>
          <w:p w14:paraId="095CA7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尝试提交认证申请</w:t>
            </w:r>
          </w:p>
          <w:p w14:paraId="476237E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提交按钮置灰不可点击</w:t>
            </w:r>
          </w:p>
          <w:p w14:paraId="72BD13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页面明确列出缺失资料清单并包含"绿电发票"</w:t>
            </w:r>
          </w:p>
          <w:p w14:paraId="7BFF09E6">
            <w:pPr>
              <w:spacing w:before="0" w:after="20" w:line="264" w:lineRule="auto"/>
              <w:rPr>
                <w:rFonts w:hint="eastAsia" w:ascii="宋体" w:hAnsi="宋体" w:eastAsia="宋体" w:cs="宋体"/>
                <w:i w:val="0"/>
                <w:iCs w:val="0"/>
                <w:sz w:val="24"/>
                <w:szCs w:val="24"/>
              </w:rPr>
            </w:pPr>
          </w:p>
          <w:p w14:paraId="581A0C0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1B1A98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某认证证书的有效期剩余 25 天</w:t>
            </w:r>
          </w:p>
          <w:p w14:paraId="48C96FD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系统执行每日证书健康检查</w:t>
            </w:r>
          </w:p>
          <w:p w14:paraId="2D788C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30 天级预警并推送至 P4 与 PM</w:t>
            </w:r>
          </w:p>
          <w:p w14:paraId="0CF9E0F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有效期剩余 5 天</w:t>
            </w:r>
          </w:p>
          <w:p w14:paraId="5F735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7 天级预警</w:t>
            </w:r>
          </w:p>
          <w:p w14:paraId="57CC88CD">
            <w:pPr>
              <w:spacing w:before="0" w:after="20" w:line="264" w:lineRule="auto"/>
              <w:rPr>
                <w:rFonts w:hint="eastAsia" w:ascii="宋体" w:hAnsi="宋体" w:eastAsia="宋体" w:cs="宋体"/>
                <w:i w:val="0"/>
                <w:iCs w:val="0"/>
                <w:sz w:val="24"/>
                <w:szCs w:val="24"/>
              </w:rPr>
            </w:pPr>
          </w:p>
          <w:p w14:paraId="6FDFB0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证书过期自动暂停碳标签</w:t>
            </w:r>
          </w:p>
          <w:p w14:paraId="0AB8C16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某产品认证证书已于昨日到期且尚未完成续期</w:t>
            </w:r>
          </w:p>
          <w:p w14:paraId="6AF55D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系统尝试发布该产品的数字碳标签</w:t>
            </w:r>
          </w:p>
          <w:p w14:paraId="1CE58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碳标签发布被暂停</w:t>
            </w:r>
          </w:p>
          <w:p w14:paraId="1BA9B4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证书状态自动标记为"已过期"</w:t>
            </w:r>
          </w:p>
          <w:p w14:paraId="6F3939D2">
            <w:pPr>
              <w:spacing w:before="0" w:after="20" w:line="264" w:lineRule="auto"/>
              <w:rPr>
                <w:rFonts w:hint="eastAsia" w:ascii="宋体" w:hAnsi="宋体" w:eastAsia="宋体" w:cs="宋体"/>
                <w:i w:val="0"/>
                <w:iCs w:val="0"/>
                <w:sz w:val="24"/>
                <w:szCs w:val="24"/>
              </w:rPr>
            </w:pPr>
          </w:p>
          <w:p w14:paraId="1697970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核验退回回到资料维护</w:t>
            </w:r>
          </w:p>
          <w:p w14:paraId="050854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认证机构在在线核验环节退回申请并填写退回原因</w:t>
            </w:r>
          </w:p>
          <w:p w14:paraId="1434584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系统处理退回动作</w:t>
            </w:r>
          </w:p>
          <w:p w14:paraId="6380C87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申请状态回到资料维护环节</w:t>
            </w:r>
          </w:p>
          <w:p w14:paraId="5D0A08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退回原因完整记录且重新提交时生成新的申请流水号</w:t>
            </w:r>
          </w:p>
        </w:tc>
      </w:tr>
    </w:tbl>
    <w:p w14:paraId="7B206D1E">
      <w:pPr>
        <w:spacing w:after="40"/>
        <w:rPr>
          <w:rFonts w:hint="eastAsia" w:ascii="宋体" w:hAnsi="宋体" w:eastAsia="宋体" w:cs="宋体"/>
          <w:i w:val="0"/>
          <w:iCs w:val="0"/>
          <w:sz w:val="24"/>
          <w:szCs w:val="24"/>
        </w:rPr>
      </w:pPr>
    </w:p>
    <w:p w14:paraId="50FD4253">
      <w:pPr>
        <w:pStyle w:val="4"/>
        <w:numPr>
          <w:ilvl w:val="0"/>
          <w:numId w:val="144"/>
        </w:numPr>
        <w:topLinePunct w:val="0"/>
        <w:ind w:left="0" w:leftChars="0" w:firstLine="0" w:firstLineChars="0"/>
        <w:outlineLvl w:val="0"/>
        <w:rPr>
          <w:rFonts w:hint="eastAsia" w:eastAsia="黑体"/>
          <w:b w:val="0"/>
          <w:bCs w:val="0"/>
          <w:sz w:val="30"/>
          <w:szCs w:val="32"/>
        </w:rPr>
      </w:pPr>
      <w:bookmarkStart w:id="58" w:name="_Toc9528"/>
      <w:r>
        <w:rPr>
          <w:rFonts w:ascii="Times New Roman" w:hAnsi="Times New Roman" w:eastAsia="黑体" w:cs="Times New Roman"/>
          <w:b w:val="0"/>
          <w:bCs w:val="0"/>
          <w:sz w:val="30"/>
          <w:szCs w:val="32"/>
        </w:rPr>
        <w:t>因子库管理</w:t>
      </w:r>
      <w:bookmarkEnd w:id="58"/>
    </w:p>
    <w:p w14:paraId="5DF00DA9">
      <w:pPr>
        <w:pStyle w:val="5"/>
        <w:numPr>
          <w:ilvl w:val="0"/>
          <w:numId w:val="13"/>
        </w:numPr>
        <w:ind w:left="0" w:leftChars="0" w:firstLine="0" w:firstLineChars="0"/>
        <w:outlineLvl w:val="1"/>
        <w:rPr>
          <w:rFonts w:ascii="Times New Roman" w:hAnsi="Times New Roman" w:eastAsia="黑体" w:cs="Times New Roman"/>
          <w:b w:val="0"/>
          <w:bCs w:val="0"/>
          <w:sz w:val="30"/>
          <w:szCs w:val="24"/>
        </w:rPr>
      </w:pPr>
      <w:bookmarkStart w:id="59" w:name="_Toc17226"/>
      <w:r>
        <w:rPr>
          <w:rFonts w:ascii="Times New Roman" w:hAnsi="Times New Roman" w:eastAsia="黑体" w:cs="Times New Roman"/>
          <w:b w:val="0"/>
          <w:bCs w:val="0"/>
          <w:sz w:val="30"/>
          <w:szCs w:val="24"/>
        </w:rPr>
        <w:t>原材料碳排因子</w:t>
      </w:r>
      <w:bookmarkEnd w:id="59"/>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47"/>
                    <a:stretch>
                      <a:fillRect/>
                    </a:stretch>
                  </pic:blipFill>
                  <pic:spPr>
                    <a:xfrm>
                      <a:off x="0" y="0"/>
                      <a:ext cx="6118860" cy="3034030"/>
                    </a:xfrm>
                    <a:prstGeom prst="rect">
                      <a:avLst/>
                    </a:prstGeom>
                    <a:noFill/>
                    <a:ln>
                      <a:noFill/>
                    </a:ln>
                  </pic:spPr>
                </pic:pic>
              </a:graphicData>
            </a:graphic>
          </wp:inline>
        </w:drawing>
      </w:r>
    </w:p>
    <w:p w14:paraId="4C54DA69">
      <w:pPr>
        <w:pStyle w:val="6"/>
        <w:numPr>
          <w:ilvl w:val="0"/>
          <w:numId w:val="201"/>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定位与架构角色</w:t>
      </w:r>
    </w:p>
    <w:p w14:paraId="0666A810">
      <w:pPr>
        <w:pStyle w:val="19"/>
        <w:bidi w:val="0"/>
      </w:pPr>
      <w:r>
        <w:rPr>
          <w:b/>
          <w:bCs/>
        </w:rPr>
        <w:t>功能定位</w:t>
      </w:r>
      <w:r>
        <w:t>：作为产品碳足迹全生命周期（LCA）核算与欧盟 CBAM 关税申报的核心物料数据基石，面向变压器与电线电缆两大产业核心主材，提供权威因子建库、当前值与默认值双轨对比、摇篮到大门（Cradle-to-Gate）工序构成拆解、版本不可变冻结与可信回滚体系。</w:t>
      </w:r>
    </w:p>
    <w:p w14:paraId="1DE9B02B">
      <w:pPr>
        <w:pStyle w:val="6"/>
        <w:numPr>
          <w:ilvl w:val="0"/>
          <w:numId w:val="201"/>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6"/>
        <w:numPr>
          <w:ilvl w:val="0"/>
          <w:numId w:val="201"/>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功能规格与交互契约</w:t>
      </w:r>
    </w:p>
    <w:p w14:paraId="7C9388DF">
      <w:pPr>
        <w:pStyle w:val="19"/>
        <w:bidi w:val="0"/>
      </w:pPr>
      <w:r>
        <w:t>通用交互与过滤规则：</w:t>
      </w:r>
    </w:p>
    <w:p w14:paraId="6EFF518C">
      <w:pPr>
        <w:pStyle w:val="19"/>
        <w:bidi w:val="0"/>
        <w:rPr>
          <w:rFonts w:hint="eastAsia" w:eastAsia="宋体"/>
          <w:lang w:eastAsia="zh-CN"/>
        </w:rPr>
      </w:pPr>
      <w:r>
        <w:rPr>
          <w:rFonts w:hint="eastAsia"/>
          <w:lang w:eastAsia="zh-CN"/>
        </w:rPr>
        <w:t>• 顶部设【适用产业】切片Tab：全部/变压器产业/线缆产业/通用；</w:t>
      </w:r>
    </w:p>
    <w:p w14:paraId="3020E9F8">
      <w:pPr>
        <w:pStyle w:val="19"/>
        <w:bidi w:val="0"/>
        <w:rPr>
          <w:rFonts w:hint="eastAsia" w:eastAsia="宋体"/>
          <w:lang w:eastAsia="zh-CN"/>
        </w:rPr>
      </w:pPr>
      <w:r>
        <w:rPr>
          <w:rFonts w:hint="eastAsia"/>
          <w:lang w:eastAsia="zh-CN"/>
        </w:rPr>
        <w:t>• 设【产品套系联动切片器】：选中产品后自动关联对应物料；</w:t>
      </w:r>
    </w:p>
    <w:p w14:paraId="6786FC56">
      <w:pPr>
        <w:pStyle w:val="19"/>
        <w:bidi w:val="0"/>
      </w:pPr>
      <w:r>
        <w:t xml:space="preserve">• </w:t>
      </w:r>
      <w:r>
        <w:rPr>
          <w:rFonts w:hint="eastAsia"/>
          <w:lang w:eastAsia="zh-CN"/>
        </w:rPr>
        <w:t>支持</w:t>
      </w:r>
      <w:r>
        <w:t>因子列表与当前/默认值双轨对比：</w:t>
      </w:r>
    </w:p>
    <w:p w14:paraId="2785193F">
      <w:pPr>
        <w:pStyle w:val="19"/>
        <w:bidi w:val="0"/>
        <w:rPr>
          <w:rFonts w:hint="eastAsia" w:eastAsia="宋体"/>
          <w:lang w:eastAsia="zh-CN"/>
        </w:rPr>
      </w:pPr>
      <w:r>
        <w:rPr>
          <w:rFonts w:hint="eastAsia"/>
          <w:lang w:eastAsia="zh-CN"/>
        </w:rPr>
        <w:t>• 因子核心数值复合展示：当前值加粗、默认值（上一稳定基准版本值）浅灰，格式为当前值/默认值，单位kgCO₂e/kg；</w:t>
      </w:r>
    </w:p>
    <w:p w14:paraId="46887FB5">
      <w:pPr>
        <w:pStyle w:val="19"/>
        <w:bidi w:val="0"/>
        <w:rPr>
          <w:rFonts w:hint="eastAsia" w:eastAsia="宋体"/>
          <w:lang w:eastAsia="zh-CN"/>
        </w:rPr>
      </w:pPr>
      <w:r>
        <w:t xml:space="preserve">• </w:t>
      </w:r>
      <w:r>
        <w:rPr>
          <w:rFonts w:hint="eastAsia"/>
          <w:lang w:eastAsia="zh-CN"/>
        </w:rPr>
        <w:t>标注</w:t>
      </w:r>
      <w:r>
        <w:t>五级客观来源徽章：供应商实测(Tier 1)（绿色）、第三方核证(Certified)（蓝色）、行业标准(Industry Avg)（青色）、公用数据库(LCA DB)（紫色）、IPCC缺省值(Default)（橙色）</w:t>
      </w:r>
      <w:r>
        <w:rPr>
          <w:rFonts w:hint="eastAsia"/>
          <w:lang w:eastAsia="zh-CN"/>
        </w:rPr>
        <w:t>；</w:t>
      </w:r>
    </w:p>
    <w:p w14:paraId="16EB4DAC">
      <w:pPr>
        <w:pStyle w:val="19"/>
        <w:bidi w:val="0"/>
        <w:rPr>
          <w:rFonts w:hint="eastAsia" w:eastAsia="宋体"/>
          <w:lang w:eastAsia="zh-CN"/>
        </w:rPr>
      </w:pPr>
      <w:r>
        <w:rPr>
          <w:rFonts w:hint="eastAsia"/>
          <w:lang w:eastAsia="zh-CN"/>
        </w:rPr>
        <w:t>• 摇篮到大门工序构成拆解(Cradle-to-Gate)：点击行内【详情】滑出抽屉，展示物料五阶段碳排放量与占比构成；</w:t>
      </w:r>
    </w:p>
    <w:p w14:paraId="0346E0CC">
      <w:pPr>
        <w:pStyle w:val="19"/>
        <w:bidi w:val="0"/>
      </w:pPr>
      <w:r>
        <w:t>• 因子版本演化与一键回滚状态机：</w:t>
      </w:r>
    </w:p>
    <w:p w14:paraId="52C64A15">
      <w:pPr>
        <w:pStyle w:val="19"/>
        <w:bidi w:val="0"/>
        <w:rPr>
          <w:rFonts w:hint="eastAsia" w:eastAsia="宋体"/>
          <w:lang w:eastAsia="zh-CN"/>
        </w:rPr>
      </w:pPr>
      <w:r>
        <w:t>• 版本升级：输入新因子值、来源与凭证附件后，原当前值沉淀为新默认值，</w:t>
      </w:r>
      <w:r>
        <w:rPr>
          <w:rFonts w:hint="eastAsia"/>
          <w:lang w:eastAsia="zh-CN"/>
        </w:rPr>
        <w:t>版本号按vX.Y单调递增；</w:t>
      </w:r>
    </w:p>
    <w:p w14:paraId="4B7F4821">
      <w:pPr>
        <w:pStyle w:val="19"/>
        <w:bidi w:val="0"/>
        <w:rPr>
          <w:rFonts w:hint="eastAsia" w:eastAsia="宋体"/>
          <w:lang w:eastAsia="zh-CN"/>
        </w:rPr>
      </w:pPr>
      <w:r>
        <w:t>• 版本回滚：在版本历史抽屉点击【回滚至此版本】，系统生成新版本快照并注明回</w:t>
      </w:r>
      <w:r>
        <w:rPr>
          <w:rFonts w:hint="eastAsia"/>
          <w:lang w:eastAsia="zh-CN"/>
        </w:rPr>
        <w:t>滚来源</w:t>
      </w:r>
      <w:r>
        <w:t>，保障版本时间线单调递增，</w:t>
      </w:r>
      <w:r>
        <w:rPr>
          <w:rFonts w:hint="eastAsia"/>
          <w:lang w:eastAsia="zh-CN"/>
        </w:rPr>
        <w:t>不得物理抹除历史。</w:t>
      </w:r>
    </w:p>
    <w:p w14:paraId="4AD54BD9">
      <w:pPr>
        <w:pStyle w:val="6"/>
        <w:numPr>
          <w:ilvl w:val="0"/>
          <w:numId w:val="201"/>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1671"/>
        <w:gridCol w:w="1474"/>
        <w:gridCol w:w="1227"/>
        <w:gridCol w:w="4522"/>
      </w:tblGrid>
      <w:tr w14:paraId="79BF3F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8DB9A03">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23A96">
            <w:pPr>
              <w:pStyle w:val="19"/>
              <w:bidi w:val="0"/>
              <w:spacing w:line="240" w:lineRule="auto"/>
              <w:ind w:left="0" w:leftChars="0" w:right="0" w:rightChars="0" w:firstLine="0" w:firstLineChars="0"/>
            </w:pPr>
            <w:r>
              <w:t>字段中文名称</w:t>
            </w:r>
          </w:p>
        </w:tc>
        <w:tc>
          <w:tcPr>
            <w:tcW w:w="14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5E9992">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2A96D8">
            <w:pPr>
              <w:pStyle w:val="19"/>
              <w:bidi w:val="0"/>
              <w:spacing w:line="240" w:lineRule="auto"/>
              <w:ind w:left="0" w:leftChars="0" w:right="0" w:rightChars="0" w:firstLine="0" w:firstLineChars="0"/>
            </w:pPr>
            <w:r>
              <w:t>工程单位</w:t>
            </w:r>
          </w:p>
        </w:tc>
        <w:tc>
          <w:tcPr>
            <w:tcW w:w="4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E54628">
            <w:pPr>
              <w:pStyle w:val="19"/>
              <w:bidi w:val="0"/>
              <w:spacing w:line="240" w:lineRule="auto"/>
              <w:ind w:left="0" w:leftChars="0" w:right="0" w:rightChars="0" w:firstLine="0" w:firstLineChars="0"/>
            </w:pPr>
            <w:r>
              <w:t>校验与约束规则</w:t>
            </w:r>
          </w:p>
        </w:tc>
      </w:tr>
      <w:tr w14:paraId="6DC0AC4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23CAD">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4BE9F">
            <w:pPr>
              <w:pStyle w:val="19"/>
              <w:bidi w:val="0"/>
              <w:spacing w:line="240" w:lineRule="auto"/>
              <w:ind w:left="0" w:leftChars="0" w:right="0" w:rightChars="0" w:firstLine="0" w:firstLineChars="0"/>
            </w:pPr>
            <w:r>
              <w:t>因子唯一编码</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3419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9BFC0">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1E282B">
            <w:pPr>
              <w:pStyle w:val="19"/>
              <w:bidi w:val="0"/>
              <w:spacing w:line="240" w:lineRule="auto"/>
              <w:ind w:left="0" w:leftChars="0" w:right="0" w:rightChars="0" w:firstLine="0" w:firstLineChars="0"/>
            </w:pPr>
            <w:r>
              <w:t xml:space="preserve">唯一，格式  RM&lt;3位流水&gt;&lt;2位校验码&gt; </w:t>
            </w:r>
          </w:p>
        </w:tc>
      </w:tr>
      <w:tr w14:paraId="40158E25">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75E2F">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F266E">
            <w:pPr>
              <w:pStyle w:val="19"/>
              <w:bidi w:val="0"/>
              <w:spacing w:line="240" w:lineRule="auto"/>
              <w:ind w:left="0" w:leftChars="0" w:right="0" w:rightChars="0" w:firstLine="0" w:firstLineChars="0"/>
            </w:pPr>
            <w:r>
              <w:t>原材料标准名称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D8662">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0434">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68E19">
            <w:pPr>
              <w:pStyle w:val="19"/>
              <w:bidi w:val="0"/>
              <w:spacing w:line="240" w:lineRule="auto"/>
              <w:ind w:left="0" w:leftChars="0" w:right="0" w:rightChars="0" w:firstLine="0" w:firstLineChars="0"/>
            </w:pPr>
            <w:r>
              <w:t>非空，最长 64 字符；与 ERP 物料分类名称标准对齐</w:t>
            </w:r>
          </w:p>
        </w:tc>
      </w:tr>
      <w:tr w14:paraId="012BD61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078F1">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6B970">
            <w:pPr>
              <w:pStyle w:val="19"/>
              <w:bidi w:val="0"/>
              <w:spacing w:line="240" w:lineRule="auto"/>
              <w:ind w:left="0" w:leftChars="0" w:right="0" w:rightChars="0" w:firstLine="0" w:firstLineChars="0"/>
            </w:pPr>
            <w:r>
              <w:t>适用产业分类</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079C3F">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EF25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C0B2C">
            <w:pPr>
              <w:pStyle w:val="19"/>
              <w:bidi w:val="0"/>
              <w:spacing w:line="240" w:lineRule="auto"/>
              <w:ind w:left="0" w:leftChars="0" w:right="0" w:rightChars="0" w:firstLine="0" w:firstLineChars="0"/>
            </w:pPr>
            <w:r>
              <w:t xml:space="preserve">枚举： 变压器产业  /  线缆产业  /  通用 </w:t>
            </w:r>
          </w:p>
        </w:tc>
      </w:tr>
      <w:tr w14:paraId="627818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99F11">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69E546">
            <w:pPr>
              <w:pStyle w:val="19"/>
              <w:bidi w:val="0"/>
              <w:spacing w:line="240" w:lineRule="auto"/>
              <w:ind w:left="0" w:leftChars="0" w:right="0" w:rightChars="0" w:firstLine="0" w:firstLineChars="0"/>
            </w:pPr>
            <w:r>
              <w:t>当前生效因子值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11A744">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5616BD">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266E8">
            <w:pPr>
              <w:pStyle w:val="19"/>
              <w:bidi w:val="0"/>
              <w:spacing w:line="240" w:lineRule="auto"/>
              <w:ind w:left="0" w:leftChars="0" w:right="0" w:rightChars="0" w:firstLine="0" w:firstLineChars="0"/>
            </w:pPr>
            <w:r>
              <w:t>严格  &gt; 0 ；保留 4 位小数；LCA 核心计算参数</w:t>
            </w:r>
          </w:p>
        </w:tc>
      </w:tr>
      <w:tr w14:paraId="523A74E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15997">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51A9C">
            <w:pPr>
              <w:pStyle w:val="19"/>
              <w:bidi w:val="0"/>
              <w:spacing w:line="240" w:lineRule="auto"/>
              <w:ind w:left="0" w:leftChars="0" w:right="0" w:rightChars="0" w:firstLine="0" w:firstLineChars="0"/>
            </w:pPr>
            <w:r>
              <w:t>默认/基准因子值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F8686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92A6C">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D4E59">
            <w:pPr>
              <w:pStyle w:val="19"/>
              <w:bidi w:val="0"/>
              <w:spacing w:line="240" w:lineRule="auto"/>
              <w:ind w:left="0" w:leftChars="0" w:right="0" w:rightChars="0" w:firstLine="0" w:firstLineChars="0"/>
            </w:pPr>
            <w:r>
              <w:t>初始等于当前值；版本更新后自动沉淀为上一版本值</w:t>
            </w:r>
          </w:p>
        </w:tc>
      </w:tr>
      <w:tr w14:paraId="4ED5939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F6987">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CE9F">
            <w:pPr>
              <w:pStyle w:val="19"/>
              <w:bidi w:val="0"/>
              <w:spacing w:line="240" w:lineRule="auto"/>
              <w:ind w:left="0" w:leftChars="0" w:right="0" w:rightChars="0" w:firstLine="0" w:firstLineChars="0"/>
            </w:pPr>
            <w:r>
              <w:t>法定量纲单位</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745A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32BF85">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E3068">
            <w:pPr>
              <w:pStyle w:val="19"/>
              <w:bidi w:val="0"/>
              <w:spacing w:line="240" w:lineRule="auto"/>
              <w:ind w:left="0" w:leftChars="0" w:right="0" w:rightChars="0" w:firstLine="0" w:firstLineChars="0"/>
            </w:pPr>
            <w:r>
              <w:t>全系统强制统一为  kgCO2e/kg ，严禁量纲混淆</w:t>
            </w:r>
          </w:p>
        </w:tc>
      </w:tr>
      <w:tr w14:paraId="1A6AA76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322FC">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86FB0">
            <w:pPr>
              <w:pStyle w:val="19"/>
              <w:bidi w:val="0"/>
              <w:spacing w:line="240" w:lineRule="auto"/>
              <w:ind w:left="0" w:leftChars="0" w:right="0" w:rightChars="0" w:firstLine="0" w:firstLineChars="0"/>
            </w:pPr>
            <w:r>
              <w:t>数据来源层级</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D2949B">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A1C03">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826B0B">
            <w:pPr>
              <w:pStyle w:val="19"/>
              <w:bidi w:val="0"/>
              <w:spacing w:line="240" w:lineRule="auto"/>
              <w:ind w:left="0" w:leftChars="0" w:right="0" w:rightChars="0" w:firstLine="0" w:firstLineChars="0"/>
            </w:pPr>
            <w:r>
              <w:t xml:space="preserve">枚举： 供应商实测  /  第三方核证  /  行业标准  /  公用数据库  /  IPCC缺省值 </w:t>
            </w:r>
          </w:p>
        </w:tc>
      </w:tr>
      <w:tr w14:paraId="4486324D">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1C82B">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8522BB">
            <w:pPr>
              <w:pStyle w:val="19"/>
              <w:bidi w:val="0"/>
              <w:spacing w:line="240" w:lineRule="auto"/>
              <w:ind w:left="0" w:leftChars="0" w:right="0" w:rightChars="0" w:firstLine="0" w:firstLineChars="0"/>
            </w:pPr>
            <w:r>
              <w:t>提供方/数据库名称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1042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716E07">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1B9B8">
            <w:pPr>
              <w:pStyle w:val="19"/>
              <w:bidi w:val="0"/>
              <w:spacing w:line="240" w:lineRule="auto"/>
              <w:ind w:left="0" w:leftChars="0" w:right="0" w:rightChars="0" w:firstLine="0" w:firstLineChars="0"/>
            </w:pPr>
            <w:r>
              <w:t>如  宝钢实测报告 、 Ecoinvent 3.10 、 CLCD  等</w:t>
            </w:r>
          </w:p>
        </w:tc>
      </w:tr>
      <w:tr w14:paraId="1EE2419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B90C">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B9CCF">
            <w:pPr>
              <w:pStyle w:val="19"/>
              <w:bidi w:val="0"/>
              <w:spacing w:line="240" w:lineRule="auto"/>
              <w:ind w:left="0" w:leftChars="0" w:right="0" w:rightChars="0" w:firstLine="0" w:firstLineChars="0"/>
            </w:pPr>
            <w:r>
              <w:t>系统边界定义</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0943D">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A4805">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94049">
            <w:pPr>
              <w:pStyle w:val="19"/>
              <w:bidi w:val="0"/>
              <w:spacing w:line="240" w:lineRule="auto"/>
              <w:ind w:left="0" w:leftChars="0" w:right="0" w:rightChars="0" w:firstLine="0" w:firstLineChars="0"/>
            </w:pPr>
            <w:r>
              <w:t xml:space="preserve">固定为  摇篮到大门 (Cradle-to-Gate) </w:t>
            </w:r>
          </w:p>
        </w:tc>
      </w:tr>
      <w:tr w14:paraId="26602157">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1E8B0C">
            <w:pPr>
              <w:pStyle w:val="19"/>
              <w:bidi w:val="0"/>
              <w:spacing w:line="240" w:lineRule="auto"/>
              <w:ind w:left="0" w:leftChars="0" w:right="0" w:rightChars="0" w:firstLine="0" w:firstLineChars="0"/>
            </w:pPr>
            <w: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A764C">
            <w:pPr>
              <w:pStyle w:val="19"/>
              <w:bidi w:val="0"/>
              <w:spacing w:line="240" w:lineRule="auto"/>
              <w:ind w:left="0" w:leftChars="0" w:right="0" w:rightChars="0" w:firstLine="0" w:firstLineChars="0"/>
            </w:pPr>
            <w:r>
              <w:t>当前发布版本号</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DFB4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1ED0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EC87F3">
            <w:pPr>
              <w:pStyle w:val="19"/>
              <w:bidi w:val="0"/>
              <w:spacing w:line="240" w:lineRule="auto"/>
              <w:ind w:left="0" w:leftChars="0" w:right="0" w:rightChars="0" w:firstLine="0" w:firstLineChars="0"/>
            </w:pPr>
            <w:r>
              <w:t>格式  vX.Y （如  v3.2 ），严格单调递增</w:t>
            </w:r>
          </w:p>
        </w:tc>
      </w:tr>
      <w:tr w14:paraId="1E699954">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FAF60">
            <w:pPr>
              <w:pStyle w:val="19"/>
              <w:bidi w:val="0"/>
              <w:spacing w:line="240" w:lineRule="auto"/>
              <w:ind w:left="0" w:leftChars="0" w:right="0" w:rightChars="0" w:firstLine="0" w:firstLineChars="0"/>
            </w:pPr>
            <w: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56756">
            <w:pPr>
              <w:pStyle w:val="19"/>
              <w:bidi w:val="0"/>
              <w:spacing w:line="240" w:lineRule="auto"/>
              <w:ind w:left="0" w:leftChars="0" w:right="0" w:rightChars="0" w:firstLine="0" w:firstLineChars="0"/>
            </w:pPr>
            <w:r>
              <w:t>数据质量评级 (DQR)</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6012C">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87B4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3CD2">
            <w:pPr>
              <w:pStyle w:val="19"/>
              <w:bidi w:val="0"/>
              <w:spacing w:line="240" w:lineRule="auto"/>
              <w:ind w:left="0" w:leftChars="0" w:right="0" w:rightChars="0" w:firstLine="0" w:firstLineChars="0"/>
            </w:pPr>
            <w:r>
              <w:t>[1.00, 5.00] ，四维综合评分，数值越低代表质量越高</w:t>
            </w:r>
          </w:p>
        </w:tc>
      </w:tr>
      <w:tr w14:paraId="4EFEAEA1">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1923B2">
            <w:pPr>
              <w:pStyle w:val="19"/>
              <w:bidi w:val="0"/>
              <w:spacing w:line="240" w:lineRule="auto"/>
              <w:ind w:left="0" w:leftChars="0" w:right="0" w:rightChars="0" w:firstLine="0" w:firstLineChars="0"/>
            </w:pPr>
            <w:r>
              <w:t>12</w:t>
            </w:r>
          </w:p>
        </w:tc>
        <w:tc>
          <w:tcPr>
            <w:tcW w:w="16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0E85B">
            <w:pPr>
              <w:pStyle w:val="19"/>
              <w:bidi w:val="0"/>
              <w:spacing w:line="240" w:lineRule="auto"/>
              <w:ind w:left="0" w:leftChars="0" w:right="0" w:rightChars="0" w:firstLine="0" w:firstLineChars="0"/>
            </w:pPr>
            <w:r>
              <w:t>引用锁定防删标识</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4FD003">
            <w:pPr>
              <w:pStyle w:val="19"/>
              <w:bidi w:val="0"/>
              <w:spacing w:line="240" w:lineRule="auto"/>
              <w:ind w:left="0" w:leftChars="0" w:right="0" w:rightChars="0" w:firstLine="0" w:firstLineChars="0"/>
            </w:pPr>
            <w:r>
              <w:t>Boolean</w:t>
            </w:r>
          </w:p>
        </w:tc>
        <w:tc>
          <w:tcPr>
            <w:tcW w:w="1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A0316">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59726">
            <w:pPr>
              <w:pStyle w:val="19"/>
              <w:bidi w:val="0"/>
              <w:spacing w:line="240" w:lineRule="auto"/>
              <w:ind w:left="0" w:leftChars="0" w:right="0" w:rightChars="0" w:firstLine="0" w:firstLineChars="0"/>
            </w:pPr>
            <w:r>
              <w:t>被已生效报告引用后置为  true ，前端禁用删除按钮</w:t>
            </w:r>
          </w:p>
        </w:tc>
      </w:tr>
    </w:tbl>
    <w:p w14:paraId="64D88984">
      <w:pPr>
        <w:pStyle w:val="19"/>
        <w:bidi w:val="0"/>
      </w:pPr>
    </w:p>
    <w:p w14:paraId="6877C008">
      <w:pPr>
        <w:pStyle w:val="6"/>
        <w:numPr>
          <w:ilvl w:val="0"/>
          <w:numId w:val="201"/>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45F70B3">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493A85BD">
            <w:pPr>
              <w:pStyle w:val="19"/>
              <w:bidi w:val="0"/>
            </w:pPr>
            <w:r>
              <w:t>📐 【核心业务数学模型与计算公式】</w:t>
            </w:r>
          </w:p>
          <w:p w14:paraId="74610C1D">
            <w:pPr>
              <w:pStyle w:val="19"/>
              <w:bidi w:val="0"/>
            </w:pPr>
            <w:r>
              <w:t>EF_{\text{mat}} = \sum_{k=1}^{m} \left( \frac{W_k}{\sum_{j=1}^{m} W_j} \times EF_k \right) \quad (\text{多供应商混料加权综合因子})</w:t>
            </w:r>
          </w:p>
          <w:p w14:paraId="1FFD3CFC">
            <w:pPr>
              <w:pStyle w:val="19"/>
              <w:bidi w:val="0"/>
            </w:pPr>
            <w:r>
              <w:t>\Delta EF_{\text{pct}} = \frac{EF_{\text{current}} - EF_{\text{default}}}{EF_{\text{default}}} \times 100\% \quad (\text{因子版本变动偏离率})</w:t>
            </w:r>
          </w:p>
          <w:p w14:paraId="762DD64D">
            <w:pPr>
              <w:pStyle w:val="19"/>
              <w:bidi w:val="0"/>
            </w:pPr>
            <w:r>
              <w:t>DQR = \frac{TeR + GeR + TiR + ReR}{4} \quad (\text{数据质量四维综合评级})</w:t>
            </w:r>
          </w:p>
          <w:p w14:paraId="1EA5931C">
            <w:pPr>
              <w:pStyle w:val="19"/>
              <w:bidi w:val="0"/>
            </w:pPr>
            <w:r>
              <w:t>C_{\text{material}} = \sum_{i=1}^{n} ( M_i \times EF_{\text{mat}, i} ) \quad (\text{产品原材料阶段总碳足迹})</w:t>
            </w:r>
          </w:p>
        </w:tc>
      </w:tr>
    </w:tbl>
    <w:p w14:paraId="17D0FA48">
      <w:pPr>
        <w:pStyle w:val="19"/>
        <w:bidi w:val="0"/>
      </w:pPr>
      <w:r>
        <w:t>变量定义与取值约定：</w:t>
      </w:r>
    </w:p>
    <w:p w14:paraId="6C1B277E">
      <w:pPr>
        <w:pStyle w:val="19"/>
        <w:bidi w:val="0"/>
      </w:pPr>
      <w:r>
        <w:t>W_k 为向第 k 家供应商采购该物料的实际重量（kg 或 t）；EF_k 为对应供应商核证因子；</w:t>
      </w:r>
    </w:p>
    <w:p w14:paraId="64C7E0A4">
      <w:pPr>
        <w:pStyle w:val="19"/>
        <w:bidi w:val="0"/>
      </w:pPr>
      <w:r>
        <w:t>• TeR（技术代表性）、GeR（地理代表性）、TiR（时间代表性）、ReR（可靠性）分别按 1~5 档评分；</w:t>
      </w:r>
    </w:p>
    <w:p w14:paraId="67637497">
      <w:pPr>
        <w:pStyle w:val="19"/>
        <w:bidi w:val="0"/>
      </w:pPr>
      <w:r>
        <w:t>• DQR 分级标准：DQR \le 1.6 判定为高质量（一级数据）；1.6 &lt; DQR \le 3.0 判定为中质量；DQR &gt; 3.0 判定为低质量并触发合规预警；</w:t>
      </w:r>
    </w:p>
    <w:p w14:paraId="5C08BEED">
      <w:pPr>
        <w:pStyle w:val="19"/>
        <w:bidi w:val="0"/>
      </w:pPr>
      <w:r>
        <w:t>• \Delta EF_{\text{pct}} 为负值代表物料绿色低碳化升级，正值代表碳排放强度上升。</w:t>
      </w:r>
    </w:p>
    <w:p w14:paraId="256F21CF">
      <w:pPr>
        <w:pStyle w:val="6"/>
        <w:numPr>
          <w:ilvl w:val="0"/>
          <w:numId w:val="201"/>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展示、对标与判定口径</w:t>
      </w:r>
    </w:p>
    <w:p w14:paraId="1DE9BFA2">
      <w:pPr>
        <w:pStyle w:val="19"/>
        <w:bidi w:val="0"/>
      </w:pPr>
      <w:r>
        <w:rPr>
          <w:b/>
          <w:bCs/>
        </w:rPr>
        <w:t>双轨口径</w:t>
      </w:r>
      <w:r>
        <w:t>：因子列表常态展示当前值与默认值，默认值作为时序对标基准。</w:t>
      </w:r>
    </w:p>
    <w:p w14:paraId="65975C83">
      <w:pPr>
        <w:pStyle w:val="19"/>
        <w:bidi w:val="0"/>
      </w:pPr>
      <w:r>
        <w:rPr>
          <w:b/>
          <w:bCs/>
        </w:rPr>
        <w:t>偏离口径</w:t>
      </w:r>
      <w:r>
        <w:t>：-5.00\% 标记绿色优化箭头，-5.00\% &lt; \Delta EF_{\text{pct}} \le +5.00\% 标记灰色持平，\Delta EF_{\text{pct}} &gt; +5.00\% 标记黄色提示。</w:t>
      </w:r>
    </w:p>
    <w:p w14:paraId="01B136E7">
      <w:pPr>
        <w:pStyle w:val="19"/>
        <w:bidi w:val="0"/>
      </w:pPr>
      <w:r>
        <w:rPr>
          <w:b/>
          <w:bCs/>
        </w:rPr>
        <w:t>锁定口径</w:t>
      </w:r>
      <w:r>
        <w:t>：凡被标记为  LCA_CERTIFIED  或  CBAM_DECLARED  报告所引用的因子版本强制锁定，仅允许通过发布新版本推进。</w:t>
      </w:r>
    </w:p>
    <w:p w14:paraId="7801D5BA">
      <w:pPr>
        <w:pStyle w:val="19"/>
        <w:bidi w:val="0"/>
      </w:pPr>
      <w:r>
        <w:rPr>
          <w:b/>
          <w:bCs/>
        </w:rPr>
        <w:t>空值口径</w:t>
      </w:r>
      <w:r>
        <w:t>：新建因子无历史基准时默认值显示  -- ；缺失实测值时强制匹配公用数据库缺省值，严禁显示  0 。</w:t>
      </w:r>
    </w:p>
    <w:p w14:paraId="214A671D">
      <w:pPr>
        <w:pStyle w:val="19"/>
        <w:bidi w:val="0"/>
      </w:pPr>
      <w:r>
        <w:rPr>
          <w:b/>
          <w:bCs/>
        </w:rPr>
        <w:t>溯源口径</w:t>
      </w:r>
      <w:r>
        <w:t>：每个因子卡片与行内明确展示版本号、核验机构、有效截止期与操作员工号，保障审计双向追溯。</w:t>
      </w:r>
    </w:p>
    <w:p w14:paraId="7719793E">
      <w:pPr>
        <w:pStyle w:val="6"/>
        <w:numPr>
          <w:ilvl w:val="0"/>
          <w:numId w:val="201"/>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边界条件、异常处理与防错规则</w:t>
      </w:r>
    </w:p>
    <w:p w14:paraId="5C6E871C">
      <w:pPr>
        <w:pStyle w:val="175"/>
        <w:bidi w:val="0"/>
      </w:pPr>
      <w:r>
        <w:t>除零安全防御：多供应商加权核算中，当采购总重 \sum W_j = 0 时，加权因子自动兜底采用国家标准缺省值，记录  E_CALC_FACTOR_WEIGHT_ZERO_FALLBACK ，系统不出现  NaN  或白屏。</w:t>
      </w:r>
    </w:p>
    <w:p w14:paraId="3574A199">
      <w:pPr>
        <w:pStyle w:val="175"/>
        <w:bidi w:val="0"/>
      </w:pPr>
      <w:r>
        <w:t>因子数值非正数强阻断：录入因子必须满足 EF_{\text{current}} &gt; 0，输入 \le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6"/>
        <w:numPr>
          <w:ilvl w:val="0"/>
          <w:numId w:val="201"/>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A0A3EBA">
            <w:pPr>
              <w:pStyle w:val="19"/>
              <w:bidi w:val="0"/>
            </w:pPr>
            <w:r>
              <w:t>🧪 【QA 自动化验收准则 · Gherkin BDD 用例契约】</w:t>
            </w:r>
            <w:r>
              <w:br w:type="textWrapping"/>
            </w:r>
          </w:p>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tc>
      </w:tr>
    </w:tbl>
    <w:p w14:paraId="5D4D83FF">
      <w:pPr>
        <w:rPr>
          <w:rFonts w:hint="eastAsia" w:ascii="宋体" w:hAnsi="宋体" w:eastAsia="宋体" w:cs="宋体"/>
          <w:i w:val="0"/>
          <w:iCs w:val="0"/>
          <w:sz w:val="24"/>
          <w:szCs w:val="24"/>
        </w:rPr>
      </w:pPr>
    </w:p>
    <w:p w14:paraId="59CD8406">
      <w:pPr>
        <w:pStyle w:val="5"/>
        <w:numPr>
          <w:ilvl w:val="0"/>
          <w:numId w:val="13"/>
        </w:numPr>
        <w:ind w:left="0" w:leftChars="0" w:firstLine="0" w:firstLineChars="0"/>
        <w:outlineLvl w:val="1"/>
        <w:rPr>
          <w:rFonts w:ascii="Times New Roman" w:hAnsi="Times New Roman" w:eastAsia="黑体" w:cs="Times New Roman"/>
          <w:b w:val="0"/>
          <w:bCs w:val="0"/>
          <w:sz w:val="30"/>
          <w:szCs w:val="24"/>
        </w:rPr>
      </w:pPr>
      <w:bookmarkStart w:id="60" w:name="_Toc26407"/>
      <w:r>
        <w:rPr>
          <w:rFonts w:hint="eastAsia" w:cs="Times New Roman"/>
          <w:b w:val="0"/>
          <w:bCs w:val="0"/>
          <w:sz w:val="30"/>
          <w:szCs w:val="24"/>
          <w:lang w:val="en-US" w:eastAsia="zh-CN"/>
        </w:rPr>
        <w:t>电力碳排因子</w:t>
      </w:r>
      <w:bookmarkEnd w:id="60"/>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48"/>
                    <a:stretch>
                      <a:fillRect/>
                    </a:stretch>
                  </pic:blipFill>
                  <pic:spPr>
                    <a:xfrm>
                      <a:off x="0" y="0"/>
                      <a:ext cx="6118860" cy="3034030"/>
                    </a:xfrm>
                    <a:prstGeom prst="rect">
                      <a:avLst/>
                    </a:prstGeom>
                    <a:noFill/>
                    <a:ln>
                      <a:noFill/>
                    </a:ln>
                  </pic:spPr>
                </pic:pic>
              </a:graphicData>
            </a:graphic>
          </wp:inline>
        </w:drawing>
      </w:r>
    </w:p>
    <w:p w14:paraId="0E183B19">
      <w:pPr>
        <w:pStyle w:val="6"/>
        <w:numPr>
          <w:ilvl w:val="0"/>
          <w:numId w:val="202"/>
        </w:numPr>
        <w:bidi w:val="0"/>
        <w:ind w:left="0" w:leftChars="0" w:firstLine="0" w:firstLineChars="0"/>
        <w:rPr>
          <w:b/>
          <w:bCs/>
          <w:sz w:val="28"/>
          <w:szCs w:val="28"/>
        </w:rPr>
      </w:pPr>
      <w:r>
        <w:rPr>
          <w:b/>
          <w:bCs/>
          <w:sz w:val="28"/>
          <w:szCs w:val="28"/>
        </w:rPr>
        <w:t>定位与架构角色</w:t>
      </w:r>
    </w:p>
    <w:p w14:paraId="2C117617">
      <w:pPr>
        <w:pStyle w:val="19"/>
        <w:bidi w:val="0"/>
      </w:pPr>
      <w:r>
        <w:t>• 功能定位：作为全集团范围二（Scope 2）外购电力间接温室气体排放核算、车间工序分时用电碳排分析与市场化绿电消纳抵扣的核心参数库，实现国家级、区域电网级、省域电网级以及特定清洁电源级因子的统一纳管与版本同步。</w:t>
      </w:r>
    </w:p>
    <w:p w14:paraId="46E9A3F7">
      <w:pPr>
        <w:pStyle w:val="19"/>
        <w:bidi w:val="0"/>
      </w:pPr>
      <w:r>
        <w:t>• 承载角色：P1 集团决策层（只读查验全网平均因子）、P2 园区能碳专员（属地电网因子匹配）、P4 碳核算工程师（绿电消纳核准与证书冲抵）。</w:t>
      </w:r>
    </w:p>
    <w:p w14:paraId="4B63A99A">
      <w:pPr>
        <w:pStyle w:val="6"/>
        <w:numPr>
          <w:ilvl w:val="0"/>
          <w:numId w:val="202"/>
        </w:numPr>
        <w:bidi w:val="0"/>
        <w:ind w:left="0" w:leftChars="0" w:firstLine="0" w:firstLineChars="0"/>
        <w:rPr>
          <w:b/>
          <w:bCs/>
          <w:sz w:val="28"/>
          <w:szCs w:val="28"/>
        </w:rPr>
      </w:pPr>
      <w:r>
        <w:rPr>
          <w:b/>
          <w:bCs/>
          <w:sz w:val="28"/>
          <w:szCs w:val="28"/>
        </w:rPr>
        <w:t>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6"/>
        <w:numPr>
          <w:ilvl w:val="0"/>
          <w:numId w:val="202"/>
        </w:numPr>
        <w:bidi w:val="0"/>
        <w:ind w:left="0" w:leftChars="0" w:firstLine="0" w:firstLineChars="0"/>
        <w:rPr>
          <w:b/>
          <w:bCs/>
          <w:sz w:val="28"/>
          <w:szCs w:val="28"/>
        </w:rPr>
      </w:pPr>
      <w:r>
        <w:rPr>
          <w:b/>
          <w:bCs/>
          <w:sz w:val="28"/>
          <w:szCs w:val="28"/>
        </w:rPr>
        <w:t>功能规格与交互契约</w:t>
      </w:r>
    </w:p>
    <w:p w14:paraId="184E08F1">
      <w:pPr>
        <w:pStyle w:val="19"/>
        <w:bidi w:val="0"/>
      </w:pPr>
      <w:r>
        <w:t>• 多维组合筛选与视图组织：</w:t>
      </w:r>
    </w:p>
    <w:p w14:paraId="78942170">
      <w:pPr>
        <w:pStyle w:val="19"/>
        <w:bidi w:val="0"/>
        <w:rPr>
          <w:rFonts w:hint="eastAsia" w:eastAsia="宋体"/>
          <w:lang w:eastAsia="zh-CN"/>
        </w:rPr>
      </w:pPr>
      <w:r>
        <w:rPr>
          <w:rFonts w:hint="eastAsia"/>
          <w:lang w:eastAsia="zh-CN"/>
        </w:rPr>
        <w:t>• 顶部设【区域电网】切片：华北/华东/华中/东北/西北/南方/全国统一；</w:t>
      </w:r>
    </w:p>
    <w:p w14:paraId="438AA730">
      <w:pPr>
        <w:pStyle w:val="19"/>
        <w:bidi w:val="0"/>
        <w:rPr>
          <w:rFonts w:hint="eastAsia" w:eastAsia="宋体"/>
          <w:lang w:eastAsia="zh-CN"/>
        </w:rPr>
      </w:pPr>
      <w:r>
        <w:rPr>
          <w:rFonts w:hint="eastAsia"/>
          <w:lang w:eastAsia="zh-CN"/>
        </w:rPr>
        <w:t>• 提供【省份下钻】下拉选框，包含北京、天津等省市；</w:t>
      </w:r>
    </w:p>
    <w:p w14:paraId="21F9BEFB">
      <w:pPr>
        <w:pStyle w:val="19"/>
        <w:bidi w:val="0"/>
        <w:rPr>
          <w:rFonts w:hint="eastAsia" w:eastAsia="宋体"/>
          <w:lang w:eastAsia="zh-CN"/>
        </w:rPr>
      </w:pPr>
      <w:r>
        <w:rPr>
          <w:rFonts w:hint="eastAsia"/>
          <w:lang w:eastAsia="zh-CN"/>
        </w:rPr>
        <w:t>• 提供【电力来源】过滤：电网平均/燃煤自备电厂/光伏发电/风力发电/水力发电/绿电（市场化交易）；</w:t>
      </w:r>
    </w:p>
    <w:p w14:paraId="1CB20805">
      <w:pPr>
        <w:pStyle w:val="19"/>
        <w:bidi w:val="0"/>
      </w:pPr>
      <w:r>
        <w:t>• 电网因子当前值与默认值对照：</w:t>
      </w:r>
    </w:p>
    <w:p w14:paraId="56658E6F">
      <w:pPr>
        <w:pStyle w:val="19"/>
        <w:bidi w:val="0"/>
        <w:rPr>
          <w:rFonts w:hint="eastAsia" w:eastAsia="宋体"/>
          <w:lang w:eastAsia="zh-CN"/>
        </w:rPr>
      </w:pPr>
      <w:r>
        <w:rPr>
          <w:rFonts w:hint="eastAsia"/>
          <w:lang w:eastAsia="zh-CN"/>
        </w:rPr>
        <w:t>• 因子值列统一以当前值/默认值显示，单位kgCO2e/kWh；</w:t>
      </w:r>
    </w:p>
    <w:p w14:paraId="6A7A27AE">
      <w:pPr>
        <w:pStyle w:val="19"/>
        <w:bidi w:val="0"/>
        <w:rPr>
          <w:rFonts w:hint="eastAsia" w:eastAsia="宋体"/>
          <w:lang w:eastAsia="zh-CN"/>
        </w:rPr>
      </w:pPr>
      <w:r>
        <w:rPr>
          <w:rFonts w:hint="eastAsia"/>
          <w:lang w:eastAsia="zh-CN"/>
        </w:rPr>
        <w:t>• 经权威核销的绿电（市场化交易）因子显示为0.0000 kgCO2e/kWh，标注实心绿底Zero-Emission徽章；</w:t>
      </w:r>
    </w:p>
    <w:p w14:paraId="679E2313">
      <w:pPr>
        <w:pStyle w:val="19"/>
        <w:bidi w:val="0"/>
      </w:pPr>
      <w:r>
        <w:t>• 年度电网因子版本快照机制：</w:t>
      </w:r>
    </w:p>
    <w:p w14:paraId="594DA526">
      <w:pPr>
        <w:pStyle w:val="19"/>
        <w:bidi w:val="0"/>
        <w:rPr>
          <w:rFonts w:hint="eastAsia" w:eastAsia="宋体"/>
          <w:lang w:eastAsia="zh-CN"/>
        </w:rPr>
      </w:pPr>
      <w:r>
        <w:rPr>
          <w:rFonts w:hint="eastAsia"/>
          <w:lang w:eastAsia="zh-CN"/>
        </w:rPr>
        <w:t>• 生态环境部发布新年度电网因子后，系统建立新版本（如v2024.1），历史版本（如v2023.1）自动冻结归档，仅供追溯历史数据；</w:t>
      </w:r>
    </w:p>
    <w:p w14:paraId="0297F0FA">
      <w:pPr>
        <w:pStyle w:val="19"/>
        <w:bidi w:val="0"/>
      </w:pPr>
      <w:r>
        <w:t>• 📌 【业务约束与工程规范契约】：</w:t>
      </w:r>
    </w:p>
    <w:p w14:paraId="4742C38F">
      <w:pPr>
        <w:pStyle w:val="19"/>
        <w:bidi w:val="0"/>
      </w:pPr>
      <w:r>
        <w:t>• 绿电唯一性核销契约：直购绿电或绿色电力证书（GEC）冲抵碳</w:t>
      </w:r>
      <w:r>
        <w:rPr>
          <w:rFonts w:hint="eastAsia"/>
          <w:lang w:eastAsia="zh-CN"/>
        </w:rPr>
        <w:t>排放</w:t>
      </w:r>
      <w:r>
        <w:t>时，必须</w:t>
      </w:r>
      <w:r>
        <w:rPr>
          <w:rFonts w:hint="eastAsia"/>
          <w:lang w:eastAsia="zh-CN"/>
        </w:rPr>
        <w:t>具备</w:t>
      </w:r>
      <w:r>
        <w:t>国家可再生能源信息管理中心的唯一证书编号，严禁“一证多抵”；</w:t>
      </w:r>
    </w:p>
    <w:p w14:paraId="2159E2AB">
      <w:pPr>
        <w:pStyle w:val="19"/>
        <w:bidi w:val="0"/>
        <w:rPr>
          <w:rFonts w:hint="eastAsia" w:eastAsia="宋体"/>
          <w:lang w:eastAsia="zh-CN"/>
        </w:rPr>
      </w:pPr>
      <w:r>
        <w:rPr>
          <w:rFonts w:hint="eastAsia"/>
          <w:lang w:eastAsia="zh-CN"/>
        </w:rPr>
        <w:t>• 自备电厂独立口径：拥有燃煤自备电厂的实体单位，自备发电必须采用机组实测供电碳排放强度，严禁套用公用电网均值掩盖排放。</w:t>
      </w:r>
    </w:p>
    <w:p w14:paraId="0068270F">
      <w:pPr>
        <w:pStyle w:val="6"/>
        <w:numPr>
          <w:ilvl w:val="0"/>
          <w:numId w:val="202"/>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414"/>
        <w:gridCol w:w="1485"/>
        <w:gridCol w:w="1454"/>
        <w:gridCol w:w="4538"/>
      </w:tblGrid>
      <w:tr w14:paraId="5211FFE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57E9C42">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91D21F">
            <w:pPr>
              <w:pStyle w:val="19"/>
              <w:bidi w:val="0"/>
              <w:spacing w:line="240" w:lineRule="auto"/>
              <w:ind w:left="0" w:leftChars="0" w:right="0" w:rightChars="0" w:firstLine="0" w:firstLineChars="0"/>
            </w:pPr>
            <w:r>
              <w:t>字段中文名称</w:t>
            </w:r>
          </w:p>
        </w:tc>
        <w:tc>
          <w:tcPr>
            <w:tcW w:w="14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4FA9A4A">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C4E86D">
            <w:pPr>
              <w:pStyle w:val="19"/>
              <w:bidi w:val="0"/>
              <w:spacing w:line="240" w:lineRule="auto"/>
              <w:ind w:left="0" w:leftChars="0" w:right="0" w:rightChars="0" w:firstLine="0" w:firstLineChars="0"/>
            </w:pPr>
            <w:r>
              <w:t>工程单位</w:t>
            </w:r>
          </w:p>
        </w:tc>
        <w:tc>
          <w:tcPr>
            <w:tcW w:w="453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75F9AFF">
            <w:pPr>
              <w:pStyle w:val="19"/>
              <w:bidi w:val="0"/>
              <w:spacing w:line="240" w:lineRule="auto"/>
              <w:ind w:left="0" w:leftChars="0" w:right="0" w:rightChars="0" w:firstLine="0" w:firstLineChars="0"/>
            </w:pPr>
            <w:r>
              <w:t>校验与约束规则</w:t>
            </w:r>
          </w:p>
        </w:tc>
      </w:tr>
      <w:tr w14:paraId="3B3A8DA9">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EB5CDA">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9D42A3">
            <w:pPr>
              <w:pStyle w:val="19"/>
              <w:bidi w:val="0"/>
              <w:spacing w:line="240" w:lineRule="auto"/>
              <w:ind w:left="0" w:leftChars="0" w:right="0" w:rightChars="0" w:firstLine="0" w:firstLineChars="0"/>
            </w:pPr>
            <w:r>
              <w:t>电力因子唯一编码</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9D4827">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03CAC7">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A7E6D">
            <w:pPr>
              <w:pStyle w:val="19"/>
              <w:bidi w:val="0"/>
              <w:spacing w:line="240" w:lineRule="auto"/>
              <w:ind w:left="0" w:leftChars="0" w:right="0" w:rightChars="0" w:firstLine="0" w:firstLineChars="0"/>
            </w:pPr>
            <w:r>
              <w:t xml:space="preserve">唯一，格式  PW&lt;3位流水&gt;&lt;2位校验码&gt; </w:t>
            </w:r>
          </w:p>
        </w:tc>
      </w:tr>
      <w:tr w14:paraId="68912F4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F6C93A">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5CB5F4">
            <w:pPr>
              <w:pStyle w:val="19"/>
              <w:bidi w:val="0"/>
              <w:spacing w:line="240" w:lineRule="auto"/>
              <w:ind w:left="0" w:leftChars="0" w:right="0" w:rightChars="0" w:firstLine="0" w:firstLineChars="0"/>
            </w:pPr>
            <w:r>
              <w:t>所属行政省份</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3A023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AC672D">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7A312F">
            <w:pPr>
              <w:pStyle w:val="19"/>
              <w:bidi w:val="0"/>
              <w:spacing w:line="240" w:lineRule="auto"/>
              <w:ind w:left="0" w:leftChars="0" w:right="0" w:rightChars="0" w:firstLine="0" w:firstLineChars="0"/>
            </w:pPr>
            <w:r>
              <w:t>涵盖集团各厂区属地，如  新疆 、 湖南 、 辽宁  等</w:t>
            </w:r>
          </w:p>
        </w:tc>
      </w:tr>
      <w:tr w14:paraId="4280D65F">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51720A">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50DA24">
            <w:pPr>
              <w:pStyle w:val="19"/>
              <w:bidi w:val="0"/>
              <w:spacing w:line="240" w:lineRule="auto"/>
              <w:ind w:left="0" w:leftChars="0" w:right="0" w:rightChars="0" w:firstLine="0" w:firstLineChars="0"/>
            </w:pPr>
            <w:r>
              <w:t>所属区域电网</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69C3AD">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1F29A4">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8AE13B">
            <w:pPr>
              <w:pStyle w:val="19"/>
              <w:bidi w:val="0"/>
              <w:spacing w:line="240" w:lineRule="auto"/>
              <w:ind w:left="0" w:leftChars="0" w:right="0" w:rightChars="0" w:firstLine="0" w:firstLineChars="0"/>
            </w:pPr>
            <w:r>
              <w:t>枚举：华北 / 华东 / 华中 / 东北 / 西北 / 南方区域电网</w:t>
            </w:r>
          </w:p>
        </w:tc>
      </w:tr>
      <w:tr w14:paraId="5143BCA1">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D24CC">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D5E087">
            <w:pPr>
              <w:pStyle w:val="19"/>
              <w:bidi w:val="0"/>
              <w:spacing w:line="240" w:lineRule="auto"/>
              <w:ind w:left="0" w:leftChars="0" w:right="0" w:rightChars="0" w:firstLine="0" w:firstLineChars="0"/>
            </w:pPr>
            <w:r>
              <w:t>电力来源类别</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62CF67">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AFDE09">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EF3521">
            <w:pPr>
              <w:pStyle w:val="19"/>
              <w:bidi w:val="0"/>
              <w:spacing w:line="240" w:lineRule="auto"/>
              <w:ind w:left="0" w:leftChars="0" w:right="0" w:rightChars="0" w:firstLine="0" w:firstLineChars="0"/>
            </w:pPr>
            <w:r>
              <w:t>电网平均 / 燃煤自备电厂 / 光伏发电 / 风力发电 / 水力发电 / 市场化绿电</w:t>
            </w:r>
          </w:p>
        </w:tc>
      </w:tr>
      <w:tr w14:paraId="39DFDD86">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4AB0EF">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F61DAA">
            <w:pPr>
              <w:pStyle w:val="19"/>
              <w:bidi w:val="0"/>
              <w:spacing w:line="240" w:lineRule="auto"/>
              <w:ind w:left="0" w:leftChars="0" w:right="0" w:rightChars="0" w:firstLine="0" w:firstLineChars="0"/>
            </w:pPr>
            <w:r>
              <w:t>当前生效因子值</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641332">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17270">
            <w:pPr>
              <w:pStyle w:val="19"/>
              <w:bidi w:val="0"/>
              <w:spacing w:line="240" w:lineRule="auto"/>
              <w:ind w:left="0" w:leftChars="0" w:right="0" w:rightChars="0" w:firstLine="0" w:firstLineChars="0"/>
            </w:pPr>
            <w:r>
              <w:t>kgCO2e/kWh</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0F2F89">
            <w:pPr>
              <w:pStyle w:val="19"/>
              <w:bidi w:val="0"/>
              <w:spacing w:line="240" w:lineRule="auto"/>
              <w:ind w:left="0" w:leftChars="0" w:right="0" w:rightChars="0" w:firstLine="0" w:firstLineChars="0"/>
            </w:pPr>
            <w:r>
              <w:t xml:space="preserve">&gt;= 0 ；绿电核销后为 0.0000；常规电网取值区间  [0.3000, 1.2000] </w:t>
            </w:r>
          </w:p>
        </w:tc>
      </w:tr>
      <w:tr w14:paraId="20F2C33B">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567C25">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9047A">
            <w:pPr>
              <w:pStyle w:val="19"/>
              <w:bidi w:val="0"/>
              <w:spacing w:line="240" w:lineRule="auto"/>
              <w:ind w:left="0" w:leftChars="0" w:right="0" w:rightChars="0" w:firstLine="0" w:firstLineChars="0"/>
            </w:pPr>
            <w:r>
              <w:t>默认/基准因子值</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89434B">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72E830">
            <w:pPr>
              <w:pStyle w:val="19"/>
              <w:bidi w:val="0"/>
              <w:spacing w:line="240" w:lineRule="auto"/>
              <w:ind w:left="0" w:leftChars="0" w:right="0" w:rightChars="0" w:firstLine="0" w:firstLineChars="0"/>
            </w:pPr>
            <w:r>
              <w:t>kgCO2e/kWh</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6EDB7E">
            <w:pPr>
              <w:pStyle w:val="19"/>
              <w:bidi w:val="0"/>
              <w:spacing w:line="240" w:lineRule="auto"/>
              <w:ind w:left="0" w:leftChars="0" w:right="0" w:rightChars="0" w:firstLine="0" w:firstLineChars="0"/>
            </w:pPr>
            <w:r>
              <w:t>取上一年度生态环境部发布的官方基准因子值</w:t>
            </w:r>
          </w:p>
        </w:tc>
      </w:tr>
      <w:tr w14:paraId="3B71273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EF34DD">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1CD242">
            <w:pPr>
              <w:pStyle w:val="19"/>
              <w:bidi w:val="0"/>
              <w:spacing w:line="240" w:lineRule="auto"/>
              <w:ind w:left="0" w:leftChars="0" w:right="0" w:rightChars="0" w:firstLine="0" w:firstLineChars="0"/>
            </w:pPr>
            <w:r>
              <w:t>法定量纲单位</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30B3D6">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31ABA7">
            <w:pPr>
              <w:pStyle w:val="19"/>
              <w:bidi w:val="0"/>
              <w:spacing w:line="240" w:lineRule="auto"/>
              <w:ind w:left="0" w:leftChars="0" w:right="0" w:rightChars="0" w:firstLine="0" w:firstLineChars="0"/>
            </w:pPr>
            <w:r>
              <w:t>kgCO2e/kWh</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0E267A">
            <w:pPr>
              <w:pStyle w:val="19"/>
              <w:bidi w:val="0"/>
              <w:spacing w:line="240" w:lineRule="auto"/>
              <w:ind w:left="0" w:leftChars="0" w:right="0" w:rightChars="0" w:firstLine="0" w:firstLineChars="0"/>
            </w:pPr>
            <w:r>
              <w:t>统一为  kgCO2e/kWh ，禁止混入 MWh 或度</w:t>
            </w:r>
          </w:p>
        </w:tc>
      </w:tr>
      <w:tr w14:paraId="24FE1211">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53D04C">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3353ED">
            <w:pPr>
              <w:pStyle w:val="19"/>
              <w:bidi w:val="0"/>
              <w:spacing w:line="240" w:lineRule="auto"/>
              <w:ind w:left="0" w:leftChars="0" w:right="0" w:rightChars="0" w:firstLine="0" w:firstLineChars="0"/>
            </w:pPr>
            <w:r>
              <w:t>来源发布机构</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0D67A8">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7011E6">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DF4E16">
            <w:pPr>
              <w:pStyle w:val="19"/>
              <w:bidi w:val="0"/>
              <w:spacing w:line="240" w:lineRule="auto"/>
              <w:ind w:left="0" w:leftChars="0" w:right="0" w:rightChars="0" w:firstLine="0" w:firstLineChars="0"/>
            </w:pPr>
            <w:r>
              <w:t xml:space="preserve">如  生态环境部 、 省级生态环境厅 、 国家电力调度中心 </w:t>
            </w:r>
          </w:p>
        </w:tc>
      </w:tr>
      <w:tr w14:paraId="3F2AD8F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6A975">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2E52F8">
            <w:pPr>
              <w:pStyle w:val="19"/>
              <w:bidi w:val="0"/>
              <w:spacing w:line="240" w:lineRule="auto"/>
              <w:ind w:left="0" w:leftChars="0" w:right="0" w:rightChars="0" w:firstLine="0" w:firstLineChars="0"/>
            </w:pPr>
            <w:r>
              <w:t>适用发布年度版本</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8DAAB">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17B8AE">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95ADB1">
            <w:pPr>
              <w:pStyle w:val="19"/>
              <w:bidi w:val="0"/>
              <w:spacing w:line="240" w:lineRule="auto"/>
              <w:ind w:left="0" w:leftChars="0" w:right="0" w:rightChars="0" w:firstLine="0" w:firstLineChars="0"/>
            </w:pPr>
            <w:r>
              <w:t>格式  v&lt;年&gt;.&lt;版本&gt; （如  v2024.1 ）</w:t>
            </w:r>
          </w:p>
        </w:tc>
      </w:tr>
      <w:tr w14:paraId="65B059F3">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095715">
            <w:pPr>
              <w:pStyle w:val="19"/>
              <w:bidi w:val="0"/>
              <w:spacing w:line="240" w:lineRule="auto"/>
              <w:ind w:left="0" w:leftChars="0" w:right="0" w:rightChars="0" w:firstLine="0" w:firstLineChars="0"/>
            </w:pPr>
            <w:r>
              <w:t>10</w:t>
            </w:r>
          </w:p>
        </w:tc>
        <w:tc>
          <w:tcPr>
            <w:tcW w:w="14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271BC9">
            <w:pPr>
              <w:pStyle w:val="19"/>
              <w:bidi w:val="0"/>
              <w:spacing w:line="240" w:lineRule="auto"/>
              <w:ind w:left="0" w:leftChars="0" w:right="0" w:rightChars="0" w:firstLine="0" w:firstLineChars="0"/>
            </w:pPr>
            <w:r>
              <w:t>是否属于零碳绿电</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45C8C4">
            <w:pPr>
              <w:pStyle w:val="19"/>
              <w:bidi w:val="0"/>
              <w:spacing w:line="240" w:lineRule="auto"/>
              <w:ind w:left="0" w:leftChars="0" w:right="0" w:rightChars="0" w:firstLine="0" w:firstLineChars="0"/>
            </w:pPr>
            <w:r>
              <w:t>Boolean</w:t>
            </w:r>
          </w:p>
        </w:tc>
        <w:tc>
          <w:tcPr>
            <w:tcW w:w="14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A04B65">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87770A">
            <w:pPr>
              <w:pStyle w:val="19"/>
              <w:bidi w:val="0"/>
              <w:spacing w:line="240" w:lineRule="auto"/>
              <w:ind w:left="0" w:leftChars="0" w:right="0" w:rightChars="0" w:firstLine="0" w:firstLineChars="0"/>
            </w:pPr>
            <w:r>
              <w:t>true  为可再生能源/市场化核销绿电， false  为化石市电</w:t>
            </w:r>
          </w:p>
        </w:tc>
      </w:tr>
    </w:tbl>
    <w:p w14:paraId="4CADAED2">
      <w:pPr>
        <w:pStyle w:val="19"/>
        <w:bidi w:val="0"/>
      </w:pPr>
    </w:p>
    <w:p w14:paraId="1C8C603D">
      <w:pPr>
        <w:pStyle w:val="6"/>
        <w:numPr>
          <w:ilvl w:val="0"/>
          <w:numId w:val="202"/>
        </w:numPr>
        <w:bidi w:val="0"/>
        <w:ind w:left="0" w:leftChars="0" w:firstLine="0" w:firstLineChars="0"/>
        <w:rPr>
          <w:b/>
          <w:bCs/>
          <w:sz w:val="28"/>
          <w:szCs w:val="28"/>
        </w:rPr>
      </w:pPr>
      <w:r>
        <w:rPr>
          <w:b/>
          <w:bCs/>
          <w:sz w:val="28"/>
          <w:szCs w:val="28"/>
        </w:rPr>
        <w:t>核心数学模型与算法框架</w:t>
      </w:r>
    </w:p>
    <w:p w14:paraId="6A147854">
      <w:pPr>
        <w:pStyle w:val="19"/>
        <w:bidi w:val="0"/>
      </w:pPr>
      <w:r>
        <w:t>📐 【核心业务数学模型与计算公式】</w:t>
      </w:r>
    </w:p>
    <w:tbl>
      <w:tblPr>
        <w:tblStyle w:val="38"/>
        <w:tblW w:w="0" w:type="auto"/>
        <w:jc w:val="center"/>
        <w:tblLayout w:type="fixed"/>
        <w:tblCellMar>
          <w:top w:w="0" w:type="dxa"/>
          <w:left w:w="108" w:type="dxa"/>
          <w:bottom w:w="0" w:type="dxa"/>
          <w:right w:w="108" w:type="dxa"/>
        </w:tblCellMar>
      </w:tblPr>
      <w:tblGrid>
        <w:gridCol w:w="9648"/>
      </w:tblGrid>
      <w:tr w14:paraId="65CFAAE9">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1DCFF439">
            <w:pPr>
              <w:pStyle w:val="19"/>
              <w:bidi w:val="0"/>
            </w:pPr>
            <w:r>
              <w:t>📐 【核心业务数学模型与计算公式】</w:t>
            </w:r>
            <w:r>
              <w:br w:type="textWrapping"/>
            </w:r>
          </w:p>
          <w:p w14:paraId="394321A4">
            <w:pPr>
              <w:pStyle w:val="19"/>
              <w:bidi w:val="0"/>
            </w:pPr>
            <w:r>
              <w:t>EF_{\text{grid\_composite}} = \frac{\sum_{i=1}^{p} ( Q_{\text{purchased}, i} \times EF_{\text{grid}, i} )}{\sum_{i=1}^{p} Q_{\text{purchased}, i}} \quad (\text{全集团购网电力综合加权因子})</w:t>
            </w:r>
          </w:p>
          <w:p w14:paraId="620EE713">
            <w:pPr>
              <w:pStyle w:val="19"/>
              <w:bidi w:val="0"/>
            </w:pPr>
            <w:r>
              <w:t>C_{\text{Scope2, elec}} = ( Q_{\text{grid\_total}} - Q_{\text{green\_verified}} ) \times EF_{\text{grid}} + Q_{\text{green\_verified}} \times 0 \quad (\text{电力间接排放净额})</w:t>
            </w:r>
          </w:p>
          <w:p w14:paraId="07961D45">
            <w:pPr>
              <w:pStyle w:val="19"/>
              <w:bidi w:val="0"/>
            </w:pPr>
            <w:r>
              <w:t>R_{\text{green\_power}} = \frac{Q_{\text{pv\_self}} + Q_{\text{green\_market}}}{Q_{\text{grid\_total}} + Q_{\text{pv\_self}}} \times 100\% \quad (\text{绿电综合消纳占比})</w:t>
            </w:r>
          </w:p>
        </w:tc>
      </w:tr>
    </w:tbl>
    <w:p w14:paraId="58E0816B">
      <w:pPr>
        <w:pStyle w:val="19"/>
        <w:bidi w:val="0"/>
      </w:pPr>
    </w:p>
    <w:p w14:paraId="0160A5D4">
      <w:pPr>
        <w:pStyle w:val="19"/>
        <w:bidi w:val="0"/>
      </w:pPr>
      <w:r>
        <w:t>• 变量定义与取值约定：</w:t>
      </w:r>
    </w:p>
    <w:p w14:paraId="64B4DC93">
      <w:pPr>
        <w:pStyle w:val="19"/>
        <w:bidi w:val="0"/>
      </w:pPr>
      <w:r>
        <w:t>• Q_{\text{purchased}, i}：第 i 个园区购入市电量（kWh）；</w:t>
      </w:r>
    </w:p>
    <w:p w14:paraId="0D2EA630">
      <w:pPr>
        <w:pStyle w:val="19"/>
        <w:bidi w:val="0"/>
      </w:pPr>
      <w:r>
        <w:t>• EF_{\text{grid}, i}：第 i 个园区所在地电网排放因子（kgCO2e/kWh）；</w:t>
      </w:r>
    </w:p>
    <w:p w14:paraId="3FA5FF4B">
      <w:pPr>
        <w:pStyle w:val="19"/>
        <w:bidi w:val="0"/>
      </w:pPr>
      <w:r>
        <w:t>• Q_{\text{green\_verified}}：取得官方核销绿证对应的结算电量（kWh）；</w:t>
      </w:r>
    </w:p>
    <w:p w14:paraId="712B38F8">
      <w:pPr>
        <w:pStyle w:val="19"/>
        <w:bidi w:val="0"/>
      </w:pPr>
      <w:r>
        <w:t>• 严禁出现负碳计算：当 Q_{\text{green\_verified}} &gt; Q_{\text{grid\_total}} 时，C_{\text{Scope2, elec}} 兜底锁定为  0.00 ，不得产生“负碳抵消外部化石燃料”。</w:t>
      </w:r>
    </w:p>
    <w:p w14:paraId="0F872FD4">
      <w:pPr>
        <w:pStyle w:val="6"/>
        <w:numPr>
          <w:ilvl w:val="0"/>
          <w:numId w:val="202"/>
        </w:numPr>
        <w:bidi w:val="0"/>
        <w:ind w:left="0" w:leftChars="0" w:firstLine="0" w:firstLineChars="0"/>
        <w:rPr>
          <w:b/>
          <w:bCs/>
          <w:sz w:val="28"/>
          <w:szCs w:val="28"/>
        </w:rPr>
      </w:pPr>
      <w:r>
        <w:rPr>
          <w:b/>
          <w:bCs/>
          <w:sz w:val="28"/>
          <w:szCs w:val="28"/>
        </w:rPr>
        <w:t>展示、对标与判定口径</w:t>
      </w:r>
    </w:p>
    <w:p w14:paraId="764D4A1B">
      <w:pPr>
        <w:pStyle w:val="19"/>
        <w:bidi w:val="0"/>
      </w:pPr>
      <w:r>
        <w:t>• 分级对标口径：各园区电力排放因子常态与全国平均电网因子（全国基准线 0.5703）横向对齐；</w:t>
      </w:r>
    </w:p>
    <w:p w14:paraId="10EFB98B">
      <w:pPr>
        <w:pStyle w:val="19"/>
        <w:bidi w:val="0"/>
      </w:pPr>
      <w:r>
        <w:t>• 消纳认定口径：厂房屋顶分布式光伏自发自用电量，因子按  0.0000 kgCO2e/kWh  认定，全生命周期 LCA 制造端分摊按  0.0480 kgCO2e/kWh  认定；</w:t>
      </w:r>
    </w:p>
    <w:p w14:paraId="44422508">
      <w:pPr>
        <w:pStyle w:val="19"/>
        <w:bidi w:val="0"/>
      </w:pPr>
      <w:r>
        <w:t>• 空值口径：对于未联网的小微测点，因子默认继承所在地所属省级电网平均因子，严禁显示  --  导致计算中断。</w:t>
      </w:r>
    </w:p>
    <w:p w14:paraId="38FE526F">
      <w:pPr>
        <w:pStyle w:val="6"/>
        <w:numPr>
          <w:ilvl w:val="0"/>
          <w:numId w:val="202"/>
        </w:numPr>
        <w:bidi w:val="0"/>
        <w:ind w:left="0" w:leftChars="0" w:firstLine="0" w:firstLineChars="0"/>
        <w:rPr>
          <w:b/>
          <w:bCs/>
          <w:sz w:val="28"/>
          <w:szCs w:val="28"/>
        </w:rPr>
      </w:pPr>
      <w:r>
        <w:rPr>
          <w:b/>
          <w:bCs/>
          <w:sz w:val="28"/>
          <w:szCs w:val="28"/>
        </w:rPr>
        <w:t>边界条件、异常处理与防错规则</w:t>
      </w:r>
    </w:p>
    <w:p w14:paraId="2168F819">
      <w:pPr>
        <w:pStyle w:val="175"/>
        <w:bidi w:val="0"/>
      </w:pPr>
      <w:r>
        <w:t>• 历史关账月度强冻结：已完成财务锁账的月份，其核算所引用的电力因子版本自动固化，即便后续生态环境部补丁修正因子，历史月份禁止自动刷新，触发  E_SYS_FACTOR_LOCKED_HISTORIC ；</w:t>
      </w:r>
    </w:p>
    <w:p w14:paraId="35DDACB7">
      <w:pPr>
        <w:pStyle w:val="175"/>
        <w:bidi w:val="0"/>
      </w:pPr>
      <w:r>
        <w:t>• 绿电超量抵扣截断：绿电核销申报量大于用电总量时，系统自动截断至总用电量，溢出部分自动流转至下一统计周期，记录告警  E_CALC_GREEN_OFFSET_OVERFLOW ；</w:t>
      </w:r>
    </w:p>
    <w:p w14:paraId="55D7AB9A">
      <w:pPr>
        <w:pStyle w:val="175"/>
        <w:bidi w:val="0"/>
      </w:pPr>
      <w:r>
        <w:t>• 自备电厂实测脱失拦截：自备电厂当月未上传连续在线监测（CEMS）烟气实测值时，系统阻断其提交“超低因子”，强制采用燃煤发电机组上限值 0.8320 kgCO2e/kWh，抛出  E_VAL_CEMS_OFFLINE_PENALTY 。</w:t>
      </w:r>
    </w:p>
    <w:p w14:paraId="56464043">
      <w:pPr>
        <w:pStyle w:val="6"/>
        <w:numPr>
          <w:ilvl w:val="0"/>
          <w:numId w:val="202"/>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D972C90">
            <w:pPr>
              <w:pStyle w:val="19"/>
              <w:bidi w:val="0"/>
            </w:pPr>
            <w:r>
              <w:t>🧪 【QA 自动化验收准则 · Gherkin BDD 用例契约】</w:t>
            </w:r>
            <w:r>
              <w:br w:type="textWrapping"/>
            </w:r>
          </w:p>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tc>
      </w:tr>
    </w:tbl>
    <w:p w14:paraId="2327B818">
      <w:pPr>
        <w:pStyle w:val="19"/>
        <w:bidi w:val="0"/>
      </w:pPr>
    </w:p>
    <w:p w14:paraId="35D5EB07">
      <w:pPr>
        <w:pStyle w:val="5"/>
        <w:numPr>
          <w:ilvl w:val="0"/>
          <w:numId w:val="13"/>
        </w:numPr>
        <w:ind w:left="0" w:leftChars="0" w:firstLine="0" w:firstLineChars="0"/>
        <w:outlineLvl w:val="1"/>
        <w:rPr>
          <w:rFonts w:ascii="Times New Roman" w:hAnsi="Times New Roman" w:eastAsia="黑体" w:cs="Times New Roman"/>
          <w:b w:val="0"/>
          <w:bCs w:val="0"/>
          <w:sz w:val="30"/>
          <w:szCs w:val="24"/>
        </w:rPr>
      </w:pPr>
      <w:bookmarkStart w:id="61" w:name="_Toc71"/>
      <w:r>
        <w:rPr>
          <w:rFonts w:hint="eastAsia" w:cs="Times New Roman"/>
          <w:b w:val="0"/>
          <w:bCs w:val="0"/>
          <w:sz w:val="30"/>
          <w:szCs w:val="24"/>
          <w:lang w:val="en-US" w:eastAsia="zh-CN"/>
        </w:rPr>
        <w:t>能源活动碳排因子</w:t>
      </w:r>
      <w:bookmarkEnd w:id="61"/>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49"/>
                    <a:stretch>
                      <a:fillRect/>
                    </a:stretch>
                  </pic:blipFill>
                  <pic:spPr>
                    <a:xfrm>
                      <a:off x="0" y="0"/>
                      <a:ext cx="6118860" cy="3034030"/>
                    </a:xfrm>
                    <a:prstGeom prst="rect">
                      <a:avLst/>
                    </a:prstGeom>
                    <a:noFill/>
                    <a:ln>
                      <a:noFill/>
                    </a:ln>
                  </pic:spPr>
                </pic:pic>
              </a:graphicData>
            </a:graphic>
          </wp:inline>
        </w:drawing>
      </w:r>
    </w:p>
    <w:p w14:paraId="7D02E7BF">
      <w:pPr>
        <w:pStyle w:val="6"/>
        <w:numPr>
          <w:ilvl w:val="0"/>
          <w:numId w:val="203"/>
        </w:numPr>
        <w:bidi w:val="0"/>
        <w:ind w:left="0" w:leftChars="0" w:firstLine="0" w:firstLineChars="0"/>
        <w:rPr>
          <w:b/>
          <w:bCs/>
          <w:sz w:val="28"/>
          <w:szCs w:val="28"/>
        </w:rPr>
      </w:pPr>
      <w:r>
        <w:rPr>
          <w:b/>
          <w:bCs/>
          <w:sz w:val="28"/>
          <w:szCs w:val="28"/>
        </w:rPr>
        <w:t>定位与架构角色</w:t>
      </w:r>
    </w:p>
    <w:p w14:paraId="1B62BAEB">
      <w:pPr>
        <w:pStyle w:val="19"/>
        <w:bidi w:val="0"/>
      </w:pPr>
      <w:r>
        <w:t>• 功能定位：作为全集团范围一（Scope 1）化石燃料直接燃烧温室气体排放及外购热力蒸汽排放的核算参数中枢，管理化石燃料（天然气、柴油、汽油、原煤、液化石油气）、外购工业蒸汽以及设备逸散制冷剂（如 R134a、R410A）的核心排放参数。</w:t>
      </w:r>
    </w:p>
    <w:p w14:paraId="3E4204C1">
      <w:pPr>
        <w:pStyle w:val="19"/>
        <w:bidi w:val="0"/>
      </w:pPr>
      <w:r>
        <w:t>• 承载角色：P2 园区能碳专员（燃料消耗录入与检验单上传）、P4 碳核算工程师（因子基线核准与低位发热量实测修正）。</w:t>
      </w:r>
    </w:p>
    <w:p w14:paraId="3DF26ED6">
      <w:pPr>
        <w:pStyle w:val="6"/>
        <w:numPr>
          <w:ilvl w:val="0"/>
          <w:numId w:val="203"/>
        </w:numPr>
        <w:bidi w:val="0"/>
        <w:ind w:left="0" w:leftChars="0" w:firstLine="0" w:firstLineChars="0"/>
        <w:rPr>
          <w:b/>
          <w:bCs/>
          <w:sz w:val="28"/>
          <w:szCs w:val="28"/>
        </w:rPr>
      </w:pPr>
      <w:r>
        <w:rPr>
          <w:b/>
          <w:bCs/>
          <w:sz w:val="28"/>
          <w:szCs w:val="28"/>
        </w:rPr>
        <w:t>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6"/>
        <w:numPr>
          <w:ilvl w:val="0"/>
          <w:numId w:val="203"/>
        </w:numPr>
        <w:bidi w:val="0"/>
        <w:ind w:left="0" w:leftChars="0" w:firstLine="0" w:firstLineChars="0"/>
        <w:rPr>
          <w:b/>
          <w:bCs/>
          <w:sz w:val="28"/>
          <w:szCs w:val="28"/>
        </w:rPr>
      </w:pPr>
      <w:r>
        <w:rPr>
          <w:b/>
          <w:bCs/>
          <w:sz w:val="28"/>
          <w:szCs w:val="28"/>
        </w:rPr>
        <w:t>功能规格与交互契约</w:t>
      </w:r>
    </w:p>
    <w:p w14:paraId="610D49FD">
      <w:pPr>
        <w:pStyle w:val="19"/>
        <w:bidi w:val="0"/>
      </w:pPr>
      <w:r>
        <w:t>• 分类导航与界面排版：</w:t>
      </w:r>
    </w:p>
    <w:p w14:paraId="114BB704">
      <w:pPr>
        <w:pStyle w:val="19"/>
        <w:bidi w:val="0"/>
      </w:pPr>
      <w:r>
        <w:t>• 顶部提供【能源活动类别】切片（ 全部  /  化石燃料  /  热力/蒸汽  /  制冷剂  /  其他 ）；</w:t>
      </w:r>
    </w:p>
    <w:p w14:paraId="151D17F9">
      <w:pPr>
        <w:pStyle w:val="19"/>
        <w:bidi w:val="0"/>
      </w:pPr>
      <w:r>
        <w:t>• 因子值列复合呈现： 当前生效值 / 默认缺省值 （例如天然气  2.1622 / 2.1800 kgCO2e/m³ ，柴油  3.0959 / 3.1200 kgCO2e/kg ）。</w:t>
      </w:r>
    </w:p>
    <w:p w14:paraId="3BD58965">
      <w:pPr>
        <w:pStyle w:val="19"/>
        <w:bidi w:val="0"/>
      </w:pPr>
      <w:r>
        <w:t>• 三参数三层级透明穿透展示：</w:t>
      </w:r>
    </w:p>
    <w:p w14:paraId="27F0F62F">
      <w:pPr>
        <w:pStyle w:val="19"/>
        <w:bidi w:val="0"/>
      </w:pPr>
      <w:r>
        <w:t>• 点击化石燃料因子行展开，展示底层三大核算参数：</w:t>
      </w:r>
    </w:p>
    <w:p w14:paraId="72E73820">
      <w:pPr>
        <w:pStyle w:val="19"/>
        <w:bidi w:val="0"/>
      </w:pPr>
      <w:r>
        <w:t>1. 低位发热量 (NCV)：如天然气标况  38.931 MJ/m³ ；</w:t>
      </w:r>
    </w:p>
    <w:p w14:paraId="2166C56B">
      <w:pPr>
        <w:pStyle w:val="19"/>
        <w:bidi w:val="0"/>
      </w:pPr>
      <w:r>
        <w:t>2. 单位热值含碳量 (CC)：如天然气  15.32 tC/TJ ；</w:t>
      </w:r>
    </w:p>
    <w:p w14:paraId="15BDE078">
      <w:pPr>
        <w:pStyle w:val="19"/>
        <w:bidi w:val="0"/>
      </w:pPr>
      <w:r>
        <w:t>3. 碳氧化率 (OF)：如工业炉天然气燃烧  99.0% ；</w:t>
      </w:r>
    </w:p>
    <w:p w14:paraId="0C50317D">
      <w:pPr>
        <w:pStyle w:val="19"/>
        <w:bidi w:val="0"/>
      </w:pPr>
      <w:r>
        <w:t>• 清晰标注该因子是采用国家指南缺省值，还是基于燃气化验单的实测修正值。</w:t>
      </w:r>
    </w:p>
    <w:p w14:paraId="6392CC9B">
      <w:pPr>
        <w:pStyle w:val="19"/>
        <w:bidi w:val="0"/>
      </w:pPr>
      <w:r>
        <w:t>• 外购工业蒸汽因子温压解耦与热焓计算：</w:t>
      </w:r>
    </w:p>
    <w:p w14:paraId="1B3068C6">
      <w:pPr>
        <w:pStyle w:val="19"/>
        <w:bidi w:val="0"/>
      </w:pPr>
      <w:r>
        <w:t>• 外购蒸汽因子支持根据蒸汽供汽类型（低压饱和蒸汽 / 过热蒸汽）与表压（MPa）、温度（°C）自动从国际水蒸气热焓表（IAPWS-IF97）插值匹配比焓值，计算专属排放因子（如  0.1100 kgCO2e/MJ  或  276.5 kgCO2e/t ）。</w:t>
      </w:r>
    </w:p>
    <w:p w14:paraId="41318AD7">
      <w:pPr>
        <w:pStyle w:val="19"/>
        <w:bidi w:val="0"/>
      </w:pPr>
      <w:r>
        <w:t>• 📌 【业务约束与工程规范契约】：</w:t>
      </w:r>
    </w:p>
    <w:p w14:paraId="6D4D07B5">
      <w:pPr>
        <w:pStyle w:val="19"/>
        <w:bidi w:val="0"/>
      </w:pPr>
      <w:r>
        <w:t>• 制冷剂逸散全球变暖潜能值 (GWP) 强制锚定 IPCC 第五次评估报告 (AR5)，R134a 强制锁定为 1430，严禁任意篡改。</w:t>
      </w:r>
    </w:p>
    <w:p w14:paraId="246E1509">
      <w:pPr>
        <w:pStyle w:val="6"/>
        <w:numPr>
          <w:ilvl w:val="0"/>
          <w:numId w:val="203"/>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80EDBF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508F811">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0E7132">
            <w:pPr>
              <w:pStyle w:val="19"/>
              <w:bidi w:val="0"/>
              <w:spacing w:line="240" w:lineRule="auto"/>
              <w:ind w:left="0" w:leftChars="0" w:right="0" w:rightChars="0" w:firstLine="0" w:firstLineChars="0"/>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500BE5">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FF23A2B">
            <w:pPr>
              <w:pStyle w:val="19"/>
              <w:bidi w:val="0"/>
              <w:spacing w:line="240" w:lineRule="auto"/>
              <w:ind w:left="0" w:leftChars="0" w:right="0" w:rightChars="0" w:firstLine="0" w:firstLineChars="0"/>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F9AED">
            <w:pPr>
              <w:pStyle w:val="19"/>
              <w:bidi w:val="0"/>
              <w:spacing w:line="240" w:lineRule="auto"/>
              <w:ind w:left="0" w:leftChars="0" w:right="0" w:rightChars="0" w:firstLine="0" w:firstLineChars="0"/>
            </w:pPr>
            <w:r>
              <w:t>校验与约束规则</w:t>
            </w:r>
          </w:p>
        </w:tc>
      </w:tr>
      <w:tr w14:paraId="3C12BA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84EA63">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464698">
            <w:pPr>
              <w:pStyle w:val="19"/>
              <w:bidi w:val="0"/>
              <w:spacing w:line="240" w:lineRule="auto"/>
              <w:ind w:left="0" w:leftChars="0" w:right="0" w:rightChars="0" w:firstLine="0" w:firstLineChars="0"/>
            </w:pPr>
            <w:r>
              <w:t>能源活动因子编码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C35CD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E686F">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EE1DB7">
            <w:pPr>
              <w:pStyle w:val="19"/>
              <w:bidi w:val="0"/>
              <w:spacing w:line="240" w:lineRule="auto"/>
              <w:ind w:left="0" w:leftChars="0" w:right="0" w:rightChars="0" w:firstLine="0" w:firstLineChars="0"/>
            </w:pPr>
            <w:r>
              <w:t xml:space="preserve">唯一，格式  EA&lt;3位流水&gt;&lt;2位校验码&gt; </w:t>
            </w:r>
          </w:p>
        </w:tc>
      </w:tr>
      <w:tr w14:paraId="5EBE19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12459">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9108B8">
            <w:pPr>
              <w:pStyle w:val="19"/>
              <w:bidi w:val="0"/>
              <w:spacing w:line="240" w:lineRule="auto"/>
              <w:ind w:left="0" w:leftChars="0" w:right="0" w:rightChars="0" w:firstLine="0" w:firstLineChars="0"/>
            </w:pPr>
            <w:r>
              <w:t>能源活动/燃料名称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256B3B">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1F49D">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495559">
            <w:pPr>
              <w:pStyle w:val="19"/>
              <w:bidi w:val="0"/>
              <w:spacing w:line="240" w:lineRule="auto"/>
              <w:ind w:left="0" w:leftChars="0" w:right="0" w:rightChars="0" w:firstLine="0" w:firstLineChars="0"/>
            </w:pPr>
            <w:r>
              <w:t xml:space="preserve">如  管道天然气 、 轻柴油 、 原煤(烟煤) 、 外购蒸汽 </w:t>
            </w:r>
          </w:p>
        </w:tc>
      </w:tr>
      <w:tr w14:paraId="4EB0085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2EC4C5">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6E8CAA">
            <w:pPr>
              <w:pStyle w:val="19"/>
              <w:bidi w:val="0"/>
              <w:spacing w:line="240" w:lineRule="auto"/>
              <w:ind w:left="0" w:leftChars="0" w:right="0" w:rightChars="0" w:firstLine="0" w:firstLineChars="0"/>
            </w:pPr>
            <w:r>
              <w:t>能源大类归属</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DFB677">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11D0D7">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3369C8">
            <w:pPr>
              <w:pStyle w:val="19"/>
              <w:bidi w:val="0"/>
              <w:spacing w:line="240" w:lineRule="auto"/>
              <w:ind w:left="0" w:leftChars="0" w:right="0" w:rightChars="0" w:firstLine="0" w:firstLineChars="0"/>
            </w:pPr>
            <w:r>
              <w:t>化石燃料 / 热力/蒸汽 / 制冷剂 / 其他</w:t>
            </w:r>
          </w:p>
        </w:tc>
      </w:tr>
      <w:tr w14:paraId="3C30BB7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63FCD0">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F11A45">
            <w:pPr>
              <w:pStyle w:val="19"/>
              <w:bidi w:val="0"/>
              <w:spacing w:line="240" w:lineRule="auto"/>
              <w:ind w:left="0" w:leftChars="0" w:right="0" w:rightChars="0" w:firstLine="0" w:firstLineChars="0"/>
            </w:pPr>
            <w:r>
              <w:t>当前生效因子值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3B14D7">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201BC">
            <w:pPr>
              <w:pStyle w:val="19"/>
              <w:bidi w:val="0"/>
              <w:spacing w:line="240" w:lineRule="auto"/>
              <w:ind w:left="0" w:leftChars="0" w:right="0" w:rightChars="0" w:firstLine="0" w:firstLineChars="0"/>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AC7D09">
            <w:pPr>
              <w:pStyle w:val="19"/>
              <w:bidi w:val="0"/>
              <w:spacing w:line="240" w:lineRule="auto"/>
              <w:ind w:left="0" w:leftChars="0" w:right="0" w:rightChars="0" w:firstLine="0" w:firstLineChars="0"/>
            </w:pPr>
            <w:r>
              <w:t xml:space="preserve">严格  &gt; 0 ；天然气为  kgCO2e/m³ ，燃料油为  kgCO2e/kg ，蒸汽为  kgCO2e/MJ </w:t>
            </w:r>
          </w:p>
        </w:tc>
      </w:tr>
      <w:tr w14:paraId="49350FA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B3DEB2">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0AB268">
            <w:pPr>
              <w:pStyle w:val="19"/>
              <w:bidi w:val="0"/>
              <w:spacing w:line="240" w:lineRule="auto"/>
              <w:ind w:left="0" w:leftChars="0" w:right="0" w:rightChars="0" w:firstLine="0" w:firstLineChars="0"/>
            </w:pPr>
            <w:r>
              <w:t>默认/缺省因子值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9E21AB">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084F62">
            <w:pPr>
              <w:pStyle w:val="19"/>
              <w:bidi w:val="0"/>
              <w:spacing w:line="240" w:lineRule="auto"/>
              <w:ind w:left="0" w:leftChars="0" w:right="0" w:rightChars="0" w:firstLine="0" w:firstLineChars="0"/>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237572">
            <w:pPr>
              <w:pStyle w:val="19"/>
              <w:bidi w:val="0"/>
              <w:spacing w:line="240" w:lineRule="auto"/>
              <w:ind w:left="0" w:leftChars="0" w:right="0" w:rightChars="0" w:firstLine="0" w:firstLineChars="0"/>
            </w:pPr>
            <w:r>
              <w:t>国家发改委核算指南推荐缺省值</w:t>
            </w:r>
          </w:p>
        </w:tc>
      </w:tr>
      <w:tr w14:paraId="63C1ED2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E05124">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932E35">
            <w:pPr>
              <w:pStyle w:val="19"/>
              <w:bidi w:val="0"/>
              <w:spacing w:line="240" w:lineRule="auto"/>
              <w:ind w:left="0" w:leftChars="0" w:right="0" w:rightChars="0" w:firstLine="0" w:firstLineChars="0"/>
            </w:pPr>
            <w:r>
              <w:t>低位发热量 (NCV)</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82F145">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43418F">
            <w:pPr>
              <w:pStyle w:val="19"/>
              <w:bidi w:val="0"/>
              <w:spacing w:line="240" w:lineRule="auto"/>
              <w:ind w:left="0" w:leftChars="0" w:right="0" w:rightChars="0" w:firstLine="0" w:firstLineChars="0"/>
            </w:pPr>
            <w:r>
              <w:t>MJ/kg 或 MJ/m³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C68FD1">
            <w:pPr>
              <w:pStyle w:val="19"/>
              <w:bidi w:val="0"/>
              <w:spacing w:line="240" w:lineRule="auto"/>
              <w:ind w:left="0" w:leftChars="0" w:right="0" w:rightChars="0" w:firstLine="0" w:firstLineChars="0"/>
            </w:pPr>
            <w:r>
              <w:t>严格  &gt; 0 ；按实测或国标录入</w:t>
            </w:r>
          </w:p>
        </w:tc>
      </w:tr>
      <w:tr w14:paraId="308787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B84723">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46967">
            <w:pPr>
              <w:pStyle w:val="19"/>
              <w:bidi w:val="0"/>
              <w:spacing w:line="240" w:lineRule="auto"/>
              <w:ind w:left="0" w:leftChars="0" w:right="0" w:rightChars="0" w:firstLine="0" w:firstLineChars="0"/>
            </w:pPr>
            <w:r>
              <w:t>单位热值含碳量 (CC)</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CCDD1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96592D">
            <w:pPr>
              <w:pStyle w:val="19"/>
              <w:bidi w:val="0"/>
              <w:spacing w:line="240" w:lineRule="auto"/>
              <w:ind w:left="0" w:leftChars="0" w:right="0" w:rightChars="0" w:firstLine="0" w:firstLineChars="0"/>
            </w:pPr>
            <w:r>
              <w:t>tC/TJ</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0441F8">
            <w:pPr>
              <w:pStyle w:val="19"/>
              <w:bidi w:val="0"/>
              <w:spacing w:line="240" w:lineRule="auto"/>
              <w:ind w:left="0" w:leftChars="0" w:right="0" w:rightChars="0" w:firstLine="0" w:firstLineChars="0"/>
            </w:pPr>
            <w:r>
              <w:t>严格  &gt; 0 ；碳核算关键中间参数</w:t>
            </w:r>
          </w:p>
        </w:tc>
      </w:tr>
      <w:tr w14:paraId="6BD344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BB3BF">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9F43FE">
            <w:pPr>
              <w:pStyle w:val="19"/>
              <w:bidi w:val="0"/>
              <w:spacing w:line="240" w:lineRule="auto"/>
              <w:ind w:left="0" w:leftChars="0" w:right="0" w:rightChars="0" w:firstLine="0" w:firstLineChars="0"/>
            </w:pPr>
            <w:r>
              <w:t>碳氧化率 (OF)</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EBDF92">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C1E596">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94CAE">
            <w:pPr>
              <w:pStyle w:val="19"/>
              <w:bidi w:val="0"/>
              <w:spacing w:line="240" w:lineRule="auto"/>
              <w:ind w:left="0" w:leftChars="0" w:right="0" w:rightChars="0" w:firstLine="0" w:firstLineChars="0"/>
            </w:pPr>
            <w:r>
              <w:t>取值区间  [90.0, 100.0] ，炉窑燃烧效率</w:t>
            </w:r>
          </w:p>
        </w:tc>
      </w:tr>
      <w:tr w14:paraId="6CCF80D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933852">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1CE308">
            <w:pPr>
              <w:pStyle w:val="19"/>
              <w:bidi w:val="0"/>
              <w:spacing w:line="240" w:lineRule="auto"/>
              <w:ind w:left="0" w:leftChars="0" w:right="0" w:rightChars="0" w:firstLine="0" w:firstLineChars="0"/>
            </w:pPr>
            <w:r>
              <w:t>制冷剂潜能值 (GWP)</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375">
            <w:pPr>
              <w:pStyle w:val="19"/>
              <w:bidi w:val="0"/>
              <w:spacing w:line="240" w:lineRule="auto"/>
              <w:ind w:left="0" w:leftChars="0" w:right="0" w:rightChars="0" w:firstLine="0" w:firstLineChars="0"/>
            </w:pPr>
            <w: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932682">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8475CB">
            <w:pPr>
              <w:pStyle w:val="19"/>
              <w:bidi w:val="0"/>
              <w:spacing w:line="240" w:lineRule="auto"/>
              <w:ind w:left="0" w:leftChars="0" w:right="0" w:rightChars="0" w:firstLine="0" w:firstLineChars="0"/>
            </w:pPr>
            <w:r>
              <w:t>仅制冷剂类型有效，如 R134a 锁定为 1430</w:t>
            </w:r>
          </w:p>
        </w:tc>
      </w:tr>
      <w:tr w14:paraId="45E3B1E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AF595">
            <w:pPr>
              <w:pStyle w:val="19"/>
              <w:bidi w:val="0"/>
              <w:spacing w:line="240" w:lineRule="auto"/>
              <w:ind w:left="0" w:leftChars="0" w:right="0" w:rightChars="0" w:firstLine="0" w:firstLineChars="0"/>
            </w:pPr>
            <w:r>
              <w:t>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F24A3">
            <w:pPr>
              <w:pStyle w:val="19"/>
              <w:bidi w:val="0"/>
              <w:spacing w:line="240" w:lineRule="auto"/>
              <w:ind w:left="0" w:leftChars="0" w:right="0" w:rightChars="0" w:firstLine="0" w:firstLineChars="0"/>
            </w:pPr>
            <w:r>
              <w:t>因子版本发布代号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FBF430">
            <w:pPr>
              <w:pStyle w:val="19"/>
              <w:bidi w:val="0"/>
              <w:spacing w:line="240" w:lineRule="auto"/>
              <w:ind w:left="0" w:leftChars="0" w:right="0" w:rightChars="0" w:firstLine="0" w:firstLineChars="0"/>
            </w:pPr>
            <w:r>
              <w:t>String</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9AEEA2">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FC193F">
            <w:pPr>
              <w:pStyle w:val="19"/>
              <w:bidi w:val="0"/>
              <w:spacing w:line="240" w:lineRule="auto"/>
              <w:ind w:left="0" w:leftChars="0" w:right="0" w:rightChars="0" w:firstLine="0" w:firstLineChars="0"/>
            </w:pPr>
            <w:r>
              <w:t>格式  v&lt;年份&gt;.&lt;流水&gt; （如  v2023.2 ）</w:t>
            </w:r>
          </w:p>
        </w:tc>
      </w:tr>
    </w:tbl>
    <w:p w14:paraId="6D6C79E8">
      <w:pPr>
        <w:pStyle w:val="19"/>
        <w:bidi w:val="0"/>
      </w:pPr>
    </w:p>
    <w:p w14:paraId="3A9BF347">
      <w:pPr>
        <w:pStyle w:val="6"/>
        <w:numPr>
          <w:ilvl w:val="0"/>
          <w:numId w:val="203"/>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6CF7482">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B1A2A9B">
            <w:pPr>
              <w:pStyle w:val="19"/>
              <w:bidi w:val="0"/>
            </w:pPr>
            <w:r>
              <w:t>📐 【核心业务数学模型与计算公式】</w:t>
            </w:r>
            <w:r>
              <w:br w:type="textWrapping"/>
            </w:r>
          </w:p>
          <w:p w14:paraId="50BAF69A">
            <w:pPr>
              <w:pStyle w:val="19"/>
              <w:bidi w:val="0"/>
            </w:pPr>
            <w:r>
              <w:t>EF_{\text{fossil}} = \text{NCV} \times \text{CC} \times \text{OF} \times \frac{44}{12} \times 10^{-3} \quad (\text{化石燃料直接燃烧排放因子})</w:t>
            </w:r>
          </w:p>
          <w:p w14:paraId="155C403E">
            <w:pPr>
              <w:pStyle w:val="19"/>
              <w:bidi w:val="0"/>
            </w:pPr>
            <w:r>
              <w:t>EF_{\text{steam}} = \frac{h_{\text{steam}} - h_{\text{water}}}{\eta_{\text{boiler}}} \times EF_{\text{fuel}} \quad (\text{外购工业蒸汽折算因子})</w:t>
            </w:r>
          </w:p>
          <w:p w14:paraId="0B4EC246">
            <w:pPr>
              <w:pStyle w:val="19"/>
              <w:bidi w:val="0"/>
            </w:pPr>
            <w:r>
              <w:t>C_{\text{Scope1, total}} = \sum_{j=1}^{k} \left( Q_{\text{fuel}, j} \times EF_{\text{fossil}, j} \right) + \sum_{m=1}^{r} \left( L_{\text{refrig}, m} \times \text{GWP}_m \right) \quad (\text{范围一直接排放量})</w:t>
            </w:r>
          </w:p>
        </w:tc>
      </w:tr>
    </w:tbl>
    <w:p w14:paraId="49949F1C">
      <w:pPr>
        <w:pStyle w:val="19"/>
        <w:bidi w:val="0"/>
      </w:pPr>
    </w:p>
    <w:p w14:paraId="5DDB198E">
      <w:pPr>
        <w:pStyle w:val="19"/>
        <w:bidi w:val="0"/>
      </w:pPr>
      <w:r>
        <w:t>• 变量定义与取值约定：</w:t>
      </w:r>
    </w:p>
    <w:p w14:paraId="1C1044E8">
      <w:pPr>
        <w:pStyle w:val="19"/>
        <w:bidi w:val="0"/>
      </w:pPr>
      <w:r>
        <w:t>• \text{NCV}：平均低位发热量（固体/液体为 \text{kJ/kg}，气体为 \text{kJ/m}^3）；</w:t>
      </w:r>
    </w:p>
    <w:p w14:paraId="25BA16FE">
      <w:pPr>
        <w:pStyle w:val="19"/>
        <w:bidi w:val="0"/>
      </w:pPr>
      <w:r>
        <w:t>• \text{CC}：单位热值含碳量（\text{tC/TJ}）；</w:t>
      </w:r>
    </w:p>
    <w:p w14:paraId="1318EC0C">
      <w:pPr>
        <w:pStyle w:val="19"/>
        <w:bidi w:val="0"/>
      </w:pPr>
      <w:r>
        <w:t>• \text{OF}：碳氧化率（百分比）；</w:t>
      </w:r>
    </w:p>
    <w:p w14:paraId="4150B28A">
      <w:pPr>
        <w:pStyle w:val="19"/>
        <w:bidi w:val="0"/>
      </w:pPr>
      <w:r>
        <w:t>• 44/12：二氧化碳与碳的分子量比率（约等于 3.6667）；</w:t>
      </w:r>
    </w:p>
    <w:p w14:paraId="2D761165">
      <w:pPr>
        <w:pStyle w:val="19"/>
        <w:bidi w:val="0"/>
      </w:pPr>
      <w:r>
        <w:t>• h_{\text{steam}}：蒸汽供汽比焓（\text{kJ/kg}）；h_{\text{water}}：锅炉给水温度比焓（\text{kJ/kg}）；\eta_{\text{boiler}}：供热锅炉综合热效率（系统缺省取 80.0\%）。</w:t>
      </w:r>
    </w:p>
    <w:p w14:paraId="0DE42529">
      <w:pPr>
        <w:pStyle w:val="6"/>
        <w:numPr>
          <w:ilvl w:val="0"/>
          <w:numId w:val="203"/>
        </w:numPr>
        <w:bidi w:val="0"/>
        <w:ind w:left="0" w:leftChars="0" w:firstLine="0" w:firstLineChars="0"/>
        <w:rPr>
          <w:b/>
          <w:bCs/>
          <w:sz w:val="28"/>
          <w:szCs w:val="28"/>
        </w:rPr>
      </w:pPr>
      <w:r>
        <w:rPr>
          <w:b/>
          <w:bCs/>
          <w:sz w:val="28"/>
          <w:szCs w:val="28"/>
        </w:rPr>
        <w:t>展示、对标与判定口径</w:t>
      </w:r>
    </w:p>
    <w:p w14:paraId="1A0B7C30">
      <w:pPr>
        <w:pStyle w:val="19"/>
        <w:bidi w:val="0"/>
      </w:pPr>
      <w:r>
        <w:t>• 双轨展示：因子卡片明确标注实测值与发改委缺省值对比；</w:t>
      </w:r>
    </w:p>
    <w:p w14:paraId="0CE06F2E">
      <w:pPr>
        <w:pStyle w:val="19"/>
        <w:bidi w:val="0"/>
      </w:pPr>
      <w:r>
        <w:t>• 温室气体折算口径：所有能源活动排放结果统一以二氧化碳当量（\text{tCO}_2\text{e}）汇总，非二氧化碳温室气体（如甲烷 \text{CH}_4、氧化亚氮 \text{N}_2\text{O}）已按 GWP 统一折算入综合因子中；</w:t>
      </w:r>
    </w:p>
    <w:p w14:paraId="69B40EC4">
      <w:pPr>
        <w:pStyle w:val="19"/>
        <w:bidi w:val="0"/>
      </w:pPr>
      <w:r>
        <w:t>• 空值口径：任何车间新增特种燃气或工业副产气未录入实测热值时，系统强制回退采用通用化石燃料上限缺省值，严禁空值运行。</w:t>
      </w:r>
    </w:p>
    <w:p w14:paraId="3A81B9F3">
      <w:pPr>
        <w:pStyle w:val="6"/>
        <w:numPr>
          <w:ilvl w:val="0"/>
          <w:numId w:val="203"/>
        </w:numPr>
        <w:bidi w:val="0"/>
        <w:ind w:left="0" w:leftChars="0" w:firstLine="0" w:firstLineChars="0"/>
        <w:rPr>
          <w:b/>
          <w:bCs/>
          <w:sz w:val="28"/>
          <w:szCs w:val="28"/>
        </w:rPr>
      </w:pPr>
      <w:r>
        <w:rPr>
          <w:b/>
          <w:bCs/>
          <w:sz w:val="28"/>
          <w:szCs w:val="28"/>
        </w:rPr>
        <w:t>边界条件、异常处理与防错规则</w:t>
      </w:r>
    </w:p>
    <w:p w14:paraId="574967E7">
      <w:pPr>
        <w:pStyle w:val="175"/>
        <w:bidi w:val="0"/>
      </w:pPr>
      <w:r>
        <w:t>• 发热量非物理极值拦截：低位发热量输入超过热力学物理极限（如天然气输入 &gt; 50 \text{ MJ/m}^3）时，系统强阻断保存，抛出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6"/>
        <w:numPr>
          <w:ilvl w:val="0"/>
          <w:numId w:val="203"/>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7A067C1">
            <w:pPr>
              <w:pStyle w:val="19"/>
              <w:bidi w:val="0"/>
            </w:pPr>
            <w:r>
              <w:t>🧪 【QA 自动化验收准则 · Gherkin BDD 用例契约】</w:t>
            </w:r>
            <w:r>
              <w:br w:type="textWrapping"/>
            </w:r>
          </w:p>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tc>
      </w:tr>
    </w:tbl>
    <w:p w14:paraId="3B115513">
      <w:pPr>
        <w:pStyle w:val="19"/>
        <w:widowControl/>
        <w:numPr>
          <w:ilvl w:val="0"/>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numPr>
          <w:ilvl w:val="0"/>
          <w:numId w:val="13"/>
        </w:numPr>
        <w:ind w:left="0" w:leftChars="0" w:firstLine="0" w:firstLineChars="0"/>
        <w:outlineLvl w:val="1"/>
        <w:rPr>
          <w:rFonts w:ascii="Times New Roman" w:hAnsi="Times New Roman" w:eastAsia="黑体" w:cs="Times New Roman"/>
          <w:b w:val="0"/>
          <w:bCs w:val="0"/>
          <w:sz w:val="30"/>
          <w:szCs w:val="24"/>
        </w:rPr>
      </w:pPr>
      <w:bookmarkStart w:id="62" w:name="_Toc27120"/>
      <w:r>
        <w:rPr>
          <w:rFonts w:hint="eastAsia" w:cs="Times New Roman"/>
          <w:b w:val="0"/>
          <w:bCs w:val="0"/>
          <w:sz w:val="30"/>
          <w:szCs w:val="24"/>
          <w:lang w:val="en-US" w:eastAsia="zh-CN"/>
        </w:rPr>
        <w:t>折标煤系数库</w:t>
      </w:r>
      <w:bookmarkEnd w:id="62"/>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50"/>
                    <a:stretch>
                      <a:fillRect/>
                    </a:stretch>
                  </pic:blipFill>
                  <pic:spPr>
                    <a:xfrm>
                      <a:off x="0" y="0"/>
                      <a:ext cx="6118860" cy="3034030"/>
                    </a:xfrm>
                    <a:prstGeom prst="rect">
                      <a:avLst/>
                    </a:prstGeom>
                    <a:noFill/>
                    <a:ln>
                      <a:noFill/>
                    </a:ln>
                  </pic:spPr>
                </pic:pic>
              </a:graphicData>
            </a:graphic>
          </wp:inline>
        </w:drawing>
      </w:r>
    </w:p>
    <w:p w14:paraId="5C255F35">
      <w:pPr>
        <w:pStyle w:val="6"/>
        <w:numPr>
          <w:ilvl w:val="0"/>
          <w:numId w:val="204"/>
        </w:numPr>
        <w:bidi w:val="0"/>
        <w:ind w:left="0" w:leftChars="0" w:firstLine="0" w:firstLineChars="0"/>
        <w:rPr>
          <w:b/>
          <w:bCs/>
          <w:sz w:val="28"/>
          <w:szCs w:val="28"/>
        </w:rPr>
      </w:pPr>
      <w:r>
        <w:rPr>
          <w:b/>
          <w:bCs/>
          <w:sz w:val="28"/>
          <w:szCs w:val="28"/>
        </w:rPr>
        <w:t>定位与架构角色</w:t>
      </w:r>
    </w:p>
    <w:p w14:paraId="2566A57B">
      <w:pPr>
        <w:pStyle w:val="19"/>
        <w:bidi w:val="0"/>
      </w:pPr>
      <w:r>
        <w:t>• 功能定位：严格依据国家标准 GB/T 2589-2020《综合能耗计算通则》，构建全集团各类能源介质（电力、天然气、原煤、柴油、汽油、外购蒸汽、新鲜水、氮气、压缩空气等）实物计量单位向“千克标准煤 (kgce)”与“吨标准煤 (tce)”转换的法定换算中枢。</w:t>
      </w:r>
    </w:p>
    <w:p w14:paraId="663423E3">
      <w:pPr>
        <w:pStyle w:val="19"/>
        <w:bidi w:val="0"/>
      </w:pPr>
      <w:r>
        <w:t>• 承载角色：P1 集团决策层（集团综合能效核准）、P2 园区能碳专员（车间折标能耗统计）、PM 业务总监（指标考核基准锁定）。</w:t>
      </w:r>
    </w:p>
    <w:p w14:paraId="64BAED7F">
      <w:pPr>
        <w:pStyle w:val="6"/>
        <w:numPr>
          <w:ilvl w:val="0"/>
          <w:numId w:val="204"/>
        </w:numPr>
        <w:bidi w:val="0"/>
        <w:ind w:left="0" w:leftChars="0" w:firstLine="0" w:firstLineChars="0"/>
        <w:rPr>
          <w:b/>
          <w:bCs/>
          <w:sz w:val="28"/>
          <w:szCs w:val="28"/>
        </w:rPr>
      </w:pPr>
      <w:r>
        <w:rPr>
          <w:b/>
          <w:bCs/>
          <w:sz w:val="28"/>
          <w:szCs w:val="28"/>
        </w:rPr>
        <w:t>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\text{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6"/>
        <w:numPr>
          <w:ilvl w:val="0"/>
          <w:numId w:val="204"/>
        </w:numPr>
        <w:bidi w:val="0"/>
        <w:ind w:left="0" w:leftChars="0" w:firstLine="0" w:firstLineChars="0"/>
        <w:rPr>
          <w:b/>
          <w:bCs/>
          <w:sz w:val="28"/>
          <w:szCs w:val="28"/>
        </w:rPr>
      </w:pPr>
      <w:r>
        <w:rPr>
          <w:b/>
          <w:bCs/>
          <w:sz w:val="28"/>
          <w:szCs w:val="28"/>
        </w:rPr>
        <w:t>功能规格与交互契约</w:t>
      </w:r>
    </w:p>
    <w:p w14:paraId="5881F5A1">
      <w:pPr>
        <w:pStyle w:val="19"/>
        <w:bidi w:val="0"/>
      </w:pPr>
      <w:r>
        <w:t>• 界面结构与国标展示：</w:t>
      </w:r>
    </w:p>
    <w:p w14:paraId="5A2FB15A">
      <w:pPr>
        <w:pStyle w:val="19"/>
        <w:bidi w:val="0"/>
      </w:pPr>
      <w:r>
        <w:t>• 列表清晰展示能源品种、折标系数（ kgce/实物单位 ）、低位热值基准（MJ/实物单位）、数据来源及版本依据；</w:t>
      </w:r>
    </w:p>
    <w:p w14:paraId="720D382F">
      <w:pPr>
        <w:pStyle w:val="19"/>
        <w:bidi w:val="0"/>
      </w:pPr>
      <w:r>
        <w:t>• 界面顶部常态置顶展示国标基准徽章： GB/T 2589-2020 强制性国家标准 。</w:t>
      </w:r>
    </w:p>
    <w:p w14:paraId="7FBBB729">
      <w:pPr>
        <w:pStyle w:val="19"/>
        <w:bidi w:val="0"/>
      </w:pPr>
      <w:r>
        <w:t>• 双口径折标系数透明并存：</w:t>
      </w:r>
    </w:p>
    <w:p w14:paraId="46DACBF9">
      <w:pPr>
        <w:pStyle w:val="19"/>
        <w:bidi w:val="0"/>
      </w:pPr>
      <w:r>
        <w:t>• 当量值折标 (Equivalent)：电力固定为  0.1229 kgce/kWh （理论热值折算）；</w:t>
      </w:r>
    </w:p>
    <w:p w14:paraId="08F2CE31">
      <w:pPr>
        <w:pStyle w:val="19"/>
        <w:bidi w:val="0"/>
      </w:pPr>
      <w:r>
        <w:t>• 等价热值折标 (Primary Energy Equiv)：根据年度供电煤耗动态配置（如国家统计局公布的火电供电平均煤耗约  0.2850 kgce/kWh ），支持双模式切换展示与报表生成。</w:t>
      </w:r>
    </w:p>
    <w:p w14:paraId="7B8E355A">
      <w:pPr>
        <w:pStyle w:val="19"/>
        <w:bidi w:val="0"/>
      </w:pPr>
      <w:r>
        <w:t>• 耗能工质综合转换矩阵：</w:t>
      </w:r>
    </w:p>
    <w:p w14:paraId="49A470EB">
      <w:pPr>
        <w:pStyle w:val="19"/>
        <w:bidi w:val="0"/>
      </w:pPr>
      <w:r>
        <w:t>• 不仅涵盖一次能源与二次能源，全量集成耗能工质折标系数：工业新鲜水（0.0857 \text{ kgce/t}）、软化水（0.4857 \text{ kgce/t}）、压缩空气（0.0400 \text{ kgce/m}^3）、高纯液氮（0.6714 \text{ kgce/m}^3）。</w:t>
      </w:r>
    </w:p>
    <w:p w14:paraId="4D5616ED">
      <w:pPr>
        <w:pStyle w:val="19"/>
        <w:bidi w:val="0"/>
      </w:pPr>
      <w:r>
        <w:t>• 📌 【业务约束与工程规范契约】：</w:t>
      </w:r>
    </w:p>
    <w:p w14:paraId="3CD7FE7C">
      <w:pPr>
        <w:pStyle w:val="19"/>
        <w:bidi w:val="0"/>
      </w:pPr>
      <w:r>
        <w:t>• 国标常量强制只读防篡改：电力当量值 0.1229、天然气 1.2143 等法定标准常数被系统加锁锁定，除国家发布新修订标准外，任何用户（包括超级管理员）禁止随意在线修改系数；</w:t>
      </w:r>
    </w:p>
    <w:p w14:paraId="05E75610">
      <w:pPr>
        <w:pStyle w:val="19"/>
        <w:bidi w:val="0"/>
      </w:pPr>
      <w:r>
        <w:t>• 分母为零安全兜底：当基于折标煤计算单位产品单耗时，产量或产值为 0 必须安全输出  -- ，严禁抛出异常。</w:t>
      </w:r>
    </w:p>
    <w:p w14:paraId="69221586">
      <w:pPr>
        <w:pStyle w:val="6"/>
        <w:numPr>
          <w:ilvl w:val="0"/>
          <w:numId w:val="204"/>
        </w:numPr>
        <w:bidi w:val="0"/>
        <w:ind w:left="0" w:leftChars="0" w:firstLine="0" w:firstLineChars="0"/>
        <w:rPr>
          <w:b/>
          <w:bCs/>
          <w:sz w:val="28"/>
          <w:szCs w:val="28"/>
        </w:rPr>
      </w:pPr>
      <w:r>
        <w:rPr>
          <w:b/>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85"/>
        <w:gridCol w:w="1724"/>
        <w:gridCol w:w="1475"/>
        <w:gridCol w:w="1309"/>
        <w:gridCol w:w="4137"/>
      </w:tblGrid>
      <w:tr w14:paraId="36787D9D">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D9A3B0E">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B939CDD">
            <w:pPr>
              <w:pStyle w:val="19"/>
              <w:bidi w:val="0"/>
              <w:spacing w:line="240" w:lineRule="auto"/>
              <w:ind w:left="0" w:leftChars="0" w:right="0" w:rightChars="0" w:firstLine="0" w:firstLineChars="0"/>
            </w:pPr>
            <w:r>
              <w:t>字段中文名称</w:t>
            </w:r>
          </w:p>
        </w:tc>
        <w:tc>
          <w:tcPr>
            <w:tcW w:w="14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0CBE7A1">
            <w:pPr>
              <w:pStyle w:val="19"/>
              <w:bidi w:val="0"/>
              <w:spacing w:line="240" w:lineRule="auto"/>
              <w:ind w:left="0" w:leftChars="0" w:right="0" w:rightChars="0" w:firstLine="0" w:firstLineChars="0"/>
            </w:pPr>
            <w:r>
              <w:t>数据类型</w:t>
            </w:r>
          </w:p>
        </w:tc>
        <w:tc>
          <w:tcPr>
            <w:tcW w:w="13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9B3A9E7">
            <w:pPr>
              <w:pStyle w:val="19"/>
              <w:bidi w:val="0"/>
              <w:spacing w:line="240" w:lineRule="auto"/>
              <w:ind w:left="0" w:leftChars="0" w:right="0" w:rightChars="0" w:firstLine="0" w:firstLineChars="0"/>
            </w:pPr>
            <w:r>
              <w:t>工程单位</w:t>
            </w:r>
          </w:p>
        </w:tc>
        <w:tc>
          <w:tcPr>
            <w:tcW w:w="41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380B62">
            <w:pPr>
              <w:pStyle w:val="19"/>
              <w:bidi w:val="0"/>
              <w:spacing w:line="240" w:lineRule="auto"/>
              <w:ind w:left="0" w:leftChars="0" w:right="0" w:rightChars="0" w:firstLine="0" w:firstLineChars="0"/>
            </w:pPr>
            <w:r>
              <w:t>校验与约束规则</w:t>
            </w:r>
          </w:p>
        </w:tc>
      </w:tr>
      <w:tr w14:paraId="04F5C126">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2E407">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D89827">
            <w:pPr>
              <w:pStyle w:val="19"/>
              <w:bidi w:val="0"/>
              <w:spacing w:line="240" w:lineRule="auto"/>
              <w:ind w:left="0" w:leftChars="0" w:right="0" w:rightChars="0" w:firstLine="0" w:firstLineChars="0"/>
            </w:pPr>
            <w:r>
              <w:t>折标系数唯一编码</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87190D">
            <w:pPr>
              <w:pStyle w:val="19"/>
              <w:bidi w:val="0"/>
              <w:spacing w:line="240" w:lineRule="auto"/>
              <w:ind w:left="0" w:leftChars="0" w:right="0" w:rightChars="0" w:firstLine="0" w:firstLineChars="0"/>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8CF53F">
            <w:pPr>
              <w:pStyle w:val="19"/>
              <w:bidi w:val="0"/>
              <w:spacing w:line="240" w:lineRule="auto"/>
              <w:ind w:left="0" w:leftChars="0" w:right="0" w:rightChars="0" w:firstLine="0" w:firstLineChars="0"/>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0356CF">
            <w:pPr>
              <w:pStyle w:val="19"/>
              <w:bidi w:val="0"/>
              <w:spacing w:line="240" w:lineRule="auto"/>
              <w:ind w:left="0" w:leftChars="0" w:right="0" w:rightChars="0" w:firstLine="0" w:firstLineChars="0"/>
            </w:pPr>
            <w:r>
              <w:t xml:space="preserve">唯一，格式  CC&lt;3位流水&gt;&lt;2位校验码&gt; </w:t>
            </w:r>
          </w:p>
        </w:tc>
      </w:tr>
      <w:tr w14:paraId="5634FFA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7490C4">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AB5A50">
            <w:pPr>
              <w:pStyle w:val="19"/>
              <w:bidi w:val="0"/>
              <w:spacing w:line="240" w:lineRule="auto"/>
              <w:ind w:left="0" w:leftChars="0" w:right="0" w:rightChars="0" w:firstLine="0" w:firstLineChars="0"/>
            </w:pPr>
            <w:r>
              <w:t>能源品种/工质名称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FBBF8">
            <w:pPr>
              <w:pStyle w:val="19"/>
              <w:bidi w:val="0"/>
              <w:spacing w:line="240" w:lineRule="auto"/>
              <w:ind w:left="0" w:leftChars="0" w:right="0" w:rightChars="0" w:firstLine="0" w:firstLineChars="0"/>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91CB3B">
            <w:pPr>
              <w:pStyle w:val="19"/>
              <w:bidi w:val="0"/>
              <w:spacing w:line="240" w:lineRule="auto"/>
              <w:ind w:left="0" w:leftChars="0" w:right="0" w:rightChars="0" w:firstLine="0" w:firstLineChars="0"/>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772BEB">
            <w:pPr>
              <w:pStyle w:val="19"/>
              <w:bidi w:val="0"/>
              <w:spacing w:line="240" w:lineRule="auto"/>
              <w:ind w:left="0" w:leftChars="0" w:right="0" w:rightChars="0" w:firstLine="0" w:firstLineChars="0"/>
            </w:pPr>
            <w:r>
              <w:t xml:space="preserve">如  电力 、 天然气 、 原煤 、 柴油 、 外购蒸汽 、 新鲜水 </w:t>
            </w:r>
          </w:p>
        </w:tc>
      </w:tr>
      <w:tr w14:paraId="1AB4C2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45F4FF">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0EC4B8">
            <w:pPr>
              <w:pStyle w:val="19"/>
              <w:bidi w:val="0"/>
              <w:spacing w:line="240" w:lineRule="auto"/>
              <w:ind w:left="0" w:leftChars="0" w:right="0" w:rightChars="0" w:firstLine="0" w:firstLineChars="0"/>
            </w:pPr>
            <w:r>
              <w:t>当量折标煤系数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18FB6">
            <w:pPr>
              <w:pStyle w:val="19"/>
              <w:bidi w:val="0"/>
              <w:spacing w:line="240" w:lineRule="auto"/>
              <w:ind w:left="0" w:leftChars="0" w:right="0" w:rightChars="0" w:firstLine="0" w:firstLineChars="0"/>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3E7CCC">
            <w:pPr>
              <w:pStyle w:val="19"/>
              <w:bidi w:val="0"/>
              <w:spacing w:line="240" w:lineRule="auto"/>
              <w:ind w:left="0" w:leftChars="0" w:right="0" w:rightChars="0" w:firstLine="0" w:firstLineChars="0"/>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0BEC80">
            <w:pPr>
              <w:pStyle w:val="19"/>
              <w:bidi w:val="0"/>
              <w:spacing w:line="240" w:lineRule="auto"/>
              <w:ind w:left="0" w:leftChars="0" w:right="0" w:rightChars="0" w:firstLine="0" w:firstLineChars="0"/>
            </w:pPr>
            <w:r>
              <w:t>严格依据 GB/T 2589-2020；电力为 0.1229，天然气为 1.2143</w:t>
            </w:r>
          </w:p>
        </w:tc>
      </w:tr>
      <w:tr w14:paraId="39991EF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470B3B">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830617">
            <w:pPr>
              <w:pStyle w:val="19"/>
              <w:bidi w:val="0"/>
              <w:spacing w:line="240" w:lineRule="auto"/>
              <w:ind w:left="0" w:leftChars="0" w:right="0" w:rightChars="0" w:firstLine="0" w:firstLineChars="0"/>
            </w:pPr>
            <w:r>
              <w:t>等价折标煤系数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39A5A3">
            <w:pPr>
              <w:pStyle w:val="19"/>
              <w:bidi w:val="0"/>
              <w:spacing w:line="240" w:lineRule="auto"/>
              <w:ind w:left="0" w:leftChars="0" w:right="0" w:rightChars="0" w:firstLine="0" w:firstLineChars="0"/>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A1A3BA">
            <w:pPr>
              <w:pStyle w:val="19"/>
              <w:bidi w:val="0"/>
              <w:spacing w:line="240" w:lineRule="auto"/>
              <w:ind w:left="0" w:leftChars="0" w:right="0" w:rightChars="0" w:firstLine="0" w:firstLineChars="0"/>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063D3F">
            <w:pPr>
              <w:pStyle w:val="19"/>
              <w:bidi w:val="0"/>
              <w:spacing w:line="240" w:lineRule="auto"/>
              <w:ind w:left="0" w:leftChars="0" w:right="0" w:rightChars="0" w:firstLine="0" w:firstLineChars="0"/>
            </w:pPr>
            <w:r>
              <w:t>供电煤耗等价值，按年度发布</w:t>
            </w:r>
          </w:p>
        </w:tc>
      </w:tr>
      <w:tr w14:paraId="6B11A0DC">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F03E4">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978801">
            <w:pPr>
              <w:pStyle w:val="19"/>
              <w:bidi w:val="0"/>
              <w:spacing w:line="240" w:lineRule="auto"/>
              <w:ind w:left="0" w:leftChars="0" w:right="0" w:rightChars="0" w:firstLine="0" w:firstLineChars="0"/>
            </w:pPr>
            <w:r>
              <w:t>基准低位发热量</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054D94">
            <w:pPr>
              <w:pStyle w:val="19"/>
              <w:bidi w:val="0"/>
              <w:spacing w:line="240" w:lineRule="auto"/>
              <w:ind w:left="0" w:leftChars="0" w:right="0" w:rightChars="0" w:firstLine="0" w:firstLineChars="0"/>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42B2D">
            <w:pPr>
              <w:pStyle w:val="19"/>
              <w:bidi w:val="0"/>
              <w:spacing w:line="240" w:lineRule="auto"/>
              <w:ind w:left="0" w:leftChars="0" w:right="0" w:rightChars="0" w:firstLine="0" w:firstLineChars="0"/>
            </w:pPr>
            <w:r>
              <w:t>MJ/实物单位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E788F3">
            <w:pPr>
              <w:pStyle w:val="19"/>
              <w:bidi w:val="0"/>
              <w:spacing w:line="240" w:lineRule="auto"/>
              <w:ind w:left="0" w:leftChars="0" w:right="0" w:rightChars="0" w:firstLine="0" w:firstLineChars="0"/>
            </w:pPr>
            <w:r>
              <w:t>天然气标况 35.588，标准煤理论 29.3076</w:t>
            </w:r>
          </w:p>
        </w:tc>
      </w:tr>
      <w:tr w14:paraId="47B100A8">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282BC9">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25A63">
            <w:pPr>
              <w:pStyle w:val="19"/>
              <w:bidi w:val="0"/>
              <w:spacing w:line="240" w:lineRule="auto"/>
              <w:ind w:left="0" w:leftChars="0" w:right="0" w:rightChars="0" w:firstLine="0" w:firstLineChars="0"/>
            </w:pPr>
            <w:r>
              <w:t>引用国标标准代号</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CE997A">
            <w:pPr>
              <w:pStyle w:val="19"/>
              <w:bidi w:val="0"/>
              <w:spacing w:line="240" w:lineRule="auto"/>
              <w:ind w:left="0" w:leftChars="0" w:right="0" w:rightChars="0" w:firstLine="0" w:firstLineChars="0"/>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643594">
            <w:pPr>
              <w:pStyle w:val="19"/>
              <w:bidi w:val="0"/>
              <w:spacing w:line="240" w:lineRule="auto"/>
              <w:ind w:left="0" w:leftChars="0" w:right="0" w:rightChars="0" w:firstLine="0" w:firstLineChars="0"/>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FC1D19">
            <w:pPr>
              <w:pStyle w:val="19"/>
              <w:bidi w:val="0"/>
              <w:spacing w:line="240" w:lineRule="auto"/>
              <w:ind w:left="0" w:leftChars="0" w:right="0" w:rightChars="0" w:firstLine="0" w:firstLineChars="0"/>
            </w:pPr>
            <w:r>
              <w:t xml:space="preserve">固定为  GB/T 2589-2020 </w:t>
            </w:r>
          </w:p>
        </w:tc>
      </w:tr>
      <w:tr w14:paraId="291311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FE466B">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E0722E">
            <w:pPr>
              <w:pStyle w:val="19"/>
              <w:bidi w:val="0"/>
              <w:spacing w:line="240" w:lineRule="auto"/>
              <w:ind w:left="0" w:leftChars="0" w:right="0" w:rightChars="0" w:firstLine="0" w:firstLineChars="0"/>
            </w:pPr>
            <w:r>
              <w:t>是否为法定耗能工质</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FB7B9F">
            <w:pPr>
              <w:pStyle w:val="19"/>
              <w:bidi w:val="0"/>
              <w:spacing w:line="240" w:lineRule="auto"/>
              <w:ind w:left="0" w:leftChars="0" w:right="0" w:rightChars="0" w:firstLine="0" w:firstLineChars="0"/>
            </w:pPr>
            <w:r>
              <w:t>Boolean</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23EE97">
            <w:pPr>
              <w:pStyle w:val="19"/>
              <w:bidi w:val="0"/>
              <w:spacing w:line="240" w:lineRule="auto"/>
              <w:ind w:left="0" w:leftChars="0" w:right="0" w:rightChars="0" w:firstLine="0" w:firstLineChars="0"/>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81F38F">
            <w:pPr>
              <w:pStyle w:val="19"/>
              <w:bidi w:val="0"/>
              <w:spacing w:line="240" w:lineRule="auto"/>
              <w:ind w:left="0" w:leftChars="0" w:right="0" w:rightChars="0" w:firstLine="0" w:firstLineChars="0"/>
            </w:pPr>
            <w:r>
              <w:t>true  为新鲜水/软水/氮气/压缩空气， false  为常规能源</w:t>
            </w:r>
          </w:p>
        </w:tc>
      </w:tr>
      <w:tr w14:paraId="63F7EDD0">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B83FE4">
            <w:pPr>
              <w:pStyle w:val="19"/>
              <w:bidi w:val="0"/>
              <w:spacing w:line="240" w:lineRule="auto"/>
              <w:ind w:left="0" w:leftChars="0" w:right="0" w:rightChars="0" w:firstLine="0" w:firstLineChars="0"/>
            </w:pPr>
            <w:r>
              <w:t>8</w:t>
            </w:r>
          </w:p>
        </w:tc>
        <w:tc>
          <w:tcPr>
            <w:tcW w:w="17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FAF0F8">
            <w:pPr>
              <w:pStyle w:val="19"/>
              <w:bidi w:val="0"/>
              <w:spacing w:line="240" w:lineRule="auto"/>
              <w:ind w:left="0" w:leftChars="0" w:right="0" w:rightChars="0" w:firstLine="0" w:firstLineChars="0"/>
            </w:pPr>
            <w:r>
              <w:t>当前启用状态</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9DC0EF">
            <w:pPr>
              <w:pStyle w:val="19"/>
              <w:bidi w:val="0"/>
              <w:spacing w:line="240" w:lineRule="auto"/>
              <w:ind w:left="0" w:leftChars="0" w:right="0" w:rightChars="0" w:firstLine="0" w:firstLineChars="0"/>
            </w:pPr>
            <w:r>
              <w:t>Enum</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2B359D">
            <w:pPr>
              <w:pStyle w:val="19"/>
              <w:bidi w:val="0"/>
              <w:spacing w:line="240" w:lineRule="auto"/>
              <w:ind w:left="0" w:leftChars="0" w:right="0" w:rightChars="0" w:firstLine="0" w:firstLineChars="0"/>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71E643">
            <w:pPr>
              <w:pStyle w:val="19"/>
              <w:bidi w:val="0"/>
              <w:spacing w:line="240" w:lineRule="auto"/>
              <w:ind w:left="0" w:leftChars="0" w:right="0" w:rightChars="0" w:firstLine="0" w:firstLineChars="0"/>
            </w:pPr>
            <w:r>
              <w:t xml:space="preserve">枚举： 启用  /  停用 </w:t>
            </w:r>
          </w:p>
        </w:tc>
      </w:tr>
    </w:tbl>
    <w:p w14:paraId="0A3F81C2">
      <w:pPr>
        <w:pStyle w:val="19"/>
        <w:bidi w:val="0"/>
      </w:pPr>
    </w:p>
    <w:p w14:paraId="030F52F9">
      <w:pPr>
        <w:pStyle w:val="6"/>
        <w:numPr>
          <w:ilvl w:val="0"/>
          <w:numId w:val="204"/>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7A1CD730">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1DA9F515">
            <w:pPr>
              <w:pStyle w:val="19"/>
              <w:bidi w:val="0"/>
            </w:pPr>
            <w:r>
              <w:t>📐 【核心业务数学模型与计算公式】</w:t>
            </w:r>
            <w:r>
              <w:br w:type="textWrapping"/>
            </w:r>
          </w:p>
          <w:p w14:paraId="046D59BD">
            <w:pPr>
              <w:pStyle w:val="19"/>
              <w:bidi w:val="0"/>
            </w:pPr>
            <w:r>
              <w:t>E_{\text{tce}} = \sum_{i=1}^{n} \frac{E_i \times k_i}{1000} \quad (\text{全厂综合能耗折标煤总量，单位: tce})</w:t>
            </w:r>
          </w:p>
          <w:p w14:paraId="3754A276">
            <w:pPr>
              <w:pStyle w:val="19"/>
              <w:bidi w:val="0"/>
            </w:pPr>
            <w:r>
              <w:t>k_i = \frac{\text{NCV}_i}{29307.6 \text{ kJ/kgce}} \quad (\text{理论低位发热量换算折标系数公式})</w:t>
            </w:r>
          </w:p>
          <w:p w14:paraId="26EEA572">
            <w:pPr>
              <w:pStyle w:val="19"/>
              <w:bidi w:val="0"/>
            </w:pPr>
            <w:r>
              <w:t>e_{\text{output\_val}} = \begin{cases} \frac{E_{\text{tce}}}{G_{\text{output}} / 10000}, &amp; G_{\text{output}} &gt; 0 \\ \text{兜底: "--"}, &amp; G_{\text{output}} = 0 \end{cases} \quad (\text{万元产值综合能耗，单位: tce/万元})</w:t>
            </w:r>
          </w:p>
        </w:tc>
      </w:tr>
    </w:tbl>
    <w:p w14:paraId="1622FAD1">
      <w:pPr>
        <w:pStyle w:val="19"/>
        <w:bidi w:val="0"/>
      </w:pPr>
    </w:p>
    <w:p w14:paraId="5209D369">
      <w:pPr>
        <w:pStyle w:val="19"/>
        <w:bidi w:val="0"/>
      </w:pPr>
      <w:r>
        <w:t>• 变量定义与取值约定：</w:t>
      </w:r>
    </w:p>
    <w:p w14:paraId="070F857C">
      <w:pPr>
        <w:pStyle w:val="19"/>
        <w:bidi w:val="0"/>
      </w:pPr>
      <w:r>
        <w:t>• E_i：第 i 种能源实物消费量（如 kWh, m³, kg, t）；</w:t>
      </w:r>
    </w:p>
    <w:p w14:paraId="3934D91C">
      <w:pPr>
        <w:pStyle w:val="19"/>
        <w:bidi w:val="0"/>
      </w:pPr>
      <w:r>
        <w:t>• k_i：第 i 种能源对应的国家标准折标煤系数（\text{kgce/实物单位}）；</w:t>
      </w:r>
    </w:p>
    <w:p w14:paraId="364B2F61">
      <w:pPr>
        <w:pStyle w:val="19"/>
        <w:bidi w:val="0"/>
      </w:pPr>
      <w:r>
        <w:t>• 1000：千克标准煤与吨标准煤进位制（1 \text{ tce} = 1000 \text{ kgce}）；</w:t>
      </w:r>
    </w:p>
    <w:p w14:paraId="64005DF4">
      <w:pPr>
        <w:pStyle w:val="19"/>
        <w:bidi w:val="0"/>
      </w:pPr>
      <w:r>
        <w:t>• G_{\text{output}}：工业产值（元），分母为 0 时安全兜底显示  -- 。</w:t>
      </w:r>
    </w:p>
    <w:p w14:paraId="12AAB55C">
      <w:pPr>
        <w:pStyle w:val="6"/>
        <w:numPr>
          <w:ilvl w:val="0"/>
          <w:numId w:val="204"/>
        </w:numPr>
        <w:bidi w:val="0"/>
        <w:ind w:left="0" w:leftChars="0" w:firstLine="0" w:firstLineChars="0"/>
        <w:rPr>
          <w:b/>
          <w:bCs/>
          <w:sz w:val="28"/>
          <w:szCs w:val="28"/>
        </w:rPr>
      </w:pPr>
      <w:r>
        <w:rPr>
          <w:b/>
          <w:bCs/>
          <w:sz w:val="28"/>
          <w:szCs w:val="28"/>
        </w:rPr>
        <w:t>展示、对标与判定口径</w:t>
      </w:r>
    </w:p>
    <w:p w14:paraId="0F7753F1">
      <w:pPr>
        <w:pStyle w:val="19"/>
        <w:bidi w:val="0"/>
      </w:pPr>
      <w:r>
        <w:t>• 统一当量展示：系统全景图表默认均采用“当量热值”折标计算，报表导出提供“当量/等价”双列切换；</w:t>
      </w:r>
    </w:p>
    <w:p w14:paraId="0AFF9E8B">
      <w:pPr>
        <w:pStyle w:val="19"/>
        <w:bidi w:val="0"/>
      </w:pPr>
      <w:r>
        <w:t>• 精度口径：tce 保留 4 位小数，kgce 保留 2 位小数；</w:t>
      </w:r>
    </w:p>
    <w:p w14:paraId="61D4CEFB">
      <w:pPr>
        <w:pStyle w:val="19"/>
        <w:bidi w:val="0"/>
      </w:pPr>
      <w:r>
        <w:t>• 空值口径：若工厂当期某能源消费为 0，折标煤量如实显示  0.0000 tce ；若仪表断网未上报，统一显示  -- ，严禁将断网视为 0 能耗。</w:t>
      </w:r>
    </w:p>
    <w:p w14:paraId="2BD03D27">
      <w:pPr>
        <w:pStyle w:val="6"/>
        <w:numPr>
          <w:ilvl w:val="0"/>
          <w:numId w:val="204"/>
        </w:numPr>
        <w:bidi w:val="0"/>
        <w:ind w:left="0" w:leftChars="0" w:firstLine="0" w:firstLineChars="0"/>
        <w:rPr>
          <w:b/>
          <w:bCs/>
          <w:sz w:val="28"/>
          <w:szCs w:val="28"/>
        </w:rPr>
      </w:pPr>
      <w:r>
        <w:rPr>
          <w:b/>
          <w:bCs/>
          <w:sz w:val="28"/>
          <w:szCs w:val="28"/>
        </w:rPr>
        <w:t>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6"/>
        <w:numPr>
          <w:ilvl w:val="0"/>
          <w:numId w:val="204"/>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6630375A">
            <w:pPr>
              <w:pStyle w:val="19"/>
              <w:bidi w:val="0"/>
            </w:pPr>
            <w:r>
              <w:t>🧪 【QA 自动化验收准则 · Gherkin BDD 用例契约】</w:t>
            </w:r>
            <w:r>
              <w:br w:type="textWrapping"/>
            </w:r>
          </w:p>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tc>
      </w:tr>
    </w:tbl>
    <w:p w14:paraId="6D553808">
      <w:pPr>
        <w:pStyle w:val="19"/>
        <w:widowControl/>
        <w:numPr>
          <w:ilvl w:val="0"/>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48B46DC">
      <w:pPr>
        <w:pStyle w:val="3"/>
        <w:numPr>
          <w:ilvl w:val="0"/>
          <w:numId w:val="7"/>
        </w:numPr>
        <w:ind w:left="0" w:leftChars="0" w:firstLine="0" w:firstLineChars="0"/>
        <w:rPr>
          <w:rFonts w:eastAsia="黑体"/>
          <w:b w:val="0"/>
          <w:bCs w:val="0"/>
          <w:sz w:val="32"/>
          <w:szCs w:val="44"/>
        </w:rPr>
      </w:pPr>
      <w:bookmarkStart w:id="63" w:name="_Toc1093"/>
      <w:r>
        <w:rPr>
          <w:rFonts w:ascii="Times New Roman" w:hAnsi="Times New Roman" w:eastAsia="黑体" w:cs="Times New Roman"/>
          <w:b w:val="0"/>
          <w:bCs w:val="0"/>
          <w:sz w:val="32"/>
          <w:szCs w:val="44"/>
        </w:rPr>
        <w:t>系统底座、接口契约与 QA 质量验收</w:t>
      </w:r>
      <w:bookmarkEnd w:id="63"/>
    </w:p>
    <w:p w14:paraId="2D6B1291">
      <w:pPr>
        <w:pStyle w:val="4"/>
        <w:numPr>
          <w:ilvl w:val="0"/>
          <w:numId w:val="205"/>
        </w:numPr>
        <w:topLinePunct w:val="0"/>
        <w:ind w:left="0" w:leftChars="0" w:firstLine="0" w:firstLineChars="0"/>
        <w:outlineLvl w:val="0"/>
        <w:rPr>
          <w:rFonts w:hint="eastAsia" w:eastAsia="黑体"/>
          <w:b w:val="0"/>
          <w:bCs w:val="0"/>
          <w:sz w:val="30"/>
          <w:szCs w:val="32"/>
        </w:rPr>
      </w:pPr>
      <w:bookmarkStart w:id="64" w:name="_Toc3080"/>
      <w:r>
        <w:rPr>
          <w:rFonts w:ascii="Times New Roman" w:hAnsi="Times New Roman" w:eastAsia="黑体" w:cs="Times New Roman"/>
          <w:b w:val="0"/>
          <w:bCs w:val="0"/>
          <w:sz w:val="30"/>
          <w:szCs w:val="32"/>
        </w:rPr>
        <w:t>六级组织架构与穿透鉴权体系</w:t>
      </w:r>
      <w:bookmarkEnd w:id="64"/>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82054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0726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38C2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E8B1A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F30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8D92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F989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D969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429B8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FEDF3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16C6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205"/>
        </w:numPr>
        <w:topLinePunct w:val="0"/>
        <w:ind w:left="0" w:leftChars="0" w:firstLine="0" w:firstLineChars="0"/>
        <w:outlineLvl w:val="0"/>
        <w:rPr>
          <w:rFonts w:hint="eastAsia" w:eastAsia="黑体"/>
          <w:b w:val="0"/>
          <w:bCs w:val="0"/>
          <w:sz w:val="30"/>
          <w:szCs w:val="32"/>
        </w:rPr>
      </w:pPr>
      <w:bookmarkStart w:id="65" w:name="_Toc6762"/>
      <w:r>
        <w:rPr>
          <w:rFonts w:ascii="Times New Roman" w:hAnsi="Times New Roman" w:eastAsia="黑体" w:cs="Times New Roman"/>
          <w:b w:val="0"/>
          <w:bCs w:val="0"/>
          <w:sz w:val="30"/>
          <w:szCs w:val="32"/>
        </w:rPr>
        <w:t>外部系统集成与 API 契约</w:t>
      </w:r>
      <w:bookmarkEnd w:id="65"/>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IoT 物联采集网关</w:t>
      </w:r>
      <w:r>
        <w:rPr>
          <w:rFonts w:ascii="Times New Roman" w:hAnsi="Times New Roman" w:eastAsia="宋体" w:cs="Times New Roman"/>
          <w:i w:val="0"/>
          <w:color w:val="1F2937"/>
          <w:sz w:val="24"/>
          <w:szCs w:val="24"/>
        </w:rPr>
        <w:t>：通过 Modbus-TCP / MQTT 协议实现全厂数千台数字电表、变送器秒级遥测高频采集，写入分布式时序数据库（InfluxDB / TDengine / TimescaleDB）。</w:t>
      </w:r>
    </w:p>
    <w:p w14:paraId="77536442">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290BE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FA63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2E0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7E0B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BFC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279B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046C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697E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4A9E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334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488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D3D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FD9E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205"/>
        </w:numPr>
        <w:topLinePunct w:val="0"/>
        <w:ind w:left="0" w:leftChars="0" w:firstLine="0" w:firstLineChars="0"/>
        <w:outlineLvl w:val="0"/>
        <w:rPr>
          <w:rFonts w:hint="eastAsia" w:eastAsia="黑体"/>
          <w:b w:val="0"/>
          <w:bCs w:val="0"/>
          <w:sz w:val="30"/>
          <w:szCs w:val="32"/>
        </w:rPr>
      </w:pPr>
      <w:bookmarkStart w:id="66" w:name="_Toc16500"/>
      <w:r>
        <w:rPr>
          <w:rFonts w:ascii="Times New Roman" w:hAnsi="Times New Roman" w:eastAsia="黑体" w:cs="Times New Roman"/>
          <w:b w:val="0"/>
          <w:bCs w:val="0"/>
          <w:sz w:val="30"/>
          <w:szCs w:val="32"/>
        </w:rPr>
        <w:t>质量保障体系与全量验收测试用例矩阵</w:t>
      </w:r>
      <w:bookmarkEnd w:id="66"/>
    </w:p>
    <w:tbl>
      <w:tblPr>
        <w:tblStyle w:val="38"/>
        <w:tblW w:w="9784" w:type="dxa"/>
        <w:jc w:val="center"/>
        <w:tblLayout w:type="autofit"/>
        <w:tblCellMar>
          <w:top w:w="0" w:type="dxa"/>
          <w:left w:w="108" w:type="dxa"/>
          <w:bottom w:w="0" w:type="dxa"/>
          <w:right w:w="108" w:type="dxa"/>
        </w:tblCellMar>
      </w:tblPr>
      <w:tblGrid>
        <w:gridCol w:w="1335"/>
        <w:gridCol w:w="1418"/>
        <w:gridCol w:w="2190"/>
        <w:gridCol w:w="3700"/>
        <w:gridCol w:w="1141"/>
      </w:tblGrid>
      <w:tr w14:paraId="0632645B">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7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固定</w:t>
            </w:r>
            <w:r>
              <w:rPr>
                <w:rFonts w:hint="eastAsia" w:ascii="宋体" w:hAnsi="宋体" w:eastAsia="宋体" w:cs="宋体"/>
                <w:i w:val="0"/>
                <w:iCs w:val="0"/>
                <w:color w:val="1F2937"/>
                <w:sz w:val="24"/>
                <w:szCs w:val="24"/>
              </w:rPr>
              <w:t>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全站所有表格行固定行高，垂直居中无抖动</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一致性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浅色端功能、图表与样式 100% 一致</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rPr>
      </w:pPr>
      <w:bookmarkStart w:id="67" w:name="_Toc21559"/>
      <w:r>
        <w:rPr>
          <w:rFonts w:ascii="Times New Roman" w:hAnsi="Times New Roman" w:eastAsia="黑体" w:cs="Times New Roman"/>
          <w:b w:val="0"/>
          <w:bCs w:val="0"/>
          <w:sz w:val="32"/>
          <w:szCs w:val="44"/>
        </w:rPr>
        <w:t>工程治理、状态机与合规保障体系</w:t>
      </w:r>
      <w:bookmarkEnd w:id="67"/>
    </w:p>
    <w:p w14:paraId="33439157">
      <w:pPr>
        <w:pStyle w:val="4"/>
        <w:numPr>
          <w:ilvl w:val="0"/>
          <w:numId w:val="208"/>
        </w:numPr>
        <w:topLinePunct w:val="0"/>
        <w:ind w:left="0" w:leftChars="0" w:firstLine="0" w:firstLineChars="0"/>
        <w:outlineLvl w:val="0"/>
        <w:rPr>
          <w:rFonts w:hint="eastAsia" w:eastAsia="黑体"/>
          <w:b w:val="0"/>
          <w:bCs w:val="0"/>
          <w:sz w:val="30"/>
          <w:szCs w:val="32"/>
        </w:rPr>
      </w:pPr>
      <w:bookmarkStart w:id="68" w:name="_Toc23289"/>
      <w:r>
        <w:rPr>
          <w:rFonts w:ascii="Times New Roman" w:hAnsi="Times New Roman" w:eastAsia="黑体" w:cs="Times New Roman"/>
          <w:b w:val="0"/>
          <w:bCs w:val="0"/>
          <w:sz w:val="30"/>
          <w:szCs w:val="32"/>
        </w:rPr>
        <w:t>数据治理与商密合规</w:t>
      </w:r>
      <w:bookmarkEnd w:id="68"/>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0369" w:type="dxa"/>
        <w:jc w:val="center"/>
        <w:tblLayout w:type="autofit"/>
        <w:tblCellMar>
          <w:top w:w="0" w:type="dxa"/>
          <w:left w:w="108" w:type="dxa"/>
          <w:bottom w:w="0" w:type="dxa"/>
          <w:right w:w="108" w:type="dxa"/>
        </w:tblCellMar>
      </w:tblPr>
      <w:tblGrid>
        <w:gridCol w:w="1299"/>
        <w:gridCol w:w="817"/>
        <w:gridCol w:w="2858"/>
        <w:gridCol w:w="2758"/>
        <w:gridCol w:w="2637"/>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3AA02B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B7AC7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396C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BF23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0E33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6AA5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77148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147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6CA2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A25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w:t>
            </w:r>
          </w:p>
        </w:tc>
        <w:tc>
          <w:tcPr>
            <w:tcW w:w="28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09"/>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09"/>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09"/>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09"/>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LCA 碳足迹报告与认证声明：永久留底，严禁销毁。</w:t>
      </w:r>
    </w:p>
    <w:p w14:paraId="240EAC91">
      <w:pPr>
        <w:pStyle w:val="4"/>
        <w:numPr>
          <w:ilvl w:val="0"/>
          <w:numId w:val="208"/>
        </w:numPr>
        <w:topLinePunct w:val="0"/>
        <w:ind w:left="0" w:leftChars="0" w:firstLine="0" w:firstLineChars="0"/>
        <w:outlineLvl w:val="0"/>
        <w:rPr>
          <w:rFonts w:hint="eastAsia" w:eastAsia="黑体"/>
          <w:b w:val="0"/>
          <w:bCs w:val="0"/>
          <w:sz w:val="30"/>
          <w:szCs w:val="32"/>
        </w:rPr>
      </w:pPr>
      <w:bookmarkStart w:id="69" w:name="_Toc17792"/>
      <w:r>
        <w:rPr>
          <w:rFonts w:ascii="Times New Roman" w:hAnsi="Times New Roman" w:eastAsia="黑体" w:cs="Times New Roman"/>
          <w:b w:val="0"/>
          <w:bCs w:val="0"/>
          <w:sz w:val="30"/>
          <w:szCs w:val="32"/>
        </w:rPr>
        <w:t>关键业务长流程状态机图谱</w:t>
      </w:r>
      <w:bookmarkEnd w:id="69"/>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F6BCF6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900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7FE42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51FDB9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22CA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22DA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7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58A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0B8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7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21A62CEE">
      <w:pPr>
        <w:pStyle w:val="4"/>
        <w:numPr>
          <w:ilvl w:val="0"/>
          <w:numId w:val="208"/>
        </w:numPr>
        <w:topLinePunct w:val="0"/>
        <w:ind w:left="0" w:leftChars="0" w:firstLine="0" w:firstLineChars="0"/>
        <w:outlineLvl w:val="0"/>
        <w:rPr>
          <w:rFonts w:hint="eastAsia" w:eastAsia="黑体"/>
          <w:b w:val="0"/>
          <w:bCs w:val="0"/>
          <w:sz w:val="30"/>
          <w:szCs w:val="32"/>
        </w:rPr>
      </w:pPr>
      <w:bookmarkStart w:id="70" w:name="_Toc31419"/>
      <w:r>
        <w:rPr>
          <w:rFonts w:ascii="Times New Roman" w:hAnsi="Times New Roman" w:eastAsia="黑体" w:cs="Times New Roman"/>
          <w:b w:val="0"/>
          <w:bCs w:val="0"/>
          <w:sz w:val="30"/>
          <w:szCs w:val="32"/>
        </w:rPr>
        <w:t>术语表与缩略语大全</w:t>
      </w:r>
      <w:bookmarkEnd w:id="70"/>
    </w:p>
    <w:tbl>
      <w:tblPr>
        <w:tblStyle w:val="38"/>
        <w:tblW w:w="9784" w:type="dxa"/>
        <w:jc w:val="center"/>
        <w:tblLayout w:type="autofit"/>
        <w:tblCellMar>
          <w:top w:w="0" w:type="dxa"/>
          <w:left w:w="108" w:type="dxa"/>
          <w:bottom w:w="0" w:type="dxa"/>
          <w:right w:w="108" w:type="dxa"/>
        </w:tblCellMar>
      </w:tblPr>
      <w:tblGrid>
        <w:gridCol w:w="1536"/>
        <w:gridCol w:w="3270"/>
        <w:gridCol w:w="2953"/>
        <w:gridCol w:w="2025"/>
      </w:tblGrid>
      <w:tr w14:paraId="7ACA92A1">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F65520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32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9E890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59891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AC1B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E93A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DBB8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868F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54F4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B5E5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FF05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EB977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DF4B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AF8C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9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E083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B0A0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FDD5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7CD9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E69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0068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29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08"/>
        </w:numPr>
        <w:topLinePunct w:val="0"/>
        <w:ind w:left="0" w:leftChars="0" w:firstLine="0" w:firstLineChars="0"/>
        <w:outlineLvl w:val="0"/>
        <w:rPr>
          <w:rFonts w:hint="eastAsia" w:eastAsia="黑体"/>
          <w:b w:val="0"/>
          <w:bCs w:val="0"/>
          <w:sz w:val="30"/>
          <w:szCs w:val="32"/>
        </w:rPr>
      </w:pPr>
      <w:bookmarkStart w:id="71" w:name="_Toc26887"/>
      <w:r>
        <w:rPr>
          <w:rFonts w:ascii="Times New Roman" w:hAnsi="Times New Roman" w:eastAsia="黑体" w:cs="Times New Roman"/>
          <w:b w:val="0"/>
          <w:bCs w:val="0"/>
          <w:sz w:val="30"/>
          <w:szCs w:val="32"/>
        </w:rPr>
        <w:t>标准化错误码字典与异常分级</w:t>
      </w:r>
      <w:bookmarkEnd w:id="71"/>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51E9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861C0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1C24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2732A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bl>
    <w:p w14:paraId="3C7A0E29">
      <w:pPr>
        <w:spacing w:after="60"/>
        <w:rPr>
          <w:rFonts w:hint="eastAsia" w:ascii="宋体" w:hAnsi="宋体" w:eastAsia="宋体" w:cs="宋体"/>
          <w:i w:val="0"/>
          <w:iCs w:val="0"/>
          <w:sz w:val="24"/>
          <w:szCs w:val="24"/>
        </w:rPr>
      </w:pPr>
    </w:p>
    <w:p w14:paraId="6F6E68CD">
      <w:pPr>
        <w:pStyle w:val="4"/>
        <w:numPr>
          <w:ilvl w:val="0"/>
          <w:numId w:val="208"/>
        </w:numPr>
        <w:topLinePunct w:val="0"/>
        <w:ind w:left="0" w:leftChars="0" w:firstLine="0" w:firstLineChars="0"/>
        <w:outlineLvl w:val="0"/>
        <w:rPr>
          <w:rFonts w:hint="eastAsia" w:eastAsia="黑体"/>
          <w:b w:val="0"/>
          <w:bCs w:val="0"/>
          <w:sz w:val="30"/>
          <w:szCs w:val="32"/>
        </w:rPr>
      </w:pPr>
      <w:bookmarkStart w:id="72" w:name="_Toc28375"/>
      <w:r>
        <w:rPr>
          <w:rFonts w:ascii="Times New Roman" w:hAnsi="Times New Roman" w:eastAsia="黑体" w:cs="Times New Roman"/>
          <w:b w:val="0"/>
          <w:bCs w:val="0"/>
          <w:sz w:val="30"/>
          <w:szCs w:val="32"/>
        </w:rPr>
        <w:t>决策治理责任矩阵</w:t>
      </w:r>
      <w:bookmarkEnd w:id="72"/>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A772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B56A8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2751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C577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A67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FB50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9FBA2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0A5CE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183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BCF03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E8E2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2168A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E15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65259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D2687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5306D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9F71F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FCCD1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AD861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9BE367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2D63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5ED4A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DC865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1CF2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57564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F6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3062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2BE04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0693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51F31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A9653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C0175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84FF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2D861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BE415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713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5BD0D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DFC68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8E056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69F2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35BE4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144C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37EEB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13FA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4D06F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19A9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83FB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DB23B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E891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458D5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C17A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D1F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483C3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AF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8E11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12CA2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rPr>
      </w:pPr>
      <w:bookmarkStart w:id="73" w:name="_Toc15165"/>
      <w:r>
        <w:rPr>
          <w:rFonts w:ascii="Times New Roman" w:hAnsi="Times New Roman" w:eastAsia="黑体" w:cs="Times New Roman"/>
          <w:b w:val="0"/>
          <w:bCs w:val="0"/>
          <w:sz w:val="32"/>
          <w:szCs w:val="44"/>
        </w:rPr>
        <w:t>非功能需求与性能指标</w:t>
      </w:r>
      <w:bookmarkEnd w:id="73"/>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模块）中已验证的指标作为基准；集控中心、大屏、报表等其余模块指标以【待补充】占位，须在架构评审阶段确定。</w:t>
      </w:r>
    </w:p>
    <w:p w14:paraId="49E99F43">
      <w:pPr>
        <w:pStyle w:val="4"/>
        <w:numPr>
          <w:ilvl w:val="0"/>
          <w:numId w:val="210"/>
        </w:numPr>
        <w:topLinePunct w:val="0"/>
        <w:ind w:left="0" w:leftChars="0" w:firstLine="0" w:firstLineChars="0"/>
        <w:outlineLvl w:val="0"/>
        <w:rPr>
          <w:rFonts w:hint="eastAsia" w:eastAsia="黑体"/>
          <w:b w:val="0"/>
          <w:bCs w:val="0"/>
          <w:sz w:val="30"/>
          <w:szCs w:val="32"/>
        </w:rPr>
      </w:pPr>
      <w:bookmarkStart w:id="74" w:name="_Toc3256"/>
      <w:r>
        <w:rPr>
          <w:rFonts w:ascii="Times New Roman" w:hAnsi="Times New Roman" w:eastAsia="黑体" w:cs="Times New Roman"/>
          <w:b w:val="0"/>
          <w:bCs w:val="0"/>
          <w:sz w:val="30"/>
          <w:szCs w:val="32"/>
        </w:rPr>
        <w:t>性能指标基线</w:t>
      </w:r>
      <w:bookmarkEnd w:id="74"/>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【待补充】</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【待补充】</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指标详情与管理视图</w:t>
            </w:r>
          </w:p>
        </w:tc>
      </w:tr>
    </w:tbl>
    <w:p w14:paraId="1A8B5BE2">
      <w:pPr>
        <w:spacing w:after="60"/>
        <w:rPr>
          <w:rFonts w:hint="eastAsia" w:ascii="宋体" w:hAnsi="宋体" w:eastAsia="宋体" w:cs="宋体"/>
          <w:i w:val="0"/>
          <w:iCs w:val="0"/>
          <w:sz w:val="24"/>
          <w:szCs w:val="24"/>
        </w:rPr>
      </w:pPr>
    </w:p>
    <w:p w14:paraId="12C6BF21">
      <w:pPr>
        <w:pStyle w:val="4"/>
        <w:numPr>
          <w:ilvl w:val="0"/>
          <w:numId w:val="210"/>
        </w:numPr>
        <w:topLinePunct w:val="0"/>
        <w:ind w:left="0" w:leftChars="0" w:firstLine="0" w:firstLineChars="0"/>
        <w:outlineLvl w:val="0"/>
        <w:rPr>
          <w:rFonts w:hint="eastAsia" w:eastAsia="黑体"/>
          <w:b w:val="0"/>
          <w:bCs w:val="0"/>
          <w:sz w:val="30"/>
          <w:szCs w:val="32"/>
        </w:rPr>
      </w:pPr>
      <w:bookmarkStart w:id="75" w:name="_Toc17329"/>
      <w:r>
        <w:rPr>
          <w:rFonts w:ascii="Times New Roman" w:hAnsi="Times New Roman" w:eastAsia="黑体" w:cs="Times New Roman"/>
          <w:b w:val="0"/>
          <w:bCs w:val="0"/>
          <w:sz w:val="30"/>
          <w:szCs w:val="32"/>
        </w:rPr>
        <w:t>可靠性与可观测性基线</w:t>
      </w:r>
      <w:bookmarkEnd w:id="75"/>
    </w:p>
    <w:tbl>
      <w:tblPr>
        <w:tblStyle w:val="38"/>
        <w:tblW w:w="9784" w:type="dxa"/>
        <w:jc w:val="center"/>
        <w:tblLayout w:type="autofit"/>
        <w:tblCellMar>
          <w:top w:w="0" w:type="dxa"/>
          <w:left w:w="108" w:type="dxa"/>
          <w:bottom w:w="0" w:type="dxa"/>
          <w:right w:w="108" w:type="dxa"/>
        </w:tblCellMar>
      </w:tblPr>
      <w:tblGrid>
        <w:gridCol w:w="1488"/>
        <w:gridCol w:w="8296"/>
      </w:tblGrid>
      <w:tr w14:paraId="7CB8D4CE">
        <w:tblPrEx>
          <w:tblCellMar>
            <w:top w:w="0" w:type="dxa"/>
            <w:left w:w="108" w:type="dxa"/>
            <w:bottom w:w="0" w:type="dxa"/>
            <w:right w:w="108" w:type="dxa"/>
          </w:tblCellMar>
        </w:tblPrEx>
        <w:trPr>
          <w:tblHeade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82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82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82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82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82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82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82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rPr>
      </w:pPr>
      <w:bookmarkStart w:id="76" w:name="_Toc28220"/>
      <w:r>
        <w:rPr>
          <w:rFonts w:ascii="Times New Roman" w:hAnsi="Times New Roman" w:eastAsia="黑体" w:cs="Times New Roman"/>
          <w:b w:val="0"/>
          <w:bCs w:val="0"/>
          <w:sz w:val="32"/>
          <w:szCs w:val="44"/>
        </w:rPr>
        <w:t>技术架构与系统选型</w:t>
      </w:r>
      <w:bookmarkEnd w:id="76"/>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平台正式生产架构待架构评审确认。下表为当前原型实现基线（《系统开发技术文档》TECHNICAL_DOCUMENTATION.md v1.01）与 PRD-07 关键架构决策（ADR），作为阶段参考输入，非最终承诺。</w:t>
      </w:r>
    </w:p>
    <w:p w14:paraId="5DEC781D">
      <w:pPr>
        <w:pStyle w:val="4"/>
        <w:numPr>
          <w:ilvl w:val="0"/>
          <w:numId w:val="211"/>
        </w:numPr>
        <w:topLinePunct w:val="0"/>
        <w:ind w:left="0" w:leftChars="0" w:firstLine="0" w:firstLineChars="0"/>
        <w:outlineLvl w:val="0"/>
        <w:rPr>
          <w:rFonts w:hint="eastAsia" w:eastAsia="黑体"/>
          <w:b w:val="0"/>
          <w:bCs w:val="0"/>
          <w:sz w:val="30"/>
          <w:szCs w:val="32"/>
        </w:rPr>
      </w:pPr>
      <w:bookmarkStart w:id="77" w:name="_Toc19241"/>
      <w:r>
        <w:rPr>
          <w:rFonts w:ascii="Times New Roman" w:hAnsi="Times New Roman" w:eastAsia="黑体" w:cs="Times New Roman"/>
          <w:b w:val="0"/>
          <w:bCs w:val="0"/>
          <w:sz w:val="30"/>
          <w:szCs w:val="32"/>
        </w:rPr>
        <w:t>原型实现技术栈</w:t>
      </w:r>
      <w:bookmarkEnd w:id="77"/>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blPrEx>
          <w:tblCellMar>
            <w:top w:w="0" w:type="dxa"/>
            <w:left w:w="108" w:type="dxa"/>
            <w:bottom w:w="0" w:type="dxa"/>
            <w:right w:w="108" w:type="dxa"/>
          </w:tblCellMar>
        </w:tblPrEx>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bl>
    <w:p w14:paraId="2AFAAF6E">
      <w:pPr>
        <w:spacing w:after="60"/>
        <w:rPr>
          <w:rFonts w:hint="eastAsia" w:ascii="宋体" w:hAnsi="宋体" w:eastAsia="宋体" w:cs="宋体"/>
          <w:i w:val="0"/>
          <w:iCs w:val="0"/>
          <w:sz w:val="24"/>
          <w:szCs w:val="24"/>
        </w:rPr>
      </w:pPr>
    </w:p>
    <w:p w14:paraId="086F35C0">
      <w:pPr>
        <w:pStyle w:val="4"/>
        <w:numPr>
          <w:ilvl w:val="0"/>
          <w:numId w:val="211"/>
        </w:numPr>
        <w:topLinePunct w:val="0"/>
        <w:ind w:left="0" w:leftChars="0" w:firstLine="0" w:firstLineChars="0"/>
        <w:outlineLvl w:val="0"/>
        <w:rPr>
          <w:rFonts w:hint="eastAsia" w:eastAsia="黑体"/>
          <w:b w:val="0"/>
          <w:bCs w:val="0"/>
          <w:sz w:val="30"/>
          <w:szCs w:val="32"/>
        </w:rPr>
      </w:pPr>
      <w:bookmarkStart w:id="78" w:name="_Toc32230"/>
      <w:r>
        <w:rPr>
          <w:rFonts w:ascii="Times New Roman" w:hAnsi="Times New Roman" w:eastAsia="黑体" w:cs="Times New Roman"/>
          <w:b w:val="0"/>
          <w:bCs w:val="0"/>
          <w:sz w:val="30"/>
          <w:szCs w:val="32"/>
        </w:rPr>
        <w:t>关键架构决策（ADR）</w:t>
      </w:r>
      <w:bookmarkEnd w:id="78"/>
    </w:p>
    <w:tbl>
      <w:tblPr>
        <w:tblStyle w:val="38"/>
        <w:tblW w:w="9784" w:type="dxa"/>
        <w:jc w:val="center"/>
        <w:tblLayout w:type="autofit"/>
        <w:tblCellMar>
          <w:top w:w="0" w:type="dxa"/>
          <w:left w:w="108" w:type="dxa"/>
          <w:bottom w:w="0" w:type="dxa"/>
          <w:right w:w="108" w:type="dxa"/>
        </w:tblCellMar>
      </w:tblPr>
      <w:tblGrid>
        <w:gridCol w:w="1165"/>
        <w:gridCol w:w="5431"/>
        <w:gridCol w:w="3188"/>
      </w:tblGrid>
      <w:tr w14:paraId="71BAB817">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2AB8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54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2A26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1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36A9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FF8E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54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TimescaleDB、关系数据 PostgreSQL 物理隔离</w:t>
            </w:r>
          </w:p>
        </w:tc>
        <w:tc>
          <w:tcPr>
            <w:tcW w:w="31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061C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54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1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100F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54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1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1696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54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1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8FCA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54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1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bl>
    <w:p w14:paraId="501B4D4A">
      <w:pPr>
        <w:spacing w:after="60"/>
        <w:rPr>
          <w:rFonts w:hint="eastAsia" w:ascii="宋体" w:hAnsi="宋体" w:eastAsia="宋体" w:cs="宋体"/>
          <w:i w:val="0"/>
          <w:iCs w:val="0"/>
          <w:sz w:val="24"/>
          <w:szCs w:val="24"/>
        </w:rPr>
      </w:pPr>
    </w:p>
    <w:p w14:paraId="3A45378E">
      <w:pPr>
        <w:pStyle w:val="4"/>
        <w:numPr>
          <w:ilvl w:val="0"/>
          <w:numId w:val="211"/>
        </w:numPr>
        <w:topLinePunct w:val="0"/>
        <w:ind w:left="0" w:leftChars="0" w:firstLine="0" w:firstLineChars="0"/>
        <w:outlineLvl w:val="0"/>
        <w:rPr>
          <w:rFonts w:hint="eastAsia" w:eastAsia="黑体"/>
          <w:b w:val="0"/>
          <w:bCs w:val="0"/>
          <w:sz w:val="30"/>
          <w:szCs w:val="32"/>
        </w:rPr>
      </w:pPr>
      <w:bookmarkStart w:id="79" w:name="_Toc11149"/>
      <w:r>
        <w:rPr>
          <w:rFonts w:ascii="Times New Roman" w:hAnsi="Times New Roman" w:eastAsia="黑体" w:cs="Times New Roman"/>
          <w:b w:val="0"/>
          <w:bCs w:val="0"/>
          <w:sz w:val="30"/>
          <w:szCs w:val="32"/>
        </w:rPr>
        <w:t>待确认技术决策</w:t>
      </w:r>
      <w:bookmarkEnd w:id="79"/>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D6811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F03FE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E86C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CA8B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TimescaleDB / TDengine / InfluxDB 三选一</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待架构评审</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0638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涉及数据出境合规审批</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待信息安全合规组确认</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 TC-02 双端 100% 同构验收</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待前端方案确认</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rPr>
      </w:pPr>
      <w:bookmarkStart w:id="80" w:name="_Toc10669"/>
      <w:r>
        <w:rPr>
          <w:rFonts w:ascii="Times New Roman" w:hAnsi="Times New Roman" w:eastAsia="黑体" w:cs="Times New Roman"/>
          <w:b w:val="0"/>
          <w:bCs w:val="0"/>
          <w:sz w:val="32"/>
          <w:szCs w:val="44"/>
        </w:rPr>
        <w:t>系统级公共模块需求</w:t>
      </w:r>
      <w:bookmarkEnd w:id="80"/>
    </w:p>
    <w:p w14:paraId="740231A3">
      <w:pPr>
        <w:pStyle w:val="4"/>
        <w:numPr>
          <w:ilvl w:val="0"/>
          <w:numId w:val="212"/>
        </w:numPr>
        <w:topLinePunct w:val="0"/>
        <w:ind w:left="0" w:leftChars="0" w:firstLine="0" w:firstLineChars="0"/>
        <w:outlineLvl w:val="0"/>
        <w:rPr>
          <w:rFonts w:hint="eastAsia" w:eastAsia="黑体"/>
          <w:b w:val="0"/>
          <w:bCs w:val="0"/>
          <w:sz w:val="30"/>
          <w:szCs w:val="32"/>
        </w:rPr>
      </w:pPr>
      <w:bookmarkStart w:id="81" w:name="_Toc20479"/>
      <w:r>
        <w:rPr>
          <w:rFonts w:ascii="Times New Roman" w:hAnsi="Times New Roman" w:eastAsia="黑体" w:cs="Times New Roman"/>
          <w:b w:val="0"/>
          <w:bCs w:val="0"/>
          <w:sz w:val="30"/>
          <w:szCs w:val="32"/>
        </w:rPr>
        <w:t>公共模块清单</w:t>
      </w:r>
      <w:bookmarkEnd w:id="81"/>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9DE5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423F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DFB0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625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9B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714E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1463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EF4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8852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B5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A5E6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560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12"/>
        </w:numPr>
        <w:topLinePunct w:val="0"/>
        <w:ind w:left="0" w:leftChars="0" w:firstLine="0" w:firstLineChars="0"/>
        <w:outlineLvl w:val="0"/>
        <w:rPr>
          <w:rFonts w:hint="eastAsia" w:eastAsia="黑体"/>
          <w:b w:val="0"/>
          <w:bCs w:val="0"/>
          <w:sz w:val="30"/>
          <w:szCs w:val="32"/>
        </w:rPr>
      </w:pPr>
      <w:bookmarkStart w:id="82" w:name="_Toc6437"/>
      <w:r>
        <w:rPr>
          <w:rFonts w:ascii="Times New Roman" w:hAnsi="Times New Roman" w:eastAsia="黑体" w:cs="Times New Roman"/>
          <w:b w:val="0"/>
          <w:bCs w:val="0"/>
          <w:sz w:val="30"/>
          <w:szCs w:val="32"/>
        </w:rPr>
        <w:t>告警中枢分级与响应契约</w:t>
      </w:r>
      <w:bookmarkEnd w:id="82"/>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bookmarkStart w:id="100" w:name="_GoBack"/>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bookmarkEnd w:id="100"/>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rPr>
      </w:pPr>
      <w:bookmarkStart w:id="83" w:name="_Toc28372"/>
      <w:r>
        <w:rPr>
          <w:rFonts w:ascii="Times New Roman" w:hAnsi="Times New Roman" w:eastAsia="黑体" w:cs="Times New Roman"/>
          <w:b w:val="0"/>
          <w:bCs w:val="0"/>
          <w:sz w:val="32"/>
          <w:szCs w:val="44"/>
        </w:rPr>
        <w:t>安全与合规需求</w:t>
      </w:r>
      <w:bookmarkEnd w:id="83"/>
    </w:p>
    <w:p w14:paraId="20DEEF53">
      <w:pPr>
        <w:pStyle w:val="4"/>
        <w:numPr>
          <w:ilvl w:val="0"/>
          <w:numId w:val="213"/>
        </w:numPr>
        <w:topLinePunct w:val="0"/>
        <w:ind w:left="0" w:leftChars="0" w:firstLine="0" w:firstLineChars="0"/>
        <w:outlineLvl w:val="0"/>
        <w:rPr>
          <w:rFonts w:hint="eastAsia" w:eastAsia="黑体"/>
          <w:b w:val="0"/>
          <w:bCs w:val="0"/>
          <w:sz w:val="30"/>
          <w:szCs w:val="32"/>
        </w:rPr>
      </w:pPr>
      <w:bookmarkStart w:id="84" w:name="_Toc27157"/>
      <w:r>
        <w:rPr>
          <w:rFonts w:ascii="Times New Roman" w:hAnsi="Times New Roman" w:eastAsia="黑体" w:cs="Times New Roman"/>
          <w:b w:val="0"/>
          <w:bCs w:val="0"/>
          <w:sz w:val="30"/>
          <w:szCs w:val="32"/>
        </w:rPr>
        <w:t>网络安全防护体系</w:t>
      </w:r>
      <w:bookmarkEnd w:id="84"/>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blPrEx>
          <w:tblCellMar>
            <w:top w:w="0" w:type="dxa"/>
            <w:left w:w="108" w:type="dxa"/>
            <w:bottom w:w="0" w:type="dxa"/>
            <w:right w:w="108" w:type="dxa"/>
          </w:tblCellMar>
        </w:tblPrEx>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3DCC7529">
      <w:pPr>
        <w:spacing w:after="60"/>
        <w:rPr>
          <w:rFonts w:hint="eastAsia" w:ascii="宋体" w:hAnsi="宋体" w:eastAsia="宋体" w:cs="宋体"/>
          <w:i w:val="0"/>
          <w:iCs w:val="0"/>
          <w:sz w:val="24"/>
          <w:szCs w:val="24"/>
        </w:rPr>
      </w:pPr>
    </w:p>
    <w:p w14:paraId="0A008F55">
      <w:pPr>
        <w:pStyle w:val="4"/>
        <w:numPr>
          <w:ilvl w:val="0"/>
          <w:numId w:val="213"/>
        </w:numPr>
        <w:topLinePunct w:val="0"/>
        <w:ind w:left="0" w:leftChars="0" w:firstLine="0" w:firstLineChars="0"/>
        <w:outlineLvl w:val="0"/>
        <w:rPr>
          <w:rFonts w:hint="eastAsia" w:eastAsia="黑体"/>
          <w:b w:val="0"/>
          <w:bCs w:val="0"/>
          <w:sz w:val="30"/>
          <w:szCs w:val="32"/>
        </w:rPr>
      </w:pPr>
      <w:bookmarkStart w:id="85" w:name="_Toc5203"/>
      <w:r>
        <w:rPr>
          <w:rFonts w:ascii="Times New Roman" w:hAnsi="Times New Roman" w:eastAsia="黑体" w:cs="Times New Roman"/>
          <w:b w:val="0"/>
          <w:bCs w:val="0"/>
          <w:sz w:val="30"/>
          <w:szCs w:val="32"/>
        </w:rPr>
        <w:t>数据出境与合规</w:t>
      </w:r>
      <w:bookmarkEnd w:id="85"/>
    </w:p>
    <w:p w14:paraId="0D91A461">
      <w:pPr>
        <w:pStyle w:val="19"/>
        <w:widowControl/>
        <w:numPr>
          <w:ilvl w:val="0"/>
          <w:numId w:val="2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CBAM 申报数据、Ecoinvent 因子数据的跨境传输路径与审批【待补充：由信息安全合规组确认】。</w:t>
      </w:r>
    </w:p>
    <w:p w14:paraId="4ED167B2">
      <w:pPr>
        <w:pStyle w:val="19"/>
        <w:widowControl/>
        <w:numPr>
          <w:ilvl w:val="0"/>
          <w:numId w:val="2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w:t>
      </w:r>
    </w:p>
    <w:p w14:paraId="5603EC0C">
      <w:pPr>
        <w:pStyle w:val="19"/>
        <w:widowControl/>
        <w:numPr>
          <w:ilvl w:val="0"/>
          <w:numId w:val="2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外部审计沙箱（P6）与生产数据物理隔离，仅可访问指定报告与凭证。</w:t>
      </w:r>
    </w:p>
    <w:p w14:paraId="066829F5">
      <w:pPr>
        <w:pStyle w:val="4"/>
        <w:numPr>
          <w:ilvl w:val="0"/>
          <w:numId w:val="213"/>
        </w:numPr>
        <w:topLinePunct w:val="0"/>
        <w:ind w:left="0" w:leftChars="0" w:firstLine="0" w:firstLineChars="0"/>
        <w:outlineLvl w:val="0"/>
        <w:rPr>
          <w:rFonts w:hint="eastAsia" w:eastAsia="黑体"/>
          <w:b w:val="0"/>
          <w:bCs w:val="0"/>
          <w:sz w:val="30"/>
          <w:szCs w:val="32"/>
        </w:rPr>
      </w:pPr>
      <w:bookmarkStart w:id="86" w:name="_Toc20164"/>
      <w:r>
        <w:rPr>
          <w:rFonts w:ascii="Times New Roman" w:hAnsi="Times New Roman" w:eastAsia="黑体" w:cs="Times New Roman"/>
          <w:b w:val="0"/>
          <w:bCs w:val="0"/>
          <w:sz w:val="30"/>
          <w:szCs w:val="32"/>
        </w:rPr>
        <w:t>安全合规待确认 / 待补充清单</w:t>
      </w:r>
      <w:bookmarkEnd w:id="86"/>
    </w:p>
    <w:tbl>
      <w:tblPr>
        <w:tblStyle w:val="38"/>
        <w:tblW w:w="9784" w:type="dxa"/>
        <w:jc w:val="center"/>
        <w:tblLayout w:type="autofit"/>
        <w:tblCellMar>
          <w:top w:w="0" w:type="dxa"/>
          <w:left w:w="108" w:type="dxa"/>
          <w:bottom w:w="0" w:type="dxa"/>
          <w:right w:w="108" w:type="dxa"/>
        </w:tblCellMar>
      </w:tblPr>
      <w:tblGrid>
        <w:gridCol w:w="5300"/>
        <w:gridCol w:w="3057"/>
        <w:gridCol w:w="1427"/>
      </w:tblGrid>
      <w:tr w14:paraId="0F8536A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0990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877A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14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B011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1D8B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14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C2B9A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14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0917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14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待补充</w:t>
            </w:r>
          </w:p>
        </w:tc>
      </w:tr>
      <w:tr w14:paraId="16355E72">
        <w:tblPrEx>
          <w:tblCellMar>
            <w:top w:w="0" w:type="dxa"/>
            <w:left w:w="108" w:type="dxa"/>
            <w:bottom w:w="0" w:type="dxa"/>
            <w:right w:w="108" w:type="dxa"/>
          </w:tblCellMar>
        </w:tblPrEx>
        <w:trPr>
          <w:jc w:val="center"/>
        </w:trPr>
        <w:tc>
          <w:tcPr>
            <w:tcW w:w="5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F700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30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14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待补充</w:t>
            </w:r>
          </w:p>
        </w:tc>
      </w:tr>
    </w:tbl>
    <w:p w14:paraId="5F2589ED">
      <w:pPr>
        <w:spacing w:after="60"/>
        <w:rPr>
          <w:rFonts w:hint="eastAsia" w:ascii="宋体" w:hAnsi="宋体" w:eastAsia="宋体" w:cs="宋体"/>
          <w:i w:val="0"/>
          <w:iCs w:val="0"/>
          <w:sz w:val="24"/>
          <w:szCs w:val="24"/>
        </w:rPr>
      </w:pPr>
    </w:p>
    <w:p w14:paraId="2ED849AC">
      <w:pPr>
        <w:spacing w:before="80" w:after="80"/>
        <w:rPr>
          <w:rFonts w:hint="eastAsia" w:ascii="宋体" w:hAnsi="宋体" w:eastAsia="宋体" w:cs="宋体"/>
          <w:i w:val="0"/>
          <w:iCs w:val="0"/>
          <w:sz w:val="24"/>
          <w:szCs w:val="24"/>
        </w:rPr>
      </w:pPr>
      <w:r>
        <w:rPr>
          <w:rFonts w:hint="eastAsia" w:ascii="宋体" w:hAnsi="宋体" w:eastAsia="宋体" w:cs="宋体"/>
          <w:i w:val="0"/>
          <w:iCs w:val="0"/>
          <w:color w:val="E2E8F0"/>
          <w:sz w:val="24"/>
          <w:szCs w:val="24"/>
        </w:rPr>
        <w:t>——————————————————————————————————————————————————————————</w:t>
      </w:r>
    </w:p>
    <w:p w14:paraId="534E046D">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6C06710C">
      <w:pPr>
        <w:pStyle w:val="3"/>
        <w:numPr>
          <w:ilvl w:val="0"/>
          <w:numId w:val="7"/>
        </w:numPr>
        <w:ind w:left="0" w:leftChars="0" w:firstLine="0" w:firstLineChars="0"/>
        <w:rPr>
          <w:rFonts w:eastAsia="黑体"/>
          <w:b w:val="0"/>
          <w:bCs w:val="0"/>
          <w:sz w:val="32"/>
          <w:szCs w:val="44"/>
        </w:rPr>
      </w:pPr>
      <w:bookmarkStart w:id="87" w:name="_Toc3168"/>
      <w:r>
        <w:rPr>
          <w:rFonts w:ascii="Times New Roman" w:hAnsi="Times New Roman" w:eastAsia="黑体" w:cs="Times New Roman"/>
          <w:b w:val="0"/>
          <w:bCs w:val="0"/>
          <w:sz w:val="32"/>
          <w:szCs w:val="44"/>
        </w:rPr>
        <w:t>外部系统集成与数据采集点表</w:t>
      </w:r>
      <w:bookmarkEnd w:id="87"/>
    </w:p>
    <w:p w14:paraId="34955927">
      <w:pPr>
        <w:pStyle w:val="4"/>
        <w:numPr>
          <w:ilvl w:val="0"/>
          <w:numId w:val="215"/>
        </w:numPr>
        <w:topLinePunct w:val="0"/>
        <w:ind w:left="0" w:leftChars="0" w:firstLine="0" w:firstLineChars="0"/>
        <w:outlineLvl w:val="0"/>
        <w:rPr>
          <w:rFonts w:hint="eastAsia" w:eastAsia="黑体"/>
          <w:b w:val="0"/>
          <w:bCs w:val="0"/>
          <w:sz w:val="30"/>
          <w:szCs w:val="32"/>
        </w:rPr>
      </w:pPr>
      <w:bookmarkStart w:id="88" w:name="_Toc882"/>
      <w:r>
        <w:rPr>
          <w:rFonts w:ascii="Times New Roman" w:hAnsi="Times New Roman" w:eastAsia="黑体" w:cs="Times New Roman"/>
          <w:b w:val="0"/>
          <w:bCs w:val="0"/>
          <w:sz w:val="30"/>
          <w:szCs w:val="32"/>
        </w:rPr>
        <w:t>集成接口</w:t>
      </w:r>
      <w:bookmarkEnd w:id="88"/>
    </w:p>
    <w:tbl>
      <w:tblPr>
        <w:tblStyle w:val="38"/>
        <w:tblW w:w="9784" w:type="dxa"/>
        <w:jc w:val="center"/>
        <w:tblLayout w:type="autofit"/>
        <w:tblCellMar>
          <w:top w:w="0" w:type="dxa"/>
          <w:left w:w="108" w:type="dxa"/>
          <w:bottom w:w="0" w:type="dxa"/>
          <w:right w:w="108" w:type="dxa"/>
        </w:tblCellMar>
      </w:tblPr>
      <w:tblGrid>
        <w:gridCol w:w="1716"/>
        <w:gridCol w:w="1859"/>
        <w:gridCol w:w="1531"/>
        <w:gridCol w:w="1345"/>
        <w:gridCol w:w="3333"/>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13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33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13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秒级 / 15 分钟</w:t>
            </w:r>
          </w:p>
        </w:tc>
        <w:tc>
          <w:tcPr>
            <w:tcW w:w="333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13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33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13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33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13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33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13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33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8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5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13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33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46B03521">
      <w:pPr>
        <w:spacing w:after="60"/>
        <w:rPr>
          <w:rFonts w:hint="eastAsia" w:ascii="宋体" w:hAnsi="宋体" w:eastAsia="宋体" w:cs="宋体"/>
          <w:i w:val="0"/>
          <w:iCs w:val="0"/>
          <w:sz w:val="24"/>
          <w:szCs w:val="24"/>
        </w:rPr>
      </w:pPr>
    </w:p>
    <w:p w14:paraId="58F68849">
      <w:pPr>
        <w:pStyle w:val="4"/>
        <w:numPr>
          <w:ilvl w:val="0"/>
          <w:numId w:val="215"/>
        </w:numPr>
        <w:topLinePunct w:val="0"/>
        <w:ind w:left="0" w:leftChars="0" w:firstLine="0" w:firstLineChars="0"/>
        <w:outlineLvl w:val="0"/>
        <w:rPr>
          <w:rFonts w:hint="eastAsia" w:eastAsia="黑体"/>
          <w:b w:val="0"/>
          <w:bCs w:val="0"/>
          <w:sz w:val="30"/>
          <w:szCs w:val="32"/>
        </w:rPr>
      </w:pPr>
      <w:bookmarkStart w:id="89" w:name="_Toc27256"/>
      <w:r>
        <w:rPr>
          <w:rFonts w:ascii="Times New Roman" w:hAnsi="Times New Roman" w:eastAsia="黑体" w:cs="Times New Roman"/>
          <w:b w:val="0"/>
          <w:bCs w:val="0"/>
          <w:sz w:val="30"/>
          <w:szCs w:val="32"/>
        </w:rPr>
        <w:t>采集点表（核心点位）</w:t>
      </w:r>
      <w:bookmarkEnd w:id="89"/>
    </w:p>
    <w:tbl>
      <w:tblPr>
        <w:tblStyle w:val="38"/>
        <w:tblW w:w="9782" w:type="dxa"/>
        <w:jc w:val="center"/>
        <w:tblLayout w:type="autofit"/>
        <w:tblCellMar>
          <w:top w:w="0" w:type="dxa"/>
          <w:left w:w="108" w:type="dxa"/>
          <w:bottom w:w="0" w:type="dxa"/>
          <w:right w:w="108" w:type="dxa"/>
        </w:tblCellMar>
      </w:tblPr>
      <w:tblGrid>
        <w:gridCol w:w="893"/>
        <w:gridCol w:w="1206"/>
        <w:gridCol w:w="2931"/>
        <w:gridCol w:w="1584"/>
        <w:gridCol w:w="1584"/>
        <w:gridCol w:w="1584"/>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5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2D00962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2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9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bl>
    <w:p w14:paraId="74C3A2BE">
      <w:pPr>
        <w:spacing w:after="60"/>
        <w:rPr>
          <w:rFonts w:hint="eastAsia" w:ascii="宋体" w:hAnsi="宋体" w:eastAsia="宋体" w:cs="宋体"/>
          <w:i w:val="0"/>
          <w:iCs w:val="0"/>
          <w:sz w:val="24"/>
          <w:szCs w:val="24"/>
        </w:rPr>
      </w:pPr>
    </w:p>
    <w:p w14:paraId="18DCFF7C">
      <w:pPr>
        <w:pStyle w:val="4"/>
        <w:numPr>
          <w:ilvl w:val="0"/>
          <w:numId w:val="215"/>
        </w:numPr>
        <w:topLinePunct w:val="0"/>
        <w:ind w:left="0" w:leftChars="0" w:firstLine="0" w:firstLineChars="0"/>
        <w:outlineLvl w:val="0"/>
        <w:rPr>
          <w:rFonts w:hint="eastAsia" w:eastAsia="黑体"/>
          <w:b w:val="0"/>
          <w:bCs w:val="0"/>
          <w:sz w:val="30"/>
          <w:szCs w:val="32"/>
        </w:rPr>
      </w:pPr>
      <w:bookmarkStart w:id="90" w:name="_Toc31967"/>
      <w:r>
        <w:rPr>
          <w:rFonts w:ascii="Times New Roman" w:hAnsi="Times New Roman" w:eastAsia="黑体" w:cs="Times New Roman"/>
          <w:b w:val="0"/>
          <w:bCs w:val="0"/>
          <w:sz w:val="30"/>
          <w:szCs w:val="32"/>
        </w:rPr>
        <w:t>外部数据源与授权</w:t>
      </w:r>
      <w:bookmarkEnd w:id="90"/>
    </w:p>
    <w:tbl>
      <w:tblPr>
        <w:tblStyle w:val="38"/>
        <w:tblW w:w="9784" w:type="dxa"/>
        <w:jc w:val="center"/>
        <w:tblLayout w:type="autofit"/>
        <w:tblCellMar>
          <w:top w:w="0" w:type="dxa"/>
          <w:left w:w="108" w:type="dxa"/>
          <w:bottom w:w="0" w:type="dxa"/>
          <w:right w:w="108" w:type="dxa"/>
        </w:tblCellMar>
      </w:tblPr>
      <w:tblGrid>
        <w:gridCol w:w="3228"/>
        <w:gridCol w:w="1784"/>
        <w:gridCol w:w="1544"/>
        <w:gridCol w:w="3228"/>
      </w:tblGrid>
      <w:tr w14:paraId="16B270B2">
        <w:tblPrEx>
          <w:tblCellMar>
            <w:top w:w="0" w:type="dxa"/>
            <w:left w:w="108" w:type="dxa"/>
            <w:bottom w:w="0" w:type="dxa"/>
            <w:right w:w="108" w:type="dxa"/>
          </w:tblCellMar>
        </w:tblPrEx>
        <w:trPr>
          <w:tblHeade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9FA6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F4E4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5BECB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31E0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5AE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D402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AC98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7F0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rPr>
      </w:pPr>
      <w:bookmarkStart w:id="91" w:name="_Toc10931"/>
      <w:r>
        <w:rPr>
          <w:rFonts w:ascii="Times New Roman" w:hAnsi="Times New Roman" w:eastAsia="黑体" w:cs="Times New Roman"/>
          <w:b w:val="0"/>
          <w:bCs w:val="0"/>
          <w:sz w:val="32"/>
          <w:szCs w:val="44"/>
        </w:rPr>
        <w:t>测试与验收基线</w:t>
      </w:r>
      <w:bookmarkEnd w:id="91"/>
    </w:p>
    <w:p w14:paraId="015379B9">
      <w:pPr>
        <w:pStyle w:val="4"/>
        <w:numPr>
          <w:ilvl w:val="0"/>
          <w:numId w:val="216"/>
        </w:numPr>
        <w:topLinePunct w:val="0"/>
        <w:ind w:left="0" w:leftChars="0" w:firstLine="0" w:firstLineChars="0"/>
        <w:outlineLvl w:val="0"/>
        <w:rPr>
          <w:rFonts w:hint="eastAsia" w:eastAsia="黑体"/>
          <w:b w:val="0"/>
          <w:bCs w:val="0"/>
          <w:sz w:val="30"/>
          <w:szCs w:val="32"/>
        </w:rPr>
      </w:pPr>
      <w:bookmarkStart w:id="92" w:name="_Toc32719"/>
      <w:r>
        <w:rPr>
          <w:rFonts w:ascii="Times New Roman" w:hAnsi="Times New Roman" w:eastAsia="黑体" w:cs="Times New Roman"/>
          <w:b w:val="0"/>
          <w:bCs w:val="0"/>
          <w:sz w:val="30"/>
          <w:szCs w:val="32"/>
        </w:rPr>
        <w:t>验收准则</w:t>
      </w:r>
      <w:bookmarkEnd w:id="92"/>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1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1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1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1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1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1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16"/>
        </w:numPr>
        <w:topLinePunct w:val="0"/>
        <w:ind w:left="0" w:leftChars="0" w:firstLine="0" w:firstLineChars="0"/>
        <w:outlineLvl w:val="0"/>
        <w:rPr>
          <w:rFonts w:hint="eastAsia" w:eastAsia="黑体"/>
          <w:b w:val="0"/>
          <w:bCs w:val="0"/>
          <w:sz w:val="30"/>
          <w:szCs w:val="32"/>
        </w:rPr>
      </w:pPr>
      <w:bookmarkStart w:id="93" w:name="_Toc31649"/>
      <w:r>
        <w:rPr>
          <w:rFonts w:ascii="Times New Roman" w:hAnsi="Times New Roman" w:eastAsia="黑体" w:cs="Times New Roman"/>
          <w:b w:val="0"/>
          <w:bCs w:val="0"/>
          <w:sz w:val="30"/>
          <w:szCs w:val="32"/>
        </w:rPr>
        <w:t>破坏性测试矩阵（EQP / BVA）</w:t>
      </w:r>
      <w:bookmarkEnd w:id="93"/>
    </w:p>
    <w:tbl>
      <w:tblPr>
        <w:tblStyle w:val="38"/>
        <w:tblW w:w="9784" w:type="dxa"/>
        <w:jc w:val="center"/>
        <w:tblLayout w:type="autofit"/>
        <w:tblCellMar>
          <w:top w:w="0" w:type="dxa"/>
          <w:left w:w="108" w:type="dxa"/>
          <w:bottom w:w="0" w:type="dxa"/>
          <w:right w:w="108" w:type="dxa"/>
        </w:tblCellMar>
      </w:tblPr>
      <w:tblGrid>
        <w:gridCol w:w="1926"/>
        <w:gridCol w:w="2660"/>
        <w:gridCol w:w="2562"/>
        <w:gridCol w:w="2636"/>
      </w:tblGrid>
      <w:tr w14:paraId="34FC6349">
        <w:tblPrEx>
          <w:tblCellMar>
            <w:top w:w="0" w:type="dxa"/>
            <w:left w:w="108" w:type="dxa"/>
            <w:bottom w:w="0" w:type="dxa"/>
            <w:right w:w="108" w:type="dxa"/>
          </w:tblCellMar>
        </w:tblPrEx>
        <w:trPr>
          <w:tblHeade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90E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55AF1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43DB0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5C5A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C3311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3365B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D9D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11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BB02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9E5F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F512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6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5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50A8ED43">
      <w:pPr>
        <w:spacing w:after="60"/>
        <w:rPr>
          <w:rFonts w:hint="eastAsia" w:ascii="宋体" w:hAnsi="宋体" w:eastAsia="宋体" w:cs="宋体"/>
          <w:i w:val="0"/>
          <w:iCs w:val="0"/>
          <w:sz w:val="24"/>
          <w:szCs w:val="24"/>
        </w:rPr>
      </w:pPr>
    </w:p>
    <w:p w14:paraId="3AB5F67C">
      <w:pPr>
        <w:pStyle w:val="4"/>
        <w:numPr>
          <w:ilvl w:val="0"/>
          <w:numId w:val="216"/>
        </w:numPr>
        <w:topLinePunct w:val="0"/>
        <w:ind w:left="0" w:leftChars="0" w:firstLine="0" w:firstLineChars="0"/>
        <w:outlineLvl w:val="0"/>
        <w:rPr>
          <w:rFonts w:hint="eastAsia" w:eastAsia="黑体"/>
          <w:b w:val="0"/>
          <w:bCs w:val="0"/>
          <w:sz w:val="30"/>
          <w:szCs w:val="32"/>
        </w:rPr>
      </w:pPr>
      <w:bookmarkStart w:id="94" w:name="_Toc4587"/>
      <w:r>
        <w:rPr>
          <w:rFonts w:ascii="Times New Roman" w:hAnsi="Times New Roman" w:eastAsia="黑体" w:cs="Times New Roman"/>
          <w:b w:val="0"/>
          <w:bCs w:val="0"/>
          <w:sz w:val="30"/>
          <w:szCs w:val="32"/>
        </w:rPr>
        <w:t>全系统验收基线</w:t>
      </w:r>
      <w:bookmarkEnd w:id="94"/>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 22 个 + 第三章 13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3CA40CAD">
      <w:pPr>
        <w:spacing w:after="60"/>
        <w:rPr>
          <w:rFonts w:hint="eastAsia" w:ascii="宋体" w:hAnsi="宋体" w:eastAsia="宋体" w:cs="宋体"/>
          <w:i w:val="0"/>
          <w:iCs w:val="0"/>
          <w:sz w:val="24"/>
          <w:szCs w:val="24"/>
        </w:rPr>
      </w:pPr>
    </w:p>
    <w:p w14:paraId="52B10DB0">
      <w:pPr>
        <w:pStyle w:val="37"/>
        <w:widowControl/>
        <w:outlineLvl w:val="0"/>
        <w:rPr>
          <w:rFonts w:ascii="Times New Roman" w:hAnsi="Times New Roman" w:eastAsia="黑体" w:cs="Times New Roman"/>
          <w:b w:val="0"/>
          <w:bCs w:val="0"/>
          <w:sz w:val="36"/>
          <w:szCs w:val="24"/>
        </w:rPr>
      </w:pPr>
      <w:bookmarkStart w:id="95" w:name="_Toc59"/>
      <w:r>
        <w:rPr>
          <w:rFonts w:ascii="Times New Roman" w:hAnsi="Times New Roman" w:eastAsia="黑体" w:cs="Times New Roman"/>
          <w:b w:val="0"/>
          <w:bCs w:val="0"/>
          <w:sz w:val="36"/>
          <w:szCs w:val="24"/>
        </w:rPr>
        <w:t>附录 A：现行国标 / 行标 / 欧标 法规映射表</w:t>
      </w:r>
      <w:bookmarkEnd w:id="95"/>
    </w:p>
    <w:tbl>
      <w:tblPr>
        <w:tblStyle w:val="38"/>
        <w:tblW w:w="9784" w:type="dxa"/>
        <w:jc w:val="center"/>
        <w:tblLayout w:type="autofit"/>
        <w:tblCellMar>
          <w:top w:w="0" w:type="dxa"/>
          <w:left w:w="108" w:type="dxa"/>
          <w:bottom w:w="0" w:type="dxa"/>
          <w:right w:w="108" w:type="dxa"/>
        </w:tblCellMar>
      </w:tblPr>
      <w:tblGrid>
        <w:gridCol w:w="2084"/>
        <w:gridCol w:w="4093"/>
        <w:gridCol w:w="1737"/>
        <w:gridCol w:w="1870"/>
      </w:tblGrid>
      <w:tr w14:paraId="0A19D58C">
        <w:tblPrEx>
          <w:tblCellMar>
            <w:top w:w="0" w:type="dxa"/>
            <w:left w:w="108" w:type="dxa"/>
            <w:bottom w:w="0" w:type="dxa"/>
            <w:right w:w="108" w:type="dxa"/>
          </w:tblCellMar>
        </w:tblPrEx>
        <w:trPr>
          <w:tblHeade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1F4C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87D4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A1F69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B87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B020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FCE3A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40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1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A1C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40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1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B1D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2DA5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40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1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45DC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C3C1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40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96" w:name="_Toc30322"/>
      <w:r>
        <w:rPr>
          <w:rFonts w:ascii="Times New Roman" w:hAnsi="Times New Roman" w:eastAsia="黑体" w:cs="Times New Roman"/>
          <w:b w:val="0"/>
          <w:bCs w:val="0"/>
          <w:sz w:val="36"/>
          <w:szCs w:val="24"/>
        </w:rPr>
        <w:t>附录 B：反模式与反例对照治理清单</w:t>
      </w:r>
      <w:bookmarkEnd w:id="96"/>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tblHeade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18733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444E2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DD29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2B0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2C91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CA2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13788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D293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90A0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FCE8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673C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21AE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5E8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3970C6FD">
      <w:pPr>
        <w:pStyle w:val="37"/>
        <w:widowControl/>
        <w:jc w:val="both"/>
        <w:rPr>
          <w:rFonts w:ascii="Times New Roman" w:hAnsi="Times New Roman" w:eastAsia="黑体" w:cs="Times New Roman"/>
          <w:b w:val="0"/>
          <w:bCs w:val="0"/>
          <w:sz w:val="36"/>
          <w:szCs w:val="24"/>
        </w:rPr>
      </w:pPr>
    </w:p>
    <w:p w14:paraId="4864ABD6">
      <w:pPr>
        <w:pStyle w:val="37"/>
        <w:widowControl/>
        <w:outlineLvl w:val="0"/>
        <w:rPr>
          <w:rFonts w:hint="eastAsia" w:ascii="宋体" w:hAnsi="宋体" w:eastAsia="宋体" w:cs="宋体"/>
          <w:i w:val="0"/>
          <w:iCs w:val="0"/>
          <w:sz w:val="24"/>
          <w:szCs w:val="24"/>
        </w:rPr>
      </w:pPr>
      <w:bookmarkStart w:id="97" w:name="_Toc4678"/>
      <w:r>
        <w:rPr>
          <w:rFonts w:ascii="Times New Roman" w:hAnsi="Times New Roman" w:eastAsia="黑体" w:cs="Times New Roman"/>
          <w:b w:val="0"/>
          <w:bCs w:val="0"/>
          <w:sz w:val="36"/>
          <w:szCs w:val="24"/>
        </w:rPr>
        <w:t>附录 C：企业组织结构树</w:t>
      </w:r>
      <w:bookmarkEnd w:id="97"/>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64"/>
        <w:gridCol w:w="1778"/>
        <w:gridCol w:w="1680"/>
        <w:gridCol w:w="3516"/>
        <w:gridCol w:w="1646"/>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PrEx>
        <w:trPr>
          <w:trHeight w:val="567" w:hRule="atLeast"/>
          <w:jc w:val="center"/>
        </w:trPr>
        <w:tc>
          <w:tcPr>
            <w:tcW w:w="1164"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经营单位</w:t>
            </w:r>
          </w:p>
        </w:tc>
        <w:tc>
          <w:tcPr>
            <w:tcW w:w="1778"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516"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46"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7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51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4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98" w:name="_Toc15759"/>
      <w:r>
        <w:rPr>
          <w:rFonts w:ascii="Times New Roman" w:hAnsi="Times New Roman" w:eastAsia="黑体" w:cs="Times New Roman"/>
          <w:b w:val="0"/>
          <w:bCs w:val="0"/>
          <w:sz w:val="36"/>
          <w:szCs w:val="24"/>
        </w:rPr>
        <w:t>附录 D：园区组织结构树</w:t>
      </w:r>
      <w:bookmarkEnd w:id="98"/>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99" w:name="_Toc4309"/>
      <w:r>
        <w:rPr>
          <w:rFonts w:ascii="Times New Roman" w:hAnsi="Times New Roman" w:eastAsia="黑体" w:cs="Times New Roman"/>
          <w:b w:val="0"/>
          <w:bCs w:val="0"/>
          <w:sz w:val="36"/>
          <w:szCs w:val="24"/>
        </w:rPr>
        <w:t>附录 E：角色与权限矩阵</w:t>
      </w:r>
      <w:bookmarkEnd w:id="99"/>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24D15BC3">
      <w:pPr>
        <w:spacing w:after="60"/>
        <w:rPr>
          <w:rFonts w:hint="eastAsia" w:ascii="宋体" w:hAnsi="宋体" w:eastAsia="宋体" w:cs="宋体"/>
          <w:i w:val="0"/>
          <w:iCs w:val="0"/>
          <w:sz w:val="24"/>
          <w:szCs w:val="24"/>
        </w:rPr>
      </w:pPr>
    </w:p>
    <w:p w14:paraId="7F32F42B">
      <w:pPr>
        <w:spacing w:before="20" w:after="60" w:line="276" w:lineRule="auto"/>
        <w:rPr>
          <w:rFonts w:hint="eastAsia" w:ascii="宋体" w:hAnsi="宋体" w:eastAsia="宋体" w:cs="宋体"/>
          <w:i w:val="0"/>
          <w:iCs w:val="0"/>
          <w:sz w:val="24"/>
          <w:szCs w:val="24"/>
        </w:rPr>
      </w:pPr>
    </w:p>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4">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5">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6">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7">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8">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9">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0">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1">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2">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3">
    <w:nsid w:val="8D6C8592"/>
    <w:multiLevelType w:val="singleLevel"/>
    <w:tmpl w:val="8D6C8592"/>
    <w:lvl w:ilvl="0" w:tentative="0">
      <w:start w:val="1"/>
      <w:numFmt w:val="decimal"/>
      <w:suff w:val="space"/>
      <w:lvlText w:val=""/>
      <w:lvlJc w:val="left"/>
      <w:pPr>
        <w:ind w:left="0" w:firstLine="482"/>
      </w:pPr>
      <w:rPr>
        <w:rFonts w:hint="default"/>
      </w:rPr>
    </w:lvl>
  </w:abstractNum>
  <w:abstractNum w:abstractNumId="14">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5">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6">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7">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18">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19">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20">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1">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2">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3">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4">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25">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26">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27">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28">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29">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30">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1">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2">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33">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34">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35">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36">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37">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38">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39">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40">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1">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42">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43">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44">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45">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46">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47">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48">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49">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50">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51">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52">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53">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54">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55">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56">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57">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58">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59">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60">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61">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62">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63">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64">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65">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66">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67">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68">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69">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70">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71">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72">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73">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74">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75">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76">
    <w:nsid w:val="D9950A8A"/>
    <w:multiLevelType w:val="singleLevel"/>
    <w:tmpl w:val="D9950A8A"/>
    <w:lvl w:ilvl="0" w:tentative="0">
      <w:start w:val="1"/>
      <w:numFmt w:val="decimal"/>
      <w:suff w:val="space"/>
      <w:lvlText w:val=""/>
      <w:lvlJc w:val="left"/>
      <w:pPr>
        <w:ind w:left="0" w:firstLine="482"/>
      </w:pPr>
      <w:rPr>
        <w:rFonts w:hint="default"/>
      </w:rPr>
    </w:lvl>
  </w:abstractNum>
  <w:abstractNum w:abstractNumId="77">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78">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79">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80">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81">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82">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83">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84">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85">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86">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87">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88">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89">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90">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91">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92">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93">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94">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95">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96">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97">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98">
    <w:nsid w:val="F4B6877E"/>
    <w:multiLevelType w:val="singleLevel"/>
    <w:tmpl w:val="F4B6877E"/>
    <w:lvl w:ilvl="0" w:tentative="0">
      <w:start w:val="1"/>
      <w:numFmt w:val="decimal"/>
      <w:suff w:val="space"/>
      <w:lvlText w:val=""/>
      <w:lvlJc w:val="left"/>
      <w:pPr>
        <w:ind w:left="0" w:firstLine="482"/>
      </w:pPr>
      <w:rPr>
        <w:rFonts w:hint="default"/>
      </w:rPr>
    </w:lvl>
  </w:abstractNum>
  <w:abstractNum w:abstractNumId="99">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100">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01">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02">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03">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04">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05">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06">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07">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08">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09">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10">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1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1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1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7">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18">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19">
    <w:nsid w:val="035DDBFF"/>
    <w:multiLevelType w:val="singleLevel"/>
    <w:tmpl w:val="035DDBFF"/>
    <w:lvl w:ilvl="0" w:tentative="0">
      <w:start w:val="1"/>
      <w:numFmt w:val="decimal"/>
      <w:suff w:val="space"/>
      <w:lvlText w:val="【%1】"/>
      <w:lvlJc w:val="left"/>
      <w:pPr>
        <w:ind w:left="0" w:firstLine="0"/>
      </w:pPr>
      <w:rPr>
        <w:rFonts w:hint="default"/>
      </w:rPr>
    </w:lvl>
  </w:abstractNum>
  <w:abstractNum w:abstractNumId="120">
    <w:nsid w:val="03619399"/>
    <w:multiLevelType w:val="singleLevel"/>
    <w:tmpl w:val="03619399"/>
    <w:lvl w:ilvl="0" w:tentative="0">
      <w:start w:val="1"/>
      <w:numFmt w:val="decimal"/>
      <w:suff w:val="space"/>
      <w:lvlText w:val=""/>
      <w:lvlJc w:val="left"/>
      <w:pPr>
        <w:ind w:left="0" w:firstLine="482"/>
      </w:pPr>
      <w:rPr>
        <w:rFonts w:hint="default"/>
      </w:rPr>
    </w:lvl>
  </w:abstractNum>
  <w:abstractNum w:abstractNumId="121">
    <w:nsid w:val="03E59675"/>
    <w:multiLevelType w:val="singleLevel"/>
    <w:tmpl w:val="03E59675"/>
    <w:lvl w:ilvl="0" w:tentative="0">
      <w:start w:val="1"/>
      <w:numFmt w:val="decimal"/>
      <w:suff w:val="space"/>
      <w:lvlText w:val="【%1】"/>
      <w:lvlJc w:val="left"/>
      <w:pPr>
        <w:ind w:left="0" w:firstLine="0"/>
      </w:pPr>
      <w:rPr>
        <w:rFonts w:hint="default"/>
      </w:rPr>
    </w:lvl>
  </w:abstractNum>
  <w:abstractNum w:abstractNumId="122">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23">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24">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25">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26">
    <w:nsid w:val="0E46F189"/>
    <w:multiLevelType w:val="singleLevel"/>
    <w:tmpl w:val="0E46F189"/>
    <w:lvl w:ilvl="0" w:tentative="0">
      <w:start w:val="1"/>
      <w:numFmt w:val="decimal"/>
      <w:suff w:val="space"/>
      <w:lvlText w:val=""/>
      <w:lvlJc w:val="left"/>
      <w:pPr>
        <w:ind w:left="0" w:firstLine="482"/>
      </w:pPr>
      <w:rPr>
        <w:rFonts w:hint="default"/>
      </w:rPr>
    </w:lvl>
  </w:abstractNum>
  <w:abstractNum w:abstractNumId="127">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28">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29">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30">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31">
    <w:nsid w:val="167F47A5"/>
    <w:multiLevelType w:val="singleLevel"/>
    <w:tmpl w:val="167F47A5"/>
    <w:lvl w:ilvl="0" w:tentative="0">
      <w:start w:val="1"/>
      <w:numFmt w:val="decimal"/>
      <w:suff w:val="space"/>
      <w:lvlText w:val=""/>
      <w:lvlJc w:val="left"/>
      <w:pPr>
        <w:ind w:left="0" w:firstLine="482"/>
      </w:pPr>
      <w:rPr>
        <w:rFonts w:hint="default"/>
      </w:rPr>
    </w:lvl>
  </w:abstractNum>
  <w:abstractNum w:abstractNumId="132">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33">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34">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35">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36">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37">
    <w:nsid w:val="1D5018F3"/>
    <w:multiLevelType w:val="singleLevel"/>
    <w:tmpl w:val="1D5018F3"/>
    <w:lvl w:ilvl="0" w:tentative="0">
      <w:start w:val="1"/>
      <w:numFmt w:val="decimal"/>
      <w:suff w:val="space"/>
      <w:lvlText w:val=""/>
      <w:lvlJc w:val="left"/>
      <w:pPr>
        <w:ind w:left="0" w:firstLine="482"/>
      </w:pPr>
      <w:rPr>
        <w:rFonts w:hint="default"/>
      </w:rPr>
    </w:lvl>
  </w:abstractNum>
  <w:abstractNum w:abstractNumId="138">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39">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40">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41">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42">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43">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44">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45">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46">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47">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48">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49">
    <w:nsid w:val="2961C5EE"/>
    <w:multiLevelType w:val="singleLevel"/>
    <w:tmpl w:val="2961C5EE"/>
    <w:lvl w:ilvl="0" w:tentative="0">
      <w:start w:val="1"/>
      <w:numFmt w:val="decimal"/>
      <w:suff w:val="space"/>
      <w:lvlText w:val=""/>
      <w:lvlJc w:val="left"/>
      <w:pPr>
        <w:ind w:left="0" w:firstLine="482"/>
      </w:pPr>
      <w:rPr>
        <w:rFonts w:hint="default"/>
      </w:rPr>
    </w:lvl>
  </w:abstractNum>
  <w:abstractNum w:abstractNumId="150">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51">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52">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53">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54">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55">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56">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57">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58">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59">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60">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61">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62">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63">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64">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65">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66">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67">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68">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69">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70">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71">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72">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73">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74">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75">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76">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77">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178">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179">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180">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181">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182">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183">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184">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185">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186">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187">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188">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189">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190">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191">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192">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193">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194">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195">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196">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197">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198">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199">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200">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201">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202">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03">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04">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05">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06">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07">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08">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09">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10">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11">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12">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13">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14">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15">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16">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12"/>
  </w:num>
  <w:num w:numId="2">
    <w:abstractNumId w:val="115"/>
  </w:num>
  <w:num w:numId="3">
    <w:abstractNumId w:val="116"/>
  </w:num>
  <w:num w:numId="4">
    <w:abstractNumId w:val="113"/>
  </w:num>
  <w:num w:numId="5">
    <w:abstractNumId w:val="111"/>
  </w:num>
  <w:num w:numId="6">
    <w:abstractNumId w:val="114"/>
  </w:num>
  <w:num w:numId="7">
    <w:abstractNumId w:val="208"/>
  </w:num>
  <w:num w:numId="8">
    <w:abstractNumId w:val="86"/>
  </w:num>
  <w:num w:numId="9">
    <w:abstractNumId w:val="157"/>
  </w:num>
  <w:num w:numId="10">
    <w:abstractNumId w:val="210"/>
  </w:num>
  <w:num w:numId="11">
    <w:abstractNumId w:val="46"/>
  </w:num>
  <w:num w:numId="12">
    <w:abstractNumId w:val="170"/>
  </w:num>
  <w:num w:numId="13">
    <w:abstractNumId w:val="14"/>
  </w:num>
  <w:num w:numId="14">
    <w:abstractNumId w:val="202"/>
  </w:num>
  <w:num w:numId="15">
    <w:abstractNumId w:val="29"/>
  </w:num>
  <w:num w:numId="16">
    <w:abstractNumId w:val="200"/>
  </w:num>
  <w:num w:numId="17">
    <w:abstractNumId w:val="117"/>
  </w:num>
  <w:num w:numId="18">
    <w:abstractNumId w:val="69"/>
  </w:num>
  <w:num w:numId="19">
    <w:abstractNumId w:val="171"/>
  </w:num>
  <w:num w:numId="20">
    <w:abstractNumId w:val="141"/>
  </w:num>
  <w:num w:numId="21">
    <w:abstractNumId w:val="39"/>
  </w:num>
  <w:num w:numId="22">
    <w:abstractNumId w:val="191"/>
  </w:num>
  <w:num w:numId="23">
    <w:abstractNumId w:val="62"/>
  </w:num>
  <w:num w:numId="24">
    <w:abstractNumId w:val="213"/>
  </w:num>
  <w:num w:numId="25">
    <w:abstractNumId w:val="140"/>
  </w:num>
  <w:num w:numId="26">
    <w:abstractNumId w:val="205"/>
  </w:num>
  <w:num w:numId="27">
    <w:abstractNumId w:val="102"/>
  </w:num>
  <w:num w:numId="28">
    <w:abstractNumId w:val="55"/>
  </w:num>
  <w:num w:numId="29">
    <w:abstractNumId w:val="73"/>
  </w:num>
  <w:num w:numId="30">
    <w:abstractNumId w:val="15"/>
  </w:num>
  <w:num w:numId="31">
    <w:abstractNumId w:val="133"/>
  </w:num>
  <w:num w:numId="32">
    <w:abstractNumId w:val="67"/>
  </w:num>
  <w:num w:numId="33">
    <w:abstractNumId w:val="59"/>
  </w:num>
  <w:num w:numId="34">
    <w:abstractNumId w:val="204"/>
  </w:num>
  <w:num w:numId="35">
    <w:abstractNumId w:val="215"/>
  </w:num>
  <w:num w:numId="36">
    <w:abstractNumId w:val="93"/>
  </w:num>
  <w:num w:numId="37">
    <w:abstractNumId w:val="105"/>
  </w:num>
  <w:num w:numId="38">
    <w:abstractNumId w:val="134"/>
  </w:num>
  <w:num w:numId="39">
    <w:abstractNumId w:val="199"/>
  </w:num>
  <w:num w:numId="40">
    <w:abstractNumId w:val="175"/>
  </w:num>
  <w:num w:numId="41">
    <w:abstractNumId w:val="57"/>
  </w:num>
  <w:num w:numId="42">
    <w:abstractNumId w:val="36"/>
  </w:num>
  <w:num w:numId="43">
    <w:abstractNumId w:val="197"/>
  </w:num>
  <w:num w:numId="44">
    <w:abstractNumId w:val="12"/>
  </w:num>
  <w:num w:numId="45">
    <w:abstractNumId w:val="180"/>
  </w:num>
  <w:num w:numId="46">
    <w:abstractNumId w:val="45"/>
  </w:num>
  <w:num w:numId="47">
    <w:abstractNumId w:val="145"/>
  </w:num>
  <w:num w:numId="48">
    <w:abstractNumId w:val="138"/>
  </w:num>
  <w:num w:numId="49">
    <w:abstractNumId w:val="61"/>
  </w:num>
  <w:num w:numId="50">
    <w:abstractNumId w:val="186"/>
  </w:num>
  <w:num w:numId="51">
    <w:abstractNumId w:val="168"/>
  </w:num>
  <w:num w:numId="52">
    <w:abstractNumId w:val="110"/>
  </w:num>
  <w:num w:numId="53">
    <w:abstractNumId w:val="166"/>
  </w:num>
  <w:num w:numId="54">
    <w:abstractNumId w:val="52"/>
  </w:num>
  <w:num w:numId="55">
    <w:abstractNumId w:val="163"/>
  </w:num>
  <w:num w:numId="56">
    <w:abstractNumId w:val="1"/>
  </w:num>
  <w:num w:numId="57">
    <w:abstractNumId w:val="101"/>
  </w:num>
  <w:num w:numId="58">
    <w:abstractNumId w:val="75"/>
  </w:num>
  <w:num w:numId="59">
    <w:abstractNumId w:val="33"/>
  </w:num>
  <w:num w:numId="60">
    <w:abstractNumId w:val="11"/>
  </w:num>
  <w:num w:numId="61">
    <w:abstractNumId w:val="34"/>
  </w:num>
  <w:num w:numId="62">
    <w:abstractNumId w:val="4"/>
  </w:num>
  <w:num w:numId="63">
    <w:abstractNumId w:val="169"/>
  </w:num>
  <w:num w:numId="64">
    <w:abstractNumId w:val="127"/>
  </w:num>
  <w:num w:numId="65">
    <w:abstractNumId w:val="214"/>
  </w:num>
  <w:num w:numId="66">
    <w:abstractNumId w:val="206"/>
  </w:num>
  <w:num w:numId="67">
    <w:abstractNumId w:val="50"/>
  </w:num>
  <w:num w:numId="68">
    <w:abstractNumId w:val="189"/>
  </w:num>
  <w:num w:numId="69">
    <w:abstractNumId w:val="32"/>
  </w:num>
  <w:num w:numId="70">
    <w:abstractNumId w:val="119"/>
  </w:num>
  <w:num w:numId="71">
    <w:abstractNumId w:val="131"/>
  </w:num>
  <w:num w:numId="72">
    <w:abstractNumId w:val="13"/>
  </w:num>
  <w:num w:numId="73">
    <w:abstractNumId w:val="137"/>
  </w:num>
  <w:num w:numId="74">
    <w:abstractNumId w:val="126"/>
  </w:num>
  <w:num w:numId="75">
    <w:abstractNumId w:val="161"/>
  </w:num>
  <w:num w:numId="76">
    <w:abstractNumId w:val="155"/>
  </w:num>
  <w:num w:numId="77">
    <w:abstractNumId w:val="164"/>
  </w:num>
  <w:num w:numId="78">
    <w:abstractNumId w:val="77"/>
  </w:num>
  <w:num w:numId="79">
    <w:abstractNumId w:val="108"/>
  </w:num>
  <w:num w:numId="80">
    <w:abstractNumId w:val="182"/>
  </w:num>
  <w:num w:numId="81">
    <w:abstractNumId w:val="159"/>
  </w:num>
  <w:num w:numId="82">
    <w:abstractNumId w:val="68"/>
  </w:num>
  <w:num w:numId="83">
    <w:abstractNumId w:val="21"/>
  </w:num>
  <w:num w:numId="84">
    <w:abstractNumId w:val="25"/>
  </w:num>
  <w:num w:numId="85">
    <w:abstractNumId w:val="203"/>
  </w:num>
  <w:num w:numId="86">
    <w:abstractNumId w:val="150"/>
  </w:num>
  <w:num w:numId="87">
    <w:abstractNumId w:val="7"/>
  </w:num>
  <w:num w:numId="88">
    <w:abstractNumId w:val="196"/>
  </w:num>
  <w:num w:numId="89">
    <w:abstractNumId w:val="38"/>
  </w:num>
  <w:num w:numId="90">
    <w:abstractNumId w:val="121"/>
  </w:num>
  <w:num w:numId="91">
    <w:abstractNumId w:val="98"/>
  </w:num>
  <w:num w:numId="92">
    <w:abstractNumId w:val="76"/>
  </w:num>
  <w:num w:numId="93">
    <w:abstractNumId w:val="149"/>
  </w:num>
  <w:num w:numId="94">
    <w:abstractNumId w:val="120"/>
  </w:num>
  <w:num w:numId="95">
    <w:abstractNumId w:val="135"/>
  </w:num>
  <w:num w:numId="96">
    <w:abstractNumId w:val="158"/>
  </w:num>
  <w:num w:numId="97">
    <w:abstractNumId w:val="148"/>
  </w:num>
  <w:num w:numId="98">
    <w:abstractNumId w:val="125"/>
  </w:num>
  <w:num w:numId="99">
    <w:abstractNumId w:val="9"/>
  </w:num>
  <w:num w:numId="100">
    <w:abstractNumId w:val="193"/>
  </w:num>
  <w:num w:numId="101">
    <w:abstractNumId w:val="19"/>
  </w:num>
  <w:num w:numId="102">
    <w:abstractNumId w:val="207"/>
  </w:num>
  <w:num w:numId="103">
    <w:abstractNumId w:val="87"/>
  </w:num>
  <w:num w:numId="104">
    <w:abstractNumId w:val="80"/>
  </w:num>
  <w:num w:numId="105">
    <w:abstractNumId w:val="146"/>
  </w:num>
  <w:num w:numId="106">
    <w:abstractNumId w:val="28"/>
  </w:num>
  <w:num w:numId="107">
    <w:abstractNumId w:val="99"/>
  </w:num>
  <w:num w:numId="108">
    <w:abstractNumId w:val="124"/>
  </w:num>
  <w:num w:numId="109">
    <w:abstractNumId w:val="167"/>
  </w:num>
  <w:num w:numId="110">
    <w:abstractNumId w:val="132"/>
  </w:num>
  <w:num w:numId="111">
    <w:abstractNumId w:val="43"/>
  </w:num>
  <w:num w:numId="112">
    <w:abstractNumId w:val="139"/>
  </w:num>
  <w:num w:numId="113">
    <w:abstractNumId w:val="0"/>
  </w:num>
  <w:num w:numId="114">
    <w:abstractNumId w:val="53"/>
  </w:num>
  <w:num w:numId="115">
    <w:abstractNumId w:val="81"/>
  </w:num>
  <w:num w:numId="116">
    <w:abstractNumId w:val="48"/>
  </w:num>
  <w:num w:numId="117">
    <w:abstractNumId w:val="56"/>
  </w:num>
  <w:num w:numId="118">
    <w:abstractNumId w:val="26"/>
  </w:num>
  <w:num w:numId="119">
    <w:abstractNumId w:val="152"/>
  </w:num>
  <w:num w:numId="120">
    <w:abstractNumId w:val="106"/>
  </w:num>
  <w:num w:numId="121">
    <w:abstractNumId w:val="71"/>
  </w:num>
  <w:num w:numId="122">
    <w:abstractNumId w:val="183"/>
  </w:num>
  <w:num w:numId="123">
    <w:abstractNumId w:val="212"/>
  </w:num>
  <w:num w:numId="124">
    <w:abstractNumId w:val="74"/>
  </w:num>
  <w:num w:numId="125">
    <w:abstractNumId w:val="94"/>
  </w:num>
  <w:num w:numId="126">
    <w:abstractNumId w:val="198"/>
  </w:num>
  <w:num w:numId="127">
    <w:abstractNumId w:val="89"/>
  </w:num>
  <w:num w:numId="128">
    <w:abstractNumId w:val="79"/>
  </w:num>
  <w:num w:numId="129">
    <w:abstractNumId w:val="147"/>
  </w:num>
  <w:num w:numId="130">
    <w:abstractNumId w:val="18"/>
  </w:num>
  <w:num w:numId="131">
    <w:abstractNumId w:val="84"/>
  </w:num>
  <w:num w:numId="132">
    <w:abstractNumId w:val="201"/>
  </w:num>
  <w:num w:numId="133">
    <w:abstractNumId w:val="44"/>
  </w:num>
  <w:num w:numId="134">
    <w:abstractNumId w:val="27"/>
  </w:num>
  <w:num w:numId="135">
    <w:abstractNumId w:val="54"/>
  </w:num>
  <w:num w:numId="136">
    <w:abstractNumId w:val="179"/>
  </w:num>
  <w:num w:numId="137">
    <w:abstractNumId w:val="88"/>
  </w:num>
  <w:num w:numId="138">
    <w:abstractNumId w:val="60"/>
  </w:num>
  <w:num w:numId="139">
    <w:abstractNumId w:val="78"/>
  </w:num>
  <w:num w:numId="140">
    <w:abstractNumId w:val="118"/>
  </w:num>
  <w:num w:numId="141">
    <w:abstractNumId w:val="37"/>
  </w:num>
  <w:num w:numId="142">
    <w:abstractNumId w:val="128"/>
  </w:num>
  <w:num w:numId="143">
    <w:abstractNumId w:val="22"/>
  </w:num>
  <w:num w:numId="144">
    <w:abstractNumId w:val="160"/>
  </w:num>
  <w:num w:numId="145">
    <w:abstractNumId w:val="49"/>
  </w:num>
  <w:num w:numId="146">
    <w:abstractNumId w:val="209"/>
  </w:num>
  <w:num w:numId="147">
    <w:abstractNumId w:val="104"/>
  </w:num>
  <w:num w:numId="148">
    <w:abstractNumId w:val="64"/>
  </w:num>
  <w:num w:numId="149">
    <w:abstractNumId w:val="192"/>
  </w:num>
  <w:num w:numId="150">
    <w:abstractNumId w:val="165"/>
  </w:num>
  <w:num w:numId="151">
    <w:abstractNumId w:val="70"/>
  </w:num>
  <w:num w:numId="152">
    <w:abstractNumId w:val="72"/>
  </w:num>
  <w:num w:numId="153">
    <w:abstractNumId w:val="173"/>
  </w:num>
  <w:num w:numId="154">
    <w:abstractNumId w:val="91"/>
  </w:num>
  <w:num w:numId="155">
    <w:abstractNumId w:val="3"/>
  </w:num>
  <w:num w:numId="156">
    <w:abstractNumId w:val="187"/>
  </w:num>
  <w:num w:numId="157">
    <w:abstractNumId w:val="153"/>
  </w:num>
  <w:num w:numId="158">
    <w:abstractNumId w:val="41"/>
  </w:num>
  <w:num w:numId="159">
    <w:abstractNumId w:val="96"/>
  </w:num>
  <w:num w:numId="160">
    <w:abstractNumId w:val="58"/>
  </w:num>
  <w:num w:numId="161">
    <w:abstractNumId w:val="16"/>
  </w:num>
  <w:num w:numId="162">
    <w:abstractNumId w:val="143"/>
  </w:num>
  <w:num w:numId="163">
    <w:abstractNumId w:val="129"/>
  </w:num>
  <w:num w:numId="164">
    <w:abstractNumId w:val="172"/>
  </w:num>
  <w:num w:numId="165">
    <w:abstractNumId w:val="178"/>
  </w:num>
  <w:num w:numId="166">
    <w:abstractNumId w:val="156"/>
  </w:num>
  <w:num w:numId="167">
    <w:abstractNumId w:val="47"/>
  </w:num>
  <w:num w:numId="168">
    <w:abstractNumId w:val="97"/>
  </w:num>
  <w:num w:numId="169">
    <w:abstractNumId w:val="185"/>
  </w:num>
  <w:num w:numId="170">
    <w:abstractNumId w:val="109"/>
  </w:num>
  <w:num w:numId="171">
    <w:abstractNumId w:val="24"/>
  </w:num>
  <w:num w:numId="172">
    <w:abstractNumId w:val="31"/>
  </w:num>
  <w:num w:numId="173">
    <w:abstractNumId w:val="35"/>
  </w:num>
  <w:num w:numId="174">
    <w:abstractNumId w:val="176"/>
  </w:num>
  <w:num w:numId="175">
    <w:abstractNumId w:val="211"/>
  </w:num>
  <w:num w:numId="176">
    <w:abstractNumId w:val="40"/>
  </w:num>
  <w:num w:numId="177">
    <w:abstractNumId w:val="181"/>
  </w:num>
  <w:num w:numId="178">
    <w:abstractNumId w:val="30"/>
  </w:num>
  <w:num w:numId="179">
    <w:abstractNumId w:val="151"/>
  </w:num>
  <w:num w:numId="180">
    <w:abstractNumId w:val="2"/>
  </w:num>
  <w:num w:numId="181">
    <w:abstractNumId w:val="20"/>
  </w:num>
  <w:num w:numId="182">
    <w:abstractNumId w:val="154"/>
  </w:num>
  <w:num w:numId="183">
    <w:abstractNumId w:val="10"/>
  </w:num>
  <w:num w:numId="184">
    <w:abstractNumId w:val="42"/>
  </w:num>
  <w:num w:numId="185">
    <w:abstractNumId w:val="195"/>
  </w:num>
  <w:num w:numId="186">
    <w:abstractNumId w:val="190"/>
  </w:num>
  <w:num w:numId="187">
    <w:abstractNumId w:val="136"/>
  </w:num>
  <w:num w:numId="188">
    <w:abstractNumId w:val="123"/>
  </w:num>
  <w:num w:numId="189">
    <w:abstractNumId w:val="90"/>
  </w:num>
  <w:num w:numId="190">
    <w:abstractNumId w:val="107"/>
  </w:num>
  <w:num w:numId="191">
    <w:abstractNumId w:val="63"/>
  </w:num>
  <w:num w:numId="192">
    <w:abstractNumId w:val="83"/>
  </w:num>
  <w:num w:numId="193">
    <w:abstractNumId w:val="216"/>
  </w:num>
  <w:num w:numId="194">
    <w:abstractNumId w:val="177"/>
  </w:num>
  <w:num w:numId="195">
    <w:abstractNumId w:val="174"/>
  </w:num>
  <w:num w:numId="196">
    <w:abstractNumId w:val="144"/>
  </w:num>
  <w:num w:numId="197">
    <w:abstractNumId w:val="17"/>
  </w:num>
  <w:num w:numId="198">
    <w:abstractNumId w:val="85"/>
  </w:num>
  <w:num w:numId="199">
    <w:abstractNumId w:val="100"/>
  </w:num>
  <w:num w:numId="200">
    <w:abstractNumId w:val="82"/>
  </w:num>
  <w:num w:numId="201">
    <w:abstractNumId w:val="122"/>
  </w:num>
  <w:num w:numId="202">
    <w:abstractNumId w:val="142"/>
  </w:num>
  <w:num w:numId="203">
    <w:abstractNumId w:val="130"/>
  </w:num>
  <w:num w:numId="204">
    <w:abstractNumId w:val="6"/>
  </w:num>
  <w:num w:numId="205">
    <w:abstractNumId w:val="66"/>
  </w:num>
  <w:num w:numId="206">
    <w:abstractNumId w:val="51"/>
  </w:num>
  <w:num w:numId="207">
    <w:abstractNumId w:val="92"/>
  </w:num>
  <w:num w:numId="208">
    <w:abstractNumId w:val="184"/>
  </w:num>
  <w:num w:numId="209">
    <w:abstractNumId w:val="65"/>
  </w:num>
  <w:num w:numId="210">
    <w:abstractNumId w:val="162"/>
  </w:num>
  <w:num w:numId="211">
    <w:abstractNumId w:val="188"/>
  </w:num>
  <w:num w:numId="212">
    <w:abstractNumId w:val="194"/>
  </w:num>
  <w:num w:numId="213">
    <w:abstractNumId w:val="8"/>
  </w:num>
  <w:num w:numId="214">
    <w:abstractNumId w:val="95"/>
  </w:num>
  <w:num w:numId="215">
    <w:abstractNumId w:val="5"/>
  </w:num>
  <w:num w:numId="216">
    <w:abstractNumId w:val="103"/>
  </w:num>
  <w:num w:numId="2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7D8E"/>
    <w:rsid w:val="02337D11"/>
    <w:rsid w:val="047D2C92"/>
    <w:rsid w:val="047F723D"/>
    <w:rsid w:val="048F7622"/>
    <w:rsid w:val="06BB4388"/>
    <w:rsid w:val="07155C37"/>
    <w:rsid w:val="084F4F9C"/>
    <w:rsid w:val="0951376D"/>
    <w:rsid w:val="095D0797"/>
    <w:rsid w:val="0BE3052D"/>
    <w:rsid w:val="0C185CAA"/>
    <w:rsid w:val="0EB000A1"/>
    <w:rsid w:val="137F7DA4"/>
    <w:rsid w:val="141170ED"/>
    <w:rsid w:val="14A16D5C"/>
    <w:rsid w:val="16646CDD"/>
    <w:rsid w:val="16910FD9"/>
    <w:rsid w:val="1A6233DE"/>
    <w:rsid w:val="1AD055C7"/>
    <w:rsid w:val="1B373F76"/>
    <w:rsid w:val="1B506DE6"/>
    <w:rsid w:val="1CF06AD2"/>
    <w:rsid w:val="1EF83A1C"/>
    <w:rsid w:val="1F877BDE"/>
    <w:rsid w:val="20B47E17"/>
    <w:rsid w:val="21537AB3"/>
    <w:rsid w:val="21EF60F0"/>
    <w:rsid w:val="235B5ADA"/>
    <w:rsid w:val="235C2E4D"/>
    <w:rsid w:val="248A0711"/>
    <w:rsid w:val="274A5804"/>
    <w:rsid w:val="28D92B11"/>
    <w:rsid w:val="2B095471"/>
    <w:rsid w:val="2BC272BF"/>
    <w:rsid w:val="2DDD44E2"/>
    <w:rsid w:val="2EC465DF"/>
    <w:rsid w:val="2F5051AF"/>
    <w:rsid w:val="30157776"/>
    <w:rsid w:val="30797DCA"/>
    <w:rsid w:val="36594286"/>
    <w:rsid w:val="3670428D"/>
    <w:rsid w:val="36E51695"/>
    <w:rsid w:val="37920A4E"/>
    <w:rsid w:val="37AE5168"/>
    <w:rsid w:val="39355C80"/>
    <w:rsid w:val="3993406B"/>
    <w:rsid w:val="3CE3517D"/>
    <w:rsid w:val="3D3C18A7"/>
    <w:rsid w:val="3EF06996"/>
    <w:rsid w:val="3F6D0FB3"/>
    <w:rsid w:val="41BE6785"/>
    <w:rsid w:val="433F2195"/>
    <w:rsid w:val="44DB54F6"/>
    <w:rsid w:val="44EF003D"/>
    <w:rsid w:val="454F3935"/>
    <w:rsid w:val="47694F1C"/>
    <w:rsid w:val="48F77029"/>
    <w:rsid w:val="4A943797"/>
    <w:rsid w:val="4AD73EDC"/>
    <w:rsid w:val="4B603EF9"/>
    <w:rsid w:val="4BC0490B"/>
    <w:rsid w:val="4ED82D9F"/>
    <w:rsid w:val="502B33A2"/>
    <w:rsid w:val="51027558"/>
    <w:rsid w:val="521E7B60"/>
    <w:rsid w:val="54821AA4"/>
    <w:rsid w:val="551E02E1"/>
    <w:rsid w:val="55306B8D"/>
    <w:rsid w:val="56501DBB"/>
    <w:rsid w:val="57A3611E"/>
    <w:rsid w:val="59B61CFB"/>
    <w:rsid w:val="5A36306F"/>
    <w:rsid w:val="5D08757F"/>
    <w:rsid w:val="5E2418E2"/>
    <w:rsid w:val="5E3308A2"/>
    <w:rsid w:val="5EC26F49"/>
    <w:rsid w:val="60264B67"/>
    <w:rsid w:val="60A732CB"/>
    <w:rsid w:val="60EE7480"/>
    <w:rsid w:val="617F354E"/>
    <w:rsid w:val="62C746D1"/>
    <w:rsid w:val="654362C3"/>
    <w:rsid w:val="66BE7A81"/>
    <w:rsid w:val="671C61EA"/>
    <w:rsid w:val="677D5FDA"/>
    <w:rsid w:val="68176EBD"/>
    <w:rsid w:val="6A063B3C"/>
    <w:rsid w:val="6AE10DD5"/>
    <w:rsid w:val="6B931A72"/>
    <w:rsid w:val="6C7C1AC7"/>
    <w:rsid w:val="6E46205D"/>
    <w:rsid w:val="6E5D4666"/>
    <w:rsid w:val="6F4F0945"/>
    <w:rsid w:val="6F6F02E9"/>
    <w:rsid w:val="6F911E7E"/>
    <w:rsid w:val="70A72179"/>
    <w:rsid w:val="71DE14A3"/>
    <w:rsid w:val="72414F83"/>
    <w:rsid w:val="72B868C0"/>
    <w:rsid w:val="738F520D"/>
    <w:rsid w:val="73C95144"/>
    <w:rsid w:val="73E45068"/>
    <w:rsid w:val="760D1070"/>
    <w:rsid w:val="766905FD"/>
    <w:rsid w:val="77D2720E"/>
    <w:rsid w:val="784A5B3F"/>
    <w:rsid w:val="79A557F7"/>
    <w:rsid w:val="79D43F4C"/>
    <w:rsid w:val="7E3C21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181</Pages>
  <Words>206</Words>
  <Characters>258</Characters>
  <Lines>0</Lines>
  <Paragraphs>0</Paragraphs>
  <TotalTime>66</TotalTime>
  <ScaleCrop>false</ScaleCrop>
  <LinksUpToDate>false</LinksUpToDate>
  <CharactersWithSpaces>268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2026-09-16T12:40:30Z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02975A3A65374B3B911E4CE4759B6884_12</vt:lpwstr>
  </property>
</Properties>
</file>