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F918DC">
      <w:pPr>
        <w:bidi w:val="0"/>
        <w:rPr>
          <w:rFonts w:hint="eastAsia" w:ascii="宋体" w:hAnsi="宋体" w:eastAsia="宋体" w:cs="宋体"/>
          <w:i w:val="0"/>
          <w:iCs w:val="0"/>
          <w:sz w:val="24"/>
          <w:szCs w:val="24"/>
        </w:rPr>
      </w:pPr>
    </w:p>
    <w:p w14:paraId="7EF77CCF">
      <w:pPr>
        <w:bidi w:val="0"/>
        <w:rPr>
          <w:rFonts w:hint="eastAsia" w:ascii="黑体" w:hAnsi="黑体" w:eastAsia="黑体" w:cs="黑体"/>
          <w:i w:val="0"/>
          <w:iCs w:val="0"/>
          <w:sz w:val="36"/>
          <w:szCs w:val="36"/>
        </w:rPr>
      </w:pPr>
    </w:p>
    <w:p w14:paraId="23518A09">
      <w:pPr>
        <w:spacing w:before="700" w:after="160"/>
        <w:jc w:val="center"/>
        <w:rPr>
          <w:rFonts w:hint="eastAsia" w:ascii="宋体" w:hAnsi="宋体" w:eastAsia="宋体" w:cs="宋体"/>
          <w:b/>
          <w:i w:val="0"/>
          <w:iCs w:val="0"/>
          <w:color w:val="auto"/>
          <w:sz w:val="44"/>
          <w:szCs w:val="44"/>
        </w:rPr>
      </w:pPr>
      <w:r>
        <w:rPr>
          <w:rFonts w:hint="eastAsia" w:ascii="宋体" w:hAnsi="宋体" w:eastAsia="宋体" w:cs="宋体"/>
          <w:b/>
          <w:i w:val="0"/>
          <w:iCs w:val="0"/>
          <w:color w:val="auto"/>
          <w:sz w:val="44"/>
          <w:szCs w:val="44"/>
        </w:rPr>
        <w:t>特变电工股份有限公司</w:t>
      </w:r>
      <w:r>
        <w:rPr>
          <w:rFonts w:hint="eastAsia" w:ascii="宋体" w:hAnsi="宋体" w:eastAsia="宋体" w:cs="宋体"/>
          <w:b/>
          <w:i w:val="0"/>
          <w:iCs w:val="0"/>
          <w:color w:val="auto"/>
          <w:sz w:val="44"/>
          <w:szCs w:val="44"/>
        </w:rPr>
        <w:br w:type="textWrapping"/>
      </w:r>
      <w:r>
        <w:rPr>
          <w:rFonts w:hint="eastAsia" w:ascii="宋体" w:hAnsi="宋体" w:eastAsia="宋体" w:cs="宋体"/>
          <w:b/>
          <w:i w:val="0"/>
          <w:iCs w:val="0"/>
          <w:color w:val="auto"/>
          <w:sz w:val="40"/>
          <w:szCs w:val="40"/>
        </w:rPr>
        <w:t>能碳数字化“双中心”集成平台</w:t>
      </w:r>
    </w:p>
    <w:p w14:paraId="3DC6BEAA">
      <w:pPr>
        <w:spacing w:after="160" w:line="276" w:lineRule="auto"/>
        <w:jc w:val="center"/>
        <w:rPr>
          <w:rFonts w:hint="eastAsia" w:ascii="宋体" w:hAnsi="宋体" w:eastAsia="宋体" w:cs="宋体"/>
          <w:b/>
          <w:i w:val="0"/>
          <w:iCs w:val="0"/>
          <w:color w:val="auto"/>
          <w:sz w:val="24"/>
          <w:szCs w:val="24"/>
          <w:lang w:val="en-US" w:eastAsia="en-US" w:bidi="ar-SA"/>
        </w:rPr>
      </w:pPr>
      <w:r>
        <w:rPr>
          <w:rFonts w:hint="eastAsia" w:ascii="宋体" w:hAnsi="宋体" w:eastAsia="宋体" w:cs="宋体"/>
          <w:b/>
          <w:i w:val="0"/>
          <w:iCs w:val="0"/>
          <w:color w:val="auto"/>
          <w:sz w:val="24"/>
          <w:szCs w:val="24"/>
          <w:lang w:val="en-US" w:eastAsia="en-US" w:bidi="ar-SA"/>
        </w:rPr>
        <w:t>（零碳园区集控中心 + 产品碳足迹集采中心）</w:t>
      </w:r>
    </w:p>
    <w:p w14:paraId="46EEB6C6">
      <w:pPr>
        <w:spacing w:after="160" w:line="276" w:lineRule="auto"/>
        <w:jc w:val="center"/>
        <w:rPr>
          <w:rFonts w:hint="eastAsia" w:ascii="宋体" w:hAnsi="宋体" w:eastAsia="宋体" w:cs="宋体"/>
          <w:b/>
          <w:i w:val="0"/>
          <w:iCs w:val="0"/>
          <w:color w:val="auto"/>
          <w:sz w:val="24"/>
          <w:szCs w:val="24"/>
          <w:lang w:val="en-US" w:eastAsia="en-US" w:bidi="ar-SA"/>
        </w:rPr>
      </w:pPr>
    </w:p>
    <w:p w14:paraId="1D15D4D7">
      <w:pPr>
        <w:spacing w:after="160" w:line="276" w:lineRule="auto"/>
        <w:jc w:val="center"/>
        <w:rPr>
          <w:rFonts w:hint="eastAsia" w:ascii="宋体" w:hAnsi="宋体" w:eastAsia="宋体" w:cs="宋体"/>
          <w:b/>
          <w:i w:val="0"/>
          <w:iCs w:val="0"/>
          <w:color w:val="auto"/>
          <w:sz w:val="24"/>
          <w:szCs w:val="24"/>
          <w:lang w:val="en-US" w:eastAsia="en-US" w:bidi="ar-SA"/>
        </w:rPr>
      </w:pPr>
    </w:p>
    <w:p w14:paraId="0F062925">
      <w:pPr>
        <w:spacing w:after="160" w:line="276" w:lineRule="auto"/>
        <w:jc w:val="center"/>
        <w:rPr>
          <w:rFonts w:hint="eastAsia" w:ascii="宋体" w:hAnsi="宋体" w:eastAsia="宋体" w:cs="宋体"/>
          <w:b/>
          <w:i w:val="0"/>
          <w:iCs w:val="0"/>
          <w:color w:val="0284C7"/>
          <w:sz w:val="24"/>
          <w:szCs w:val="24"/>
          <w:lang w:val="en-US" w:eastAsia="en-US" w:bidi="ar-SA"/>
        </w:rPr>
      </w:pPr>
    </w:p>
    <w:p w14:paraId="6D0AAADB">
      <w:pPr>
        <w:spacing w:after="160" w:line="276" w:lineRule="auto"/>
        <w:jc w:val="center"/>
        <w:rPr>
          <w:rFonts w:hint="eastAsia" w:ascii="宋体" w:hAnsi="宋体" w:eastAsia="宋体" w:cs="宋体"/>
          <w:b/>
          <w:i w:val="0"/>
          <w:iCs w:val="0"/>
          <w:color w:val="0284C7"/>
          <w:sz w:val="24"/>
          <w:szCs w:val="24"/>
          <w:lang w:val="en-US" w:eastAsia="en-US" w:bidi="ar-SA"/>
        </w:rPr>
      </w:pPr>
    </w:p>
    <w:p w14:paraId="55C5CEFC">
      <w:pPr>
        <w:spacing w:after="160" w:line="276" w:lineRule="auto"/>
        <w:jc w:val="center"/>
        <w:rPr>
          <w:rFonts w:hint="eastAsia" w:ascii="宋体" w:hAnsi="宋体" w:eastAsia="宋体" w:cs="宋体"/>
          <w:i w:val="0"/>
          <w:iCs w:val="0"/>
          <w:color w:val="auto"/>
          <w:sz w:val="40"/>
          <w:szCs w:val="40"/>
          <w:lang w:val="en-US" w:eastAsia="en-US" w:bidi="ar-SA"/>
        </w:rPr>
      </w:pPr>
      <w:r>
        <w:rPr>
          <w:rFonts w:hint="eastAsia" w:ascii="宋体" w:hAnsi="宋体" w:eastAsia="宋体" w:cs="宋体"/>
          <w:b/>
          <w:i w:val="0"/>
          <w:iCs w:val="0"/>
          <w:color w:val="auto"/>
          <w:sz w:val="40"/>
          <w:szCs w:val="40"/>
          <w:lang w:val="en-US" w:eastAsia="en-US" w:bidi="ar-SA"/>
        </w:rPr>
        <w:t>产品需求规格说明书 (PRD)</w:t>
      </w:r>
    </w:p>
    <w:p w14:paraId="4F32B0A4">
      <w:pPr>
        <w:bidi w:val="0"/>
        <w:jc w:val="center"/>
        <w:rPr>
          <w:rFonts w:hint="eastAsia" w:ascii="宋体" w:hAnsi="宋体" w:eastAsia="宋体" w:cs="宋体"/>
          <w:i w:val="0"/>
          <w:iCs w:val="0"/>
          <w:sz w:val="24"/>
          <w:szCs w:val="24"/>
        </w:rPr>
      </w:pPr>
    </w:p>
    <w:p w14:paraId="0E6ECEB7">
      <w:pPr>
        <w:bidi w:val="0"/>
        <w:jc w:val="center"/>
        <w:rPr>
          <w:rFonts w:hint="eastAsia" w:ascii="宋体" w:hAnsi="宋体" w:eastAsia="宋体" w:cs="宋体"/>
          <w:i w:val="0"/>
          <w:iCs w:val="0"/>
          <w:sz w:val="24"/>
          <w:szCs w:val="24"/>
        </w:rPr>
      </w:pPr>
    </w:p>
    <w:tbl>
      <w:tblPr>
        <w:tblStyle w:val="38"/>
        <w:tblpPr w:leftFromText="180" w:rightFromText="180" w:vertAnchor="text" w:horzAnchor="page" w:tblpX="3394" w:tblpY="1187"/>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37"/>
        <w:gridCol w:w="3846"/>
      </w:tblGrid>
      <w:tr w14:paraId="547356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7" w:type="dxa"/>
            <w:tcBorders>
              <w:tl2br w:val="nil"/>
            </w:tcBorders>
            <w:shd w:val="clear" w:color="auto" w:fill="FFFFFF"/>
            <w:tcMar>
              <w:top w:w="50" w:type="dxa"/>
              <w:left w:w="70" w:type="dxa"/>
              <w:bottom w:w="50" w:type="dxa"/>
              <w:right w:w="70" w:type="dxa"/>
            </w:tcMar>
            <w:vAlign w:val="center"/>
          </w:tcPr>
          <w:p w14:paraId="4620B388">
            <w:pPr>
              <w:jc w:val="right"/>
              <w:rPr>
                <w:rFonts w:hint="eastAsia" w:ascii="宋体" w:hAnsi="宋体" w:eastAsia="宋体" w:cs="宋体"/>
                <w:b w:val="0"/>
                <w:i w:val="0"/>
                <w:iCs w:val="0"/>
                <w:color w:val="000000"/>
                <w:sz w:val="24"/>
                <w:szCs w:val="24"/>
                <w:lang w:eastAsia="zh-CN"/>
              </w:rPr>
            </w:pPr>
            <w:r>
              <w:rPr>
                <w:rFonts w:hint="eastAsia" w:ascii="宋体" w:hAnsi="宋体" w:eastAsia="宋体" w:cs="宋体"/>
                <w:b w:val="0"/>
                <w:i w:val="0"/>
                <w:iCs w:val="0"/>
                <w:color w:val="000000"/>
                <w:sz w:val="24"/>
                <w:szCs w:val="24"/>
              </w:rPr>
              <w:t>受控编号</w:t>
            </w:r>
            <w:r>
              <w:rPr>
                <w:rFonts w:hint="eastAsia" w:ascii="宋体" w:hAnsi="宋体" w:eastAsia="宋体" w:cs="宋体"/>
                <w:b w:val="0"/>
                <w:i w:val="0"/>
                <w:iCs w:val="0"/>
                <w:color w:val="000000"/>
                <w:sz w:val="24"/>
                <w:szCs w:val="24"/>
                <w:lang w:eastAsia="zh-CN"/>
              </w:rPr>
              <w:t>：</w:t>
            </w:r>
          </w:p>
        </w:tc>
        <w:tc>
          <w:tcPr>
            <w:tcW w:w="3846" w:type="dxa"/>
            <w:shd w:val="clear" w:color="auto" w:fill="FFFFFF"/>
            <w:tcMar>
              <w:top w:w="50" w:type="dxa"/>
              <w:left w:w="70" w:type="dxa"/>
              <w:bottom w:w="50" w:type="dxa"/>
              <w:right w:w="70" w:type="dxa"/>
            </w:tcMar>
            <w:vAlign w:val="center"/>
          </w:tcPr>
          <w:p w14:paraId="7E5D4408">
            <w:pPr>
              <w:jc w:val="both"/>
              <w:rPr>
                <w:rFonts w:hint="eastAsia" w:ascii="宋体" w:hAnsi="宋体" w:eastAsia="宋体" w:cs="宋体"/>
                <w:b w:val="0"/>
                <w:i w:val="0"/>
                <w:iCs w:val="0"/>
                <w:color w:val="000000"/>
                <w:sz w:val="24"/>
                <w:szCs w:val="24"/>
                <w:lang w:eastAsia="zh-CN"/>
              </w:rPr>
            </w:pPr>
            <w:r>
              <w:rPr>
                <w:rFonts w:hint="eastAsia" w:ascii="宋体" w:hAnsi="宋体" w:eastAsia="宋体" w:cs="宋体"/>
                <w:b w:val="0"/>
                <w:i w:val="0"/>
                <w:iCs w:val="0"/>
                <w:color w:val="000000"/>
                <w:sz w:val="24"/>
                <w:szCs w:val="24"/>
              </w:rPr>
              <w:t>TBEA-PRD-MASTER</w:t>
            </w:r>
          </w:p>
        </w:tc>
      </w:tr>
      <w:tr w14:paraId="2FB6EB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7" w:type="dxa"/>
            <w:shd w:val="clear" w:color="auto" w:fill="FFFFFF"/>
            <w:tcMar>
              <w:top w:w="50" w:type="dxa"/>
              <w:left w:w="70" w:type="dxa"/>
              <w:bottom w:w="50" w:type="dxa"/>
              <w:right w:w="70" w:type="dxa"/>
            </w:tcMar>
            <w:vAlign w:val="center"/>
          </w:tcPr>
          <w:p w14:paraId="384FFEA4">
            <w:pPr>
              <w:jc w:val="right"/>
              <w:rPr>
                <w:rFonts w:hint="eastAsia" w:ascii="宋体" w:hAnsi="宋体" w:eastAsia="宋体" w:cs="宋体"/>
                <w:b w:val="0"/>
                <w:i w:val="0"/>
                <w:iCs w:val="0"/>
                <w:color w:val="000000"/>
                <w:sz w:val="24"/>
                <w:szCs w:val="24"/>
                <w:lang w:eastAsia="zh-CN"/>
              </w:rPr>
            </w:pPr>
            <w:r>
              <w:rPr>
                <w:rFonts w:hint="eastAsia" w:ascii="宋体" w:hAnsi="宋体" w:eastAsia="宋体" w:cs="宋体"/>
                <w:b w:val="0"/>
                <w:i w:val="0"/>
                <w:iCs w:val="0"/>
                <w:color w:val="000000"/>
                <w:sz w:val="24"/>
                <w:szCs w:val="24"/>
              </w:rPr>
              <w:t>文档版本</w:t>
            </w:r>
            <w:r>
              <w:rPr>
                <w:rFonts w:hint="eastAsia" w:ascii="宋体" w:hAnsi="宋体" w:eastAsia="宋体" w:cs="宋体"/>
                <w:b w:val="0"/>
                <w:i w:val="0"/>
                <w:iCs w:val="0"/>
                <w:color w:val="000000"/>
                <w:sz w:val="24"/>
                <w:szCs w:val="24"/>
                <w:lang w:eastAsia="zh-CN"/>
              </w:rPr>
              <w:t>：</w:t>
            </w:r>
          </w:p>
        </w:tc>
        <w:tc>
          <w:tcPr>
            <w:tcW w:w="3846" w:type="dxa"/>
            <w:shd w:val="clear" w:color="auto" w:fill="FFFFFF"/>
            <w:tcMar>
              <w:top w:w="50" w:type="dxa"/>
              <w:left w:w="70" w:type="dxa"/>
              <w:bottom w:w="50" w:type="dxa"/>
              <w:right w:w="70" w:type="dxa"/>
            </w:tcMar>
            <w:vAlign w:val="center"/>
          </w:tcPr>
          <w:p w14:paraId="0C140582">
            <w:pPr>
              <w:jc w:val="both"/>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rPr>
              <w:t>V</w:t>
            </w:r>
            <w:r>
              <w:rPr>
                <w:rFonts w:hint="eastAsia" w:ascii="宋体" w:hAnsi="宋体" w:eastAsia="宋体" w:cs="宋体"/>
                <w:b w:val="0"/>
                <w:i w:val="0"/>
                <w:iCs w:val="0"/>
                <w:color w:val="000000"/>
                <w:sz w:val="24"/>
                <w:szCs w:val="24"/>
                <w:lang w:val="en-US" w:eastAsia="zh-CN"/>
              </w:rPr>
              <w:t>1</w:t>
            </w:r>
            <w:r>
              <w:rPr>
                <w:rFonts w:hint="eastAsia" w:ascii="宋体" w:hAnsi="宋体" w:eastAsia="宋体" w:cs="宋体"/>
                <w:b w:val="0"/>
                <w:i w:val="0"/>
                <w:iCs w:val="0"/>
                <w:color w:val="000000"/>
                <w:sz w:val="24"/>
                <w:szCs w:val="24"/>
              </w:rPr>
              <w:t>.</w:t>
            </w:r>
            <w:r>
              <w:rPr>
                <w:rFonts w:hint="eastAsia" w:ascii="宋体" w:hAnsi="宋体" w:eastAsia="宋体" w:cs="宋体"/>
                <w:b w:val="0"/>
                <w:i w:val="0"/>
                <w:iCs w:val="0"/>
                <w:color w:val="000000"/>
                <w:sz w:val="24"/>
                <w:szCs w:val="24"/>
                <w:lang w:val="en-US" w:eastAsia="zh-CN"/>
              </w:rPr>
              <w:t>3</w:t>
            </w:r>
            <w:bookmarkStart w:id="100" w:name="_GoBack"/>
            <w:bookmarkEnd w:id="100"/>
            <w:r>
              <w:rPr>
                <w:rFonts w:hint="eastAsia" w:ascii="宋体" w:hAnsi="宋体" w:eastAsia="宋体" w:cs="宋体"/>
                <w:b w:val="0"/>
                <w:i w:val="0"/>
                <w:iCs w:val="0"/>
                <w:color w:val="000000"/>
                <w:sz w:val="24"/>
                <w:szCs w:val="24"/>
              </w:rPr>
              <w:t>.0</w:t>
            </w:r>
          </w:p>
        </w:tc>
      </w:tr>
      <w:tr w14:paraId="24EF29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7" w:type="dxa"/>
            <w:shd w:val="clear" w:color="auto" w:fill="FFFFFF"/>
            <w:tcMar>
              <w:top w:w="50" w:type="dxa"/>
              <w:left w:w="70" w:type="dxa"/>
              <w:bottom w:w="50" w:type="dxa"/>
              <w:right w:w="70" w:type="dxa"/>
            </w:tcMar>
            <w:vAlign w:val="center"/>
          </w:tcPr>
          <w:p w14:paraId="21DD9299">
            <w:pPr>
              <w:jc w:val="right"/>
              <w:rPr>
                <w:rFonts w:hint="eastAsia" w:ascii="宋体" w:hAnsi="宋体" w:eastAsia="宋体" w:cs="宋体"/>
                <w:b w:val="0"/>
                <w:i w:val="0"/>
                <w:iCs w:val="0"/>
                <w:color w:val="000000"/>
                <w:sz w:val="24"/>
                <w:szCs w:val="24"/>
                <w:lang w:eastAsia="zh-CN"/>
              </w:rPr>
            </w:pPr>
            <w:r>
              <w:rPr>
                <w:rFonts w:hint="eastAsia" w:ascii="宋体" w:hAnsi="宋体" w:eastAsia="宋体" w:cs="宋体"/>
                <w:b w:val="0"/>
                <w:i w:val="0"/>
                <w:iCs w:val="0"/>
                <w:color w:val="000000"/>
                <w:sz w:val="24"/>
                <w:szCs w:val="24"/>
              </w:rPr>
              <w:t>归属工程</w:t>
            </w:r>
            <w:r>
              <w:rPr>
                <w:rFonts w:hint="eastAsia" w:ascii="宋体" w:hAnsi="宋体" w:eastAsia="宋体" w:cs="宋体"/>
                <w:b w:val="0"/>
                <w:i w:val="0"/>
                <w:iCs w:val="0"/>
                <w:color w:val="000000"/>
                <w:sz w:val="24"/>
                <w:szCs w:val="24"/>
                <w:lang w:eastAsia="zh-CN"/>
              </w:rPr>
              <w:t>：</w:t>
            </w:r>
          </w:p>
        </w:tc>
        <w:tc>
          <w:tcPr>
            <w:tcW w:w="3846" w:type="dxa"/>
            <w:shd w:val="clear" w:color="auto" w:fill="FFFFFF"/>
            <w:tcMar>
              <w:top w:w="50" w:type="dxa"/>
              <w:left w:w="70" w:type="dxa"/>
              <w:bottom w:w="50" w:type="dxa"/>
              <w:right w:w="70" w:type="dxa"/>
            </w:tcMar>
            <w:vAlign w:val="center"/>
          </w:tcPr>
          <w:p w14:paraId="77E4E139">
            <w:pPr>
              <w:jc w:val="both"/>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rPr>
              <w:t>特变电工能碳数字化双中心</w:t>
            </w:r>
          </w:p>
        </w:tc>
      </w:tr>
      <w:tr w14:paraId="198A95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7" w:type="dxa"/>
            <w:shd w:val="clear" w:color="auto" w:fill="FFFFFF"/>
            <w:tcMar>
              <w:top w:w="50" w:type="dxa"/>
              <w:left w:w="70" w:type="dxa"/>
              <w:bottom w:w="50" w:type="dxa"/>
              <w:right w:w="70" w:type="dxa"/>
            </w:tcMar>
            <w:vAlign w:val="center"/>
          </w:tcPr>
          <w:p w14:paraId="4324044B">
            <w:pPr>
              <w:jc w:val="right"/>
              <w:rPr>
                <w:rFonts w:hint="eastAsia" w:ascii="宋体" w:hAnsi="宋体" w:eastAsia="宋体" w:cs="宋体"/>
                <w:b w:val="0"/>
                <w:i w:val="0"/>
                <w:iCs w:val="0"/>
                <w:color w:val="000000"/>
                <w:sz w:val="24"/>
                <w:szCs w:val="24"/>
                <w:lang w:eastAsia="zh-CN"/>
              </w:rPr>
            </w:pPr>
            <w:r>
              <w:rPr>
                <w:rFonts w:hint="eastAsia" w:ascii="宋体" w:hAnsi="宋体" w:eastAsia="宋体" w:cs="宋体"/>
                <w:b w:val="0"/>
                <w:i w:val="0"/>
                <w:iCs w:val="0"/>
                <w:color w:val="000000"/>
                <w:sz w:val="24"/>
                <w:szCs w:val="24"/>
              </w:rPr>
              <w:t>发布日期</w:t>
            </w:r>
            <w:r>
              <w:rPr>
                <w:rFonts w:hint="eastAsia" w:ascii="宋体" w:hAnsi="宋体" w:eastAsia="宋体" w:cs="宋体"/>
                <w:b w:val="0"/>
                <w:i w:val="0"/>
                <w:iCs w:val="0"/>
                <w:color w:val="000000"/>
                <w:sz w:val="24"/>
                <w:szCs w:val="24"/>
                <w:lang w:eastAsia="zh-CN"/>
              </w:rPr>
              <w:t>：</w:t>
            </w:r>
          </w:p>
        </w:tc>
        <w:tc>
          <w:tcPr>
            <w:tcW w:w="3846" w:type="dxa"/>
            <w:shd w:val="clear" w:color="auto" w:fill="FFFFFF"/>
            <w:tcMar>
              <w:top w:w="50" w:type="dxa"/>
              <w:left w:w="70" w:type="dxa"/>
              <w:bottom w:w="50" w:type="dxa"/>
              <w:right w:w="70" w:type="dxa"/>
            </w:tcMar>
            <w:vAlign w:val="center"/>
          </w:tcPr>
          <w:p w14:paraId="3C31F347">
            <w:pPr>
              <w:jc w:val="both"/>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rPr>
              <w:t>2026-09-16</w:t>
            </w:r>
          </w:p>
        </w:tc>
      </w:tr>
    </w:tbl>
    <w:p w14:paraId="0D66CF77">
      <w:pPr>
        <w:spacing w:after="800"/>
        <w:jc w:val="center"/>
        <w:rPr>
          <w:rFonts w:hint="eastAsia" w:ascii="宋体" w:hAnsi="宋体" w:eastAsia="宋体" w:cs="宋体"/>
          <w:b/>
          <w:i w:val="0"/>
          <w:iCs w:val="0"/>
          <w:color w:val="64748B"/>
          <w:sz w:val="24"/>
          <w:szCs w:val="24"/>
        </w:rPr>
      </w:pPr>
    </w:p>
    <w:p w14:paraId="5CF876CE">
      <w:pPr>
        <w:spacing w:after="800"/>
        <w:jc w:val="center"/>
        <w:rPr>
          <w:rFonts w:hint="eastAsia" w:ascii="宋体" w:hAnsi="宋体" w:eastAsia="宋体" w:cs="宋体"/>
          <w:b/>
          <w:i w:val="0"/>
          <w:iCs w:val="0"/>
          <w:color w:val="64748B"/>
          <w:sz w:val="24"/>
          <w:szCs w:val="24"/>
        </w:rPr>
      </w:pPr>
    </w:p>
    <w:p w14:paraId="405D7978">
      <w:pPr>
        <w:spacing w:after="800"/>
        <w:jc w:val="center"/>
        <w:rPr>
          <w:rFonts w:hint="eastAsia" w:ascii="宋体" w:hAnsi="宋体" w:eastAsia="宋体" w:cs="宋体"/>
          <w:b/>
          <w:i w:val="0"/>
          <w:iCs w:val="0"/>
          <w:color w:val="64748B"/>
          <w:sz w:val="24"/>
          <w:szCs w:val="24"/>
        </w:rPr>
      </w:pPr>
    </w:p>
    <w:p w14:paraId="1CBB1CD0">
      <w:pPr>
        <w:spacing w:after="800"/>
        <w:jc w:val="center"/>
        <w:rPr>
          <w:rFonts w:hint="eastAsia" w:ascii="宋体" w:hAnsi="宋体" w:eastAsia="宋体" w:cs="宋体"/>
          <w:b/>
          <w:i w:val="0"/>
          <w:iCs w:val="0"/>
          <w:color w:val="64748B"/>
          <w:sz w:val="24"/>
          <w:szCs w:val="24"/>
        </w:rPr>
      </w:pPr>
    </w:p>
    <w:p w14:paraId="667DAD00">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7E877AE1">
      <w:pPr>
        <w:pStyle w:val="3"/>
        <w:outlineLvl w:val="9"/>
        <w:rPr>
          <w:rFonts w:ascii="Times New Roman" w:hAnsi="Times New Roman" w:eastAsia="黑体" w:cs="Times New Roman"/>
          <w:b w:val="0"/>
          <w:bCs w:val="0"/>
          <w:sz w:val="32"/>
          <w:szCs w:val="44"/>
        </w:rPr>
      </w:pPr>
      <w:r>
        <w:rPr>
          <w:rFonts w:ascii="Times New Roman" w:hAnsi="Times New Roman" w:eastAsia="黑体" w:cs="Times New Roman"/>
          <w:b w:val="0"/>
          <w:bCs w:val="0"/>
          <w:sz w:val="32"/>
          <w:szCs w:val="44"/>
        </w:rPr>
        <w:t>修改记录</w:t>
      </w:r>
    </w:p>
    <w:p w14:paraId="20CAE8E6">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本文档作为特变电工股份有限公司（电装集团）能碳数字化双中心（零碳园区集控中心 + 产品碳足迹集采中心）官方产品需求规格说明书，由产品管理部 (PM)、系统架构研发组 (Dev)、质量保障中心 (QA) 及项目总监共同签署生效。</w:t>
      </w:r>
    </w:p>
    <w:tbl>
      <w:tblPr>
        <w:tblStyle w:val="38"/>
        <w:tblW w:w="9784" w:type="dxa"/>
        <w:jc w:val="center"/>
        <w:tblLayout w:type="autofit"/>
        <w:tblCellMar>
          <w:top w:w="0" w:type="dxa"/>
          <w:left w:w="108" w:type="dxa"/>
          <w:bottom w:w="0" w:type="dxa"/>
          <w:right w:w="108" w:type="dxa"/>
        </w:tblCellMar>
      </w:tblPr>
      <w:tblGrid>
        <w:gridCol w:w="2118"/>
        <w:gridCol w:w="2157"/>
        <w:gridCol w:w="1965"/>
        <w:gridCol w:w="1772"/>
        <w:gridCol w:w="1772"/>
      </w:tblGrid>
      <w:tr w14:paraId="54E38BE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162EA0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审签角色</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C75FE8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责任人姓名</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B36112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部门/岗位</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0D4159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审签结论</w:t>
            </w:r>
          </w:p>
        </w:tc>
        <w:tc>
          <w:tcPr>
            <w:tcW w:w="17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3623A4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签署日期</w:t>
            </w:r>
          </w:p>
        </w:tc>
      </w:tr>
      <w:tr w14:paraId="4A22977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B27B0E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项目总监</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87087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待签署</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BD09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项目管理部 / 项目总监</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FEE48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待审签</w:t>
            </w:r>
          </w:p>
        </w:tc>
        <w:tc>
          <w:tcPr>
            <w:tcW w:w="17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DA064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w:t>
            </w:r>
          </w:p>
        </w:tc>
      </w:tr>
      <w:tr w14:paraId="1EFCFE3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B20584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项目经理</w:t>
            </w:r>
          </w:p>
        </w:tc>
        <w:tc>
          <w:tcPr>
            <w:tcW w:w="21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29EB74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待签署</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6AF0A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产品管理部 / 项目经理</w:t>
            </w:r>
          </w:p>
        </w:tc>
        <w:tc>
          <w:tcPr>
            <w:tcW w:w="17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323D20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待审签</w:t>
            </w:r>
          </w:p>
        </w:tc>
        <w:tc>
          <w:tcPr>
            <w:tcW w:w="17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0DDAF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w:t>
            </w:r>
          </w:p>
        </w:tc>
      </w:tr>
      <w:tr w14:paraId="0D0D534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689EB3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PM 负责人</w:t>
            </w:r>
          </w:p>
        </w:tc>
        <w:tc>
          <w:tcPr>
            <w:tcW w:w="215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03ABFD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待签署</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5BE0E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产品管理部 / PM 负责人</w:t>
            </w:r>
          </w:p>
        </w:tc>
        <w:tc>
          <w:tcPr>
            <w:tcW w:w="17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22178A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待审签</w:t>
            </w:r>
          </w:p>
        </w:tc>
        <w:tc>
          <w:tcPr>
            <w:tcW w:w="17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35A9C1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w:t>
            </w:r>
          </w:p>
        </w:tc>
      </w:tr>
      <w:tr w14:paraId="238F11E6">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01BDD0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系统架构师</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4834B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待签署</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029DE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系统架构研发组 / 系统架构师</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F5FC7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待审签</w:t>
            </w:r>
          </w:p>
        </w:tc>
        <w:tc>
          <w:tcPr>
            <w:tcW w:w="17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E55EC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w:t>
            </w:r>
          </w:p>
        </w:tc>
      </w:tr>
      <w:tr w14:paraId="4AD24036">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4001B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前端负责人</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AA602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待签署</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301F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前端研发组 / 前端负责人</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32D68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待审签</w:t>
            </w:r>
          </w:p>
        </w:tc>
        <w:tc>
          <w:tcPr>
            <w:tcW w:w="17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0121C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w:t>
            </w:r>
          </w:p>
        </w:tc>
      </w:tr>
      <w:tr w14:paraId="0782E46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647BC7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后端负责人</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D9611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待签署</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D5385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后端研发组 / 后端负责人</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D29B6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待审签</w:t>
            </w:r>
          </w:p>
        </w:tc>
        <w:tc>
          <w:tcPr>
            <w:tcW w:w="17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CDDF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w:t>
            </w:r>
          </w:p>
        </w:tc>
      </w:tr>
      <w:tr w14:paraId="5920D7D6">
        <w:tblPrEx>
          <w:tblCellMar>
            <w:top w:w="0" w:type="dxa"/>
            <w:left w:w="108" w:type="dxa"/>
            <w:bottom w:w="0" w:type="dxa"/>
            <w:right w:w="108" w:type="dxa"/>
          </w:tblCellMar>
        </w:tblPrEx>
        <w:trPr>
          <w:jc w:val="center"/>
        </w:trPr>
        <w:tc>
          <w:tcPr>
            <w:tcW w:w="211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FC49D6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测试负责人</w:t>
            </w:r>
          </w:p>
        </w:tc>
        <w:tc>
          <w:tcPr>
            <w:tcW w:w="215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FA39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待签署</w:t>
            </w:r>
          </w:p>
        </w:tc>
        <w:tc>
          <w:tcPr>
            <w:tcW w:w="19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20E0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质量保障中心 / 测试负责人</w:t>
            </w:r>
          </w:p>
        </w:tc>
        <w:tc>
          <w:tcPr>
            <w:tcW w:w="17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825A9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待审签</w:t>
            </w:r>
          </w:p>
        </w:tc>
        <w:tc>
          <w:tcPr>
            <w:tcW w:w="17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A9E42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w:t>
            </w:r>
          </w:p>
        </w:tc>
      </w:tr>
    </w:tbl>
    <w:p w14:paraId="4EF97137">
      <w:pPr>
        <w:spacing w:after="60"/>
        <w:rPr>
          <w:rFonts w:hint="eastAsia" w:ascii="宋体" w:hAnsi="宋体" w:eastAsia="宋体" w:cs="宋体"/>
          <w:i w:val="0"/>
          <w:iCs w:val="0"/>
          <w:sz w:val="24"/>
          <w:szCs w:val="24"/>
        </w:rPr>
      </w:pPr>
    </w:p>
    <w:tbl>
      <w:tblPr>
        <w:tblStyle w:val="38"/>
        <w:tblW w:w="9530" w:type="dxa"/>
        <w:jc w:val="center"/>
        <w:tblLayout w:type="autofit"/>
        <w:tblCellMar>
          <w:top w:w="0" w:type="dxa"/>
          <w:left w:w="108" w:type="dxa"/>
          <w:bottom w:w="0" w:type="dxa"/>
          <w:right w:w="108" w:type="dxa"/>
        </w:tblCellMar>
      </w:tblPr>
      <w:tblGrid>
        <w:gridCol w:w="1144"/>
        <w:gridCol w:w="1418"/>
        <w:gridCol w:w="5055"/>
        <w:gridCol w:w="1145"/>
        <w:gridCol w:w="768"/>
      </w:tblGrid>
      <w:tr w14:paraId="5976494D">
        <w:tblPrEx>
          <w:tblCellMar>
            <w:top w:w="0" w:type="dxa"/>
            <w:left w:w="108" w:type="dxa"/>
            <w:bottom w:w="0" w:type="dxa"/>
            <w:right w:w="108" w:type="dxa"/>
          </w:tblCellMar>
        </w:tblPrEx>
        <w:trPr>
          <w:jc w:val="center"/>
        </w:trPr>
        <w:tc>
          <w:tcPr>
            <w:tcW w:w="114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5630BE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版本</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5E1A63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修订日期</w:t>
            </w:r>
          </w:p>
        </w:tc>
        <w:tc>
          <w:tcPr>
            <w:tcW w:w="505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F5AF30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主要修订内容与动因</w:t>
            </w:r>
          </w:p>
        </w:tc>
        <w:tc>
          <w:tcPr>
            <w:tcW w:w="114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91D552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修订人</w:t>
            </w:r>
          </w:p>
        </w:tc>
        <w:tc>
          <w:tcPr>
            <w:tcW w:w="7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4E99C9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审核人</w:t>
            </w:r>
          </w:p>
        </w:tc>
      </w:tr>
      <w:tr w14:paraId="30E5720D">
        <w:tblPrEx>
          <w:tblCellMar>
            <w:top w:w="0" w:type="dxa"/>
            <w:left w:w="108" w:type="dxa"/>
            <w:bottom w:w="0" w:type="dxa"/>
            <w:right w:w="108" w:type="dxa"/>
          </w:tblCellMar>
        </w:tblPrEx>
        <w:trPr>
          <w:jc w:val="center"/>
        </w:trPr>
        <w:tc>
          <w:tcPr>
            <w:tcW w:w="11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156C52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v1.1.0</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E7A942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2026-09-08</w:t>
            </w:r>
          </w:p>
        </w:tc>
        <w:tc>
          <w:tcPr>
            <w:tcW w:w="505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AA1B8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全面升版：补齐全量数据字典、数学公式、字段校验、控制流逻辑与 Gherkin 验收准则</w:t>
            </w:r>
          </w:p>
        </w:tc>
        <w:tc>
          <w:tcPr>
            <w:tcW w:w="11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85936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王亮</w:t>
            </w:r>
          </w:p>
        </w:tc>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A920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产品经理</w:t>
            </w:r>
          </w:p>
        </w:tc>
      </w:tr>
      <w:tr w14:paraId="1ABA3C81">
        <w:tblPrEx>
          <w:tblCellMar>
            <w:top w:w="0" w:type="dxa"/>
            <w:left w:w="108" w:type="dxa"/>
            <w:bottom w:w="0" w:type="dxa"/>
            <w:right w:w="108" w:type="dxa"/>
          </w:tblCellMar>
        </w:tblPrEx>
        <w:trPr>
          <w:jc w:val="center"/>
        </w:trPr>
        <w:tc>
          <w:tcPr>
            <w:tcW w:w="11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44245E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v1.2.0</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D170F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2026-09-14</w:t>
            </w:r>
          </w:p>
        </w:tc>
        <w:tc>
          <w:tcPr>
            <w:tcW w:w="505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5D2AD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新增第六~第十二章框架章节（技术架构、公共模块、安全合规、接口点表、验收基线、里程碑）</w:t>
            </w:r>
          </w:p>
        </w:tc>
        <w:tc>
          <w:tcPr>
            <w:tcW w:w="11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77B30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王亮</w:t>
            </w:r>
          </w:p>
        </w:tc>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3346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产品经理</w:t>
            </w:r>
          </w:p>
        </w:tc>
      </w:tr>
      <w:tr w14:paraId="1B82168F">
        <w:tblPrEx>
          <w:tblCellMar>
            <w:top w:w="0" w:type="dxa"/>
            <w:left w:w="108" w:type="dxa"/>
            <w:bottom w:w="0" w:type="dxa"/>
            <w:right w:w="108" w:type="dxa"/>
          </w:tblCellMar>
        </w:tblPrEx>
        <w:trPr>
          <w:jc w:val="center"/>
        </w:trPr>
        <w:tc>
          <w:tcPr>
            <w:tcW w:w="11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58C3D5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v1.3.0</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B11C3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2026-09-15</w:t>
            </w:r>
          </w:p>
        </w:tc>
        <w:tc>
          <w:tcPr>
            <w:tcW w:w="505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8B6FE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细化功能模块分类，完成「指标管控」模块页面需求说明文档，确立模块样板范式</w:t>
            </w:r>
          </w:p>
        </w:tc>
        <w:tc>
          <w:tcPr>
            <w:tcW w:w="11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58A7F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王亮</w:t>
            </w:r>
          </w:p>
        </w:tc>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2F073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产品经理</w:t>
            </w:r>
          </w:p>
        </w:tc>
      </w:tr>
      <w:tr w14:paraId="25704E19">
        <w:tblPrEx>
          <w:tblCellMar>
            <w:top w:w="0" w:type="dxa"/>
            <w:left w:w="108" w:type="dxa"/>
            <w:bottom w:w="0" w:type="dxa"/>
            <w:right w:w="108" w:type="dxa"/>
          </w:tblCellMar>
        </w:tblPrEx>
        <w:trPr>
          <w:jc w:val="center"/>
        </w:trPr>
        <w:tc>
          <w:tcPr>
            <w:tcW w:w="11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B499246">
            <w:pPr>
              <w:spacing w:before="0" w:after="0" w:line="240" w:lineRule="auto"/>
              <w:ind w:left="0" w:leftChars="0" w:right="0" w:rightChars="0" w:firstLine="0" w:firstLineChars="0"/>
              <w:jc w:val="center"/>
              <w:rPr>
                <w:rFonts w:hint="eastAsia" w:ascii="宋体" w:hAnsi="宋体" w:eastAsia="宋体" w:cs="宋体"/>
                <w:i w:val="0"/>
                <w:i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F58AF9">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505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7E19B1">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11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B42A04A">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18D6CB">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r>
      <w:tr w14:paraId="713390C2">
        <w:tblPrEx>
          <w:tblCellMar>
            <w:top w:w="0" w:type="dxa"/>
            <w:left w:w="108" w:type="dxa"/>
            <w:bottom w:w="0" w:type="dxa"/>
            <w:right w:w="108" w:type="dxa"/>
          </w:tblCellMar>
        </w:tblPrEx>
        <w:trPr>
          <w:jc w:val="center"/>
        </w:trPr>
        <w:tc>
          <w:tcPr>
            <w:tcW w:w="11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416253F">
            <w:pPr>
              <w:spacing w:before="0" w:after="0" w:line="240" w:lineRule="auto"/>
              <w:ind w:left="0" w:leftChars="0" w:right="0" w:rightChars="0" w:firstLine="0" w:firstLineChars="0"/>
              <w:jc w:val="center"/>
              <w:rPr>
                <w:rFonts w:hint="eastAsia" w:ascii="宋体" w:hAnsi="宋体" w:eastAsia="宋体" w:cs="宋体"/>
                <w:i w:val="0"/>
                <w:i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91C3F0E">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505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3F924A1">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11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337530D">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A6D4D08">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r>
      <w:tr w14:paraId="597F6991">
        <w:tblPrEx>
          <w:tblCellMar>
            <w:top w:w="0" w:type="dxa"/>
            <w:left w:w="108" w:type="dxa"/>
            <w:bottom w:w="0" w:type="dxa"/>
            <w:right w:w="108" w:type="dxa"/>
          </w:tblCellMar>
        </w:tblPrEx>
        <w:trPr>
          <w:jc w:val="center"/>
        </w:trPr>
        <w:tc>
          <w:tcPr>
            <w:tcW w:w="11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0DA5778">
            <w:pPr>
              <w:spacing w:before="0" w:after="0" w:line="240" w:lineRule="auto"/>
              <w:ind w:left="0" w:leftChars="0" w:right="0" w:rightChars="0" w:firstLine="0" w:firstLineChars="0"/>
              <w:jc w:val="center"/>
              <w:rPr>
                <w:rFonts w:hint="eastAsia" w:ascii="宋体" w:hAnsi="宋体" w:eastAsia="宋体" w:cs="宋体"/>
                <w:i w:val="0"/>
                <w:iCs w:val="0"/>
                <w:sz w:val="24"/>
                <w:szCs w:val="24"/>
              </w:rPr>
            </w:pPr>
          </w:p>
        </w:tc>
        <w:tc>
          <w:tcPr>
            <w:tcW w:w="141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C0434B7">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505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552724">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11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1E76146">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ADC0D5D">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r>
    </w:tbl>
    <w:p w14:paraId="25AAF9E9">
      <w:pPr>
        <w:spacing w:after="60"/>
        <w:rPr>
          <w:rFonts w:hint="eastAsia" w:ascii="宋体" w:hAnsi="宋体" w:eastAsia="宋体" w:cs="宋体"/>
          <w:i w:val="0"/>
          <w:iCs w:val="0"/>
          <w:sz w:val="24"/>
          <w:szCs w:val="24"/>
        </w:rPr>
      </w:pPr>
    </w:p>
    <w:p w14:paraId="050F4913">
      <w:pPr>
        <w:widowControl w:val="0"/>
        <w:numPr>
          <w:ilvl w:val="0"/>
          <w:numId w:val="7"/>
        </w:numPr>
        <w:adjustRightInd w:val="0"/>
        <w:spacing w:before="320" w:after="200" w:line="300" w:lineRule="auto"/>
        <w:ind w:left="0" w:leftChars="0" w:firstLine="0" w:firstLineChars="0"/>
        <w:jc w:val="both"/>
        <w:outlineLvl w:val="9"/>
        <w:rPr>
          <w:rFonts w:ascii="Times New Roman" w:hAnsi="Times New Roman" w:eastAsia="黑体" w:cs="Times New Roman"/>
          <w:b w:val="0"/>
          <w:bCs w:val="0"/>
          <w:color w:val="000000"/>
          <w:kern w:val="44"/>
          <w:sz w:val="32"/>
          <w:szCs w:val="44"/>
          <w:lang w:bidi="ar-SA"/>
        </w:rPr>
        <w:sectPr>
          <w:headerReference r:id="rId5" w:type="default"/>
          <w:footerReference r:id="rId6" w:type="default"/>
          <w:pgSz w:w="11906" w:h="16838"/>
          <w:pgMar w:top="1296" w:right="1296" w:bottom="1296" w:left="1296" w:header="720" w:footer="720" w:gutter="0"/>
          <w:pgBorders>
            <w:top w:val="none" w:sz="0" w:space="0"/>
            <w:left w:val="none" w:sz="0" w:space="0"/>
            <w:bottom w:val="none" w:sz="0" w:space="0"/>
            <w:right w:val="none" w:sz="0" w:space="0"/>
          </w:pgBorders>
          <w:cols w:space="720" w:num="1"/>
          <w:titlePg/>
          <w:docGrid w:linePitch="360" w:charSpace="0"/>
        </w:sectPr>
      </w:pPr>
    </w:p>
    <w:sdt>
      <w:sdtPr>
        <w:rPr>
          <w:rFonts w:ascii="宋体" w:hAnsi="宋体" w:eastAsia="宋体" w:cstheme="minorBidi"/>
          <w:sz w:val="21"/>
          <w:szCs w:val="22"/>
          <w:lang w:val="en-US" w:eastAsia="en-US" w:bidi="ar-SA"/>
        </w:rPr>
        <w:id w:val="147481377"/>
        <w15:color w:val="DBDBDB"/>
        <w:docPartObj>
          <w:docPartGallery w:val="Table of Contents"/>
          <w:docPartUnique/>
        </w:docPartObj>
      </w:sdtPr>
      <w:sdtEndPr>
        <w:rPr>
          <w:rFonts w:ascii="宋体" w:hAnsi="宋体" w:eastAsia="宋体" w:cstheme="minorBidi"/>
          <w:sz w:val="21"/>
          <w:szCs w:val="22"/>
          <w:lang w:val="en-US" w:eastAsia="en-US" w:bidi="ar-SA"/>
        </w:rPr>
      </w:sdtEndPr>
      <w:sdtContent>
        <w:p w14:paraId="7332885C">
          <w:pPr>
            <w:spacing w:before="0" w:beforeLines="0" w:after="0" w:afterLines="0" w:line="240" w:lineRule="auto"/>
            <w:ind w:left="0" w:leftChars="0" w:right="0" w:rightChars="0" w:firstLine="0" w:firstLineChars="0"/>
            <w:jc w:val="center"/>
          </w:pPr>
          <w:r>
            <w:rPr>
              <w:rFonts w:ascii="宋体" w:hAnsi="宋体" w:eastAsia="宋体"/>
              <w:sz w:val="21"/>
            </w:rPr>
            <w:t>目录</w:t>
          </w:r>
        </w:p>
        <w:p w14:paraId="24E131EB">
          <w:pPr>
            <w:pStyle w:val="27"/>
            <w:tabs>
              <w:tab w:val="right" w:leader="dot" w:pos="9648"/>
            </w:tabs>
            <w:rPr>
              <w:sz w:val="21"/>
              <w:szCs w:val="21"/>
            </w:rPr>
          </w:pPr>
          <w:r>
            <w:fldChar w:fldCharType="begin"/>
          </w:r>
          <w:r>
            <w:instrText xml:space="preserve">TOC \o "1-3" \h \z \u </w:instrText>
          </w:r>
          <w:r>
            <w:fldChar w:fldCharType="separate"/>
          </w:r>
          <w:r>
            <w:rPr>
              <w:sz w:val="21"/>
              <w:szCs w:val="21"/>
            </w:rPr>
            <w:fldChar w:fldCharType="begin"/>
          </w:r>
          <w:r>
            <w:rPr>
              <w:sz w:val="21"/>
              <w:szCs w:val="21"/>
            </w:rPr>
            <w:instrText xml:space="preserve"> HYPERLINK \l _Toc23783 </w:instrText>
          </w:r>
          <w:r>
            <w:rPr>
              <w:sz w:val="21"/>
              <w:szCs w:val="21"/>
            </w:rPr>
            <w:fldChar w:fldCharType="separate"/>
          </w:r>
          <w:r>
            <w:rPr>
              <w:rFonts w:hint="eastAsia" w:eastAsia="黑体"/>
              <w:bCs w:val="0"/>
              <w:sz w:val="21"/>
              <w:szCs w:val="40"/>
            </w:rPr>
            <w:t xml:space="preserve">第一章 </w:t>
          </w:r>
          <w:r>
            <w:rPr>
              <w:rFonts w:ascii="Times New Roman" w:hAnsi="Times New Roman" w:eastAsia="黑体" w:cs="Times New Roman"/>
              <w:bCs w:val="0"/>
              <w:sz w:val="21"/>
              <w:szCs w:val="40"/>
            </w:rPr>
            <w:t>顶层业务架构与标准规范</w:t>
          </w:r>
          <w:r>
            <w:rPr>
              <w:sz w:val="21"/>
              <w:szCs w:val="21"/>
            </w:rPr>
            <w:tab/>
          </w:r>
          <w:r>
            <w:rPr>
              <w:sz w:val="21"/>
              <w:szCs w:val="21"/>
            </w:rPr>
            <w:fldChar w:fldCharType="begin"/>
          </w:r>
          <w:r>
            <w:rPr>
              <w:sz w:val="21"/>
              <w:szCs w:val="21"/>
            </w:rPr>
            <w:instrText xml:space="preserve"> PAGEREF _Toc23783 \h </w:instrText>
          </w:r>
          <w:r>
            <w:rPr>
              <w:sz w:val="21"/>
              <w:szCs w:val="21"/>
            </w:rPr>
            <w:fldChar w:fldCharType="separate"/>
          </w:r>
          <w:r>
            <w:rPr>
              <w:sz w:val="21"/>
              <w:szCs w:val="21"/>
            </w:rPr>
            <w:t>1</w:t>
          </w:r>
          <w:r>
            <w:rPr>
              <w:sz w:val="21"/>
              <w:szCs w:val="21"/>
            </w:rPr>
            <w:fldChar w:fldCharType="end"/>
          </w:r>
          <w:r>
            <w:rPr>
              <w:sz w:val="21"/>
              <w:szCs w:val="21"/>
            </w:rPr>
            <w:fldChar w:fldCharType="end"/>
          </w:r>
        </w:p>
        <w:p w14:paraId="7897E40D">
          <w:pPr>
            <w:pStyle w:val="27"/>
            <w:tabs>
              <w:tab w:val="right" w:leader="dot" w:pos="9648"/>
            </w:tabs>
            <w:rPr>
              <w:sz w:val="21"/>
              <w:szCs w:val="21"/>
            </w:rPr>
          </w:pPr>
          <w:r>
            <w:rPr>
              <w:sz w:val="21"/>
              <w:szCs w:val="21"/>
            </w:rPr>
            <w:fldChar w:fldCharType="begin"/>
          </w:r>
          <w:r>
            <w:rPr>
              <w:sz w:val="21"/>
              <w:szCs w:val="21"/>
            </w:rPr>
            <w:instrText xml:space="preserve"> HYPERLINK \l _Toc25175 </w:instrText>
          </w:r>
          <w:r>
            <w:rPr>
              <w:sz w:val="21"/>
              <w:szCs w:val="21"/>
            </w:rPr>
            <w:fldChar w:fldCharType="separate"/>
          </w:r>
          <w:r>
            <w:rPr>
              <w:rFonts w:hint="eastAsia" w:eastAsia="黑体"/>
              <w:bCs w:val="0"/>
              <w:sz w:val="21"/>
              <w:szCs w:val="28"/>
            </w:rPr>
            <w:t xml:space="preserve">一、 </w:t>
          </w:r>
          <w:r>
            <w:rPr>
              <w:rFonts w:ascii="Times New Roman" w:hAnsi="Times New Roman" w:eastAsia="黑体" w:cs="Times New Roman"/>
              <w:bCs w:val="0"/>
              <w:sz w:val="21"/>
              <w:szCs w:val="28"/>
            </w:rPr>
            <w:t>项目背景与建设目标</w:t>
          </w:r>
          <w:r>
            <w:rPr>
              <w:sz w:val="21"/>
              <w:szCs w:val="21"/>
            </w:rPr>
            <w:tab/>
          </w:r>
          <w:r>
            <w:rPr>
              <w:sz w:val="21"/>
              <w:szCs w:val="21"/>
            </w:rPr>
            <w:fldChar w:fldCharType="begin"/>
          </w:r>
          <w:r>
            <w:rPr>
              <w:sz w:val="21"/>
              <w:szCs w:val="21"/>
            </w:rPr>
            <w:instrText xml:space="preserve"> PAGEREF _Toc25175 \h </w:instrText>
          </w:r>
          <w:r>
            <w:rPr>
              <w:sz w:val="21"/>
              <w:szCs w:val="21"/>
            </w:rPr>
            <w:fldChar w:fldCharType="separate"/>
          </w:r>
          <w:r>
            <w:rPr>
              <w:sz w:val="21"/>
              <w:szCs w:val="21"/>
            </w:rPr>
            <w:t>1</w:t>
          </w:r>
          <w:r>
            <w:rPr>
              <w:sz w:val="21"/>
              <w:szCs w:val="21"/>
            </w:rPr>
            <w:fldChar w:fldCharType="end"/>
          </w:r>
          <w:r>
            <w:rPr>
              <w:sz w:val="21"/>
              <w:szCs w:val="21"/>
            </w:rPr>
            <w:fldChar w:fldCharType="end"/>
          </w:r>
        </w:p>
        <w:p w14:paraId="7D47B6F7">
          <w:pPr>
            <w:pStyle w:val="31"/>
            <w:tabs>
              <w:tab w:val="right" w:leader="dot" w:pos="9648"/>
            </w:tabs>
            <w:rPr>
              <w:sz w:val="21"/>
              <w:szCs w:val="21"/>
            </w:rPr>
          </w:pPr>
          <w:r>
            <w:rPr>
              <w:sz w:val="21"/>
              <w:szCs w:val="21"/>
            </w:rPr>
            <w:fldChar w:fldCharType="begin"/>
          </w:r>
          <w:r>
            <w:rPr>
              <w:sz w:val="21"/>
              <w:szCs w:val="21"/>
            </w:rPr>
            <w:instrText xml:space="preserve"> HYPERLINK \l _Toc9482 </w:instrText>
          </w:r>
          <w:r>
            <w:rPr>
              <w:sz w:val="21"/>
              <w:szCs w:val="21"/>
            </w:rPr>
            <w:fldChar w:fldCharType="separate"/>
          </w:r>
          <w:r>
            <w:rPr>
              <w:rFonts w:hint="default" w:eastAsia="黑体"/>
              <w:bCs w:val="0"/>
              <w:sz w:val="21"/>
              <w:szCs w:val="22"/>
            </w:rPr>
            <w:t xml:space="preserve">1. </w:t>
          </w:r>
          <w:r>
            <w:rPr>
              <w:rFonts w:ascii="Times New Roman" w:hAnsi="Times New Roman" w:eastAsia="黑体" w:cs="Times New Roman"/>
              <w:bCs w:val="0"/>
              <w:sz w:val="21"/>
              <w:szCs w:val="22"/>
            </w:rPr>
            <w:t>项目建设背景</w:t>
          </w:r>
          <w:r>
            <w:rPr>
              <w:sz w:val="21"/>
              <w:szCs w:val="21"/>
            </w:rPr>
            <w:tab/>
          </w:r>
          <w:r>
            <w:rPr>
              <w:sz w:val="21"/>
              <w:szCs w:val="21"/>
            </w:rPr>
            <w:fldChar w:fldCharType="begin"/>
          </w:r>
          <w:r>
            <w:rPr>
              <w:sz w:val="21"/>
              <w:szCs w:val="21"/>
            </w:rPr>
            <w:instrText xml:space="preserve"> PAGEREF _Toc9482 \h </w:instrText>
          </w:r>
          <w:r>
            <w:rPr>
              <w:sz w:val="21"/>
              <w:szCs w:val="21"/>
            </w:rPr>
            <w:fldChar w:fldCharType="separate"/>
          </w:r>
          <w:r>
            <w:rPr>
              <w:sz w:val="21"/>
              <w:szCs w:val="21"/>
            </w:rPr>
            <w:t>1</w:t>
          </w:r>
          <w:r>
            <w:rPr>
              <w:sz w:val="21"/>
              <w:szCs w:val="21"/>
            </w:rPr>
            <w:fldChar w:fldCharType="end"/>
          </w:r>
          <w:r>
            <w:rPr>
              <w:sz w:val="21"/>
              <w:szCs w:val="21"/>
            </w:rPr>
            <w:fldChar w:fldCharType="end"/>
          </w:r>
        </w:p>
        <w:p w14:paraId="306BD581">
          <w:pPr>
            <w:pStyle w:val="31"/>
            <w:tabs>
              <w:tab w:val="right" w:leader="dot" w:pos="9648"/>
            </w:tabs>
            <w:rPr>
              <w:sz w:val="21"/>
              <w:szCs w:val="21"/>
            </w:rPr>
          </w:pPr>
          <w:r>
            <w:rPr>
              <w:sz w:val="21"/>
              <w:szCs w:val="21"/>
            </w:rPr>
            <w:fldChar w:fldCharType="begin"/>
          </w:r>
          <w:r>
            <w:rPr>
              <w:sz w:val="21"/>
              <w:szCs w:val="21"/>
            </w:rPr>
            <w:instrText xml:space="preserve"> HYPERLINK \l _Toc11607 </w:instrText>
          </w:r>
          <w:r>
            <w:rPr>
              <w:sz w:val="21"/>
              <w:szCs w:val="21"/>
            </w:rPr>
            <w:fldChar w:fldCharType="separate"/>
          </w:r>
          <w:r>
            <w:rPr>
              <w:rFonts w:hint="default" w:eastAsia="黑体"/>
              <w:bCs w:val="0"/>
              <w:sz w:val="21"/>
              <w:szCs w:val="22"/>
            </w:rPr>
            <w:t xml:space="preserve">2. </w:t>
          </w:r>
          <w:r>
            <w:rPr>
              <w:rFonts w:ascii="Times New Roman" w:hAnsi="Times New Roman" w:eastAsia="黑体" w:cs="Times New Roman"/>
              <w:bCs w:val="0"/>
              <w:sz w:val="21"/>
              <w:szCs w:val="22"/>
            </w:rPr>
            <w:t>建设目标</w:t>
          </w:r>
          <w:r>
            <w:rPr>
              <w:sz w:val="21"/>
              <w:szCs w:val="21"/>
            </w:rPr>
            <w:tab/>
          </w:r>
          <w:r>
            <w:rPr>
              <w:sz w:val="21"/>
              <w:szCs w:val="21"/>
            </w:rPr>
            <w:fldChar w:fldCharType="begin"/>
          </w:r>
          <w:r>
            <w:rPr>
              <w:sz w:val="21"/>
              <w:szCs w:val="21"/>
            </w:rPr>
            <w:instrText xml:space="preserve"> PAGEREF _Toc11607 \h </w:instrText>
          </w:r>
          <w:r>
            <w:rPr>
              <w:sz w:val="21"/>
              <w:szCs w:val="21"/>
            </w:rPr>
            <w:fldChar w:fldCharType="separate"/>
          </w:r>
          <w:r>
            <w:rPr>
              <w:sz w:val="21"/>
              <w:szCs w:val="21"/>
            </w:rPr>
            <w:t>2</w:t>
          </w:r>
          <w:r>
            <w:rPr>
              <w:sz w:val="21"/>
              <w:szCs w:val="21"/>
            </w:rPr>
            <w:fldChar w:fldCharType="end"/>
          </w:r>
          <w:r>
            <w:rPr>
              <w:sz w:val="21"/>
              <w:szCs w:val="21"/>
            </w:rPr>
            <w:fldChar w:fldCharType="end"/>
          </w:r>
        </w:p>
        <w:p w14:paraId="52F5255F">
          <w:pPr>
            <w:pStyle w:val="27"/>
            <w:tabs>
              <w:tab w:val="right" w:leader="dot" w:pos="9648"/>
            </w:tabs>
            <w:rPr>
              <w:sz w:val="21"/>
              <w:szCs w:val="21"/>
            </w:rPr>
          </w:pPr>
          <w:r>
            <w:rPr>
              <w:sz w:val="21"/>
              <w:szCs w:val="21"/>
            </w:rPr>
            <w:fldChar w:fldCharType="begin"/>
          </w:r>
          <w:r>
            <w:rPr>
              <w:sz w:val="21"/>
              <w:szCs w:val="21"/>
            </w:rPr>
            <w:instrText xml:space="preserve"> HYPERLINK \l _Toc1776 </w:instrText>
          </w:r>
          <w:r>
            <w:rPr>
              <w:sz w:val="21"/>
              <w:szCs w:val="21"/>
            </w:rPr>
            <w:fldChar w:fldCharType="separate"/>
          </w:r>
          <w:r>
            <w:rPr>
              <w:rFonts w:hint="eastAsia" w:eastAsia="黑体"/>
              <w:bCs w:val="0"/>
              <w:sz w:val="21"/>
              <w:szCs w:val="28"/>
            </w:rPr>
            <w:t xml:space="preserve">二、 </w:t>
          </w:r>
          <w:r>
            <w:rPr>
              <w:rFonts w:ascii="Times New Roman" w:hAnsi="Times New Roman" w:eastAsia="黑体" w:cs="Times New Roman"/>
              <w:bCs w:val="0"/>
              <w:sz w:val="21"/>
              <w:szCs w:val="28"/>
            </w:rPr>
            <w:t>建设范围</w:t>
          </w:r>
          <w:r>
            <w:rPr>
              <w:sz w:val="21"/>
              <w:szCs w:val="21"/>
            </w:rPr>
            <w:tab/>
          </w:r>
          <w:r>
            <w:rPr>
              <w:sz w:val="21"/>
              <w:szCs w:val="21"/>
            </w:rPr>
            <w:fldChar w:fldCharType="begin"/>
          </w:r>
          <w:r>
            <w:rPr>
              <w:sz w:val="21"/>
              <w:szCs w:val="21"/>
            </w:rPr>
            <w:instrText xml:space="preserve"> PAGEREF _Toc1776 \h </w:instrText>
          </w:r>
          <w:r>
            <w:rPr>
              <w:sz w:val="21"/>
              <w:szCs w:val="21"/>
            </w:rPr>
            <w:fldChar w:fldCharType="separate"/>
          </w:r>
          <w:r>
            <w:rPr>
              <w:sz w:val="21"/>
              <w:szCs w:val="21"/>
            </w:rPr>
            <w:t>3</w:t>
          </w:r>
          <w:r>
            <w:rPr>
              <w:sz w:val="21"/>
              <w:szCs w:val="21"/>
            </w:rPr>
            <w:fldChar w:fldCharType="end"/>
          </w:r>
          <w:r>
            <w:rPr>
              <w:sz w:val="21"/>
              <w:szCs w:val="21"/>
            </w:rPr>
            <w:fldChar w:fldCharType="end"/>
          </w:r>
        </w:p>
        <w:p w14:paraId="36B69BC2">
          <w:pPr>
            <w:pStyle w:val="27"/>
            <w:tabs>
              <w:tab w:val="right" w:leader="dot" w:pos="9648"/>
            </w:tabs>
            <w:rPr>
              <w:sz w:val="21"/>
              <w:szCs w:val="21"/>
            </w:rPr>
          </w:pPr>
          <w:r>
            <w:rPr>
              <w:sz w:val="21"/>
              <w:szCs w:val="21"/>
            </w:rPr>
            <w:fldChar w:fldCharType="begin"/>
          </w:r>
          <w:r>
            <w:rPr>
              <w:sz w:val="21"/>
              <w:szCs w:val="21"/>
            </w:rPr>
            <w:instrText xml:space="preserve"> HYPERLINK \l _Toc14229 </w:instrText>
          </w:r>
          <w:r>
            <w:rPr>
              <w:sz w:val="21"/>
              <w:szCs w:val="21"/>
            </w:rPr>
            <w:fldChar w:fldCharType="separate"/>
          </w:r>
          <w:r>
            <w:rPr>
              <w:rFonts w:hint="eastAsia" w:eastAsia="黑体"/>
              <w:bCs w:val="0"/>
              <w:sz w:val="21"/>
              <w:szCs w:val="28"/>
            </w:rPr>
            <w:t xml:space="preserve">三、 </w:t>
          </w:r>
          <w:r>
            <w:rPr>
              <w:rFonts w:ascii="Times New Roman" w:hAnsi="Times New Roman" w:eastAsia="黑体" w:cs="Times New Roman"/>
              <w:bCs w:val="0"/>
              <w:sz w:val="21"/>
              <w:szCs w:val="28"/>
            </w:rPr>
            <w:t>双中心总体架构与协同机制</w:t>
          </w:r>
          <w:r>
            <w:rPr>
              <w:sz w:val="21"/>
              <w:szCs w:val="21"/>
            </w:rPr>
            <w:tab/>
          </w:r>
          <w:r>
            <w:rPr>
              <w:sz w:val="21"/>
              <w:szCs w:val="21"/>
            </w:rPr>
            <w:fldChar w:fldCharType="begin"/>
          </w:r>
          <w:r>
            <w:rPr>
              <w:sz w:val="21"/>
              <w:szCs w:val="21"/>
            </w:rPr>
            <w:instrText xml:space="preserve"> PAGEREF _Toc14229 \h </w:instrText>
          </w:r>
          <w:r>
            <w:rPr>
              <w:sz w:val="21"/>
              <w:szCs w:val="21"/>
            </w:rPr>
            <w:fldChar w:fldCharType="separate"/>
          </w:r>
          <w:r>
            <w:rPr>
              <w:sz w:val="21"/>
              <w:szCs w:val="21"/>
            </w:rPr>
            <w:t>3</w:t>
          </w:r>
          <w:r>
            <w:rPr>
              <w:sz w:val="21"/>
              <w:szCs w:val="21"/>
            </w:rPr>
            <w:fldChar w:fldCharType="end"/>
          </w:r>
          <w:r>
            <w:rPr>
              <w:sz w:val="21"/>
              <w:szCs w:val="21"/>
            </w:rPr>
            <w:fldChar w:fldCharType="end"/>
          </w:r>
        </w:p>
        <w:p w14:paraId="595A9172">
          <w:pPr>
            <w:pStyle w:val="31"/>
            <w:tabs>
              <w:tab w:val="right" w:leader="dot" w:pos="9648"/>
            </w:tabs>
            <w:rPr>
              <w:sz w:val="21"/>
              <w:szCs w:val="21"/>
            </w:rPr>
          </w:pPr>
          <w:r>
            <w:rPr>
              <w:sz w:val="21"/>
              <w:szCs w:val="21"/>
            </w:rPr>
            <w:fldChar w:fldCharType="begin"/>
          </w:r>
          <w:r>
            <w:rPr>
              <w:sz w:val="21"/>
              <w:szCs w:val="21"/>
            </w:rPr>
            <w:instrText xml:space="preserve"> HYPERLINK \l _Toc28299 </w:instrText>
          </w:r>
          <w:r>
            <w:rPr>
              <w:sz w:val="21"/>
              <w:szCs w:val="21"/>
            </w:rPr>
            <w:fldChar w:fldCharType="separate"/>
          </w:r>
          <w:r>
            <w:rPr>
              <w:rFonts w:hint="default" w:eastAsia="黑体"/>
              <w:bCs w:val="0"/>
              <w:sz w:val="21"/>
              <w:szCs w:val="22"/>
            </w:rPr>
            <w:t xml:space="preserve">1. </w:t>
          </w:r>
          <w:r>
            <w:rPr>
              <w:rFonts w:ascii="Times New Roman" w:hAnsi="Times New Roman" w:eastAsia="黑体" w:cs="Times New Roman"/>
              <w:bCs w:val="0"/>
              <w:sz w:val="21"/>
              <w:szCs w:val="22"/>
            </w:rPr>
            <w:t>端—边—云三层物联网架构</w:t>
          </w:r>
          <w:r>
            <w:rPr>
              <w:sz w:val="21"/>
              <w:szCs w:val="21"/>
            </w:rPr>
            <w:tab/>
          </w:r>
          <w:r>
            <w:rPr>
              <w:sz w:val="21"/>
              <w:szCs w:val="21"/>
            </w:rPr>
            <w:fldChar w:fldCharType="begin"/>
          </w:r>
          <w:r>
            <w:rPr>
              <w:sz w:val="21"/>
              <w:szCs w:val="21"/>
            </w:rPr>
            <w:instrText xml:space="preserve"> PAGEREF _Toc28299 \h </w:instrText>
          </w:r>
          <w:r>
            <w:rPr>
              <w:sz w:val="21"/>
              <w:szCs w:val="21"/>
            </w:rPr>
            <w:fldChar w:fldCharType="separate"/>
          </w:r>
          <w:r>
            <w:rPr>
              <w:sz w:val="21"/>
              <w:szCs w:val="21"/>
            </w:rPr>
            <w:t>4</w:t>
          </w:r>
          <w:r>
            <w:rPr>
              <w:sz w:val="21"/>
              <w:szCs w:val="21"/>
            </w:rPr>
            <w:fldChar w:fldCharType="end"/>
          </w:r>
          <w:r>
            <w:rPr>
              <w:sz w:val="21"/>
              <w:szCs w:val="21"/>
            </w:rPr>
            <w:fldChar w:fldCharType="end"/>
          </w:r>
        </w:p>
        <w:p w14:paraId="5FF8D57F">
          <w:pPr>
            <w:pStyle w:val="31"/>
            <w:tabs>
              <w:tab w:val="right" w:leader="dot" w:pos="9648"/>
            </w:tabs>
            <w:rPr>
              <w:sz w:val="21"/>
              <w:szCs w:val="21"/>
            </w:rPr>
          </w:pPr>
          <w:r>
            <w:rPr>
              <w:sz w:val="21"/>
              <w:szCs w:val="21"/>
            </w:rPr>
            <w:fldChar w:fldCharType="begin"/>
          </w:r>
          <w:r>
            <w:rPr>
              <w:sz w:val="21"/>
              <w:szCs w:val="21"/>
            </w:rPr>
            <w:instrText xml:space="preserve"> HYPERLINK \l _Toc11116 </w:instrText>
          </w:r>
          <w:r>
            <w:rPr>
              <w:sz w:val="21"/>
              <w:szCs w:val="21"/>
            </w:rPr>
            <w:fldChar w:fldCharType="separate"/>
          </w:r>
          <w:r>
            <w:rPr>
              <w:rFonts w:hint="default" w:eastAsia="黑体"/>
              <w:bCs w:val="0"/>
              <w:sz w:val="21"/>
              <w:szCs w:val="22"/>
            </w:rPr>
            <w:t xml:space="preserve">2. </w:t>
          </w:r>
          <w:r>
            <w:rPr>
              <w:rFonts w:ascii="Times New Roman" w:hAnsi="Times New Roman" w:eastAsia="黑体" w:cs="Times New Roman"/>
              <w:bCs w:val="0"/>
              <w:sz w:val="21"/>
              <w:szCs w:val="22"/>
            </w:rPr>
            <w:t>双中心定位与协同</w:t>
          </w:r>
          <w:r>
            <w:rPr>
              <w:sz w:val="21"/>
              <w:szCs w:val="21"/>
            </w:rPr>
            <w:tab/>
          </w:r>
          <w:r>
            <w:rPr>
              <w:sz w:val="21"/>
              <w:szCs w:val="21"/>
            </w:rPr>
            <w:fldChar w:fldCharType="begin"/>
          </w:r>
          <w:r>
            <w:rPr>
              <w:sz w:val="21"/>
              <w:szCs w:val="21"/>
            </w:rPr>
            <w:instrText xml:space="preserve"> PAGEREF _Toc11116 \h </w:instrText>
          </w:r>
          <w:r>
            <w:rPr>
              <w:sz w:val="21"/>
              <w:szCs w:val="21"/>
            </w:rPr>
            <w:fldChar w:fldCharType="separate"/>
          </w:r>
          <w:r>
            <w:rPr>
              <w:sz w:val="21"/>
              <w:szCs w:val="21"/>
            </w:rPr>
            <w:t>4</w:t>
          </w:r>
          <w:r>
            <w:rPr>
              <w:sz w:val="21"/>
              <w:szCs w:val="21"/>
            </w:rPr>
            <w:fldChar w:fldCharType="end"/>
          </w:r>
          <w:r>
            <w:rPr>
              <w:sz w:val="21"/>
              <w:szCs w:val="21"/>
            </w:rPr>
            <w:fldChar w:fldCharType="end"/>
          </w:r>
        </w:p>
        <w:p w14:paraId="322E4537">
          <w:pPr>
            <w:pStyle w:val="27"/>
            <w:tabs>
              <w:tab w:val="right" w:leader="dot" w:pos="9648"/>
            </w:tabs>
            <w:rPr>
              <w:sz w:val="21"/>
              <w:szCs w:val="21"/>
            </w:rPr>
          </w:pPr>
          <w:r>
            <w:rPr>
              <w:sz w:val="21"/>
              <w:szCs w:val="21"/>
            </w:rPr>
            <w:fldChar w:fldCharType="begin"/>
          </w:r>
          <w:r>
            <w:rPr>
              <w:sz w:val="21"/>
              <w:szCs w:val="21"/>
            </w:rPr>
            <w:instrText xml:space="preserve"> HYPERLINK \l _Toc23087 </w:instrText>
          </w:r>
          <w:r>
            <w:rPr>
              <w:sz w:val="21"/>
              <w:szCs w:val="21"/>
            </w:rPr>
            <w:fldChar w:fldCharType="separate"/>
          </w:r>
          <w:r>
            <w:rPr>
              <w:rFonts w:hint="eastAsia" w:eastAsia="黑体"/>
              <w:bCs w:val="0"/>
              <w:sz w:val="21"/>
              <w:szCs w:val="28"/>
            </w:rPr>
            <w:t xml:space="preserve">四、 </w:t>
          </w:r>
          <w:r>
            <w:rPr>
              <w:rFonts w:ascii="Times New Roman" w:hAnsi="Times New Roman" w:eastAsia="黑体" w:cs="Times New Roman"/>
              <w:bCs w:val="0"/>
              <w:sz w:val="21"/>
              <w:szCs w:val="28"/>
            </w:rPr>
            <w:t>角色画像与权限边界</w:t>
          </w:r>
          <w:r>
            <w:rPr>
              <w:sz w:val="21"/>
              <w:szCs w:val="21"/>
            </w:rPr>
            <w:tab/>
          </w:r>
          <w:r>
            <w:rPr>
              <w:sz w:val="21"/>
              <w:szCs w:val="21"/>
            </w:rPr>
            <w:fldChar w:fldCharType="begin"/>
          </w:r>
          <w:r>
            <w:rPr>
              <w:sz w:val="21"/>
              <w:szCs w:val="21"/>
            </w:rPr>
            <w:instrText xml:space="preserve"> PAGEREF _Toc23087 \h </w:instrText>
          </w:r>
          <w:r>
            <w:rPr>
              <w:sz w:val="21"/>
              <w:szCs w:val="21"/>
            </w:rPr>
            <w:fldChar w:fldCharType="separate"/>
          </w:r>
          <w:r>
            <w:rPr>
              <w:sz w:val="21"/>
              <w:szCs w:val="21"/>
            </w:rPr>
            <w:t>4</w:t>
          </w:r>
          <w:r>
            <w:rPr>
              <w:sz w:val="21"/>
              <w:szCs w:val="21"/>
            </w:rPr>
            <w:fldChar w:fldCharType="end"/>
          </w:r>
          <w:r>
            <w:rPr>
              <w:sz w:val="21"/>
              <w:szCs w:val="21"/>
            </w:rPr>
            <w:fldChar w:fldCharType="end"/>
          </w:r>
        </w:p>
        <w:p w14:paraId="43FBC286">
          <w:pPr>
            <w:pStyle w:val="27"/>
            <w:tabs>
              <w:tab w:val="right" w:leader="dot" w:pos="9648"/>
            </w:tabs>
            <w:rPr>
              <w:sz w:val="21"/>
              <w:szCs w:val="21"/>
            </w:rPr>
          </w:pPr>
          <w:r>
            <w:rPr>
              <w:sz w:val="21"/>
              <w:szCs w:val="21"/>
            </w:rPr>
            <w:fldChar w:fldCharType="begin"/>
          </w:r>
          <w:r>
            <w:rPr>
              <w:sz w:val="21"/>
              <w:szCs w:val="21"/>
            </w:rPr>
            <w:instrText xml:space="preserve"> HYPERLINK \l _Toc15776 </w:instrText>
          </w:r>
          <w:r>
            <w:rPr>
              <w:sz w:val="21"/>
              <w:szCs w:val="21"/>
            </w:rPr>
            <w:fldChar w:fldCharType="separate"/>
          </w:r>
          <w:r>
            <w:rPr>
              <w:rFonts w:hint="eastAsia" w:eastAsia="黑体"/>
              <w:bCs w:val="0"/>
              <w:sz w:val="21"/>
              <w:szCs w:val="28"/>
            </w:rPr>
            <w:t xml:space="preserve">五、 </w:t>
          </w:r>
          <w:r>
            <w:rPr>
              <w:rFonts w:ascii="Times New Roman" w:hAnsi="Times New Roman" w:eastAsia="黑体" w:cs="Times New Roman"/>
              <w:bCs w:val="0"/>
              <w:sz w:val="21"/>
              <w:szCs w:val="28"/>
            </w:rPr>
            <w:t>文档编制范式：统一八段式模块模板</w:t>
          </w:r>
          <w:r>
            <w:rPr>
              <w:sz w:val="21"/>
              <w:szCs w:val="21"/>
            </w:rPr>
            <w:tab/>
          </w:r>
          <w:r>
            <w:rPr>
              <w:sz w:val="21"/>
              <w:szCs w:val="21"/>
            </w:rPr>
            <w:fldChar w:fldCharType="begin"/>
          </w:r>
          <w:r>
            <w:rPr>
              <w:sz w:val="21"/>
              <w:szCs w:val="21"/>
            </w:rPr>
            <w:instrText xml:space="preserve"> PAGEREF _Toc15776 \h </w:instrText>
          </w:r>
          <w:r>
            <w:rPr>
              <w:sz w:val="21"/>
              <w:szCs w:val="21"/>
            </w:rPr>
            <w:fldChar w:fldCharType="separate"/>
          </w:r>
          <w:r>
            <w:rPr>
              <w:sz w:val="21"/>
              <w:szCs w:val="21"/>
            </w:rPr>
            <w:t>5</w:t>
          </w:r>
          <w:r>
            <w:rPr>
              <w:sz w:val="21"/>
              <w:szCs w:val="21"/>
            </w:rPr>
            <w:fldChar w:fldCharType="end"/>
          </w:r>
          <w:r>
            <w:rPr>
              <w:sz w:val="21"/>
              <w:szCs w:val="21"/>
            </w:rPr>
            <w:fldChar w:fldCharType="end"/>
          </w:r>
        </w:p>
        <w:p w14:paraId="49FFFABF">
          <w:pPr>
            <w:pStyle w:val="27"/>
            <w:tabs>
              <w:tab w:val="right" w:leader="dot" w:pos="9648"/>
            </w:tabs>
            <w:rPr>
              <w:sz w:val="21"/>
              <w:szCs w:val="21"/>
            </w:rPr>
          </w:pPr>
          <w:r>
            <w:rPr>
              <w:sz w:val="21"/>
              <w:szCs w:val="21"/>
            </w:rPr>
            <w:fldChar w:fldCharType="begin"/>
          </w:r>
          <w:r>
            <w:rPr>
              <w:sz w:val="21"/>
              <w:szCs w:val="21"/>
            </w:rPr>
            <w:instrText xml:space="preserve"> HYPERLINK \l _Toc9295 </w:instrText>
          </w:r>
          <w:r>
            <w:rPr>
              <w:sz w:val="21"/>
              <w:szCs w:val="21"/>
            </w:rPr>
            <w:fldChar w:fldCharType="separate"/>
          </w:r>
          <w:r>
            <w:rPr>
              <w:rFonts w:hint="eastAsia" w:eastAsia="黑体"/>
              <w:bCs w:val="0"/>
              <w:sz w:val="21"/>
              <w:szCs w:val="40"/>
            </w:rPr>
            <w:t xml:space="preserve">第二章 </w:t>
          </w:r>
          <w:r>
            <w:rPr>
              <w:rFonts w:ascii="Times New Roman" w:hAnsi="Times New Roman" w:eastAsia="黑体" w:cs="Times New Roman"/>
              <w:bCs w:val="0"/>
              <w:sz w:val="21"/>
              <w:szCs w:val="40"/>
            </w:rPr>
            <w:t>零碳园区集控中心功能需求规格</w:t>
          </w:r>
          <w:r>
            <w:rPr>
              <w:sz w:val="21"/>
              <w:szCs w:val="21"/>
            </w:rPr>
            <w:tab/>
          </w:r>
          <w:r>
            <w:rPr>
              <w:sz w:val="21"/>
              <w:szCs w:val="21"/>
            </w:rPr>
            <w:fldChar w:fldCharType="begin"/>
          </w:r>
          <w:r>
            <w:rPr>
              <w:sz w:val="21"/>
              <w:szCs w:val="21"/>
            </w:rPr>
            <w:instrText xml:space="preserve"> PAGEREF _Toc9295 \h </w:instrText>
          </w:r>
          <w:r>
            <w:rPr>
              <w:sz w:val="21"/>
              <w:szCs w:val="21"/>
            </w:rPr>
            <w:fldChar w:fldCharType="separate"/>
          </w:r>
          <w:r>
            <w:rPr>
              <w:sz w:val="21"/>
              <w:szCs w:val="21"/>
            </w:rPr>
            <w:t>6</w:t>
          </w:r>
          <w:r>
            <w:rPr>
              <w:sz w:val="21"/>
              <w:szCs w:val="21"/>
            </w:rPr>
            <w:fldChar w:fldCharType="end"/>
          </w:r>
          <w:r>
            <w:rPr>
              <w:sz w:val="21"/>
              <w:szCs w:val="21"/>
            </w:rPr>
            <w:fldChar w:fldCharType="end"/>
          </w:r>
        </w:p>
        <w:p w14:paraId="1AC79C27">
          <w:pPr>
            <w:pStyle w:val="27"/>
            <w:tabs>
              <w:tab w:val="right" w:leader="dot" w:pos="9648"/>
            </w:tabs>
            <w:rPr>
              <w:sz w:val="21"/>
              <w:szCs w:val="21"/>
            </w:rPr>
          </w:pPr>
          <w:r>
            <w:rPr>
              <w:sz w:val="21"/>
              <w:szCs w:val="21"/>
            </w:rPr>
            <w:fldChar w:fldCharType="begin"/>
          </w:r>
          <w:r>
            <w:rPr>
              <w:sz w:val="21"/>
              <w:szCs w:val="21"/>
            </w:rPr>
            <w:instrText xml:space="preserve"> HYPERLINK \l _Toc23727 </w:instrText>
          </w:r>
          <w:r>
            <w:rPr>
              <w:sz w:val="21"/>
              <w:szCs w:val="21"/>
            </w:rPr>
            <w:fldChar w:fldCharType="separate"/>
          </w:r>
          <w:r>
            <w:rPr>
              <w:rFonts w:hint="eastAsia" w:eastAsia="黑体"/>
              <w:bCs w:val="0"/>
              <w:sz w:val="21"/>
              <w:szCs w:val="28"/>
            </w:rPr>
            <w:t xml:space="preserve">一、 </w:t>
          </w:r>
          <w:r>
            <w:rPr>
              <w:rFonts w:ascii="Times New Roman" w:hAnsi="Times New Roman" w:eastAsia="黑体" w:cs="Times New Roman"/>
              <w:bCs w:val="0"/>
              <w:sz w:val="21"/>
              <w:szCs w:val="28"/>
            </w:rPr>
            <w:t>集控中心大屏</w:t>
          </w:r>
          <w:r>
            <w:rPr>
              <w:sz w:val="21"/>
              <w:szCs w:val="21"/>
            </w:rPr>
            <w:tab/>
          </w:r>
          <w:r>
            <w:rPr>
              <w:sz w:val="21"/>
              <w:szCs w:val="21"/>
            </w:rPr>
            <w:fldChar w:fldCharType="begin"/>
          </w:r>
          <w:r>
            <w:rPr>
              <w:sz w:val="21"/>
              <w:szCs w:val="21"/>
            </w:rPr>
            <w:instrText xml:space="preserve"> PAGEREF _Toc23727 \h </w:instrText>
          </w:r>
          <w:r>
            <w:rPr>
              <w:sz w:val="21"/>
              <w:szCs w:val="21"/>
            </w:rPr>
            <w:fldChar w:fldCharType="separate"/>
          </w:r>
          <w:r>
            <w:rPr>
              <w:sz w:val="21"/>
              <w:szCs w:val="21"/>
            </w:rPr>
            <w:t>6</w:t>
          </w:r>
          <w:r>
            <w:rPr>
              <w:sz w:val="21"/>
              <w:szCs w:val="21"/>
            </w:rPr>
            <w:fldChar w:fldCharType="end"/>
          </w:r>
          <w:r>
            <w:rPr>
              <w:sz w:val="21"/>
              <w:szCs w:val="21"/>
            </w:rPr>
            <w:fldChar w:fldCharType="end"/>
          </w:r>
        </w:p>
        <w:p w14:paraId="44870F3B">
          <w:pPr>
            <w:pStyle w:val="31"/>
            <w:tabs>
              <w:tab w:val="right" w:leader="dot" w:pos="9648"/>
            </w:tabs>
            <w:rPr>
              <w:sz w:val="21"/>
              <w:szCs w:val="21"/>
            </w:rPr>
          </w:pPr>
          <w:r>
            <w:rPr>
              <w:sz w:val="21"/>
              <w:szCs w:val="21"/>
            </w:rPr>
            <w:fldChar w:fldCharType="begin"/>
          </w:r>
          <w:r>
            <w:rPr>
              <w:sz w:val="21"/>
              <w:szCs w:val="21"/>
            </w:rPr>
            <w:instrText xml:space="preserve"> HYPERLINK \l _Toc20473 </w:instrText>
          </w:r>
          <w:r>
            <w:rPr>
              <w:sz w:val="21"/>
              <w:szCs w:val="21"/>
            </w:rPr>
            <w:fldChar w:fldCharType="separate"/>
          </w:r>
          <w:r>
            <w:rPr>
              <w:rFonts w:hint="default" w:eastAsia="黑体"/>
              <w:bCs w:val="0"/>
              <w:sz w:val="21"/>
              <w:szCs w:val="22"/>
            </w:rPr>
            <w:t xml:space="preserve">1. </w:t>
          </w:r>
          <w:r>
            <w:rPr>
              <w:rFonts w:ascii="Times New Roman" w:hAnsi="Times New Roman" w:eastAsia="黑体" w:cs="Times New Roman"/>
              <w:bCs w:val="0"/>
              <w:sz w:val="21"/>
              <w:szCs w:val="22"/>
            </w:rPr>
            <w:t>全景环幕大屏 46:9</w:t>
          </w:r>
          <w:r>
            <w:rPr>
              <w:sz w:val="21"/>
              <w:szCs w:val="21"/>
            </w:rPr>
            <w:tab/>
          </w:r>
          <w:r>
            <w:rPr>
              <w:sz w:val="21"/>
              <w:szCs w:val="21"/>
            </w:rPr>
            <w:fldChar w:fldCharType="begin"/>
          </w:r>
          <w:r>
            <w:rPr>
              <w:sz w:val="21"/>
              <w:szCs w:val="21"/>
            </w:rPr>
            <w:instrText xml:space="preserve"> PAGEREF _Toc20473 \h </w:instrText>
          </w:r>
          <w:r>
            <w:rPr>
              <w:sz w:val="21"/>
              <w:szCs w:val="21"/>
            </w:rPr>
            <w:fldChar w:fldCharType="separate"/>
          </w:r>
          <w:r>
            <w:rPr>
              <w:sz w:val="21"/>
              <w:szCs w:val="21"/>
            </w:rPr>
            <w:t>6</w:t>
          </w:r>
          <w:r>
            <w:rPr>
              <w:sz w:val="21"/>
              <w:szCs w:val="21"/>
            </w:rPr>
            <w:fldChar w:fldCharType="end"/>
          </w:r>
          <w:r>
            <w:rPr>
              <w:sz w:val="21"/>
              <w:szCs w:val="21"/>
            </w:rPr>
            <w:fldChar w:fldCharType="end"/>
          </w:r>
        </w:p>
        <w:p w14:paraId="1AFEB5F7">
          <w:pPr>
            <w:pStyle w:val="31"/>
            <w:tabs>
              <w:tab w:val="right" w:leader="dot" w:pos="9648"/>
            </w:tabs>
            <w:rPr>
              <w:sz w:val="21"/>
              <w:szCs w:val="21"/>
            </w:rPr>
          </w:pPr>
          <w:r>
            <w:rPr>
              <w:sz w:val="21"/>
              <w:szCs w:val="21"/>
            </w:rPr>
            <w:fldChar w:fldCharType="begin"/>
          </w:r>
          <w:r>
            <w:rPr>
              <w:sz w:val="21"/>
              <w:szCs w:val="21"/>
            </w:rPr>
            <w:instrText xml:space="preserve"> HYPERLINK \l _Toc15307 </w:instrText>
          </w:r>
          <w:r>
            <w:rPr>
              <w:sz w:val="21"/>
              <w:szCs w:val="21"/>
            </w:rPr>
            <w:fldChar w:fldCharType="separate"/>
          </w:r>
          <w:r>
            <w:rPr>
              <w:rFonts w:hint="default" w:eastAsia="黑体"/>
              <w:bCs w:val="0"/>
              <w:sz w:val="21"/>
              <w:szCs w:val="22"/>
            </w:rPr>
            <w:t xml:space="preserve">2. </w:t>
          </w:r>
          <w:r>
            <w:rPr>
              <w:rFonts w:ascii="Times New Roman" w:hAnsi="Times New Roman" w:eastAsia="黑体" w:cs="Times New Roman"/>
              <w:bCs w:val="0"/>
              <w:sz w:val="21"/>
              <w:szCs w:val="22"/>
            </w:rPr>
            <w:t>综合集控大屏 16:9</w:t>
          </w:r>
          <w:r>
            <w:rPr>
              <w:sz w:val="21"/>
              <w:szCs w:val="21"/>
            </w:rPr>
            <w:tab/>
          </w:r>
          <w:r>
            <w:rPr>
              <w:sz w:val="21"/>
              <w:szCs w:val="21"/>
            </w:rPr>
            <w:fldChar w:fldCharType="begin"/>
          </w:r>
          <w:r>
            <w:rPr>
              <w:sz w:val="21"/>
              <w:szCs w:val="21"/>
            </w:rPr>
            <w:instrText xml:space="preserve"> PAGEREF _Toc15307 \h </w:instrText>
          </w:r>
          <w:r>
            <w:rPr>
              <w:sz w:val="21"/>
              <w:szCs w:val="21"/>
            </w:rPr>
            <w:fldChar w:fldCharType="separate"/>
          </w:r>
          <w:r>
            <w:rPr>
              <w:sz w:val="21"/>
              <w:szCs w:val="21"/>
            </w:rPr>
            <w:t>11</w:t>
          </w:r>
          <w:r>
            <w:rPr>
              <w:sz w:val="21"/>
              <w:szCs w:val="21"/>
            </w:rPr>
            <w:fldChar w:fldCharType="end"/>
          </w:r>
          <w:r>
            <w:rPr>
              <w:sz w:val="21"/>
              <w:szCs w:val="21"/>
            </w:rPr>
            <w:fldChar w:fldCharType="end"/>
          </w:r>
        </w:p>
        <w:p w14:paraId="310D3787">
          <w:pPr>
            <w:pStyle w:val="27"/>
            <w:tabs>
              <w:tab w:val="right" w:leader="dot" w:pos="9648"/>
            </w:tabs>
            <w:rPr>
              <w:sz w:val="21"/>
              <w:szCs w:val="21"/>
            </w:rPr>
          </w:pPr>
          <w:r>
            <w:rPr>
              <w:sz w:val="21"/>
              <w:szCs w:val="21"/>
            </w:rPr>
            <w:fldChar w:fldCharType="begin"/>
          </w:r>
          <w:r>
            <w:rPr>
              <w:sz w:val="21"/>
              <w:szCs w:val="21"/>
            </w:rPr>
            <w:instrText xml:space="preserve"> HYPERLINK \l _Toc5744 </w:instrText>
          </w:r>
          <w:r>
            <w:rPr>
              <w:sz w:val="21"/>
              <w:szCs w:val="21"/>
            </w:rPr>
            <w:fldChar w:fldCharType="separate"/>
          </w:r>
          <w:r>
            <w:rPr>
              <w:rFonts w:hint="eastAsia" w:eastAsia="黑体"/>
              <w:bCs w:val="0"/>
              <w:sz w:val="21"/>
              <w:szCs w:val="28"/>
            </w:rPr>
            <w:t xml:space="preserve">二、 </w:t>
          </w:r>
          <w:r>
            <w:rPr>
              <w:rFonts w:ascii="Times New Roman" w:hAnsi="Times New Roman" w:eastAsia="黑体" w:cs="Times New Roman"/>
              <w:bCs w:val="0"/>
              <w:sz w:val="21"/>
              <w:szCs w:val="28"/>
            </w:rPr>
            <w:t>集中监管</w:t>
          </w:r>
          <w:r>
            <w:rPr>
              <w:sz w:val="21"/>
              <w:szCs w:val="21"/>
            </w:rPr>
            <w:tab/>
          </w:r>
          <w:r>
            <w:rPr>
              <w:sz w:val="21"/>
              <w:szCs w:val="21"/>
            </w:rPr>
            <w:fldChar w:fldCharType="begin"/>
          </w:r>
          <w:r>
            <w:rPr>
              <w:sz w:val="21"/>
              <w:szCs w:val="21"/>
            </w:rPr>
            <w:instrText xml:space="preserve"> PAGEREF _Toc5744 \h </w:instrText>
          </w:r>
          <w:r>
            <w:rPr>
              <w:sz w:val="21"/>
              <w:szCs w:val="21"/>
            </w:rPr>
            <w:fldChar w:fldCharType="separate"/>
          </w:r>
          <w:r>
            <w:rPr>
              <w:sz w:val="21"/>
              <w:szCs w:val="21"/>
            </w:rPr>
            <w:t>14</w:t>
          </w:r>
          <w:r>
            <w:rPr>
              <w:sz w:val="21"/>
              <w:szCs w:val="21"/>
            </w:rPr>
            <w:fldChar w:fldCharType="end"/>
          </w:r>
          <w:r>
            <w:rPr>
              <w:sz w:val="21"/>
              <w:szCs w:val="21"/>
            </w:rPr>
            <w:fldChar w:fldCharType="end"/>
          </w:r>
        </w:p>
        <w:p w14:paraId="1AE3AB89">
          <w:pPr>
            <w:pStyle w:val="31"/>
            <w:tabs>
              <w:tab w:val="right" w:leader="dot" w:pos="9648"/>
            </w:tabs>
            <w:rPr>
              <w:sz w:val="21"/>
              <w:szCs w:val="21"/>
            </w:rPr>
          </w:pPr>
          <w:r>
            <w:rPr>
              <w:sz w:val="21"/>
              <w:szCs w:val="21"/>
            </w:rPr>
            <w:fldChar w:fldCharType="begin"/>
          </w:r>
          <w:r>
            <w:rPr>
              <w:sz w:val="21"/>
              <w:szCs w:val="21"/>
            </w:rPr>
            <w:instrText xml:space="preserve"> HYPERLINK \l _Toc7844 </w:instrText>
          </w:r>
          <w:r>
            <w:rPr>
              <w:sz w:val="21"/>
              <w:szCs w:val="21"/>
            </w:rPr>
            <w:fldChar w:fldCharType="separate"/>
          </w:r>
          <w:r>
            <w:rPr>
              <w:rFonts w:hint="default" w:eastAsia="黑体"/>
              <w:bCs w:val="0"/>
              <w:sz w:val="21"/>
              <w:szCs w:val="22"/>
            </w:rPr>
            <w:t xml:space="preserve">1. </w:t>
          </w:r>
          <w:r>
            <w:rPr>
              <w:rFonts w:ascii="Times New Roman" w:hAnsi="Times New Roman" w:eastAsia="黑体" w:cs="Times New Roman"/>
              <w:bCs w:val="0"/>
              <w:sz w:val="21"/>
              <w:szCs w:val="22"/>
            </w:rPr>
            <w:t>指标管控</w:t>
          </w:r>
          <w:r>
            <w:rPr>
              <w:sz w:val="21"/>
              <w:szCs w:val="21"/>
            </w:rPr>
            <w:tab/>
          </w:r>
          <w:r>
            <w:rPr>
              <w:sz w:val="21"/>
              <w:szCs w:val="21"/>
            </w:rPr>
            <w:fldChar w:fldCharType="begin"/>
          </w:r>
          <w:r>
            <w:rPr>
              <w:sz w:val="21"/>
              <w:szCs w:val="21"/>
            </w:rPr>
            <w:instrText xml:space="preserve"> PAGEREF _Toc7844 \h </w:instrText>
          </w:r>
          <w:r>
            <w:rPr>
              <w:sz w:val="21"/>
              <w:szCs w:val="21"/>
            </w:rPr>
            <w:fldChar w:fldCharType="separate"/>
          </w:r>
          <w:r>
            <w:rPr>
              <w:sz w:val="21"/>
              <w:szCs w:val="21"/>
            </w:rPr>
            <w:t>15</w:t>
          </w:r>
          <w:r>
            <w:rPr>
              <w:sz w:val="21"/>
              <w:szCs w:val="21"/>
            </w:rPr>
            <w:fldChar w:fldCharType="end"/>
          </w:r>
          <w:r>
            <w:rPr>
              <w:sz w:val="21"/>
              <w:szCs w:val="21"/>
            </w:rPr>
            <w:fldChar w:fldCharType="end"/>
          </w:r>
        </w:p>
        <w:p w14:paraId="7379E27F">
          <w:pPr>
            <w:pStyle w:val="31"/>
            <w:tabs>
              <w:tab w:val="right" w:leader="dot" w:pos="9648"/>
            </w:tabs>
            <w:rPr>
              <w:sz w:val="21"/>
              <w:szCs w:val="21"/>
            </w:rPr>
          </w:pPr>
          <w:r>
            <w:rPr>
              <w:sz w:val="21"/>
              <w:szCs w:val="21"/>
            </w:rPr>
            <w:fldChar w:fldCharType="begin"/>
          </w:r>
          <w:r>
            <w:rPr>
              <w:sz w:val="21"/>
              <w:szCs w:val="21"/>
            </w:rPr>
            <w:instrText xml:space="preserve"> HYPERLINK \l _Toc9809 </w:instrText>
          </w:r>
          <w:r>
            <w:rPr>
              <w:sz w:val="21"/>
              <w:szCs w:val="21"/>
            </w:rPr>
            <w:fldChar w:fldCharType="separate"/>
          </w:r>
          <w:r>
            <w:rPr>
              <w:rFonts w:hint="default" w:eastAsia="黑体"/>
              <w:bCs w:val="0"/>
              <w:sz w:val="21"/>
              <w:szCs w:val="22"/>
            </w:rPr>
            <w:t xml:space="preserve">2. </w:t>
          </w:r>
          <w:r>
            <w:rPr>
              <w:rFonts w:ascii="Times New Roman" w:hAnsi="Times New Roman" w:eastAsia="黑体" w:cs="Times New Roman"/>
              <w:bCs w:val="0"/>
              <w:sz w:val="21"/>
              <w:szCs w:val="22"/>
            </w:rPr>
            <w:t>数据变化详情</w:t>
          </w:r>
          <w:r>
            <w:rPr>
              <w:sz w:val="21"/>
              <w:szCs w:val="21"/>
            </w:rPr>
            <w:tab/>
          </w:r>
          <w:r>
            <w:rPr>
              <w:sz w:val="21"/>
              <w:szCs w:val="21"/>
            </w:rPr>
            <w:fldChar w:fldCharType="begin"/>
          </w:r>
          <w:r>
            <w:rPr>
              <w:sz w:val="21"/>
              <w:szCs w:val="21"/>
            </w:rPr>
            <w:instrText xml:space="preserve"> PAGEREF _Toc9809 \h </w:instrText>
          </w:r>
          <w:r>
            <w:rPr>
              <w:sz w:val="21"/>
              <w:szCs w:val="21"/>
            </w:rPr>
            <w:fldChar w:fldCharType="separate"/>
          </w:r>
          <w:r>
            <w:rPr>
              <w:sz w:val="21"/>
              <w:szCs w:val="21"/>
            </w:rPr>
            <w:t>24</w:t>
          </w:r>
          <w:r>
            <w:rPr>
              <w:sz w:val="21"/>
              <w:szCs w:val="21"/>
            </w:rPr>
            <w:fldChar w:fldCharType="end"/>
          </w:r>
          <w:r>
            <w:rPr>
              <w:sz w:val="21"/>
              <w:szCs w:val="21"/>
            </w:rPr>
            <w:fldChar w:fldCharType="end"/>
          </w:r>
        </w:p>
        <w:p w14:paraId="1820AAF9">
          <w:pPr>
            <w:pStyle w:val="31"/>
            <w:tabs>
              <w:tab w:val="right" w:leader="dot" w:pos="9648"/>
            </w:tabs>
            <w:rPr>
              <w:sz w:val="21"/>
              <w:szCs w:val="21"/>
            </w:rPr>
          </w:pPr>
          <w:r>
            <w:rPr>
              <w:sz w:val="21"/>
              <w:szCs w:val="21"/>
            </w:rPr>
            <w:fldChar w:fldCharType="begin"/>
          </w:r>
          <w:r>
            <w:rPr>
              <w:sz w:val="21"/>
              <w:szCs w:val="21"/>
            </w:rPr>
            <w:instrText xml:space="preserve"> HYPERLINK \l _Toc13406 </w:instrText>
          </w:r>
          <w:r>
            <w:rPr>
              <w:sz w:val="21"/>
              <w:szCs w:val="21"/>
            </w:rPr>
            <w:fldChar w:fldCharType="separate"/>
          </w:r>
          <w:r>
            <w:rPr>
              <w:rFonts w:hint="default" w:eastAsia="黑体"/>
              <w:bCs w:val="0"/>
              <w:sz w:val="21"/>
              <w:szCs w:val="22"/>
            </w:rPr>
            <w:t xml:space="preserve">3. </w:t>
          </w:r>
          <w:r>
            <w:rPr>
              <w:rFonts w:ascii="Times New Roman" w:hAnsi="Times New Roman" w:eastAsia="黑体" w:cs="Times New Roman"/>
              <w:bCs w:val="0"/>
              <w:sz w:val="21"/>
              <w:szCs w:val="22"/>
            </w:rPr>
            <w:t>用能在线监测</w:t>
          </w:r>
          <w:r>
            <w:rPr>
              <w:sz w:val="21"/>
              <w:szCs w:val="21"/>
            </w:rPr>
            <w:tab/>
          </w:r>
          <w:r>
            <w:rPr>
              <w:sz w:val="21"/>
              <w:szCs w:val="21"/>
            </w:rPr>
            <w:fldChar w:fldCharType="begin"/>
          </w:r>
          <w:r>
            <w:rPr>
              <w:sz w:val="21"/>
              <w:szCs w:val="21"/>
            </w:rPr>
            <w:instrText xml:space="preserve"> PAGEREF _Toc13406 \h </w:instrText>
          </w:r>
          <w:r>
            <w:rPr>
              <w:sz w:val="21"/>
              <w:szCs w:val="21"/>
            </w:rPr>
            <w:fldChar w:fldCharType="separate"/>
          </w:r>
          <w:r>
            <w:rPr>
              <w:sz w:val="21"/>
              <w:szCs w:val="21"/>
            </w:rPr>
            <w:t>28</w:t>
          </w:r>
          <w:r>
            <w:rPr>
              <w:sz w:val="21"/>
              <w:szCs w:val="21"/>
            </w:rPr>
            <w:fldChar w:fldCharType="end"/>
          </w:r>
          <w:r>
            <w:rPr>
              <w:sz w:val="21"/>
              <w:szCs w:val="21"/>
            </w:rPr>
            <w:fldChar w:fldCharType="end"/>
          </w:r>
        </w:p>
        <w:p w14:paraId="4779EA14">
          <w:pPr>
            <w:pStyle w:val="31"/>
            <w:tabs>
              <w:tab w:val="right" w:leader="dot" w:pos="9648"/>
            </w:tabs>
            <w:rPr>
              <w:sz w:val="21"/>
              <w:szCs w:val="21"/>
            </w:rPr>
          </w:pPr>
          <w:r>
            <w:rPr>
              <w:sz w:val="21"/>
              <w:szCs w:val="21"/>
            </w:rPr>
            <w:fldChar w:fldCharType="begin"/>
          </w:r>
          <w:r>
            <w:rPr>
              <w:sz w:val="21"/>
              <w:szCs w:val="21"/>
            </w:rPr>
            <w:instrText xml:space="preserve"> HYPERLINK \l _Toc18727 </w:instrText>
          </w:r>
          <w:r>
            <w:rPr>
              <w:sz w:val="21"/>
              <w:szCs w:val="21"/>
            </w:rPr>
            <w:fldChar w:fldCharType="separate"/>
          </w:r>
          <w:r>
            <w:rPr>
              <w:rFonts w:hint="default" w:eastAsia="黑体"/>
              <w:bCs w:val="0"/>
              <w:sz w:val="21"/>
              <w:szCs w:val="22"/>
            </w:rPr>
            <w:t xml:space="preserve">4. </w:t>
          </w:r>
          <w:r>
            <w:rPr>
              <w:rFonts w:ascii="Times New Roman" w:hAnsi="Times New Roman" w:eastAsia="黑体" w:cs="Times New Roman"/>
              <w:bCs w:val="0"/>
              <w:sz w:val="21"/>
              <w:szCs w:val="22"/>
            </w:rPr>
            <w:t>重点设备在线监测</w:t>
          </w:r>
          <w:r>
            <w:rPr>
              <w:sz w:val="21"/>
              <w:szCs w:val="21"/>
            </w:rPr>
            <w:tab/>
          </w:r>
          <w:r>
            <w:rPr>
              <w:sz w:val="21"/>
              <w:szCs w:val="21"/>
            </w:rPr>
            <w:fldChar w:fldCharType="begin"/>
          </w:r>
          <w:r>
            <w:rPr>
              <w:sz w:val="21"/>
              <w:szCs w:val="21"/>
            </w:rPr>
            <w:instrText xml:space="preserve"> PAGEREF _Toc18727 \h </w:instrText>
          </w:r>
          <w:r>
            <w:rPr>
              <w:sz w:val="21"/>
              <w:szCs w:val="21"/>
            </w:rPr>
            <w:fldChar w:fldCharType="separate"/>
          </w:r>
          <w:r>
            <w:rPr>
              <w:sz w:val="21"/>
              <w:szCs w:val="21"/>
            </w:rPr>
            <w:t>33</w:t>
          </w:r>
          <w:r>
            <w:rPr>
              <w:sz w:val="21"/>
              <w:szCs w:val="21"/>
            </w:rPr>
            <w:fldChar w:fldCharType="end"/>
          </w:r>
          <w:r>
            <w:rPr>
              <w:sz w:val="21"/>
              <w:szCs w:val="21"/>
            </w:rPr>
            <w:fldChar w:fldCharType="end"/>
          </w:r>
        </w:p>
        <w:p w14:paraId="63A83E2B">
          <w:pPr>
            <w:pStyle w:val="31"/>
            <w:tabs>
              <w:tab w:val="right" w:leader="dot" w:pos="9648"/>
            </w:tabs>
            <w:rPr>
              <w:sz w:val="21"/>
              <w:szCs w:val="21"/>
            </w:rPr>
          </w:pPr>
          <w:r>
            <w:rPr>
              <w:sz w:val="21"/>
              <w:szCs w:val="21"/>
            </w:rPr>
            <w:fldChar w:fldCharType="begin"/>
          </w:r>
          <w:r>
            <w:rPr>
              <w:sz w:val="21"/>
              <w:szCs w:val="21"/>
            </w:rPr>
            <w:instrText xml:space="preserve"> HYPERLINK \l _Toc879 </w:instrText>
          </w:r>
          <w:r>
            <w:rPr>
              <w:sz w:val="21"/>
              <w:szCs w:val="21"/>
            </w:rPr>
            <w:fldChar w:fldCharType="separate"/>
          </w:r>
          <w:r>
            <w:rPr>
              <w:rFonts w:hint="default" w:eastAsia="黑体"/>
              <w:bCs w:val="0"/>
              <w:sz w:val="21"/>
              <w:szCs w:val="22"/>
            </w:rPr>
            <w:t xml:space="preserve">5. </w:t>
          </w:r>
          <w:r>
            <w:rPr>
              <w:rFonts w:ascii="Times New Roman" w:hAnsi="Times New Roman" w:eastAsia="黑体" w:cs="Times New Roman"/>
              <w:bCs w:val="0"/>
              <w:sz w:val="21"/>
              <w:szCs w:val="22"/>
            </w:rPr>
            <w:t>工业微电网监测</w:t>
          </w:r>
          <w:r>
            <w:rPr>
              <w:sz w:val="21"/>
              <w:szCs w:val="21"/>
            </w:rPr>
            <w:tab/>
          </w:r>
          <w:r>
            <w:rPr>
              <w:sz w:val="21"/>
              <w:szCs w:val="21"/>
            </w:rPr>
            <w:fldChar w:fldCharType="begin"/>
          </w:r>
          <w:r>
            <w:rPr>
              <w:sz w:val="21"/>
              <w:szCs w:val="21"/>
            </w:rPr>
            <w:instrText xml:space="preserve"> PAGEREF _Toc879 \h </w:instrText>
          </w:r>
          <w:r>
            <w:rPr>
              <w:sz w:val="21"/>
              <w:szCs w:val="21"/>
            </w:rPr>
            <w:fldChar w:fldCharType="separate"/>
          </w:r>
          <w:r>
            <w:rPr>
              <w:sz w:val="21"/>
              <w:szCs w:val="21"/>
            </w:rPr>
            <w:t>37</w:t>
          </w:r>
          <w:r>
            <w:rPr>
              <w:sz w:val="21"/>
              <w:szCs w:val="21"/>
            </w:rPr>
            <w:fldChar w:fldCharType="end"/>
          </w:r>
          <w:r>
            <w:rPr>
              <w:sz w:val="21"/>
              <w:szCs w:val="21"/>
            </w:rPr>
            <w:fldChar w:fldCharType="end"/>
          </w:r>
        </w:p>
        <w:p w14:paraId="63D36065">
          <w:pPr>
            <w:pStyle w:val="31"/>
            <w:tabs>
              <w:tab w:val="right" w:leader="dot" w:pos="9648"/>
            </w:tabs>
            <w:rPr>
              <w:sz w:val="21"/>
              <w:szCs w:val="21"/>
            </w:rPr>
          </w:pPr>
          <w:r>
            <w:rPr>
              <w:sz w:val="21"/>
              <w:szCs w:val="21"/>
            </w:rPr>
            <w:fldChar w:fldCharType="begin"/>
          </w:r>
          <w:r>
            <w:rPr>
              <w:sz w:val="21"/>
              <w:szCs w:val="21"/>
            </w:rPr>
            <w:instrText xml:space="preserve"> HYPERLINK \l _Toc2652 </w:instrText>
          </w:r>
          <w:r>
            <w:rPr>
              <w:sz w:val="21"/>
              <w:szCs w:val="21"/>
            </w:rPr>
            <w:fldChar w:fldCharType="separate"/>
          </w:r>
          <w:r>
            <w:rPr>
              <w:rFonts w:hint="default" w:eastAsia="黑体"/>
              <w:bCs w:val="0"/>
              <w:sz w:val="21"/>
              <w:szCs w:val="22"/>
            </w:rPr>
            <w:t xml:space="preserve">6. </w:t>
          </w:r>
          <w:r>
            <w:rPr>
              <w:rFonts w:ascii="Times New Roman" w:hAnsi="Times New Roman" w:eastAsia="黑体" w:cs="Times New Roman"/>
              <w:bCs w:val="0"/>
              <w:sz w:val="21"/>
              <w:szCs w:val="22"/>
            </w:rPr>
            <w:t>能源碳排放监测</w:t>
          </w:r>
          <w:r>
            <w:rPr>
              <w:sz w:val="21"/>
              <w:szCs w:val="21"/>
            </w:rPr>
            <w:tab/>
          </w:r>
          <w:r>
            <w:rPr>
              <w:sz w:val="21"/>
              <w:szCs w:val="21"/>
            </w:rPr>
            <w:fldChar w:fldCharType="begin"/>
          </w:r>
          <w:r>
            <w:rPr>
              <w:sz w:val="21"/>
              <w:szCs w:val="21"/>
            </w:rPr>
            <w:instrText xml:space="preserve"> PAGEREF _Toc2652 \h </w:instrText>
          </w:r>
          <w:r>
            <w:rPr>
              <w:sz w:val="21"/>
              <w:szCs w:val="21"/>
            </w:rPr>
            <w:fldChar w:fldCharType="separate"/>
          </w:r>
          <w:r>
            <w:rPr>
              <w:sz w:val="21"/>
              <w:szCs w:val="21"/>
            </w:rPr>
            <w:t>41</w:t>
          </w:r>
          <w:r>
            <w:rPr>
              <w:sz w:val="21"/>
              <w:szCs w:val="21"/>
            </w:rPr>
            <w:fldChar w:fldCharType="end"/>
          </w:r>
          <w:r>
            <w:rPr>
              <w:sz w:val="21"/>
              <w:szCs w:val="21"/>
            </w:rPr>
            <w:fldChar w:fldCharType="end"/>
          </w:r>
        </w:p>
        <w:p w14:paraId="54270254">
          <w:pPr>
            <w:pStyle w:val="27"/>
            <w:tabs>
              <w:tab w:val="right" w:leader="dot" w:pos="9648"/>
            </w:tabs>
            <w:rPr>
              <w:sz w:val="21"/>
              <w:szCs w:val="21"/>
            </w:rPr>
          </w:pPr>
          <w:r>
            <w:rPr>
              <w:sz w:val="21"/>
              <w:szCs w:val="21"/>
            </w:rPr>
            <w:fldChar w:fldCharType="begin"/>
          </w:r>
          <w:r>
            <w:rPr>
              <w:sz w:val="21"/>
              <w:szCs w:val="21"/>
            </w:rPr>
            <w:instrText xml:space="preserve"> HYPERLINK \l _Toc13625 </w:instrText>
          </w:r>
          <w:r>
            <w:rPr>
              <w:sz w:val="21"/>
              <w:szCs w:val="21"/>
            </w:rPr>
            <w:fldChar w:fldCharType="separate"/>
          </w:r>
          <w:r>
            <w:rPr>
              <w:rFonts w:hint="eastAsia" w:eastAsia="黑体"/>
              <w:bCs w:val="0"/>
              <w:sz w:val="21"/>
              <w:szCs w:val="28"/>
            </w:rPr>
            <w:t xml:space="preserve">三、 </w:t>
          </w:r>
          <w:r>
            <w:rPr>
              <w:rFonts w:ascii="Times New Roman" w:hAnsi="Times New Roman" w:eastAsia="黑体" w:cs="Times New Roman"/>
              <w:bCs w:val="0"/>
              <w:sz w:val="21"/>
              <w:szCs w:val="28"/>
            </w:rPr>
            <w:t>能耗能效分析</w:t>
          </w:r>
          <w:r>
            <w:rPr>
              <w:sz w:val="21"/>
              <w:szCs w:val="21"/>
            </w:rPr>
            <w:tab/>
          </w:r>
          <w:r>
            <w:rPr>
              <w:sz w:val="21"/>
              <w:szCs w:val="21"/>
            </w:rPr>
            <w:fldChar w:fldCharType="begin"/>
          </w:r>
          <w:r>
            <w:rPr>
              <w:sz w:val="21"/>
              <w:szCs w:val="21"/>
            </w:rPr>
            <w:instrText xml:space="preserve"> PAGEREF _Toc13625 \h </w:instrText>
          </w:r>
          <w:r>
            <w:rPr>
              <w:sz w:val="21"/>
              <w:szCs w:val="21"/>
            </w:rPr>
            <w:fldChar w:fldCharType="separate"/>
          </w:r>
          <w:r>
            <w:rPr>
              <w:sz w:val="21"/>
              <w:szCs w:val="21"/>
            </w:rPr>
            <w:t>44</w:t>
          </w:r>
          <w:r>
            <w:rPr>
              <w:sz w:val="21"/>
              <w:szCs w:val="21"/>
            </w:rPr>
            <w:fldChar w:fldCharType="end"/>
          </w:r>
          <w:r>
            <w:rPr>
              <w:sz w:val="21"/>
              <w:szCs w:val="21"/>
            </w:rPr>
            <w:fldChar w:fldCharType="end"/>
          </w:r>
        </w:p>
        <w:p w14:paraId="37318869">
          <w:pPr>
            <w:pStyle w:val="31"/>
            <w:tabs>
              <w:tab w:val="right" w:leader="dot" w:pos="9648"/>
            </w:tabs>
            <w:rPr>
              <w:sz w:val="21"/>
              <w:szCs w:val="21"/>
            </w:rPr>
          </w:pPr>
          <w:r>
            <w:rPr>
              <w:sz w:val="21"/>
              <w:szCs w:val="21"/>
            </w:rPr>
            <w:fldChar w:fldCharType="begin"/>
          </w:r>
          <w:r>
            <w:rPr>
              <w:sz w:val="21"/>
              <w:szCs w:val="21"/>
            </w:rPr>
            <w:instrText xml:space="preserve"> HYPERLINK \l _Toc4835 </w:instrText>
          </w:r>
          <w:r>
            <w:rPr>
              <w:sz w:val="21"/>
              <w:szCs w:val="21"/>
            </w:rPr>
            <w:fldChar w:fldCharType="separate"/>
          </w:r>
          <w:r>
            <w:rPr>
              <w:rFonts w:hint="default" w:eastAsia="黑体"/>
              <w:bCs w:val="0"/>
              <w:sz w:val="21"/>
              <w:szCs w:val="22"/>
            </w:rPr>
            <w:t xml:space="preserve">1. </w:t>
          </w:r>
          <w:r>
            <w:rPr>
              <w:rFonts w:ascii="Times New Roman" w:hAnsi="Times New Roman" w:eastAsia="黑体" w:cs="Times New Roman"/>
              <w:bCs w:val="0"/>
              <w:sz w:val="21"/>
              <w:szCs w:val="22"/>
            </w:rPr>
            <w:t>用能结构分析</w:t>
          </w:r>
          <w:r>
            <w:rPr>
              <w:sz w:val="21"/>
              <w:szCs w:val="21"/>
            </w:rPr>
            <w:tab/>
          </w:r>
          <w:r>
            <w:rPr>
              <w:sz w:val="21"/>
              <w:szCs w:val="21"/>
            </w:rPr>
            <w:fldChar w:fldCharType="begin"/>
          </w:r>
          <w:r>
            <w:rPr>
              <w:sz w:val="21"/>
              <w:szCs w:val="21"/>
            </w:rPr>
            <w:instrText xml:space="preserve"> PAGEREF _Toc4835 \h </w:instrText>
          </w:r>
          <w:r>
            <w:rPr>
              <w:sz w:val="21"/>
              <w:szCs w:val="21"/>
            </w:rPr>
            <w:fldChar w:fldCharType="separate"/>
          </w:r>
          <w:r>
            <w:rPr>
              <w:sz w:val="21"/>
              <w:szCs w:val="21"/>
            </w:rPr>
            <w:t>45</w:t>
          </w:r>
          <w:r>
            <w:rPr>
              <w:sz w:val="21"/>
              <w:szCs w:val="21"/>
            </w:rPr>
            <w:fldChar w:fldCharType="end"/>
          </w:r>
          <w:r>
            <w:rPr>
              <w:sz w:val="21"/>
              <w:szCs w:val="21"/>
            </w:rPr>
            <w:fldChar w:fldCharType="end"/>
          </w:r>
        </w:p>
        <w:p w14:paraId="4F973BD2">
          <w:pPr>
            <w:pStyle w:val="31"/>
            <w:tabs>
              <w:tab w:val="right" w:leader="dot" w:pos="9648"/>
            </w:tabs>
            <w:rPr>
              <w:sz w:val="21"/>
              <w:szCs w:val="21"/>
            </w:rPr>
          </w:pPr>
          <w:r>
            <w:rPr>
              <w:sz w:val="21"/>
              <w:szCs w:val="21"/>
            </w:rPr>
            <w:fldChar w:fldCharType="begin"/>
          </w:r>
          <w:r>
            <w:rPr>
              <w:sz w:val="21"/>
              <w:szCs w:val="21"/>
            </w:rPr>
            <w:instrText xml:space="preserve"> HYPERLINK \l _Toc18327 </w:instrText>
          </w:r>
          <w:r>
            <w:rPr>
              <w:sz w:val="21"/>
              <w:szCs w:val="21"/>
            </w:rPr>
            <w:fldChar w:fldCharType="separate"/>
          </w:r>
          <w:r>
            <w:rPr>
              <w:rFonts w:hint="default" w:eastAsia="黑体"/>
              <w:bCs w:val="0"/>
              <w:sz w:val="21"/>
              <w:szCs w:val="22"/>
            </w:rPr>
            <w:t xml:space="preserve">2. </w:t>
          </w:r>
          <w:r>
            <w:rPr>
              <w:rFonts w:ascii="Times New Roman" w:hAnsi="Times New Roman" w:eastAsia="黑体" w:cs="Times New Roman"/>
              <w:bCs w:val="0"/>
              <w:sz w:val="21"/>
              <w:szCs w:val="22"/>
            </w:rPr>
            <w:t>能源成本分析</w:t>
          </w:r>
          <w:r>
            <w:rPr>
              <w:sz w:val="21"/>
              <w:szCs w:val="21"/>
            </w:rPr>
            <w:tab/>
          </w:r>
          <w:r>
            <w:rPr>
              <w:sz w:val="21"/>
              <w:szCs w:val="21"/>
            </w:rPr>
            <w:fldChar w:fldCharType="begin"/>
          </w:r>
          <w:r>
            <w:rPr>
              <w:sz w:val="21"/>
              <w:szCs w:val="21"/>
            </w:rPr>
            <w:instrText xml:space="preserve"> PAGEREF _Toc18327 \h </w:instrText>
          </w:r>
          <w:r>
            <w:rPr>
              <w:sz w:val="21"/>
              <w:szCs w:val="21"/>
            </w:rPr>
            <w:fldChar w:fldCharType="separate"/>
          </w:r>
          <w:r>
            <w:rPr>
              <w:sz w:val="21"/>
              <w:szCs w:val="21"/>
            </w:rPr>
            <w:t>48</w:t>
          </w:r>
          <w:r>
            <w:rPr>
              <w:sz w:val="21"/>
              <w:szCs w:val="21"/>
            </w:rPr>
            <w:fldChar w:fldCharType="end"/>
          </w:r>
          <w:r>
            <w:rPr>
              <w:sz w:val="21"/>
              <w:szCs w:val="21"/>
            </w:rPr>
            <w:fldChar w:fldCharType="end"/>
          </w:r>
        </w:p>
        <w:p w14:paraId="643AECF2">
          <w:pPr>
            <w:pStyle w:val="31"/>
            <w:tabs>
              <w:tab w:val="right" w:leader="dot" w:pos="9648"/>
            </w:tabs>
            <w:rPr>
              <w:sz w:val="21"/>
              <w:szCs w:val="21"/>
            </w:rPr>
          </w:pPr>
          <w:r>
            <w:rPr>
              <w:sz w:val="21"/>
              <w:szCs w:val="21"/>
            </w:rPr>
            <w:fldChar w:fldCharType="begin"/>
          </w:r>
          <w:r>
            <w:rPr>
              <w:sz w:val="21"/>
              <w:szCs w:val="21"/>
            </w:rPr>
            <w:instrText xml:space="preserve"> HYPERLINK \l _Toc18198 </w:instrText>
          </w:r>
          <w:r>
            <w:rPr>
              <w:sz w:val="21"/>
              <w:szCs w:val="21"/>
            </w:rPr>
            <w:fldChar w:fldCharType="separate"/>
          </w:r>
          <w:r>
            <w:rPr>
              <w:rFonts w:hint="default" w:eastAsia="黑体"/>
              <w:bCs w:val="0"/>
              <w:sz w:val="21"/>
              <w:szCs w:val="22"/>
            </w:rPr>
            <w:t xml:space="preserve">3. </w:t>
          </w:r>
          <w:r>
            <w:rPr>
              <w:rFonts w:ascii="Times New Roman" w:hAnsi="Times New Roman" w:eastAsia="黑体" w:cs="Times New Roman"/>
              <w:bCs w:val="0"/>
              <w:sz w:val="21"/>
              <w:szCs w:val="22"/>
            </w:rPr>
            <w:t>单位产品能耗</w:t>
          </w:r>
          <w:r>
            <w:rPr>
              <w:sz w:val="21"/>
              <w:szCs w:val="21"/>
            </w:rPr>
            <w:tab/>
          </w:r>
          <w:r>
            <w:rPr>
              <w:sz w:val="21"/>
              <w:szCs w:val="21"/>
            </w:rPr>
            <w:fldChar w:fldCharType="begin"/>
          </w:r>
          <w:r>
            <w:rPr>
              <w:sz w:val="21"/>
              <w:szCs w:val="21"/>
            </w:rPr>
            <w:instrText xml:space="preserve"> PAGEREF _Toc18198 \h </w:instrText>
          </w:r>
          <w:r>
            <w:rPr>
              <w:sz w:val="21"/>
              <w:szCs w:val="21"/>
            </w:rPr>
            <w:fldChar w:fldCharType="separate"/>
          </w:r>
          <w:r>
            <w:rPr>
              <w:sz w:val="21"/>
              <w:szCs w:val="21"/>
            </w:rPr>
            <w:t>51</w:t>
          </w:r>
          <w:r>
            <w:rPr>
              <w:sz w:val="21"/>
              <w:szCs w:val="21"/>
            </w:rPr>
            <w:fldChar w:fldCharType="end"/>
          </w:r>
          <w:r>
            <w:rPr>
              <w:sz w:val="21"/>
              <w:szCs w:val="21"/>
            </w:rPr>
            <w:fldChar w:fldCharType="end"/>
          </w:r>
        </w:p>
        <w:p w14:paraId="27441711">
          <w:pPr>
            <w:pStyle w:val="31"/>
            <w:tabs>
              <w:tab w:val="right" w:leader="dot" w:pos="9648"/>
            </w:tabs>
            <w:rPr>
              <w:sz w:val="21"/>
              <w:szCs w:val="21"/>
            </w:rPr>
          </w:pPr>
          <w:r>
            <w:rPr>
              <w:sz w:val="21"/>
              <w:szCs w:val="21"/>
            </w:rPr>
            <w:fldChar w:fldCharType="begin"/>
          </w:r>
          <w:r>
            <w:rPr>
              <w:sz w:val="21"/>
              <w:szCs w:val="21"/>
            </w:rPr>
            <w:instrText xml:space="preserve"> HYPERLINK \l _Toc7098 </w:instrText>
          </w:r>
          <w:r>
            <w:rPr>
              <w:sz w:val="21"/>
              <w:szCs w:val="21"/>
            </w:rPr>
            <w:fldChar w:fldCharType="separate"/>
          </w:r>
          <w:r>
            <w:rPr>
              <w:rFonts w:hint="default" w:eastAsia="黑体"/>
              <w:bCs w:val="0"/>
              <w:sz w:val="21"/>
              <w:szCs w:val="22"/>
            </w:rPr>
            <w:t xml:space="preserve">4. </w:t>
          </w:r>
          <w:r>
            <w:rPr>
              <w:rFonts w:ascii="Times New Roman" w:hAnsi="Times New Roman" w:eastAsia="黑体" w:cs="Times New Roman"/>
              <w:bCs w:val="0"/>
              <w:sz w:val="21"/>
              <w:szCs w:val="22"/>
            </w:rPr>
            <w:t>单位产值能耗</w:t>
          </w:r>
          <w:r>
            <w:rPr>
              <w:sz w:val="21"/>
              <w:szCs w:val="21"/>
            </w:rPr>
            <w:tab/>
          </w:r>
          <w:r>
            <w:rPr>
              <w:sz w:val="21"/>
              <w:szCs w:val="21"/>
            </w:rPr>
            <w:fldChar w:fldCharType="begin"/>
          </w:r>
          <w:r>
            <w:rPr>
              <w:sz w:val="21"/>
              <w:szCs w:val="21"/>
            </w:rPr>
            <w:instrText xml:space="preserve"> PAGEREF _Toc7098 \h </w:instrText>
          </w:r>
          <w:r>
            <w:rPr>
              <w:sz w:val="21"/>
              <w:szCs w:val="21"/>
            </w:rPr>
            <w:fldChar w:fldCharType="separate"/>
          </w:r>
          <w:r>
            <w:rPr>
              <w:sz w:val="21"/>
              <w:szCs w:val="21"/>
            </w:rPr>
            <w:t>55</w:t>
          </w:r>
          <w:r>
            <w:rPr>
              <w:sz w:val="21"/>
              <w:szCs w:val="21"/>
            </w:rPr>
            <w:fldChar w:fldCharType="end"/>
          </w:r>
          <w:r>
            <w:rPr>
              <w:sz w:val="21"/>
              <w:szCs w:val="21"/>
            </w:rPr>
            <w:fldChar w:fldCharType="end"/>
          </w:r>
        </w:p>
        <w:p w14:paraId="38DCBFAA">
          <w:pPr>
            <w:pStyle w:val="31"/>
            <w:tabs>
              <w:tab w:val="right" w:leader="dot" w:pos="9648"/>
            </w:tabs>
            <w:rPr>
              <w:sz w:val="21"/>
              <w:szCs w:val="21"/>
            </w:rPr>
          </w:pPr>
          <w:r>
            <w:rPr>
              <w:sz w:val="21"/>
              <w:szCs w:val="21"/>
            </w:rPr>
            <w:fldChar w:fldCharType="begin"/>
          </w:r>
          <w:r>
            <w:rPr>
              <w:sz w:val="21"/>
              <w:szCs w:val="21"/>
            </w:rPr>
            <w:instrText xml:space="preserve"> HYPERLINK \l _Toc24728 </w:instrText>
          </w:r>
          <w:r>
            <w:rPr>
              <w:sz w:val="21"/>
              <w:szCs w:val="21"/>
            </w:rPr>
            <w:fldChar w:fldCharType="separate"/>
          </w:r>
          <w:r>
            <w:rPr>
              <w:rFonts w:hint="default" w:eastAsia="黑体"/>
              <w:bCs w:val="0"/>
              <w:sz w:val="21"/>
              <w:szCs w:val="22"/>
            </w:rPr>
            <w:t xml:space="preserve">5. </w:t>
          </w:r>
          <w:r>
            <w:rPr>
              <w:rFonts w:ascii="Times New Roman" w:hAnsi="Times New Roman" w:eastAsia="黑体" w:cs="Times New Roman"/>
              <w:bCs w:val="0"/>
              <w:sz w:val="21"/>
              <w:szCs w:val="22"/>
            </w:rPr>
            <w:t>对标管理</w:t>
          </w:r>
          <w:r>
            <w:rPr>
              <w:sz w:val="21"/>
              <w:szCs w:val="21"/>
            </w:rPr>
            <w:tab/>
          </w:r>
          <w:r>
            <w:rPr>
              <w:sz w:val="21"/>
              <w:szCs w:val="21"/>
            </w:rPr>
            <w:fldChar w:fldCharType="begin"/>
          </w:r>
          <w:r>
            <w:rPr>
              <w:sz w:val="21"/>
              <w:szCs w:val="21"/>
            </w:rPr>
            <w:instrText xml:space="preserve"> PAGEREF _Toc24728 \h </w:instrText>
          </w:r>
          <w:r>
            <w:rPr>
              <w:sz w:val="21"/>
              <w:szCs w:val="21"/>
            </w:rPr>
            <w:fldChar w:fldCharType="separate"/>
          </w:r>
          <w:r>
            <w:rPr>
              <w:sz w:val="21"/>
              <w:szCs w:val="21"/>
            </w:rPr>
            <w:t>59</w:t>
          </w:r>
          <w:r>
            <w:rPr>
              <w:sz w:val="21"/>
              <w:szCs w:val="21"/>
            </w:rPr>
            <w:fldChar w:fldCharType="end"/>
          </w:r>
          <w:r>
            <w:rPr>
              <w:sz w:val="21"/>
              <w:szCs w:val="21"/>
            </w:rPr>
            <w:fldChar w:fldCharType="end"/>
          </w:r>
        </w:p>
        <w:p w14:paraId="799968BD">
          <w:pPr>
            <w:pStyle w:val="31"/>
            <w:tabs>
              <w:tab w:val="right" w:leader="dot" w:pos="9648"/>
            </w:tabs>
            <w:rPr>
              <w:sz w:val="21"/>
              <w:szCs w:val="21"/>
            </w:rPr>
          </w:pPr>
          <w:r>
            <w:rPr>
              <w:sz w:val="21"/>
              <w:szCs w:val="21"/>
            </w:rPr>
            <w:fldChar w:fldCharType="begin"/>
          </w:r>
          <w:r>
            <w:rPr>
              <w:sz w:val="21"/>
              <w:szCs w:val="21"/>
            </w:rPr>
            <w:instrText xml:space="preserve"> HYPERLINK \l _Toc21770 </w:instrText>
          </w:r>
          <w:r>
            <w:rPr>
              <w:sz w:val="21"/>
              <w:szCs w:val="21"/>
            </w:rPr>
            <w:fldChar w:fldCharType="separate"/>
          </w:r>
          <w:r>
            <w:rPr>
              <w:rFonts w:hint="default" w:eastAsia="黑体"/>
              <w:bCs w:val="0"/>
              <w:sz w:val="21"/>
              <w:szCs w:val="22"/>
            </w:rPr>
            <w:t xml:space="preserve">6. </w:t>
          </w:r>
          <w:r>
            <w:rPr>
              <w:rFonts w:ascii="Times New Roman" w:hAnsi="Times New Roman" w:eastAsia="黑体" w:cs="Times New Roman"/>
              <w:bCs w:val="0"/>
              <w:sz w:val="21"/>
              <w:szCs w:val="22"/>
            </w:rPr>
            <w:t>综合能耗平衡与能效自评估</w:t>
          </w:r>
          <w:r>
            <w:rPr>
              <w:sz w:val="21"/>
              <w:szCs w:val="21"/>
            </w:rPr>
            <w:tab/>
          </w:r>
          <w:r>
            <w:rPr>
              <w:sz w:val="21"/>
              <w:szCs w:val="21"/>
            </w:rPr>
            <w:fldChar w:fldCharType="begin"/>
          </w:r>
          <w:r>
            <w:rPr>
              <w:sz w:val="21"/>
              <w:szCs w:val="21"/>
            </w:rPr>
            <w:instrText xml:space="preserve"> PAGEREF _Toc21770 \h </w:instrText>
          </w:r>
          <w:r>
            <w:rPr>
              <w:sz w:val="21"/>
              <w:szCs w:val="21"/>
            </w:rPr>
            <w:fldChar w:fldCharType="separate"/>
          </w:r>
          <w:r>
            <w:rPr>
              <w:sz w:val="21"/>
              <w:szCs w:val="21"/>
            </w:rPr>
            <w:t>64</w:t>
          </w:r>
          <w:r>
            <w:rPr>
              <w:sz w:val="21"/>
              <w:szCs w:val="21"/>
            </w:rPr>
            <w:fldChar w:fldCharType="end"/>
          </w:r>
          <w:r>
            <w:rPr>
              <w:sz w:val="21"/>
              <w:szCs w:val="21"/>
            </w:rPr>
            <w:fldChar w:fldCharType="end"/>
          </w:r>
        </w:p>
        <w:p w14:paraId="0EB4990F">
          <w:pPr>
            <w:pStyle w:val="27"/>
            <w:tabs>
              <w:tab w:val="right" w:leader="dot" w:pos="9648"/>
            </w:tabs>
            <w:rPr>
              <w:sz w:val="21"/>
              <w:szCs w:val="21"/>
            </w:rPr>
          </w:pPr>
          <w:r>
            <w:rPr>
              <w:sz w:val="21"/>
              <w:szCs w:val="21"/>
            </w:rPr>
            <w:fldChar w:fldCharType="begin"/>
          </w:r>
          <w:r>
            <w:rPr>
              <w:sz w:val="21"/>
              <w:szCs w:val="21"/>
            </w:rPr>
            <w:instrText xml:space="preserve"> HYPERLINK \l _Toc19522 </w:instrText>
          </w:r>
          <w:r>
            <w:rPr>
              <w:sz w:val="21"/>
              <w:szCs w:val="21"/>
            </w:rPr>
            <w:fldChar w:fldCharType="separate"/>
          </w:r>
          <w:r>
            <w:rPr>
              <w:rFonts w:hint="eastAsia" w:eastAsia="黑体"/>
              <w:bCs w:val="0"/>
              <w:sz w:val="21"/>
              <w:szCs w:val="28"/>
            </w:rPr>
            <w:t xml:space="preserve">四、 </w:t>
          </w:r>
          <w:r>
            <w:rPr>
              <w:rFonts w:ascii="Times New Roman" w:hAnsi="Times New Roman" w:eastAsia="黑体" w:cs="Times New Roman"/>
              <w:bCs w:val="0"/>
              <w:sz w:val="21"/>
              <w:szCs w:val="28"/>
            </w:rPr>
            <w:t>零碳项目评估</w:t>
          </w:r>
          <w:r>
            <w:rPr>
              <w:sz w:val="21"/>
              <w:szCs w:val="21"/>
            </w:rPr>
            <w:tab/>
          </w:r>
          <w:r>
            <w:rPr>
              <w:sz w:val="21"/>
              <w:szCs w:val="21"/>
            </w:rPr>
            <w:fldChar w:fldCharType="begin"/>
          </w:r>
          <w:r>
            <w:rPr>
              <w:sz w:val="21"/>
              <w:szCs w:val="21"/>
            </w:rPr>
            <w:instrText xml:space="preserve"> PAGEREF _Toc19522 \h </w:instrText>
          </w:r>
          <w:r>
            <w:rPr>
              <w:sz w:val="21"/>
              <w:szCs w:val="21"/>
            </w:rPr>
            <w:fldChar w:fldCharType="separate"/>
          </w:r>
          <w:r>
            <w:rPr>
              <w:sz w:val="21"/>
              <w:szCs w:val="21"/>
            </w:rPr>
            <w:t>66</w:t>
          </w:r>
          <w:r>
            <w:rPr>
              <w:sz w:val="21"/>
              <w:szCs w:val="21"/>
            </w:rPr>
            <w:fldChar w:fldCharType="end"/>
          </w:r>
          <w:r>
            <w:rPr>
              <w:sz w:val="21"/>
              <w:szCs w:val="21"/>
            </w:rPr>
            <w:fldChar w:fldCharType="end"/>
          </w:r>
        </w:p>
        <w:p w14:paraId="7D78B8AA">
          <w:pPr>
            <w:pStyle w:val="31"/>
            <w:tabs>
              <w:tab w:val="right" w:leader="dot" w:pos="9648"/>
            </w:tabs>
            <w:rPr>
              <w:sz w:val="21"/>
              <w:szCs w:val="21"/>
            </w:rPr>
          </w:pPr>
          <w:r>
            <w:rPr>
              <w:sz w:val="21"/>
              <w:szCs w:val="21"/>
            </w:rPr>
            <w:fldChar w:fldCharType="begin"/>
          </w:r>
          <w:r>
            <w:rPr>
              <w:sz w:val="21"/>
              <w:szCs w:val="21"/>
            </w:rPr>
            <w:instrText xml:space="preserve"> HYPERLINK \l _Toc20449 </w:instrText>
          </w:r>
          <w:r>
            <w:rPr>
              <w:sz w:val="21"/>
              <w:szCs w:val="21"/>
            </w:rPr>
            <w:fldChar w:fldCharType="separate"/>
          </w:r>
          <w:r>
            <w:rPr>
              <w:rFonts w:hint="default" w:eastAsia="黑体"/>
              <w:bCs w:val="0"/>
              <w:sz w:val="21"/>
              <w:szCs w:val="22"/>
            </w:rPr>
            <w:t xml:space="preserve">1. </w:t>
          </w:r>
          <w:r>
            <w:rPr>
              <w:rFonts w:ascii="Times New Roman" w:hAnsi="Times New Roman" w:eastAsia="黑体" w:cs="Times New Roman"/>
              <w:bCs w:val="0"/>
              <w:sz w:val="21"/>
              <w:szCs w:val="22"/>
            </w:rPr>
            <w:t>项目档案管理</w:t>
          </w:r>
          <w:r>
            <w:rPr>
              <w:sz w:val="21"/>
              <w:szCs w:val="21"/>
            </w:rPr>
            <w:tab/>
          </w:r>
          <w:r>
            <w:rPr>
              <w:sz w:val="21"/>
              <w:szCs w:val="21"/>
            </w:rPr>
            <w:fldChar w:fldCharType="begin"/>
          </w:r>
          <w:r>
            <w:rPr>
              <w:sz w:val="21"/>
              <w:szCs w:val="21"/>
            </w:rPr>
            <w:instrText xml:space="preserve"> PAGEREF _Toc20449 \h </w:instrText>
          </w:r>
          <w:r>
            <w:rPr>
              <w:sz w:val="21"/>
              <w:szCs w:val="21"/>
            </w:rPr>
            <w:fldChar w:fldCharType="separate"/>
          </w:r>
          <w:r>
            <w:rPr>
              <w:sz w:val="21"/>
              <w:szCs w:val="21"/>
            </w:rPr>
            <w:t>67</w:t>
          </w:r>
          <w:r>
            <w:rPr>
              <w:sz w:val="21"/>
              <w:szCs w:val="21"/>
            </w:rPr>
            <w:fldChar w:fldCharType="end"/>
          </w:r>
          <w:r>
            <w:rPr>
              <w:sz w:val="21"/>
              <w:szCs w:val="21"/>
            </w:rPr>
            <w:fldChar w:fldCharType="end"/>
          </w:r>
        </w:p>
        <w:p w14:paraId="5D73444F">
          <w:pPr>
            <w:pStyle w:val="31"/>
            <w:tabs>
              <w:tab w:val="right" w:leader="dot" w:pos="9648"/>
            </w:tabs>
            <w:rPr>
              <w:sz w:val="21"/>
              <w:szCs w:val="21"/>
            </w:rPr>
          </w:pPr>
          <w:r>
            <w:rPr>
              <w:sz w:val="21"/>
              <w:szCs w:val="21"/>
            </w:rPr>
            <w:fldChar w:fldCharType="begin"/>
          </w:r>
          <w:r>
            <w:rPr>
              <w:sz w:val="21"/>
              <w:szCs w:val="21"/>
            </w:rPr>
            <w:instrText xml:space="preserve"> HYPERLINK \l _Toc5210 </w:instrText>
          </w:r>
          <w:r>
            <w:rPr>
              <w:sz w:val="21"/>
              <w:szCs w:val="21"/>
            </w:rPr>
            <w:fldChar w:fldCharType="separate"/>
          </w:r>
          <w:r>
            <w:rPr>
              <w:rFonts w:hint="default" w:eastAsia="黑体"/>
              <w:bCs w:val="0"/>
              <w:sz w:val="21"/>
              <w:szCs w:val="22"/>
            </w:rPr>
            <w:t xml:space="preserve">2. </w:t>
          </w:r>
          <w:r>
            <w:rPr>
              <w:rFonts w:ascii="Times New Roman" w:hAnsi="Times New Roman" w:eastAsia="黑体" w:cs="Times New Roman"/>
              <w:bCs w:val="0"/>
              <w:sz w:val="21"/>
              <w:szCs w:val="22"/>
            </w:rPr>
            <w:t>实时监控</w:t>
          </w:r>
          <w:r>
            <w:rPr>
              <w:sz w:val="21"/>
              <w:szCs w:val="21"/>
            </w:rPr>
            <w:tab/>
          </w:r>
          <w:r>
            <w:rPr>
              <w:sz w:val="21"/>
              <w:szCs w:val="21"/>
            </w:rPr>
            <w:fldChar w:fldCharType="begin"/>
          </w:r>
          <w:r>
            <w:rPr>
              <w:sz w:val="21"/>
              <w:szCs w:val="21"/>
            </w:rPr>
            <w:instrText xml:space="preserve"> PAGEREF _Toc5210 \h </w:instrText>
          </w:r>
          <w:r>
            <w:rPr>
              <w:sz w:val="21"/>
              <w:szCs w:val="21"/>
            </w:rPr>
            <w:fldChar w:fldCharType="separate"/>
          </w:r>
          <w:r>
            <w:rPr>
              <w:sz w:val="21"/>
              <w:szCs w:val="21"/>
            </w:rPr>
            <w:t>70</w:t>
          </w:r>
          <w:r>
            <w:rPr>
              <w:sz w:val="21"/>
              <w:szCs w:val="21"/>
            </w:rPr>
            <w:fldChar w:fldCharType="end"/>
          </w:r>
          <w:r>
            <w:rPr>
              <w:sz w:val="21"/>
              <w:szCs w:val="21"/>
            </w:rPr>
            <w:fldChar w:fldCharType="end"/>
          </w:r>
        </w:p>
        <w:p w14:paraId="12383BD2">
          <w:pPr>
            <w:pStyle w:val="31"/>
            <w:tabs>
              <w:tab w:val="right" w:leader="dot" w:pos="9648"/>
            </w:tabs>
            <w:rPr>
              <w:sz w:val="21"/>
              <w:szCs w:val="21"/>
            </w:rPr>
          </w:pPr>
          <w:r>
            <w:rPr>
              <w:sz w:val="21"/>
              <w:szCs w:val="21"/>
            </w:rPr>
            <w:fldChar w:fldCharType="begin"/>
          </w:r>
          <w:r>
            <w:rPr>
              <w:sz w:val="21"/>
              <w:szCs w:val="21"/>
            </w:rPr>
            <w:instrText xml:space="preserve"> HYPERLINK \l _Toc30561 </w:instrText>
          </w:r>
          <w:r>
            <w:rPr>
              <w:sz w:val="21"/>
              <w:szCs w:val="21"/>
            </w:rPr>
            <w:fldChar w:fldCharType="separate"/>
          </w:r>
          <w:r>
            <w:rPr>
              <w:rFonts w:hint="default" w:eastAsia="黑体"/>
              <w:bCs w:val="0"/>
              <w:sz w:val="21"/>
              <w:szCs w:val="22"/>
            </w:rPr>
            <w:t xml:space="preserve">3. </w:t>
          </w:r>
          <w:r>
            <w:rPr>
              <w:rFonts w:ascii="Times New Roman" w:hAnsi="Times New Roman" w:eastAsia="黑体" w:cs="Times New Roman"/>
              <w:bCs w:val="0"/>
              <w:sz w:val="21"/>
              <w:szCs w:val="22"/>
            </w:rPr>
            <w:t>项目运行评估</w:t>
          </w:r>
          <w:r>
            <w:rPr>
              <w:sz w:val="21"/>
              <w:szCs w:val="21"/>
            </w:rPr>
            <w:tab/>
          </w:r>
          <w:r>
            <w:rPr>
              <w:sz w:val="21"/>
              <w:szCs w:val="21"/>
            </w:rPr>
            <w:fldChar w:fldCharType="begin"/>
          </w:r>
          <w:r>
            <w:rPr>
              <w:sz w:val="21"/>
              <w:szCs w:val="21"/>
            </w:rPr>
            <w:instrText xml:space="preserve"> PAGEREF _Toc30561 \h </w:instrText>
          </w:r>
          <w:r>
            <w:rPr>
              <w:sz w:val="21"/>
              <w:szCs w:val="21"/>
            </w:rPr>
            <w:fldChar w:fldCharType="separate"/>
          </w:r>
          <w:r>
            <w:rPr>
              <w:sz w:val="21"/>
              <w:szCs w:val="21"/>
            </w:rPr>
            <w:t>73</w:t>
          </w:r>
          <w:r>
            <w:rPr>
              <w:sz w:val="21"/>
              <w:szCs w:val="21"/>
            </w:rPr>
            <w:fldChar w:fldCharType="end"/>
          </w:r>
          <w:r>
            <w:rPr>
              <w:sz w:val="21"/>
              <w:szCs w:val="21"/>
            </w:rPr>
            <w:fldChar w:fldCharType="end"/>
          </w:r>
        </w:p>
        <w:p w14:paraId="4FDC8382">
          <w:pPr>
            <w:pStyle w:val="31"/>
            <w:tabs>
              <w:tab w:val="right" w:leader="dot" w:pos="9648"/>
            </w:tabs>
            <w:rPr>
              <w:sz w:val="21"/>
              <w:szCs w:val="21"/>
            </w:rPr>
          </w:pPr>
          <w:r>
            <w:rPr>
              <w:sz w:val="21"/>
              <w:szCs w:val="21"/>
            </w:rPr>
            <w:fldChar w:fldCharType="begin"/>
          </w:r>
          <w:r>
            <w:rPr>
              <w:sz w:val="21"/>
              <w:szCs w:val="21"/>
            </w:rPr>
            <w:instrText xml:space="preserve"> HYPERLINK \l _Toc8615 </w:instrText>
          </w:r>
          <w:r>
            <w:rPr>
              <w:sz w:val="21"/>
              <w:szCs w:val="21"/>
            </w:rPr>
            <w:fldChar w:fldCharType="separate"/>
          </w:r>
          <w:r>
            <w:rPr>
              <w:rFonts w:hint="default" w:eastAsia="黑体"/>
              <w:bCs w:val="0"/>
              <w:sz w:val="21"/>
              <w:szCs w:val="22"/>
            </w:rPr>
            <w:t xml:space="preserve">4. </w:t>
          </w:r>
          <w:r>
            <w:rPr>
              <w:rFonts w:ascii="Times New Roman" w:hAnsi="Times New Roman" w:eastAsia="黑体" w:cs="Times New Roman"/>
              <w:bCs w:val="0"/>
              <w:sz w:val="21"/>
              <w:szCs w:val="22"/>
            </w:rPr>
            <w:t>零碳工厂自评估</w:t>
          </w:r>
          <w:r>
            <w:rPr>
              <w:sz w:val="21"/>
              <w:szCs w:val="21"/>
            </w:rPr>
            <w:tab/>
          </w:r>
          <w:r>
            <w:rPr>
              <w:sz w:val="21"/>
              <w:szCs w:val="21"/>
            </w:rPr>
            <w:fldChar w:fldCharType="begin"/>
          </w:r>
          <w:r>
            <w:rPr>
              <w:sz w:val="21"/>
              <w:szCs w:val="21"/>
            </w:rPr>
            <w:instrText xml:space="preserve"> PAGEREF _Toc8615 \h </w:instrText>
          </w:r>
          <w:r>
            <w:rPr>
              <w:sz w:val="21"/>
              <w:szCs w:val="21"/>
            </w:rPr>
            <w:fldChar w:fldCharType="separate"/>
          </w:r>
          <w:r>
            <w:rPr>
              <w:sz w:val="21"/>
              <w:szCs w:val="21"/>
            </w:rPr>
            <w:t>77</w:t>
          </w:r>
          <w:r>
            <w:rPr>
              <w:sz w:val="21"/>
              <w:szCs w:val="21"/>
            </w:rPr>
            <w:fldChar w:fldCharType="end"/>
          </w:r>
          <w:r>
            <w:rPr>
              <w:sz w:val="21"/>
              <w:szCs w:val="21"/>
            </w:rPr>
            <w:fldChar w:fldCharType="end"/>
          </w:r>
        </w:p>
        <w:p w14:paraId="55348079">
          <w:pPr>
            <w:pStyle w:val="27"/>
            <w:tabs>
              <w:tab w:val="right" w:leader="dot" w:pos="9648"/>
            </w:tabs>
            <w:rPr>
              <w:sz w:val="21"/>
              <w:szCs w:val="21"/>
            </w:rPr>
          </w:pPr>
          <w:r>
            <w:rPr>
              <w:sz w:val="21"/>
              <w:szCs w:val="21"/>
            </w:rPr>
            <w:fldChar w:fldCharType="begin"/>
          </w:r>
          <w:r>
            <w:rPr>
              <w:sz w:val="21"/>
              <w:szCs w:val="21"/>
            </w:rPr>
            <w:instrText xml:space="preserve"> HYPERLINK \l _Toc15026 </w:instrText>
          </w:r>
          <w:r>
            <w:rPr>
              <w:sz w:val="21"/>
              <w:szCs w:val="21"/>
            </w:rPr>
            <w:fldChar w:fldCharType="separate"/>
          </w:r>
          <w:r>
            <w:rPr>
              <w:rFonts w:hint="eastAsia" w:eastAsia="黑体"/>
              <w:bCs w:val="0"/>
              <w:sz w:val="21"/>
              <w:szCs w:val="28"/>
            </w:rPr>
            <w:t xml:space="preserve">五、 </w:t>
          </w:r>
          <w:r>
            <w:rPr>
              <w:rFonts w:ascii="Times New Roman" w:hAnsi="Times New Roman" w:eastAsia="黑体" w:cs="Times New Roman"/>
              <w:bCs w:val="0"/>
              <w:sz w:val="21"/>
              <w:szCs w:val="28"/>
            </w:rPr>
            <w:t>统计报表</w:t>
          </w:r>
          <w:r>
            <w:rPr>
              <w:sz w:val="21"/>
              <w:szCs w:val="21"/>
            </w:rPr>
            <w:tab/>
          </w:r>
          <w:r>
            <w:rPr>
              <w:sz w:val="21"/>
              <w:szCs w:val="21"/>
            </w:rPr>
            <w:fldChar w:fldCharType="begin"/>
          </w:r>
          <w:r>
            <w:rPr>
              <w:sz w:val="21"/>
              <w:szCs w:val="21"/>
            </w:rPr>
            <w:instrText xml:space="preserve"> PAGEREF _Toc15026 \h </w:instrText>
          </w:r>
          <w:r>
            <w:rPr>
              <w:sz w:val="21"/>
              <w:szCs w:val="21"/>
            </w:rPr>
            <w:fldChar w:fldCharType="separate"/>
          </w:r>
          <w:r>
            <w:rPr>
              <w:sz w:val="21"/>
              <w:szCs w:val="21"/>
            </w:rPr>
            <w:t>80</w:t>
          </w:r>
          <w:r>
            <w:rPr>
              <w:sz w:val="21"/>
              <w:szCs w:val="21"/>
            </w:rPr>
            <w:fldChar w:fldCharType="end"/>
          </w:r>
          <w:r>
            <w:rPr>
              <w:sz w:val="21"/>
              <w:szCs w:val="21"/>
            </w:rPr>
            <w:fldChar w:fldCharType="end"/>
          </w:r>
        </w:p>
        <w:p w14:paraId="165B39AE">
          <w:pPr>
            <w:pStyle w:val="31"/>
            <w:tabs>
              <w:tab w:val="right" w:leader="dot" w:pos="9648"/>
            </w:tabs>
            <w:rPr>
              <w:sz w:val="21"/>
              <w:szCs w:val="21"/>
            </w:rPr>
          </w:pPr>
          <w:r>
            <w:rPr>
              <w:sz w:val="21"/>
              <w:szCs w:val="21"/>
            </w:rPr>
            <w:fldChar w:fldCharType="begin"/>
          </w:r>
          <w:r>
            <w:rPr>
              <w:sz w:val="21"/>
              <w:szCs w:val="21"/>
            </w:rPr>
            <w:instrText xml:space="preserve"> HYPERLINK \l _Toc12842 </w:instrText>
          </w:r>
          <w:r>
            <w:rPr>
              <w:sz w:val="21"/>
              <w:szCs w:val="21"/>
            </w:rPr>
            <w:fldChar w:fldCharType="separate"/>
          </w:r>
          <w:r>
            <w:rPr>
              <w:rFonts w:hint="default" w:eastAsia="黑体"/>
              <w:bCs w:val="0"/>
              <w:sz w:val="21"/>
              <w:szCs w:val="22"/>
            </w:rPr>
            <w:t xml:space="preserve">1. </w:t>
          </w:r>
          <w:r>
            <w:rPr>
              <w:rFonts w:ascii="Times New Roman" w:hAnsi="Times New Roman" w:eastAsia="黑体" w:cs="Times New Roman"/>
              <w:bCs w:val="0"/>
              <w:sz w:val="21"/>
              <w:szCs w:val="22"/>
            </w:rPr>
            <w:t>用能报表</w:t>
          </w:r>
          <w:r>
            <w:rPr>
              <w:sz w:val="21"/>
              <w:szCs w:val="21"/>
            </w:rPr>
            <w:tab/>
          </w:r>
          <w:r>
            <w:rPr>
              <w:sz w:val="21"/>
              <w:szCs w:val="21"/>
            </w:rPr>
            <w:fldChar w:fldCharType="begin"/>
          </w:r>
          <w:r>
            <w:rPr>
              <w:sz w:val="21"/>
              <w:szCs w:val="21"/>
            </w:rPr>
            <w:instrText xml:space="preserve"> PAGEREF _Toc12842 \h </w:instrText>
          </w:r>
          <w:r>
            <w:rPr>
              <w:sz w:val="21"/>
              <w:szCs w:val="21"/>
            </w:rPr>
            <w:fldChar w:fldCharType="separate"/>
          </w:r>
          <w:r>
            <w:rPr>
              <w:sz w:val="21"/>
              <w:szCs w:val="21"/>
            </w:rPr>
            <w:t>81</w:t>
          </w:r>
          <w:r>
            <w:rPr>
              <w:sz w:val="21"/>
              <w:szCs w:val="21"/>
            </w:rPr>
            <w:fldChar w:fldCharType="end"/>
          </w:r>
          <w:r>
            <w:rPr>
              <w:sz w:val="21"/>
              <w:szCs w:val="21"/>
            </w:rPr>
            <w:fldChar w:fldCharType="end"/>
          </w:r>
        </w:p>
        <w:p w14:paraId="340BB0EC">
          <w:pPr>
            <w:pStyle w:val="31"/>
            <w:tabs>
              <w:tab w:val="right" w:leader="dot" w:pos="9648"/>
            </w:tabs>
            <w:rPr>
              <w:sz w:val="21"/>
              <w:szCs w:val="21"/>
            </w:rPr>
          </w:pPr>
          <w:r>
            <w:rPr>
              <w:sz w:val="21"/>
              <w:szCs w:val="21"/>
            </w:rPr>
            <w:fldChar w:fldCharType="begin"/>
          </w:r>
          <w:r>
            <w:rPr>
              <w:sz w:val="21"/>
              <w:szCs w:val="21"/>
            </w:rPr>
            <w:instrText xml:space="preserve"> HYPERLINK \l _Toc9574 </w:instrText>
          </w:r>
          <w:r>
            <w:rPr>
              <w:sz w:val="21"/>
              <w:szCs w:val="21"/>
            </w:rPr>
            <w:fldChar w:fldCharType="separate"/>
          </w:r>
          <w:r>
            <w:rPr>
              <w:rFonts w:hint="default" w:eastAsia="黑体"/>
              <w:bCs w:val="0"/>
              <w:sz w:val="21"/>
              <w:szCs w:val="22"/>
            </w:rPr>
            <w:t xml:space="preserve">2. </w:t>
          </w:r>
          <w:r>
            <w:rPr>
              <w:rFonts w:ascii="Times New Roman" w:hAnsi="Times New Roman" w:eastAsia="黑体" w:cs="Times New Roman"/>
              <w:bCs w:val="0"/>
              <w:sz w:val="21"/>
              <w:szCs w:val="22"/>
            </w:rPr>
            <w:t>成本报表</w:t>
          </w:r>
          <w:r>
            <w:rPr>
              <w:sz w:val="21"/>
              <w:szCs w:val="21"/>
            </w:rPr>
            <w:tab/>
          </w:r>
          <w:r>
            <w:rPr>
              <w:sz w:val="21"/>
              <w:szCs w:val="21"/>
            </w:rPr>
            <w:fldChar w:fldCharType="begin"/>
          </w:r>
          <w:r>
            <w:rPr>
              <w:sz w:val="21"/>
              <w:szCs w:val="21"/>
            </w:rPr>
            <w:instrText xml:space="preserve"> PAGEREF _Toc9574 \h </w:instrText>
          </w:r>
          <w:r>
            <w:rPr>
              <w:sz w:val="21"/>
              <w:szCs w:val="21"/>
            </w:rPr>
            <w:fldChar w:fldCharType="separate"/>
          </w:r>
          <w:r>
            <w:rPr>
              <w:sz w:val="21"/>
              <w:szCs w:val="21"/>
            </w:rPr>
            <w:t>85</w:t>
          </w:r>
          <w:r>
            <w:rPr>
              <w:sz w:val="21"/>
              <w:szCs w:val="21"/>
            </w:rPr>
            <w:fldChar w:fldCharType="end"/>
          </w:r>
          <w:r>
            <w:rPr>
              <w:sz w:val="21"/>
              <w:szCs w:val="21"/>
            </w:rPr>
            <w:fldChar w:fldCharType="end"/>
          </w:r>
        </w:p>
        <w:p w14:paraId="5D7E11C4">
          <w:pPr>
            <w:pStyle w:val="31"/>
            <w:tabs>
              <w:tab w:val="right" w:leader="dot" w:pos="9648"/>
            </w:tabs>
            <w:rPr>
              <w:sz w:val="21"/>
              <w:szCs w:val="21"/>
            </w:rPr>
          </w:pPr>
          <w:r>
            <w:rPr>
              <w:sz w:val="21"/>
              <w:szCs w:val="21"/>
            </w:rPr>
            <w:fldChar w:fldCharType="begin"/>
          </w:r>
          <w:r>
            <w:rPr>
              <w:sz w:val="21"/>
              <w:szCs w:val="21"/>
            </w:rPr>
            <w:instrText xml:space="preserve"> HYPERLINK \l _Toc6777 </w:instrText>
          </w:r>
          <w:r>
            <w:rPr>
              <w:sz w:val="21"/>
              <w:szCs w:val="21"/>
            </w:rPr>
            <w:fldChar w:fldCharType="separate"/>
          </w:r>
          <w:r>
            <w:rPr>
              <w:rFonts w:hint="default" w:eastAsia="黑体"/>
              <w:bCs w:val="0"/>
              <w:sz w:val="21"/>
              <w:szCs w:val="22"/>
            </w:rPr>
            <w:t xml:space="preserve">3. </w:t>
          </w:r>
          <w:r>
            <w:rPr>
              <w:rFonts w:ascii="Times New Roman" w:hAnsi="Times New Roman" w:eastAsia="黑体" w:cs="Times New Roman"/>
              <w:bCs w:val="0"/>
              <w:sz w:val="21"/>
              <w:szCs w:val="22"/>
            </w:rPr>
            <w:t>单耗报表</w:t>
          </w:r>
          <w:r>
            <w:rPr>
              <w:sz w:val="21"/>
              <w:szCs w:val="21"/>
            </w:rPr>
            <w:tab/>
          </w:r>
          <w:r>
            <w:rPr>
              <w:sz w:val="21"/>
              <w:szCs w:val="21"/>
            </w:rPr>
            <w:fldChar w:fldCharType="begin"/>
          </w:r>
          <w:r>
            <w:rPr>
              <w:sz w:val="21"/>
              <w:szCs w:val="21"/>
            </w:rPr>
            <w:instrText xml:space="preserve"> PAGEREF _Toc6777 \h </w:instrText>
          </w:r>
          <w:r>
            <w:rPr>
              <w:sz w:val="21"/>
              <w:szCs w:val="21"/>
            </w:rPr>
            <w:fldChar w:fldCharType="separate"/>
          </w:r>
          <w:r>
            <w:rPr>
              <w:sz w:val="21"/>
              <w:szCs w:val="21"/>
            </w:rPr>
            <w:t>88</w:t>
          </w:r>
          <w:r>
            <w:rPr>
              <w:sz w:val="21"/>
              <w:szCs w:val="21"/>
            </w:rPr>
            <w:fldChar w:fldCharType="end"/>
          </w:r>
          <w:r>
            <w:rPr>
              <w:sz w:val="21"/>
              <w:szCs w:val="21"/>
            </w:rPr>
            <w:fldChar w:fldCharType="end"/>
          </w:r>
        </w:p>
        <w:p w14:paraId="2FFCF361">
          <w:pPr>
            <w:pStyle w:val="27"/>
            <w:tabs>
              <w:tab w:val="right" w:leader="dot" w:pos="9648"/>
            </w:tabs>
            <w:rPr>
              <w:sz w:val="21"/>
              <w:szCs w:val="21"/>
            </w:rPr>
          </w:pPr>
          <w:r>
            <w:rPr>
              <w:sz w:val="21"/>
              <w:szCs w:val="21"/>
            </w:rPr>
            <w:fldChar w:fldCharType="begin"/>
          </w:r>
          <w:r>
            <w:rPr>
              <w:sz w:val="21"/>
              <w:szCs w:val="21"/>
            </w:rPr>
            <w:instrText xml:space="preserve"> HYPERLINK \l _Toc31707 </w:instrText>
          </w:r>
          <w:r>
            <w:rPr>
              <w:sz w:val="21"/>
              <w:szCs w:val="21"/>
            </w:rPr>
            <w:fldChar w:fldCharType="separate"/>
          </w:r>
          <w:r>
            <w:rPr>
              <w:rFonts w:hint="eastAsia" w:eastAsia="黑体"/>
              <w:bCs w:val="0"/>
              <w:sz w:val="21"/>
              <w:szCs w:val="28"/>
            </w:rPr>
            <w:t xml:space="preserve">六、 </w:t>
          </w:r>
          <w:r>
            <w:rPr>
              <w:rFonts w:ascii="Times New Roman" w:hAnsi="Times New Roman" w:eastAsia="黑体" w:cs="Times New Roman"/>
              <w:bCs w:val="0"/>
              <w:sz w:val="21"/>
              <w:szCs w:val="28"/>
            </w:rPr>
            <w:t>基础管理</w:t>
          </w:r>
          <w:r>
            <w:rPr>
              <w:sz w:val="21"/>
              <w:szCs w:val="21"/>
            </w:rPr>
            <w:tab/>
          </w:r>
          <w:r>
            <w:rPr>
              <w:sz w:val="21"/>
              <w:szCs w:val="21"/>
            </w:rPr>
            <w:fldChar w:fldCharType="begin"/>
          </w:r>
          <w:r>
            <w:rPr>
              <w:sz w:val="21"/>
              <w:szCs w:val="21"/>
            </w:rPr>
            <w:instrText xml:space="preserve"> PAGEREF _Toc31707 \h </w:instrText>
          </w:r>
          <w:r>
            <w:rPr>
              <w:sz w:val="21"/>
              <w:szCs w:val="21"/>
            </w:rPr>
            <w:fldChar w:fldCharType="separate"/>
          </w:r>
          <w:r>
            <w:rPr>
              <w:sz w:val="21"/>
              <w:szCs w:val="21"/>
            </w:rPr>
            <w:t>91</w:t>
          </w:r>
          <w:r>
            <w:rPr>
              <w:sz w:val="21"/>
              <w:szCs w:val="21"/>
            </w:rPr>
            <w:fldChar w:fldCharType="end"/>
          </w:r>
          <w:r>
            <w:rPr>
              <w:sz w:val="21"/>
              <w:szCs w:val="21"/>
            </w:rPr>
            <w:fldChar w:fldCharType="end"/>
          </w:r>
        </w:p>
        <w:p w14:paraId="15DEC28C">
          <w:pPr>
            <w:pStyle w:val="31"/>
            <w:tabs>
              <w:tab w:val="right" w:leader="dot" w:pos="9648"/>
            </w:tabs>
            <w:rPr>
              <w:sz w:val="21"/>
              <w:szCs w:val="21"/>
            </w:rPr>
          </w:pPr>
          <w:r>
            <w:rPr>
              <w:sz w:val="21"/>
              <w:szCs w:val="21"/>
            </w:rPr>
            <w:fldChar w:fldCharType="begin"/>
          </w:r>
          <w:r>
            <w:rPr>
              <w:sz w:val="21"/>
              <w:szCs w:val="21"/>
            </w:rPr>
            <w:instrText xml:space="preserve"> HYPERLINK \l _Toc20240 </w:instrText>
          </w:r>
          <w:r>
            <w:rPr>
              <w:sz w:val="21"/>
              <w:szCs w:val="21"/>
            </w:rPr>
            <w:fldChar w:fldCharType="separate"/>
          </w:r>
          <w:r>
            <w:rPr>
              <w:rFonts w:hint="default" w:eastAsia="黑体"/>
              <w:bCs w:val="0"/>
              <w:sz w:val="21"/>
              <w:szCs w:val="22"/>
            </w:rPr>
            <w:t xml:space="preserve">1. </w:t>
          </w:r>
          <w:r>
            <w:rPr>
              <w:rFonts w:ascii="Times New Roman" w:hAnsi="Times New Roman" w:eastAsia="黑体" w:cs="Times New Roman"/>
              <w:bCs w:val="0"/>
              <w:sz w:val="21"/>
              <w:szCs w:val="22"/>
            </w:rPr>
            <w:t>数据录入</w:t>
          </w:r>
          <w:r>
            <w:rPr>
              <w:sz w:val="21"/>
              <w:szCs w:val="21"/>
            </w:rPr>
            <w:tab/>
          </w:r>
          <w:r>
            <w:rPr>
              <w:sz w:val="21"/>
              <w:szCs w:val="21"/>
            </w:rPr>
            <w:fldChar w:fldCharType="begin"/>
          </w:r>
          <w:r>
            <w:rPr>
              <w:sz w:val="21"/>
              <w:szCs w:val="21"/>
            </w:rPr>
            <w:instrText xml:space="preserve"> PAGEREF _Toc20240 \h </w:instrText>
          </w:r>
          <w:r>
            <w:rPr>
              <w:sz w:val="21"/>
              <w:szCs w:val="21"/>
            </w:rPr>
            <w:fldChar w:fldCharType="separate"/>
          </w:r>
          <w:r>
            <w:rPr>
              <w:sz w:val="21"/>
              <w:szCs w:val="21"/>
            </w:rPr>
            <w:t>91</w:t>
          </w:r>
          <w:r>
            <w:rPr>
              <w:sz w:val="21"/>
              <w:szCs w:val="21"/>
            </w:rPr>
            <w:fldChar w:fldCharType="end"/>
          </w:r>
          <w:r>
            <w:rPr>
              <w:sz w:val="21"/>
              <w:szCs w:val="21"/>
            </w:rPr>
            <w:fldChar w:fldCharType="end"/>
          </w:r>
        </w:p>
        <w:p w14:paraId="471A2C2E">
          <w:pPr>
            <w:pStyle w:val="31"/>
            <w:tabs>
              <w:tab w:val="right" w:leader="dot" w:pos="9648"/>
            </w:tabs>
            <w:rPr>
              <w:sz w:val="21"/>
              <w:szCs w:val="21"/>
            </w:rPr>
          </w:pPr>
          <w:r>
            <w:rPr>
              <w:sz w:val="21"/>
              <w:szCs w:val="21"/>
            </w:rPr>
            <w:fldChar w:fldCharType="begin"/>
          </w:r>
          <w:r>
            <w:rPr>
              <w:sz w:val="21"/>
              <w:szCs w:val="21"/>
            </w:rPr>
            <w:instrText xml:space="preserve"> HYPERLINK \l _Toc979 </w:instrText>
          </w:r>
          <w:r>
            <w:rPr>
              <w:sz w:val="21"/>
              <w:szCs w:val="21"/>
            </w:rPr>
            <w:fldChar w:fldCharType="separate"/>
          </w:r>
          <w:r>
            <w:rPr>
              <w:rFonts w:hint="default" w:eastAsia="黑体"/>
              <w:bCs w:val="0"/>
              <w:sz w:val="21"/>
              <w:szCs w:val="22"/>
            </w:rPr>
            <w:t xml:space="preserve">2. </w:t>
          </w:r>
          <w:r>
            <w:rPr>
              <w:rFonts w:ascii="Times New Roman" w:hAnsi="Times New Roman" w:eastAsia="黑体" w:cs="Times New Roman"/>
              <w:bCs w:val="0"/>
              <w:sz w:val="21"/>
              <w:szCs w:val="22"/>
            </w:rPr>
            <w:t>基础参数配置</w:t>
          </w:r>
          <w:r>
            <w:rPr>
              <w:sz w:val="21"/>
              <w:szCs w:val="21"/>
            </w:rPr>
            <w:tab/>
          </w:r>
          <w:r>
            <w:rPr>
              <w:sz w:val="21"/>
              <w:szCs w:val="21"/>
            </w:rPr>
            <w:fldChar w:fldCharType="begin"/>
          </w:r>
          <w:r>
            <w:rPr>
              <w:sz w:val="21"/>
              <w:szCs w:val="21"/>
            </w:rPr>
            <w:instrText xml:space="preserve"> PAGEREF _Toc979 \h </w:instrText>
          </w:r>
          <w:r>
            <w:rPr>
              <w:sz w:val="21"/>
              <w:szCs w:val="21"/>
            </w:rPr>
            <w:fldChar w:fldCharType="separate"/>
          </w:r>
          <w:r>
            <w:rPr>
              <w:sz w:val="21"/>
              <w:szCs w:val="21"/>
            </w:rPr>
            <w:t>96</w:t>
          </w:r>
          <w:r>
            <w:rPr>
              <w:sz w:val="21"/>
              <w:szCs w:val="21"/>
            </w:rPr>
            <w:fldChar w:fldCharType="end"/>
          </w:r>
          <w:r>
            <w:rPr>
              <w:sz w:val="21"/>
              <w:szCs w:val="21"/>
            </w:rPr>
            <w:fldChar w:fldCharType="end"/>
          </w:r>
        </w:p>
        <w:p w14:paraId="70761066">
          <w:pPr>
            <w:pStyle w:val="27"/>
            <w:tabs>
              <w:tab w:val="right" w:leader="dot" w:pos="9648"/>
            </w:tabs>
            <w:rPr>
              <w:sz w:val="21"/>
              <w:szCs w:val="21"/>
            </w:rPr>
          </w:pPr>
          <w:r>
            <w:rPr>
              <w:sz w:val="21"/>
              <w:szCs w:val="21"/>
            </w:rPr>
            <w:fldChar w:fldCharType="begin"/>
          </w:r>
          <w:r>
            <w:rPr>
              <w:sz w:val="21"/>
              <w:szCs w:val="21"/>
            </w:rPr>
            <w:instrText xml:space="preserve"> HYPERLINK \l _Toc23830 </w:instrText>
          </w:r>
          <w:r>
            <w:rPr>
              <w:sz w:val="21"/>
              <w:szCs w:val="21"/>
            </w:rPr>
            <w:fldChar w:fldCharType="separate"/>
          </w:r>
          <w:r>
            <w:rPr>
              <w:rFonts w:hint="eastAsia" w:eastAsia="黑体"/>
              <w:bCs w:val="0"/>
              <w:sz w:val="21"/>
              <w:szCs w:val="40"/>
            </w:rPr>
            <w:t xml:space="preserve">第三章 </w:t>
          </w:r>
          <w:r>
            <w:rPr>
              <w:rFonts w:ascii="Times New Roman" w:hAnsi="Times New Roman" w:eastAsia="黑体" w:cs="Times New Roman"/>
              <w:bCs w:val="0"/>
              <w:sz w:val="21"/>
              <w:szCs w:val="40"/>
            </w:rPr>
            <w:t>产品碳足迹集采中心功能需求规格</w:t>
          </w:r>
          <w:r>
            <w:rPr>
              <w:sz w:val="21"/>
              <w:szCs w:val="21"/>
            </w:rPr>
            <w:tab/>
          </w:r>
          <w:r>
            <w:rPr>
              <w:sz w:val="21"/>
              <w:szCs w:val="21"/>
            </w:rPr>
            <w:fldChar w:fldCharType="begin"/>
          </w:r>
          <w:r>
            <w:rPr>
              <w:sz w:val="21"/>
              <w:szCs w:val="21"/>
            </w:rPr>
            <w:instrText xml:space="preserve"> PAGEREF _Toc23830 \h </w:instrText>
          </w:r>
          <w:r>
            <w:rPr>
              <w:sz w:val="21"/>
              <w:szCs w:val="21"/>
            </w:rPr>
            <w:fldChar w:fldCharType="separate"/>
          </w:r>
          <w:r>
            <w:rPr>
              <w:sz w:val="21"/>
              <w:szCs w:val="21"/>
            </w:rPr>
            <w:t>100</w:t>
          </w:r>
          <w:r>
            <w:rPr>
              <w:sz w:val="21"/>
              <w:szCs w:val="21"/>
            </w:rPr>
            <w:fldChar w:fldCharType="end"/>
          </w:r>
          <w:r>
            <w:rPr>
              <w:sz w:val="21"/>
              <w:szCs w:val="21"/>
            </w:rPr>
            <w:fldChar w:fldCharType="end"/>
          </w:r>
        </w:p>
        <w:p w14:paraId="36AB5949">
          <w:pPr>
            <w:pStyle w:val="27"/>
            <w:tabs>
              <w:tab w:val="right" w:leader="dot" w:pos="9648"/>
            </w:tabs>
            <w:rPr>
              <w:sz w:val="21"/>
              <w:szCs w:val="21"/>
            </w:rPr>
          </w:pPr>
          <w:r>
            <w:rPr>
              <w:sz w:val="21"/>
              <w:szCs w:val="21"/>
            </w:rPr>
            <w:fldChar w:fldCharType="begin"/>
          </w:r>
          <w:r>
            <w:rPr>
              <w:sz w:val="21"/>
              <w:szCs w:val="21"/>
            </w:rPr>
            <w:instrText xml:space="preserve"> HYPERLINK \l _Toc8855 </w:instrText>
          </w:r>
          <w:r>
            <w:rPr>
              <w:sz w:val="21"/>
              <w:szCs w:val="21"/>
            </w:rPr>
            <w:fldChar w:fldCharType="separate"/>
          </w:r>
          <w:r>
            <w:rPr>
              <w:rFonts w:hint="eastAsia" w:eastAsia="黑体"/>
              <w:bCs w:val="0"/>
              <w:sz w:val="21"/>
              <w:szCs w:val="28"/>
            </w:rPr>
            <w:t xml:space="preserve">一、 </w:t>
          </w:r>
          <w:r>
            <w:rPr>
              <w:rFonts w:ascii="Times New Roman" w:hAnsi="Times New Roman" w:eastAsia="黑体" w:cs="Times New Roman"/>
              <w:bCs w:val="0"/>
              <w:sz w:val="21"/>
              <w:szCs w:val="28"/>
            </w:rPr>
            <w:t>对外示范窗口</w:t>
          </w:r>
          <w:r>
            <w:rPr>
              <w:sz w:val="21"/>
              <w:szCs w:val="21"/>
            </w:rPr>
            <w:tab/>
          </w:r>
          <w:r>
            <w:rPr>
              <w:sz w:val="21"/>
              <w:szCs w:val="21"/>
            </w:rPr>
            <w:fldChar w:fldCharType="begin"/>
          </w:r>
          <w:r>
            <w:rPr>
              <w:sz w:val="21"/>
              <w:szCs w:val="21"/>
            </w:rPr>
            <w:instrText xml:space="preserve"> PAGEREF _Toc8855 \h </w:instrText>
          </w:r>
          <w:r>
            <w:rPr>
              <w:sz w:val="21"/>
              <w:szCs w:val="21"/>
            </w:rPr>
            <w:fldChar w:fldCharType="separate"/>
          </w:r>
          <w:r>
            <w:rPr>
              <w:sz w:val="21"/>
              <w:szCs w:val="21"/>
            </w:rPr>
            <w:t>100</w:t>
          </w:r>
          <w:r>
            <w:rPr>
              <w:sz w:val="21"/>
              <w:szCs w:val="21"/>
            </w:rPr>
            <w:fldChar w:fldCharType="end"/>
          </w:r>
          <w:r>
            <w:rPr>
              <w:sz w:val="21"/>
              <w:szCs w:val="21"/>
            </w:rPr>
            <w:fldChar w:fldCharType="end"/>
          </w:r>
        </w:p>
        <w:p w14:paraId="5C05A666">
          <w:pPr>
            <w:pStyle w:val="31"/>
            <w:tabs>
              <w:tab w:val="right" w:leader="dot" w:pos="9648"/>
            </w:tabs>
            <w:rPr>
              <w:sz w:val="21"/>
              <w:szCs w:val="21"/>
            </w:rPr>
          </w:pPr>
          <w:r>
            <w:rPr>
              <w:sz w:val="21"/>
              <w:szCs w:val="21"/>
            </w:rPr>
            <w:fldChar w:fldCharType="begin"/>
          </w:r>
          <w:r>
            <w:rPr>
              <w:sz w:val="21"/>
              <w:szCs w:val="21"/>
            </w:rPr>
            <w:instrText xml:space="preserve"> HYPERLINK \l _Toc30314 </w:instrText>
          </w:r>
          <w:r>
            <w:rPr>
              <w:sz w:val="21"/>
              <w:szCs w:val="21"/>
            </w:rPr>
            <w:fldChar w:fldCharType="separate"/>
          </w:r>
          <w:r>
            <w:rPr>
              <w:rFonts w:ascii="Times New Roman" w:hAnsi="Times New Roman" w:eastAsia="黑体" w:cs="Times New Roman"/>
              <w:bCs w:val="0"/>
              <w:sz w:val="21"/>
              <w:szCs w:val="22"/>
            </w:rPr>
            <w:t>1. 碳足迹总览驾驶舱</w:t>
          </w:r>
          <w:r>
            <w:rPr>
              <w:sz w:val="21"/>
              <w:szCs w:val="21"/>
            </w:rPr>
            <w:tab/>
          </w:r>
          <w:r>
            <w:rPr>
              <w:sz w:val="21"/>
              <w:szCs w:val="21"/>
            </w:rPr>
            <w:fldChar w:fldCharType="begin"/>
          </w:r>
          <w:r>
            <w:rPr>
              <w:sz w:val="21"/>
              <w:szCs w:val="21"/>
            </w:rPr>
            <w:instrText xml:space="preserve"> PAGEREF _Toc30314 \h </w:instrText>
          </w:r>
          <w:r>
            <w:rPr>
              <w:sz w:val="21"/>
              <w:szCs w:val="21"/>
            </w:rPr>
            <w:fldChar w:fldCharType="separate"/>
          </w:r>
          <w:r>
            <w:rPr>
              <w:sz w:val="21"/>
              <w:szCs w:val="21"/>
            </w:rPr>
            <w:t>100</w:t>
          </w:r>
          <w:r>
            <w:rPr>
              <w:sz w:val="21"/>
              <w:szCs w:val="21"/>
            </w:rPr>
            <w:fldChar w:fldCharType="end"/>
          </w:r>
          <w:r>
            <w:rPr>
              <w:sz w:val="21"/>
              <w:szCs w:val="21"/>
            </w:rPr>
            <w:fldChar w:fldCharType="end"/>
          </w:r>
        </w:p>
        <w:p w14:paraId="0AC1BE88">
          <w:pPr>
            <w:pStyle w:val="27"/>
            <w:tabs>
              <w:tab w:val="right" w:leader="dot" w:pos="9648"/>
            </w:tabs>
            <w:rPr>
              <w:sz w:val="21"/>
              <w:szCs w:val="21"/>
            </w:rPr>
          </w:pPr>
          <w:r>
            <w:rPr>
              <w:sz w:val="21"/>
              <w:szCs w:val="21"/>
            </w:rPr>
            <w:fldChar w:fldCharType="begin"/>
          </w:r>
          <w:r>
            <w:rPr>
              <w:sz w:val="21"/>
              <w:szCs w:val="21"/>
            </w:rPr>
            <w:instrText xml:space="preserve"> HYPERLINK \l _Toc1373 </w:instrText>
          </w:r>
          <w:r>
            <w:rPr>
              <w:sz w:val="21"/>
              <w:szCs w:val="21"/>
            </w:rPr>
            <w:fldChar w:fldCharType="separate"/>
          </w:r>
          <w:r>
            <w:rPr>
              <w:rFonts w:hint="eastAsia" w:eastAsia="黑体"/>
              <w:bCs w:val="0"/>
              <w:sz w:val="21"/>
              <w:szCs w:val="28"/>
            </w:rPr>
            <w:t xml:space="preserve">二、 </w:t>
          </w:r>
          <w:r>
            <w:rPr>
              <w:rFonts w:ascii="Times New Roman" w:hAnsi="Times New Roman" w:eastAsia="黑体" w:cs="Times New Roman"/>
              <w:bCs w:val="0"/>
              <w:sz w:val="21"/>
              <w:szCs w:val="28"/>
            </w:rPr>
            <w:t>多维分析</w:t>
          </w:r>
          <w:r>
            <w:rPr>
              <w:sz w:val="21"/>
              <w:szCs w:val="21"/>
            </w:rPr>
            <w:tab/>
          </w:r>
          <w:r>
            <w:rPr>
              <w:sz w:val="21"/>
              <w:szCs w:val="21"/>
            </w:rPr>
            <w:fldChar w:fldCharType="begin"/>
          </w:r>
          <w:r>
            <w:rPr>
              <w:sz w:val="21"/>
              <w:szCs w:val="21"/>
            </w:rPr>
            <w:instrText xml:space="preserve"> PAGEREF _Toc1373 \h </w:instrText>
          </w:r>
          <w:r>
            <w:rPr>
              <w:sz w:val="21"/>
              <w:szCs w:val="21"/>
            </w:rPr>
            <w:fldChar w:fldCharType="separate"/>
          </w:r>
          <w:r>
            <w:rPr>
              <w:sz w:val="21"/>
              <w:szCs w:val="21"/>
            </w:rPr>
            <w:t>103</w:t>
          </w:r>
          <w:r>
            <w:rPr>
              <w:sz w:val="21"/>
              <w:szCs w:val="21"/>
            </w:rPr>
            <w:fldChar w:fldCharType="end"/>
          </w:r>
          <w:r>
            <w:rPr>
              <w:sz w:val="21"/>
              <w:szCs w:val="21"/>
            </w:rPr>
            <w:fldChar w:fldCharType="end"/>
          </w:r>
        </w:p>
        <w:p w14:paraId="6723A5B8">
          <w:pPr>
            <w:pStyle w:val="31"/>
            <w:tabs>
              <w:tab w:val="right" w:leader="dot" w:pos="9648"/>
            </w:tabs>
            <w:rPr>
              <w:sz w:val="21"/>
              <w:szCs w:val="21"/>
            </w:rPr>
          </w:pPr>
          <w:r>
            <w:rPr>
              <w:sz w:val="21"/>
              <w:szCs w:val="21"/>
            </w:rPr>
            <w:fldChar w:fldCharType="begin"/>
          </w:r>
          <w:r>
            <w:rPr>
              <w:sz w:val="21"/>
              <w:szCs w:val="21"/>
            </w:rPr>
            <w:instrText xml:space="preserve"> HYPERLINK \l _Toc4851 </w:instrText>
          </w:r>
          <w:r>
            <w:rPr>
              <w:sz w:val="21"/>
              <w:szCs w:val="21"/>
            </w:rPr>
            <w:fldChar w:fldCharType="separate"/>
          </w:r>
          <w:r>
            <w:rPr>
              <w:rFonts w:hint="default" w:eastAsia="黑体"/>
              <w:bCs w:val="0"/>
              <w:sz w:val="21"/>
              <w:szCs w:val="22"/>
            </w:rPr>
            <w:t xml:space="preserve">1. </w:t>
          </w:r>
          <w:r>
            <w:rPr>
              <w:rFonts w:ascii="Times New Roman" w:hAnsi="Times New Roman" w:eastAsia="黑体" w:cs="Times New Roman"/>
              <w:bCs w:val="0"/>
              <w:sz w:val="21"/>
              <w:szCs w:val="22"/>
            </w:rPr>
            <w:t>横向对比</w:t>
          </w:r>
          <w:r>
            <w:rPr>
              <w:sz w:val="21"/>
              <w:szCs w:val="21"/>
            </w:rPr>
            <w:tab/>
          </w:r>
          <w:r>
            <w:rPr>
              <w:sz w:val="21"/>
              <w:szCs w:val="21"/>
            </w:rPr>
            <w:fldChar w:fldCharType="begin"/>
          </w:r>
          <w:r>
            <w:rPr>
              <w:sz w:val="21"/>
              <w:szCs w:val="21"/>
            </w:rPr>
            <w:instrText xml:space="preserve"> PAGEREF _Toc4851 \h </w:instrText>
          </w:r>
          <w:r>
            <w:rPr>
              <w:sz w:val="21"/>
              <w:szCs w:val="21"/>
            </w:rPr>
            <w:fldChar w:fldCharType="separate"/>
          </w:r>
          <w:r>
            <w:rPr>
              <w:sz w:val="21"/>
              <w:szCs w:val="21"/>
            </w:rPr>
            <w:t>104</w:t>
          </w:r>
          <w:r>
            <w:rPr>
              <w:sz w:val="21"/>
              <w:szCs w:val="21"/>
            </w:rPr>
            <w:fldChar w:fldCharType="end"/>
          </w:r>
          <w:r>
            <w:rPr>
              <w:sz w:val="21"/>
              <w:szCs w:val="21"/>
            </w:rPr>
            <w:fldChar w:fldCharType="end"/>
          </w:r>
        </w:p>
        <w:p w14:paraId="1FAB7B50">
          <w:pPr>
            <w:pStyle w:val="31"/>
            <w:tabs>
              <w:tab w:val="right" w:leader="dot" w:pos="9648"/>
            </w:tabs>
            <w:rPr>
              <w:sz w:val="21"/>
              <w:szCs w:val="21"/>
            </w:rPr>
          </w:pPr>
          <w:r>
            <w:rPr>
              <w:sz w:val="21"/>
              <w:szCs w:val="21"/>
            </w:rPr>
            <w:fldChar w:fldCharType="begin"/>
          </w:r>
          <w:r>
            <w:rPr>
              <w:sz w:val="21"/>
              <w:szCs w:val="21"/>
            </w:rPr>
            <w:instrText xml:space="preserve"> HYPERLINK \l _Toc28114 </w:instrText>
          </w:r>
          <w:r>
            <w:rPr>
              <w:sz w:val="21"/>
              <w:szCs w:val="21"/>
            </w:rPr>
            <w:fldChar w:fldCharType="separate"/>
          </w:r>
          <w:r>
            <w:rPr>
              <w:rFonts w:hint="default" w:eastAsia="黑体"/>
              <w:bCs w:val="0"/>
              <w:sz w:val="21"/>
              <w:szCs w:val="22"/>
            </w:rPr>
            <w:t xml:space="preserve">2. </w:t>
          </w:r>
          <w:r>
            <w:rPr>
              <w:rFonts w:ascii="Times New Roman" w:hAnsi="Times New Roman" w:eastAsia="黑体" w:cs="Times New Roman"/>
              <w:bCs w:val="0"/>
              <w:sz w:val="21"/>
              <w:szCs w:val="22"/>
            </w:rPr>
            <w:t>纵向</w:t>
          </w:r>
          <w:r>
            <w:rPr>
              <w:rFonts w:hint="eastAsia" w:cs="Times New Roman"/>
              <w:bCs w:val="0"/>
              <w:sz w:val="21"/>
              <w:szCs w:val="22"/>
              <w:lang w:val="en-US" w:eastAsia="zh-CN"/>
            </w:rPr>
            <w:t>对比</w:t>
          </w:r>
          <w:r>
            <w:rPr>
              <w:sz w:val="21"/>
              <w:szCs w:val="21"/>
            </w:rPr>
            <w:tab/>
          </w:r>
          <w:r>
            <w:rPr>
              <w:sz w:val="21"/>
              <w:szCs w:val="21"/>
            </w:rPr>
            <w:fldChar w:fldCharType="begin"/>
          </w:r>
          <w:r>
            <w:rPr>
              <w:sz w:val="21"/>
              <w:szCs w:val="21"/>
            </w:rPr>
            <w:instrText xml:space="preserve"> PAGEREF _Toc28114 \h </w:instrText>
          </w:r>
          <w:r>
            <w:rPr>
              <w:sz w:val="21"/>
              <w:szCs w:val="21"/>
            </w:rPr>
            <w:fldChar w:fldCharType="separate"/>
          </w:r>
          <w:r>
            <w:rPr>
              <w:sz w:val="21"/>
              <w:szCs w:val="21"/>
            </w:rPr>
            <w:t>108</w:t>
          </w:r>
          <w:r>
            <w:rPr>
              <w:sz w:val="21"/>
              <w:szCs w:val="21"/>
            </w:rPr>
            <w:fldChar w:fldCharType="end"/>
          </w:r>
          <w:r>
            <w:rPr>
              <w:sz w:val="21"/>
              <w:szCs w:val="21"/>
            </w:rPr>
            <w:fldChar w:fldCharType="end"/>
          </w:r>
        </w:p>
        <w:p w14:paraId="3B9C72C7">
          <w:pPr>
            <w:pStyle w:val="27"/>
            <w:tabs>
              <w:tab w:val="right" w:leader="dot" w:pos="9648"/>
            </w:tabs>
            <w:rPr>
              <w:sz w:val="21"/>
              <w:szCs w:val="21"/>
            </w:rPr>
          </w:pPr>
          <w:r>
            <w:rPr>
              <w:sz w:val="21"/>
              <w:szCs w:val="21"/>
            </w:rPr>
            <w:fldChar w:fldCharType="begin"/>
          </w:r>
          <w:r>
            <w:rPr>
              <w:sz w:val="21"/>
              <w:szCs w:val="21"/>
            </w:rPr>
            <w:instrText xml:space="preserve"> HYPERLINK \l _Toc31107 </w:instrText>
          </w:r>
          <w:r>
            <w:rPr>
              <w:sz w:val="21"/>
              <w:szCs w:val="21"/>
            </w:rPr>
            <w:fldChar w:fldCharType="separate"/>
          </w:r>
          <w:r>
            <w:rPr>
              <w:rFonts w:hint="eastAsia" w:eastAsia="黑体"/>
              <w:bCs w:val="0"/>
              <w:sz w:val="21"/>
              <w:szCs w:val="28"/>
            </w:rPr>
            <w:t xml:space="preserve">三、 </w:t>
          </w:r>
          <w:r>
            <w:rPr>
              <w:rFonts w:ascii="Times New Roman" w:hAnsi="Times New Roman" w:eastAsia="黑体" w:cs="Times New Roman"/>
              <w:bCs w:val="0"/>
              <w:sz w:val="21"/>
              <w:szCs w:val="28"/>
            </w:rPr>
            <w:t>实景数据库与碳足迹核算</w:t>
          </w:r>
          <w:r>
            <w:rPr>
              <w:sz w:val="21"/>
              <w:szCs w:val="21"/>
            </w:rPr>
            <w:tab/>
          </w:r>
          <w:r>
            <w:rPr>
              <w:sz w:val="21"/>
              <w:szCs w:val="21"/>
            </w:rPr>
            <w:fldChar w:fldCharType="begin"/>
          </w:r>
          <w:r>
            <w:rPr>
              <w:sz w:val="21"/>
              <w:szCs w:val="21"/>
            </w:rPr>
            <w:instrText xml:space="preserve"> PAGEREF _Toc31107 \h </w:instrText>
          </w:r>
          <w:r>
            <w:rPr>
              <w:sz w:val="21"/>
              <w:szCs w:val="21"/>
            </w:rPr>
            <w:fldChar w:fldCharType="separate"/>
          </w:r>
          <w:r>
            <w:rPr>
              <w:sz w:val="21"/>
              <w:szCs w:val="21"/>
            </w:rPr>
            <w:t>111</w:t>
          </w:r>
          <w:r>
            <w:rPr>
              <w:sz w:val="21"/>
              <w:szCs w:val="21"/>
            </w:rPr>
            <w:fldChar w:fldCharType="end"/>
          </w:r>
          <w:r>
            <w:rPr>
              <w:sz w:val="21"/>
              <w:szCs w:val="21"/>
            </w:rPr>
            <w:fldChar w:fldCharType="end"/>
          </w:r>
        </w:p>
        <w:p w14:paraId="74494C85">
          <w:pPr>
            <w:pStyle w:val="31"/>
            <w:tabs>
              <w:tab w:val="right" w:leader="dot" w:pos="9648"/>
            </w:tabs>
            <w:rPr>
              <w:sz w:val="21"/>
              <w:szCs w:val="21"/>
            </w:rPr>
          </w:pPr>
          <w:r>
            <w:rPr>
              <w:sz w:val="21"/>
              <w:szCs w:val="21"/>
            </w:rPr>
            <w:fldChar w:fldCharType="begin"/>
          </w:r>
          <w:r>
            <w:rPr>
              <w:sz w:val="21"/>
              <w:szCs w:val="21"/>
            </w:rPr>
            <w:instrText xml:space="preserve"> HYPERLINK \l _Toc19441 </w:instrText>
          </w:r>
          <w:r>
            <w:rPr>
              <w:sz w:val="21"/>
              <w:szCs w:val="21"/>
            </w:rPr>
            <w:fldChar w:fldCharType="separate"/>
          </w:r>
          <w:r>
            <w:rPr>
              <w:rFonts w:hint="default" w:eastAsia="黑体"/>
              <w:bCs w:val="0"/>
              <w:sz w:val="21"/>
              <w:szCs w:val="22"/>
            </w:rPr>
            <w:t xml:space="preserve">1. </w:t>
          </w:r>
          <w:r>
            <w:rPr>
              <w:rFonts w:ascii="Times New Roman" w:hAnsi="Times New Roman" w:eastAsia="黑体" w:cs="Times New Roman"/>
              <w:bCs w:val="0"/>
              <w:sz w:val="21"/>
              <w:szCs w:val="22"/>
            </w:rPr>
            <w:t>实景数据库</w:t>
          </w:r>
          <w:r>
            <w:rPr>
              <w:sz w:val="21"/>
              <w:szCs w:val="21"/>
            </w:rPr>
            <w:tab/>
          </w:r>
          <w:r>
            <w:rPr>
              <w:sz w:val="21"/>
              <w:szCs w:val="21"/>
            </w:rPr>
            <w:fldChar w:fldCharType="begin"/>
          </w:r>
          <w:r>
            <w:rPr>
              <w:sz w:val="21"/>
              <w:szCs w:val="21"/>
            </w:rPr>
            <w:instrText xml:space="preserve"> PAGEREF _Toc19441 \h </w:instrText>
          </w:r>
          <w:r>
            <w:rPr>
              <w:sz w:val="21"/>
              <w:szCs w:val="21"/>
            </w:rPr>
            <w:fldChar w:fldCharType="separate"/>
          </w:r>
          <w:r>
            <w:rPr>
              <w:sz w:val="21"/>
              <w:szCs w:val="21"/>
            </w:rPr>
            <w:t>112</w:t>
          </w:r>
          <w:r>
            <w:rPr>
              <w:sz w:val="21"/>
              <w:szCs w:val="21"/>
            </w:rPr>
            <w:fldChar w:fldCharType="end"/>
          </w:r>
          <w:r>
            <w:rPr>
              <w:sz w:val="21"/>
              <w:szCs w:val="21"/>
            </w:rPr>
            <w:fldChar w:fldCharType="end"/>
          </w:r>
        </w:p>
        <w:p w14:paraId="351D502A">
          <w:pPr>
            <w:pStyle w:val="31"/>
            <w:tabs>
              <w:tab w:val="right" w:leader="dot" w:pos="9648"/>
            </w:tabs>
            <w:rPr>
              <w:sz w:val="21"/>
              <w:szCs w:val="21"/>
            </w:rPr>
          </w:pPr>
          <w:r>
            <w:rPr>
              <w:sz w:val="21"/>
              <w:szCs w:val="21"/>
            </w:rPr>
            <w:fldChar w:fldCharType="begin"/>
          </w:r>
          <w:r>
            <w:rPr>
              <w:sz w:val="21"/>
              <w:szCs w:val="21"/>
            </w:rPr>
            <w:instrText xml:space="preserve"> HYPERLINK \l _Toc21717 </w:instrText>
          </w:r>
          <w:r>
            <w:rPr>
              <w:sz w:val="21"/>
              <w:szCs w:val="21"/>
            </w:rPr>
            <w:fldChar w:fldCharType="separate"/>
          </w:r>
          <w:r>
            <w:rPr>
              <w:rFonts w:hint="default" w:eastAsia="黑体"/>
              <w:bCs w:val="0"/>
              <w:sz w:val="21"/>
              <w:szCs w:val="22"/>
            </w:rPr>
            <w:t xml:space="preserve">2. </w:t>
          </w:r>
          <w:r>
            <w:rPr>
              <w:rFonts w:ascii="Times New Roman" w:hAnsi="Times New Roman" w:eastAsia="黑体" w:cs="Times New Roman"/>
              <w:bCs w:val="0"/>
              <w:sz w:val="21"/>
              <w:szCs w:val="22"/>
            </w:rPr>
            <w:t>碳足迹核算</w:t>
          </w:r>
          <w:r>
            <w:rPr>
              <w:sz w:val="21"/>
              <w:szCs w:val="21"/>
            </w:rPr>
            <w:tab/>
          </w:r>
          <w:r>
            <w:rPr>
              <w:sz w:val="21"/>
              <w:szCs w:val="21"/>
            </w:rPr>
            <w:fldChar w:fldCharType="begin"/>
          </w:r>
          <w:r>
            <w:rPr>
              <w:sz w:val="21"/>
              <w:szCs w:val="21"/>
            </w:rPr>
            <w:instrText xml:space="preserve"> PAGEREF _Toc21717 \h </w:instrText>
          </w:r>
          <w:r>
            <w:rPr>
              <w:sz w:val="21"/>
              <w:szCs w:val="21"/>
            </w:rPr>
            <w:fldChar w:fldCharType="separate"/>
          </w:r>
          <w:r>
            <w:rPr>
              <w:sz w:val="21"/>
              <w:szCs w:val="21"/>
            </w:rPr>
            <w:t>116</w:t>
          </w:r>
          <w:r>
            <w:rPr>
              <w:sz w:val="21"/>
              <w:szCs w:val="21"/>
            </w:rPr>
            <w:fldChar w:fldCharType="end"/>
          </w:r>
          <w:r>
            <w:rPr>
              <w:sz w:val="21"/>
              <w:szCs w:val="21"/>
            </w:rPr>
            <w:fldChar w:fldCharType="end"/>
          </w:r>
        </w:p>
        <w:p w14:paraId="6383C916">
          <w:pPr>
            <w:pStyle w:val="31"/>
            <w:tabs>
              <w:tab w:val="right" w:leader="dot" w:pos="9648"/>
            </w:tabs>
            <w:rPr>
              <w:sz w:val="21"/>
              <w:szCs w:val="21"/>
            </w:rPr>
          </w:pPr>
          <w:r>
            <w:rPr>
              <w:sz w:val="21"/>
              <w:szCs w:val="21"/>
            </w:rPr>
            <w:fldChar w:fldCharType="begin"/>
          </w:r>
          <w:r>
            <w:rPr>
              <w:sz w:val="21"/>
              <w:szCs w:val="21"/>
            </w:rPr>
            <w:instrText xml:space="preserve"> HYPERLINK \l _Toc22414 </w:instrText>
          </w:r>
          <w:r>
            <w:rPr>
              <w:sz w:val="21"/>
              <w:szCs w:val="21"/>
            </w:rPr>
            <w:fldChar w:fldCharType="separate"/>
          </w:r>
          <w:r>
            <w:rPr>
              <w:rFonts w:hint="default" w:eastAsia="黑体"/>
              <w:bCs w:val="0"/>
              <w:sz w:val="21"/>
              <w:szCs w:val="22"/>
            </w:rPr>
            <w:t xml:space="preserve">3. </w:t>
          </w:r>
          <w:r>
            <w:rPr>
              <w:rFonts w:ascii="Times New Roman" w:hAnsi="Times New Roman" w:eastAsia="黑体" w:cs="Times New Roman"/>
              <w:bCs w:val="0"/>
              <w:sz w:val="21"/>
              <w:szCs w:val="22"/>
            </w:rPr>
            <w:t>碳足迹报告</w:t>
          </w:r>
          <w:r>
            <w:rPr>
              <w:sz w:val="21"/>
              <w:szCs w:val="21"/>
            </w:rPr>
            <w:tab/>
          </w:r>
          <w:r>
            <w:rPr>
              <w:sz w:val="21"/>
              <w:szCs w:val="21"/>
            </w:rPr>
            <w:fldChar w:fldCharType="begin"/>
          </w:r>
          <w:r>
            <w:rPr>
              <w:sz w:val="21"/>
              <w:szCs w:val="21"/>
            </w:rPr>
            <w:instrText xml:space="preserve"> PAGEREF _Toc22414 \h </w:instrText>
          </w:r>
          <w:r>
            <w:rPr>
              <w:sz w:val="21"/>
              <w:szCs w:val="21"/>
            </w:rPr>
            <w:fldChar w:fldCharType="separate"/>
          </w:r>
          <w:r>
            <w:rPr>
              <w:sz w:val="21"/>
              <w:szCs w:val="21"/>
            </w:rPr>
            <w:t>122</w:t>
          </w:r>
          <w:r>
            <w:rPr>
              <w:sz w:val="21"/>
              <w:szCs w:val="21"/>
            </w:rPr>
            <w:fldChar w:fldCharType="end"/>
          </w:r>
          <w:r>
            <w:rPr>
              <w:sz w:val="21"/>
              <w:szCs w:val="21"/>
            </w:rPr>
            <w:fldChar w:fldCharType="end"/>
          </w:r>
        </w:p>
        <w:p w14:paraId="522AE52E">
          <w:pPr>
            <w:pStyle w:val="27"/>
            <w:tabs>
              <w:tab w:val="right" w:leader="dot" w:pos="9648"/>
            </w:tabs>
            <w:rPr>
              <w:sz w:val="21"/>
              <w:szCs w:val="21"/>
            </w:rPr>
          </w:pPr>
          <w:r>
            <w:rPr>
              <w:sz w:val="21"/>
              <w:szCs w:val="21"/>
            </w:rPr>
            <w:fldChar w:fldCharType="begin"/>
          </w:r>
          <w:r>
            <w:rPr>
              <w:sz w:val="21"/>
              <w:szCs w:val="21"/>
            </w:rPr>
            <w:instrText xml:space="preserve"> HYPERLINK \l _Toc23911 </w:instrText>
          </w:r>
          <w:r>
            <w:rPr>
              <w:sz w:val="21"/>
              <w:szCs w:val="21"/>
            </w:rPr>
            <w:fldChar w:fldCharType="separate"/>
          </w:r>
          <w:r>
            <w:rPr>
              <w:rFonts w:hint="eastAsia" w:eastAsia="黑体"/>
              <w:bCs w:val="0"/>
              <w:sz w:val="21"/>
              <w:szCs w:val="28"/>
            </w:rPr>
            <w:t xml:space="preserve">四、 </w:t>
          </w:r>
          <w:r>
            <w:rPr>
              <w:rFonts w:ascii="Times New Roman" w:hAnsi="Times New Roman" w:eastAsia="黑体" w:cs="Times New Roman"/>
              <w:bCs w:val="0"/>
              <w:sz w:val="21"/>
              <w:szCs w:val="28"/>
            </w:rPr>
            <w:t>CBAM 管理</w:t>
          </w:r>
          <w:r>
            <w:rPr>
              <w:sz w:val="21"/>
              <w:szCs w:val="21"/>
            </w:rPr>
            <w:tab/>
          </w:r>
          <w:r>
            <w:rPr>
              <w:sz w:val="21"/>
              <w:szCs w:val="21"/>
            </w:rPr>
            <w:fldChar w:fldCharType="begin"/>
          </w:r>
          <w:r>
            <w:rPr>
              <w:sz w:val="21"/>
              <w:szCs w:val="21"/>
            </w:rPr>
            <w:instrText xml:space="preserve"> PAGEREF _Toc23911 \h </w:instrText>
          </w:r>
          <w:r>
            <w:rPr>
              <w:sz w:val="21"/>
              <w:szCs w:val="21"/>
            </w:rPr>
            <w:fldChar w:fldCharType="separate"/>
          </w:r>
          <w:r>
            <w:rPr>
              <w:sz w:val="21"/>
              <w:szCs w:val="21"/>
            </w:rPr>
            <w:t>125</w:t>
          </w:r>
          <w:r>
            <w:rPr>
              <w:sz w:val="21"/>
              <w:szCs w:val="21"/>
            </w:rPr>
            <w:fldChar w:fldCharType="end"/>
          </w:r>
          <w:r>
            <w:rPr>
              <w:sz w:val="21"/>
              <w:szCs w:val="21"/>
            </w:rPr>
            <w:fldChar w:fldCharType="end"/>
          </w:r>
        </w:p>
        <w:p w14:paraId="730616D7">
          <w:pPr>
            <w:pStyle w:val="31"/>
            <w:tabs>
              <w:tab w:val="right" w:leader="dot" w:pos="9648"/>
            </w:tabs>
            <w:rPr>
              <w:sz w:val="21"/>
              <w:szCs w:val="21"/>
            </w:rPr>
          </w:pPr>
          <w:r>
            <w:rPr>
              <w:sz w:val="21"/>
              <w:szCs w:val="21"/>
            </w:rPr>
            <w:fldChar w:fldCharType="begin"/>
          </w:r>
          <w:r>
            <w:rPr>
              <w:sz w:val="21"/>
              <w:szCs w:val="21"/>
            </w:rPr>
            <w:instrText xml:space="preserve"> HYPERLINK \l _Toc12094 </w:instrText>
          </w:r>
          <w:r>
            <w:rPr>
              <w:sz w:val="21"/>
              <w:szCs w:val="21"/>
            </w:rPr>
            <w:fldChar w:fldCharType="separate"/>
          </w:r>
          <w:r>
            <w:rPr>
              <w:rFonts w:hint="default" w:eastAsia="黑体"/>
              <w:bCs w:val="0"/>
              <w:sz w:val="21"/>
              <w:szCs w:val="22"/>
            </w:rPr>
            <w:t xml:space="preserve">1. </w:t>
          </w:r>
          <w:r>
            <w:rPr>
              <w:rFonts w:ascii="Times New Roman" w:hAnsi="Times New Roman" w:eastAsia="黑体" w:cs="Times New Roman"/>
              <w:bCs w:val="0"/>
              <w:sz w:val="21"/>
              <w:szCs w:val="22"/>
            </w:rPr>
            <w:t>合规管理</w:t>
          </w:r>
          <w:r>
            <w:rPr>
              <w:sz w:val="21"/>
              <w:szCs w:val="21"/>
            </w:rPr>
            <w:tab/>
          </w:r>
          <w:r>
            <w:rPr>
              <w:sz w:val="21"/>
              <w:szCs w:val="21"/>
            </w:rPr>
            <w:fldChar w:fldCharType="begin"/>
          </w:r>
          <w:r>
            <w:rPr>
              <w:sz w:val="21"/>
              <w:szCs w:val="21"/>
            </w:rPr>
            <w:instrText xml:space="preserve"> PAGEREF _Toc12094 \h </w:instrText>
          </w:r>
          <w:r>
            <w:rPr>
              <w:sz w:val="21"/>
              <w:szCs w:val="21"/>
            </w:rPr>
            <w:fldChar w:fldCharType="separate"/>
          </w:r>
          <w:r>
            <w:rPr>
              <w:sz w:val="21"/>
              <w:szCs w:val="21"/>
            </w:rPr>
            <w:t>125</w:t>
          </w:r>
          <w:r>
            <w:rPr>
              <w:sz w:val="21"/>
              <w:szCs w:val="21"/>
            </w:rPr>
            <w:fldChar w:fldCharType="end"/>
          </w:r>
          <w:r>
            <w:rPr>
              <w:sz w:val="21"/>
              <w:szCs w:val="21"/>
            </w:rPr>
            <w:fldChar w:fldCharType="end"/>
          </w:r>
        </w:p>
        <w:p w14:paraId="1D917C55">
          <w:pPr>
            <w:pStyle w:val="31"/>
            <w:tabs>
              <w:tab w:val="right" w:leader="dot" w:pos="9648"/>
            </w:tabs>
            <w:rPr>
              <w:sz w:val="21"/>
              <w:szCs w:val="21"/>
            </w:rPr>
          </w:pPr>
          <w:r>
            <w:rPr>
              <w:sz w:val="21"/>
              <w:szCs w:val="21"/>
            </w:rPr>
            <w:fldChar w:fldCharType="begin"/>
          </w:r>
          <w:r>
            <w:rPr>
              <w:sz w:val="21"/>
              <w:szCs w:val="21"/>
            </w:rPr>
            <w:instrText xml:space="preserve"> HYPERLINK \l _Toc10052 </w:instrText>
          </w:r>
          <w:r>
            <w:rPr>
              <w:sz w:val="21"/>
              <w:szCs w:val="21"/>
            </w:rPr>
            <w:fldChar w:fldCharType="separate"/>
          </w:r>
          <w:r>
            <w:rPr>
              <w:rFonts w:hint="default" w:eastAsia="黑体"/>
              <w:bCs w:val="0"/>
              <w:sz w:val="21"/>
              <w:szCs w:val="22"/>
            </w:rPr>
            <w:t xml:space="preserve">2. </w:t>
          </w:r>
          <w:r>
            <w:rPr>
              <w:rFonts w:ascii="Times New Roman" w:hAnsi="Times New Roman" w:eastAsia="黑体" w:cs="Times New Roman"/>
              <w:bCs w:val="0"/>
              <w:sz w:val="21"/>
              <w:szCs w:val="22"/>
            </w:rPr>
            <w:t>申报模拟</w:t>
          </w:r>
          <w:r>
            <w:rPr>
              <w:sz w:val="21"/>
              <w:szCs w:val="21"/>
            </w:rPr>
            <w:tab/>
          </w:r>
          <w:r>
            <w:rPr>
              <w:sz w:val="21"/>
              <w:szCs w:val="21"/>
            </w:rPr>
            <w:fldChar w:fldCharType="begin"/>
          </w:r>
          <w:r>
            <w:rPr>
              <w:sz w:val="21"/>
              <w:szCs w:val="21"/>
            </w:rPr>
            <w:instrText xml:space="preserve"> PAGEREF _Toc10052 \h </w:instrText>
          </w:r>
          <w:r>
            <w:rPr>
              <w:sz w:val="21"/>
              <w:szCs w:val="21"/>
            </w:rPr>
            <w:fldChar w:fldCharType="separate"/>
          </w:r>
          <w:r>
            <w:rPr>
              <w:sz w:val="21"/>
              <w:szCs w:val="21"/>
            </w:rPr>
            <w:t>129</w:t>
          </w:r>
          <w:r>
            <w:rPr>
              <w:sz w:val="21"/>
              <w:szCs w:val="21"/>
            </w:rPr>
            <w:fldChar w:fldCharType="end"/>
          </w:r>
          <w:r>
            <w:rPr>
              <w:sz w:val="21"/>
              <w:szCs w:val="21"/>
            </w:rPr>
            <w:fldChar w:fldCharType="end"/>
          </w:r>
        </w:p>
        <w:p w14:paraId="23521908">
          <w:pPr>
            <w:pStyle w:val="31"/>
            <w:tabs>
              <w:tab w:val="right" w:leader="dot" w:pos="9648"/>
            </w:tabs>
            <w:rPr>
              <w:sz w:val="21"/>
              <w:szCs w:val="21"/>
            </w:rPr>
          </w:pPr>
          <w:r>
            <w:rPr>
              <w:sz w:val="21"/>
              <w:szCs w:val="21"/>
            </w:rPr>
            <w:fldChar w:fldCharType="begin"/>
          </w:r>
          <w:r>
            <w:rPr>
              <w:sz w:val="21"/>
              <w:szCs w:val="21"/>
            </w:rPr>
            <w:instrText xml:space="preserve"> HYPERLINK \l _Toc28549 </w:instrText>
          </w:r>
          <w:r>
            <w:rPr>
              <w:sz w:val="21"/>
              <w:szCs w:val="21"/>
            </w:rPr>
            <w:fldChar w:fldCharType="separate"/>
          </w:r>
          <w:r>
            <w:rPr>
              <w:rFonts w:hint="default" w:eastAsia="黑体"/>
              <w:bCs w:val="0"/>
              <w:sz w:val="21"/>
              <w:szCs w:val="22"/>
            </w:rPr>
            <w:t xml:space="preserve">3. </w:t>
          </w:r>
          <w:r>
            <w:rPr>
              <w:rFonts w:ascii="Times New Roman" w:hAnsi="Times New Roman" w:eastAsia="黑体" w:cs="Times New Roman"/>
              <w:bCs w:val="0"/>
              <w:sz w:val="21"/>
              <w:szCs w:val="22"/>
            </w:rPr>
            <w:t>知识库</w:t>
          </w:r>
          <w:r>
            <w:rPr>
              <w:sz w:val="21"/>
              <w:szCs w:val="21"/>
            </w:rPr>
            <w:tab/>
          </w:r>
          <w:r>
            <w:rPr>
              <w:sz w:val="21"/>
              <w:szCs w:val="21"/>
            </w:rPr>
            <w:fldChar w:fldCharType="begin"/>
          </w:r>
          <w:r>
            <w:rPr>
              <w:sz w:val="21"/>
              <w:szCs w:val="21"/>
            </w:rPr>
            <w:instrText xml:space="preserve"> PAGEREF _Toc28549 \h </w:instrText>
          </w:r>
          <w:r>
            <w:rPr>
              <w:sz w:val="21"/>
              <w:szCs w:val="21"/>
            </w:rPr>
            <w:fldChar w:fldCharType="separate"/>
          </w:r>
          <w:r>
            <w:rPr>
              <w:sz w:val="21"/>
              <w:szCs w:val="21"/>
            </w:rPr>
            <w:t>133</w:t>
          </w:r>
          <w:r>
            <w:rPr>
              <w:sz w:val="21"/>
              <w:szCs w:val="21"/>
            </w:rPr>
            <w:fldChar w:fldCharType="end"/>
          </w:r>
          <w:r>
            <w:rPr>
              <w:sz w:val="21"/>
              <w:szCs w:val="21"/>
            </w:rPr>
            <w:fldChar w:fldCharType="end"/>
          </w:r>
        </w:p>
        <w:p w14:paraId="1A872E1C">
          <w:pPr>
            <w:pStyle w:val="27"/>
            <w:tabs>
              <w:tab w:val="right" w:leader="dot" w:pos="9648"/>
            </w:tabs>
            <w:rPr>
              <w:sz w:val="21"/>
              <w:szCs w:val="21"/>
            </w:rPr>
          </w:pPr>
          <w:r>
            <w:rPr>
              <w:sz w:val="21"/>
              <w:szCs w:val="21"/>
            </w:rPr>
            <w:fldChar w:fldCharType="begin"/>
          </w:r>
          <w:r>
            <w:rPr>
              <w:sz w:val="21"/>
              <w:szCs w:val="21"/>
            </w:rPr>
            <w:instrText xml:space="preserve"> HYPERLINK \l _Toc23286 </w:instrText>
          </w:r>
          <w:r>
            <w:rPr>
              <w:sz w:val="21"/>
              <w:szCs w:val="21"/>
            </w:rPr>
            <w:fldChar w:fldCharType="separate"/>
          </w:r>
          <w:r>
            <w:rPr>
              <w:rFonts w:hint="eastAsia" w:eastAsia="黑体"/>
              <w:bCs w:val="0"/>
              <w:sz w:val="21"/>
              <w:szCs w:val="28"/>
            </w:rPr>
            <w:t xml:space="preserve">五、 </w:t>
          </w:r>
          <w:r>
            <w:rPr>
              <w:rFonts w:ascii="Times New Roman" w:hAnsi="Times New Roman" w:eastAsia="黑体" w:cs="Times New Roman"/>
              <w:bCs w:val="0"/>
              <w:sz w:val="21"/>
              <w:szCs w:val="28"/>
            </w:rPr>
            <w:t>第三方认证管理</w:t>
          </w:r>
          <w:r>
            <w:rPr>
              <w:sz w:val="21"/>
              <w:szCs w:val="21"/>
            </w:rPr>
            <w:tab/>
          </w:r>
          <w:r>
            <w:rPr>
              <w:sz w:val="21"/>
              <w:szCs w:val="21"/>
            </w:rPr>
            <w:fldChar w:fldCharType="begin"/>
          </w:r>
          <w:r>
            <w:rPr>
              <w:sz w:val="21"/>
              <w:szCs w:val="21"/>
            </w:rPr>
            <w:instrText xml:space="preserve"> PAGEREF _Toc23286 \h </w:instrText>
          </w:r>
          <w:r>
            <w:rPr>
              <w:sz w:val="21"/>
              <w:szCs w:val="21"/>
            </w:rPr>
            <w:fldChar w:fldCharType="separate"/>
          </w:r>
          <w:r>
            <w:rPr>
              <w:sz w:val="21"/>
              <w:szCs w:val="21"/>
            </w:rPr>
            <w:t>136</w:t>
          </w:r>
          <w:r>
            <w:rPr>
              <w:sz w:val="21"/>
              <w:szCs w:val="21"/>
            </w:rPr>
            <w:fldChar w:fldCharType="end"/>
          </w:r>
          <w:r>
            <w:rPr>
              <w:sz w:val="21"/>
              <w:szCs w:val="21"/>
            </w:rPr>
            <w:fldChar w:fldCharType="end"/>
          </w:r>
        </w:p>
        <w:p w14:paraId="6AFBB137">
          <w:pPr>
            <w:pStyle w:val="31"/>
            <w:tabs>
              <w:tab w:val="right" w:leader="dot" w:pos="9648"/>
            </w:tabs>
            <w:rPr>
              <w:sz w:val="21"/>
              <w:szCs w:val="21"/>
            </w:rPr>
          </w:pPr>
          <w:r>
            <w:rPr>
              <w:sz w:val="21"/>
              <w:szCs w:val="21"/>
            </w:rPr>
            <w:fldChar w:fldCharType="begin"/>
          </w:r>
          <w:r>
            <w:rPr>
              <w:sz w:val="21"/>
              <w:szCs w:val="21"/>
            </w:rPr>
            <w:instrText xml:space="preserve"> HYPERLINK \l _Toc3187 </w:instrText>
          </w:r>
          <w:r>
            <w:rPr>
              <w:sz w:val="21"/>
              <w:szCs w:val="21"/>
            </w:rPr>
            <w:fldChar w:fldCharType="separate"/>
          </w:r>
          <w:r>
            <w:rPr>
              <w:rFonts w:ascii="Times New Roman" w:hAnsi="Times New Roman" w:eastAsia="黑体" w:cs="Times New Roman"/>
              <w:bCs w:val="0"/>
              <w:sz w:val="21"/>
              <w:szCs w:val="22"/>
            </w:rPr>
            <w:t>1. 认证资料维护</w:t>
          </w:r>
          <w:r>
            <w:rPr>
              <w:sz w:val="21"/>
              <w:szCs w:val="21"/>
            </w:rPr>
            <w:tab/>
          </w:r>
          <w:r>
            <w:rPr>
              <w:sz w:val="21"/>
              <w:szCs w:val="21"/>
            </w:rPr>
            <w:fldChar w:fldCharType="begin"/>
          </w:r>
          <w:r>
            <w:rPr>
              <w:sz w:val="21"/>
              <w:szCs w:val="21"/>
            </w:rPr>
            <w:instrText xml:space="preserve"> PAGEREF _Toc3187 \h </w:instrText>
          </w:r>
          <w:r>
            <w:rPr>
              <w:sz w:val="21"/>
              <w:szCs w:val="21"/>
            </w:rPr>
            <w:fldChar w:fldCharType="separate"/>
          </w:r>
          <w:r>
            <w:rPr>
              <w:sz w:val="21"/>
              <w:szCs w:val="21"/>
            </w:rPr>
            <w:t>137</w:t>
          </w:r>
          <w:r>
            <w:rPr>
              <w:sz w:val="21"/>
              <w:szCs w:val="21"/>
            </w:rPr>
            <w:fldChar w:fldCharType="end"/>
          </w:r>
          <w:r>
            <w:rPr>
              <w:sz w:val="21"/>
              <w:szCs w:val="21"/>
            </w:rPr>
            <w:fldChar w:fldCharType="end"/>
          </w:r>
        </w:p>
        <w:p w14:paraId="7AA7181C">
          <w:pPr>
            <w:pStyle w:val="31"/>
            <w:tabs>
              <w:tab w:val="right" w:leader="dot" w:pos="9648"/>
            </w:tabs>
            <w:rPr>
              <w:sz w:val="21"/>
              <w:szCs w:val="21"/>
            </w:rPr>
          </w:pPr>
          <w:r>
            <w:rPr>
              <w:sz w:val="21"/>
              <w:szCs w:val="21"/>
            </w:rPr>
            <w:fldChar w:fldCharType="begin"/>
          </w:r>
          <w:r>
            <w:rPr>
              <w:sz w:val="21"/>
              <w:szCs w:val="21"/>
            </w:rPr>
            <w:instrText xml:space="preserve"> HYPERLINK \l _Toc6972 </w:instrText>
          </w:r>
          <w:r>
            <w:rPr>
              <w:sz w:val="21"/>
              <w:szCs w:val="21"/>
            </w:rPr>
            <w:fldChar w:fldCharType="separate"/>
          </w:r>
          <w:r>
            <w:rPr>
              <w:rFonts w:hint="eastAsia" w:cs="Times New Roman"/>
              <w:bCs w:val="0"/>
              <w:sz w:val="21"/>
              <w:szCs w:val="22"/>
              <w:lang w:val="en-US" w:eastAsia="zh-CN"/>
            </w:rPr>
            <w:t>2</w:t>
          </w:r>
          <w:r>
            <w:rPr>
              <w:rFonts w:ascii="Times New Roman" w:hAnsi="Times New Roman" w:eastAsia="黑体" w:cs="Times New Roman"/>
              <w:bCs w:val="0"/>
              <w:sz w:val="21"/>
              <w:szCs w:val="22"/>
            </w:rPr>
            <w:t>. 认证</w:t>
          </w:r>
          <w:r>
            <w:rPr>
              <w:rFonts w:hint="eastAsia" w:cs="Times New Roman"/>
              <w:bCs w:val="0"/>
              <w:sz w:val="21"/>
              <w:szCs w:val="22"/>
              <w:lang w:val="en-US" w:eastAsia="zh-CN"/>
            </w:rPr>
            <w:t>申请</w:t>
          </w:r>
          <w:r>
            <w:rPr>
              <w:sz w:val="21"/>
              <w:szCs w:val="21"/>
            </w:rPr>
            <w:tab/>
          </w:r>
          <w:r>
            <w:rPr>
              <w:sz w:val="21"/>
              <w:szCs w:val="21"/>
            </w:rPr>
            <w:fldChar w:fldCharType="begin"/>
          </w:r>
          <w:r>
            <w:rPr>
              <w:sz w:val="21"/>
              <w:szCs w:val="21"/>
            </w:rPr>
            <w:instrText xml:space="preserve"> PAGEREF _Toc6972 \h </w:instrText>
          </w:r>
          <w:r>
            <w:rPr>
              <w:sz w:val="21"/>
              <w:szCs w:val="21"/>
            </w:rPr>
            <w:fldChar w:fldCharType="separate"/>
          </w:r>
          <w:r>
            <w:rPr>
              <w:sz w:val="21"/>
              <w:szCs w:val="21"/>
            </w:rPr>
            <w:t>141</w:t>
          </w:r>
          <w:r>
            <w:rPr>
              <w:sz w:val="21"/>
              <w:szCs w:val="21"/>
            </w:rPr>
            <w:fldChar w:fldCharType="end"/>
          </w:r>
          <w:r>
            <w:rPr>
              <w:sz w:val="21"/>
              <w:szCs w:val="21"/>
            </w:rPr>
            <w:fldChar w:fldCharType="end"/>
          </w:r>
        </w:p>
        <w:p w14:paraId="5973D38C">
          <w:pPr>
            <w:pStyle w:val="31"/>
            <w:tabs>
              <w:tab w:val="right" w:leader="dot" w:pos="9648"/>
            </w:tabs>
            <w:rPr>
              <w:sz w:val="21"/>
              <w:szCs w:val="21"/>
            </w:rPr>
          </w:pPr>
          <w:r>
            <w:rPr>
              <w:sz w:val="21"/>
              <w:szCs w:val="21"/>
            </w:rPr>
            <w:fldChar w:fldCharType="begin"/>
          </w:r>
          <w:r>
            <w:rPr>
              <w:sz w:val="21"/>
              <w:szCs w:val="21"/>
            </w:rPr>
            <w:instrText xml:space="preserve"> HYPERLINK \l _Toc18704 </w:instrText>
          </w:r>
          <w:r>
            <w:rPr>
              <w:sz w:val="21"/>
              <w:szCs w:val="21"/>
            </w:rPr>
            <w:fldChar w:fldCharType="separate"/>
          </w:r>
          <w:r>
            <w:rPr>
              <w:rFonts w:hint="eastAsia" w:cs="Times New Roman"/>
              <w:bCs w:val="0"/>
              <w:sz w:val="21"/>
              <w:szCs w:val="22"/>
              <w:lang w:val="en-US" w:eastAsia="zh-CN"/>
            </w:rPr>
            <w:t>3</w:t>
          </w:r>
          <w:r>
            <w:rPr>
              <w:rFonts w:ascii="Times New Roman" w:hAnsi="Times New Roman" w:eastAsia="黑体" w:cs="Times New Roman"/>
              <w:bCs w:val="0"/>
              <w:sz w:val="21"/>
              <w:szCs w:val="22"/>
            </w:rPr>
            <w:t>. 认证</w:t>
          </w:r>
          <w:r>
            <w:rPr>
              <w:rFonts w:hint="eastAsia" w:cs="Times New Roman"/>
              <w:bCs w:val="0"/>
              <w:sz w:val="21"/>
              <w:szCs w:val="22"/>
              <w:lang w:val="en-US" w:eastAsia="zh-CN"/>
            </w:rPr>
            <w:t>结果管理</w:t>
          </w:r>
          <w:r>
            <w:rPr>
              <w:sz w:val="21"/>
              <w:szCs w:val="21"/>
            </w:rPr>
            <w:tab/>
          </w:r>
          <w:r>
            <w:rPr>
              <w:sz w:val="21"/>
              <w:szCs w:val="21"/>
            </w:rPr>
            <w:fldChar w:fldCharType="begin"/>
          </w:r>
          <w:r>
            <w:rPr>
              <w:sz w:val="21"/>
              <w:szCs w:val="21"/>
            </w:rPr>
            <w:instrText xml:space="preserve"> PAGEREF _Toc18704 \h </w:instrText>
          </w:r>
          <w:r>
            <w:rPr>
              <w:sz w:val="21"/>
              <w:szCs w:val="21"/>
            </w:rPr>
            <w:fldChar w:fldCharType="separate"/>
          </w:r>
          <w:r>
            <w:rPr>
              <w:sz w:val="21"/>
              <w:szCs w:val="21"/>
            </w:rPr>
            <w:t>145</w:t>
          </w:r>
          <w:r>
            <w:rPr>
              <w:sz w:val="21"/>
              <w:szCs w:val="21"/>
            </w:rPr>
            <w:fldChar w:fldCharType="end"/>
          </w:r>
          <w:r>
            <w:rPr>
              <w:sz w:val="21"/>
              <w:szCs w:val="21"/>
            </w:rPr>
            <w:fldChar w:fldCharType="end"/>
          </w:r>
        </w:p>
        <w:p w14:paraId="51CAFC27">
          <w:pPr>
            <w:pStyle w:val="27"/>
            <w:tabs>
              <w:tab w:val="right" w:leader="dot" w:pos="9648"/>
            </w:tabs>
            <w:rPr>
              <w:sz w:val="21"/>
              <w:szCs w:val="21"/>
            </w:rPr>
          </w:pPr>
          <w:r>
            <w:rPr>
              <w:sz w:val="21"/>
              <w:szCs w:val="21"/>
            </w:rPr>
            <w:fldChar w:fldCharType="begin"/>
          </w:r>
          <w:r>
            <w:rPr>
              <w:sz w:val="21"/>
              <w:szCs w:val="21"/>
            </w:rPr>
            <w:instrText xml:space="preserve"> HYPERLINK \l _Toc9528 </w:instrText>
          </w:r>
          <w:r>
            <w:rPr>
              <w:sz w:val="21"/>
              <w:szCs w:val="21"/>
            </w:rPr>
            <w:fldChar w:fldCharType="separate"/>
          </w:r>
          <w:r>
            <w:rPr>
              <w:rFonts w:hint="eastAsia" w:eastAsia="黑体"/>
              <w:bCs w:val="0"/>
              <w:sz w:val="21"/>
              <w:szCs w:val="28"/>
            </w:rPr>
            <w:t xml:space="preserve">六、 </w:t>
          </w:r>
          <w:r>
            <w:rPr>
              <w:rFonts w:ascii="Times New Roman" w:hAnsi="Times New Roman" w:eastAsia="黑体" w:cs="Times New Roman"/>
              <w:bCs w:val="0"/>
              <w:sz w:val="21"/>
              <w:szCs w:val="28"/>
            </w:rPr>
            <w:t>因子库管理</w:t>
          </w:r>
          <w:r>
            <w:rPr>
              <w:sz w:val="21"/>
              <w:szCs w:val="21"/>
            </w:rPr>
            <w:tab/>
          </w:r>
          <w:r>
            <w:rPr>
              <w:sz w:val="21"/>
              <w:szCs w:val="21"/>
            </w:rPr>
            <w:fldChar w:fldCharType="begin"/>
          </w:r>
          <w:r>
            <w:rPr>
              <w:sz w:val="21"/>
              <w:szCs w:val="21"/>
            </w:rPr>
            <w:instrText xml:space="preserve"> PAGEREF _Toc9528 \h </w:instrText>
          </w:r>
          <w:r>
            <w:rPr>
              <w:sz w:val="21"/>
              <w:szCs w:val="21"/>
            </w:rPr>
            <w:fldChar w:fldCharType="separate"/>
          </w:r>
          <w:r>
            <w:rPr>
              <w:sz w:val="21"/>
              <w:szCs w:val="21"/>
            </w:rPr>
            <w:t>148</w:t>
          </w:r>
          <w:r>
            <w:rPr>
              <w:sz w:val="21"/>
              <w:szCs w:val="21"/>
            </w:rPr>
            <w:fldChar w:fldCharType="end"/>
          </w:r>
          <w:r>
            <w:rPr>
              <w:sz w:val="21"/>
              <w:szCs w:val="21"/>
            </w:rPr>
            <w:fldChar w:fldCharType="end"/>
          </w:r>
        </w:p>
        <w:p w14:paraId="45B2B353">
          <w:pPr>
            <w:pStyle w:val="31"/>
            <w:tabs>
              <w:tab w:val="right" w:leader="dot" w:pos="9648"/>
            </w:tabs>
            <w:rPr>
              <w:sz w:val="21"/>
              <w:szCs w:val="21"/>
            </w:rPr>
          </w:pPr>
          <w:r>
            <w:rPr>
              <w:sz w:val="21"/>
              <w:szCs w:val="21"/>
            </w:rPr>
            <w:fldChar w:fldCharType="begin"/>
          </w:r>
          <w:r>
            <w:rPr>
              <w:sz w:val="21"/>
              <w:szCs w:val="21"/>
            </w:rPr>
            <w:instrText xml:space="preserve"> HYPERLINK \l _Toc17226 </w:instrText>
          </w:r>
          <w:r>
            <w:rPr>
              <w:sz w:val="21"/>
              <w:szCs w:val="21"/>
            </w:rPr>
            <w:fldChar w:fldCharType="separate"/>
          </w:r>
          <w:r>
            <w:rPr>
              <w:rFonts w:ascii="Times New Roman" w:hAnsi="Times New Roman" w:eastAsia="黑体" w:cs="Times New Roman"/>
              <w:bCs w:val="0"/>
              <w:sz w:val="21"/>
              <w:szCs w:val="22"/>
            </w:rPr>
            <w:t xml:space="preserve">1. </w:t>
          </w:r>
          <w:r>
            <w:rPr>
              <w:rFonts w:hint="eastAsia" w:cs="Times New Roman"/>
              <w:bCs w:val="0"/>
              <w:sz w:val="21"/>
              <w:szCs w:val="22"/>
              <w:lang w:val="en-US" w:eastAsia="zh-CN"/>
            </w:rPr>
            <w:t>原材料碳排</w:t>
          </w:r>
          <w:r>
            <w:rPr>
              <w:rFonts w:ascii="Times New Roman" w:hAnsi="Times New Roman" w:eastAsia="黑体" w:cs="Times New Roman"/>
              <w:bCs w:val="0"/>
              <w:sz w:val="21"/>
              <w:szCs w:val="22"/>
            </w:rPr>
            <w:t>因子</w:t>
          </w:r>
          <w:r>
            <w:rPr>
              <w:sz w:val="21"/>
              <w:szCs w:val="21"/>
            </w:rPr>
            <w:tab/>
          </w:r>
          <w:r>
            <w:rPr>
              <w:sz w:val="21"/>
              <w:szCs w:val="21"/>
            </w:rPr>
            <w:fldChar w:fldCharType="begin"/>
          </w:r>
          <w:r>
            <w:rPr>
              <w:sz w:val="21"/>
              <w:szCs w:val="21"/>
            </w:rPr>
            <w:instrText xml:space="preserve"> PAGEREF _Toc17226 \h </w:instrText>
          </w:r>
          <w:r>
            <w:rPr>
              <w:sz w:val="21"/>
              <w:szCs w:val="21"/>
            </w:rPr>
            <w:fldChar w:fldCharType="separate"/>
          </w:r>
          <w:r>
            <w:rPr>
              <w:sz w:val="21"/>
              <w:szCs w:val="21"/>
            </w:rPr>
            <w:t>149</w:t>
          </w:r>
          <w:r>
            <w:rPr>
              <w:sz w:val="21"/>
              <w:szCs w:val="21"/>
            </w:rPr>
            <w:fldChar w:fldCharType="end"/>
          </w:r>
          <w:r>
            <w:rPr>
              <w:sz w:val="21"/>
              <w:szCs w:val="21"/>
            </w:rPr>
            <w:fldChar w:fldCharType="end"/>
          </w:r>
        </w:p>
        <w:p w14:paraId="75ACCDCB">
          <w:pPr>
            <w:pStyle w:val="31"/>
            <w:tabs>
              <w:tab w:val="right" w:leader="dot" w:pos="9648"/>
            </w:tabs>
            <w:rPr>
              <w:sz w:val="21"/>
              <w:szCs w:val="21"/>
            </w:rPr>
          </w:pPr>
          <w:r>
            <w:rPr>
              <w:sz w:val="21"/>
              <w:szCs w:val="21"/>
            </w:rPr>
            <w:fldChar w:fldCharType="begin"/>
          </w:r>
          <w:r>
            <w:rPr>
              <w:sz w:val="21"/>
              <w:szCs w:val="21"/>
            </w:rPr>
            <w:instrText xml:space="preserve"> HYPERLINK \l _Toc26407 </w:instrText>
          </w:r>
          <w:r>
            <w:rPr>
              <w:sz w:val="21"/>
              <w:szCs w:val="21"/>
            </w:rPr>
            <w:fldChar w:fldCharType="separate"/>
          </w:r>
          <w:r>
            <w:rPr>
              <w:rFonts w:hint="eastAsia" w:cs="Times New Roman"/>
              <w:bCs w:val="0"/>
              <w:sz w:val="21"/>
              <w:szCs w:val="22"/>
              <w:lang w:val="en-US" w:eastAsia="zh-CN"/>
            </w:rPr>
            <w:t>2</w:t>
          </w:r>
          <w:r>
            <w:rPr>
              <w:rFonts w:ascii="Times New Roman" w:hAnsi="Times New Roman" w:eastAsia="黑体" w:cs="Times New Roman"/>
              <w:bCs w:val="0"/>
              <w:sz w:val="21"/>
              <w:szCs w:val="22"/>
            </w:rPr>
            <w:t xml:space="preserve">. </w:t>
          </w:r>
          <w:r>
            <w:rPr>
              <w:rFonts w:hint="eastAsia" w:cs="Times New Roman"/>
              <w:bCs w:val="0"/>
              <w:sz w:val="21"/>
              <w:szCs w:val="22"/>
              <w:lang w:val="en-US" w:eastAsia="zh-CN"/>
            </w:rPr>
            <w:t>电力碳排</w:t>
          </w:r>
          <w:r>
            <w:rPr>
              <w:rFonts w:ascii="Times New Roman" w:hAnsi="Times New Roman" w:eastAsia="黑体" w:cs="Times New Roman"/>
              <w:bCs w:val="0"/>
              <w:sz w:val="21"/>
              <w:szCs w:val="22"/>
            </w:rPr>
            <w:t>因子</w:t>
          </w:r>
          <w:r>
            <w:rPr>
              <w:sz w:val="21"/>
              <w:szCs w:val="21"/>
            </w:rPr>
            <w:tab/>
          </w:r>
          <w:r>
            <w:rPr>
              <w:sz w:val="21"/>
              <w:szCs w:val="21"/>
            </w:rPr>
            <w:fldChar w:fldCharType="begin"/>
          </w:r>
          <w:r>
            <w:rPr>
              <w:sz w:val="21"/>
              <w:szCs w:val="21"/>
            </w:rPr>
            <w:instrText xml:space="preserve"> PAGEREF _Toc26407 \h </w:instrText>
          </w:r>
          <w:r>
            <w:rPr>
              <w:sz w:val="21"/>
              <w:szCs w:val="21"/>
            </w:rPr>
            <w:fldChar w:fldCharType="separate"/>
          </w:r>
          <w:r>
            <w:rPr>
              <w:sz w:val="21"/>
              <w:szCs w:val="21"/>
            </w:rPr>
            <w:t>154</w:t>
          </w:r>
          <w:r>
            <w:rPr>
              <w:sz w:val="21"/>
              <w:szCs w:val="21"/>
            </w:rPr>
            <w:fldChar w:fldCharType="end"/>
          </w:r>
          <w:r>
            <w:rPr>
              <w:sz w:val="21"/>
              <w:szCs w:val="21"/>
            </w:rPr>
            <w:fldChar w:fldCharType="end"/>
          </w:r>
        </w:p>
        <w:p w14:paraId="28E5EBF9">
          <w:pPr>
            <w:pStyle w:val="31"/>
            <w:tabs>
              <w:tab w:val="right" w:leader="dot" w:pos="9648"/>
            </w:tabs>
            <w:rPr>
              <w:sz w:val="21"/>
              <w:szCs w:val="21"/>
            </w:rPr>
          </w:pPr>
          <w:r>
            <w:rPr>
              <w:sz w:val="21"/>
              <w:szCs w:val="21"/>
            </w:rPr>
            <w:fldChar w:fldCharType="begin"/>
          </w:r>
          <w:r>
            <w:rPr>
              <w:sz w:val="21"/>
              <w:szCs w:val="21"/>
            </w:rPr>
            <w:instrText xml:space="preserve"> HYPERLINK \l _Toc71 </w:instrText>
          </w:r>
          <w:r>
            <w:rPr>
              <w:sz w:val="21"/>
              <w:szCs w:val="21"/>
            </w:rPr>
            <w:fldChar w:fldCharType="separate"/>
          </w:r>
          <w:r>
            <w:rPr>
              <w:rFonts w:hint="eastAsia" w:cs="Times New Roman"/>
              <w:bCs w:val="0"/>
              <w:sz w:val="21"/>
              <w:szCs w:val="22"/>
              <w:lang w:val="en-US" w:eastAsia="zh-CN"/>
            </w:rPr>
            <w:t>3</w:t>
          </w:r>
          <w:r>
            <w:rPr>
              <w:rFonts w:ascii="Times New Roman" w:hAnsi="Times New Roman" w:eastAsia="黑体" w:cs="Times New Roman"/>
              <w:bCs w:val="0"/>
              <w:sz w:val="21"/>
              <w:szCs w:val="22"/>
            </w:rPr>
            <w:t xml:space="preserve">. </w:t>
          </w:r>
          <w:r>
            <w:rPr>
              <w:rFonts w:hint="eastAsia" w:cs="Times New Roman"/>
              <w:bCs w:val="0"/>
              <w:sz w:val="21"/>
              <w:szCs w:val="22"/>
              <w:lang w:val="en-US" w:eastAsia="zh-CN"/>
            </w:rPr>
            <w:t>能源活动碳排</w:t>
          </w:r>
          <w:r>
            <w:rPr>
              <w:rFonts w:ascii="Times New Roman" w:hAnsi="Times New Roman" w:eastAsia="黑体" w:cs="Times New Roman"/>
              <w:bCs w:val="0"/>
              <w:sz w:val="21"/>
              <w:szCs w:val="22"/>
            </w:rPr>
            <w:t>因子</w:t>
          </w:r>
          <w:r>
            <w:rPr>
              <w:sz w:val="21"/>
              <w:szCs w:val="21"/>
            </w:rPr>
            <w:tab/>
          </w:r>
          <w:r>
            <w:rPr>
              <w:sz w:val="21"/>
              <w:szCs w:val="21"/>
            </w:rPr>
            <w:fldChar w:fldCharType="begin"/>
          </w:r>
          <w:r>
            <w:rPr>
              <w:sz w:val="21"/>
              <w:szCs w:val="21"/>
            </w:rPr>
            <w:instrText xml:space="preserve"> PAGEREF _Toc71 \h </w:instrText>
          </w:r>
          <w:r>
            <w:rPr>
              <w:sz w:val="21"/>
              <w:szCs w:val="21"/>
            </w:rPr>
            <w:fldChar w:fldCharType="separate"/>
          </w:r>
          <w:r>
            <w:rPr>
              <w:sz w:val="21"/>
              <w:szCs w:val="21"/>
            </w:rPr>
            <w:t>159</w:t>
          </w:r>
          <w:r>
            <w:rPr>
              <w:sz w:val="21"/>
              <w:szCs w:val="21"/>
            </w:rPr>
            <w:fldChar w:fldCharType="end"/>
          </w:r>
          <w:r>
            <w:rPr>
              <w:sz w:val="21"/>
              <w:szCs w:val="21"/>
            </w:rPr>
            <w:fldChar w:fldCharType="end"/>
          </w:r>
        </w:p>
        <w:p w14:paraId="2179D01C">
          <w:pPr>
            <w:pStyle w:val="31"/>
            <w:tabs>
              <w:tab w:val="right" w:leader="dot" w:pos="9648"/>
            </w:tabs>
            <w:rPr>
              <w:sz w:val="21"/>
              <w:szCs w:val="21"/>
            </w:rPr>
          </w:pPr>
          <w:r>
            <w:rPr>
              <w:sz w:val="21"/>
              <w:szCs w:val="21"/>
            </w:rPr>
            <w:fldChar w:fldCharType="begin"/>
          </w:r>
          <w:r>
            <w:rPr>
              <w:sz w:val="21"/>
              <w:szCs w:val="21"/>
            </w:rPr>
            <w:instrText xml:space="preserve"> HYPERLINK \l _Toc27120 </w:instrText>
          </w:r>
          <w:r>
            <w:rPr>
              <w:sz w:val="21"/>
              <w:szCs w:val="21"/>
            </w:rPr>
            <w:fldChar w:fldCharType="separate"/>
          </w:r>
          <w:r>
            <w:rPr>
              <w:rFonts w:hint="eastAsia" w:cs="Times New Roman"/>
              <w:bCs w:val="0"/>
              <w:sz w:val="21"/>
              <w:szCs w:val="22"/>
              <w:lang w:val="en-US" w:eastAsia="zh-CN"/>
            </w:rPr>
            <w:t>4</w:t>
          </w:r>
          <w:r>
            <w:rPr>
              <w:rFonts w:ascii="Times New Roman" w:hAnsi="Times New Roman" w:eastAsia="黑体" w:cs="Times New Roman"/>
              <w:bCs w:val="0"/>
              <w:sz w:val="21"/>
              <w:szCs w:val="22"/>
            </w:rPr>
            <w:t xml:space="preserve">. </w:t>
          </w:r>
          <w:r>
            <w:rPr>
              <w:rFonts w:hint="eastAsia" w:cs="Times New Roman"/>
              <w:bCs w:val="0"/>
              <w:sz w:val="21"/>
              <w:szCs w:val="22"/>
              <w:lang w:val="en-US" w:eastAsia="zh-CN"/>
            </w:rPr>
            <w:t>折标煤系数库</w:t>
          </w:r>
          <w:r>
            <w:rPr>
              <w:sz w:val="21"/>
              <w:szCs w:val="21"/>
            </w:rPr>
            <w:tab/>
          </w:r>
          <w:r>
            <w:rPr>
              <w:sz w:val="21"/>
              <w:szCs w:val="21"/>
            </w:rPr>
            <w:fldChar w:fldCharType="begin"/>
          </w:r>
          <w:r>
            <w:rPr>
              <w:sz w:val="21"/>
              <w:szCs w:val="21"/>
            </w:rPr>
            <w:instrText xml:space="preserve"> PAGEREF _Toc27120 \h </w:instrText>
          </w:r>
          <w:r>
            <w:rPr>
              <w:sz w:val="21"/>
              <w:szCs w:val="21"/>
            </w:rPr>
            <w:fldChar w:fldCharType="separate"/>
          </w:r>
          <w:r>
            <w:rPr>
              <w:sz w:val="21"/>
              <w:szCs w:val="21"/>
            </w:rPr>
            <w:t>164</w:t>
          </w:r>
          <w:r>
            <w:rPr>
              <w:sz w:val="21"/>
              <w:szCs w:val="21"/>
            </w:rPr>
            <w:fldChar w:fldCharType="end"/>
          </w:r>
          <w:r>
            <w:rPr>
              <w:sz w:val="21"/>
              <w:szCs w:val="21"/>
            </w:rPr>
            <w:fldChar w:fldCharType="end"/>
          </w:r>
        </w:p>
        <w:p w14:paraId="3BF19B27">
          <w:pPr>
            <w:pStyle w:val="27"/>
            <w:tabs>
              <w:tab w:val="right" w:leader="dot" w:pos="9648"/>
            </w:tabs>
            <w:rPr>
              <w:sz w:val="21"/>
              <w:szCs w:val="21"/>
            </w:rPr>
          </w:pPr>
          <w:r>
            <w:rPr>
              <w:sz w:val="21"/>
              <w:szCs w:val="21"/>
            </w:rPr>
            <w:fldChar w:fldCharType="begin"/>
          </w:r>
          <w:r>
            <w:rPr>
              <w:sz w:val="21"/>
              <w:szCs w:val="21"/>
            </w:rPr>
            <w:instrText xml:space="preserve"> HYPERLINK \l _Toc1093 </w:instrText>
          </w:r>
          <w:r>
            <w:rPr>
              <w:sz w:val="21"/>
              <w:szCs w:val="21"/>
            </w:rPr>
            <w:fldChar w:fldCharType="separate"/>
          </w:r>
          <w:r>
            <w:rPr>
              <w:rFonts w:hint="eastAsia" w:eastAsia="黑体"/>
              <w:bCs w:val="0"/>
              <w:sz w:val="21"/>
              <w:szCs w:val="40"/>
            </w:rPr>
            <w:t xml:space="preserve">第四章 </w:t>
          </w:r>
          <w:r>
            <w:rPr>
              <w:rFonts w:ascii="Times New Roman" w:hAnsi="Times New Roman" w:eastAsia="黑体" w:cs="Times New Roman"/>
              <w:bCs w:val="0"/>
              <w:sz w:val="21"/>
              <w:szCs w:val="40"/>
            </w:rPr>
            <w:t>系统底座、接口契约与 QA 质量验收</w:t>
          </w:r>
          <w:r>
            <w:rPr>
              <w:sz w:val="21"/>
              <w:szCs w:val="21"/>
            </w:rPr>
            <w:tab/>
          </w:r>
          <w:r>
            <w:rPr>
              <w:sz w:val="21"/>
              <w:szCs w:val="21"/>
            </w:rPr>
            <w:fldChar w:fldCharType="begin"/>
          </w:r>
          <w:r>
            <w:rPr>
              <w:sz w:val="21"/>
              <w:szCs w:val="21"/>
            </w:rPr>
            <w:instrText xml:space="preserve"> PAGEREF _Toc1093 \h </w:instrText>
          </w:r>
          <w:r>
            <w:rPr>
              <w:sz w:val="21"/>
              <w:szCs w:val="21"/>
            </w:rPr>
            <w:fldChar w:fldCharType="separate"/>
          </w:r>
          <w:r>
            <w:rPr>
              <w:sz w:val="21"/>
              <w:szCs w:val="21"/>
            </w:rPr>
            <w:t>169</w:t>
          </w:r>
          <w:r>
            <w:rPr>
              <w:sz w:val="21"/>
              <w:szCs w:val="21"/>
            </w:rPr>
            <w:fldChar w:fldCharType="end"/>
          </w:r>
          <w:r>
            <w:rPr>
              <w:sz w:val="21"/>
              <w:szCs w:val="21"/>
            </w:rPr>
            <w:fldChar w:fldCharType="end"/>
          </w:r>
        </w:p>
        <w:p w14:paraId="2F6269CB">
          <w:pPr>
            <w:pStyle w:val="27"/>
            <w:tabs>
              <w:tab w:val="right" w:leader="dot" w:pos="9648"/>
            </w:tabs>
            <w:rPr>
              <w:sz w:val="21"/>
              <w:szCs w:val="21"/>
            </w:rPr>
          </w:pPr>
          <w:r>
            <w:rPr>
              <w:sz w:val="21"/>
              <w:szCs w:val="21"/>
            </w:rPr>
            <w:fldChar w:fldCharType="begin"/>
          </w:r>
          <w:r>
            <w:rPr>
              <w:sz w:val="21"/>
              <w:szCs w:val="21"/>
            </w:rPr>
            <w:instrText xml:space="preserve"> HYPERLINK \l _Toc3080 </w:instrText>
          </w:r>
          <w:r>
            <w:rPr>
              <w:sz w:val="21"/>
              <w:szCs w:val="21"/>
            </w:rPr>
            <w:fldChar w:fldCharType="separate"/>
          </w:r>
          <w:r>
            <w:rPr>
              <w:rFonts w:hint="eastAsia" w:eastAsia="黑体"/>
              <w:bCs w:val="0"/>
              <w:sz w:val="21"/>
              <w:szCs w:val="28"/>
            </w:rPr>
            <w:t xml:space="preserve">一、 </w:t>
          </w:r>
          <w:r>
            <w:rPr>
              <w:rFonts w:ascii="Times New Roman" w:hAnsi="Times New Roman" w:eastAsia="黑体" w:cs="Times New Roman"/>
              <w:bCs w:val="0"/>
              <w:sz w:val="21"/>
              <w:szCs w:val="28"/>
            </w:rPr>
            <w:t>六级组织架构与穿透鉴权体系</w:t>
          </w:r>
          <w:r>
            <w:rPr>
              <w:sz w:val="21"/>
              <w:szCs w:val="21"/>
            </w:rPr>
            <w:tab/>
          </w:r>
          <w:r>
            <w:rPr>
              <w:sz w:val="21"/>
              <w:szCs w:val="21"/>
            </w:rPr>
            <w:fldChar w:fldCharType="begin"/>
          </w:r>
          <w:r>
            <w:rPr>
              <w:sz w:val="21"/>
              <w:szCs w:val="21"/>
            </w:rPr>
            <w:instrText xml:space="preserve"> PAGEREF _Toc3080 \h </w:instrText>
          </w:r>
          <w:r>
            <w:rPr>
              <w:sz w:val="21"/>
              <w:szCs w:val="21"/>
            </w:rPr>
            <w:fldChar w:fldCharType="separate"/>
          </w:r>
          <w:r>
            <w:rPr>
              <w:sz w:val="21"/>
              <w:szCs w:val="21"/>
            </w:rPr>
            <w:t>169</w:t>
          </w:r>
          <w:r>
            <w:rPr>
              <w:sz w:val="21"/>
              <w:szCs w:val="21"/>
            </w:rPr>
            <w:fldChar w:fldCharType="end"/>
          </w:r>
          <w:r>
            <w:rPr>
              <w:sz w:val="21"/>
              <w:szCs w:val="21"/>
            </w:rPr>
            <w:fldChar w:fldCharType="end"/>
          </w:r>
        </w:p>
        <w:p w14:paraId="133084E4">
          <w:pPr>
            <w:pStyle w:val="27"/>
            <w:tabs>
              <w:tab w:val="right" w:leader="dot" w:pos="9648"/>
            </w:tabs>
            <w:rPr>
              <w:sz w:val="21"/>
              <w:szCs w:val="21"/>
            </w:rPr>
          </w:pPr>
          <w:r>
            <w:rPr>
              <w:sz w:val="21"/>
              <w:szCs w:val="21"/>
            </w:rPr>
            <w:fldChar w:fldCharType="begin"/>
          </w:r>
          <w:r>
            <w:rPr>
              <w:sz w:val="21"/>
              <w:szCs w:val="21"/>
            </w:rPr>
            <w:instrText xml:space="preserve"> HYPERLINK \l _Toc6762 </w:instrText>
          </w:r>
          <w:r>
            <w:rPr>
              <w:sz w:val="21"/>
              <w:szCs w:val="21"/>
            </w:rPr>
            <w:fldChar w:fldCharType="separate"/>
          </w:r>
          <w:r>
            <w:rPr>
              <w:rFonts w:hint="eastAsia" w:eastAsia="黑体"/>
              <w:bCs w:val="0"/>
              <w:sz w:val="21"/>
              <w:szCs w:val="28"/>
            </w:rPr>
            <w:t xml:space="preserve">二、 </w:t>
          </w:r>
          <w:r>
            <w:rPr>
              <w:rFonts w:ascii="Times New Roman" w:hAnsi="Times New Roman" w:eastAsia="黑体" w:cs="Times New Roman"/>
              <w:bCs w:val="0"/>
              <w:sz w:val="21"/>
              <w:szCs w:val="28"/>
            </w:rPr>
            <w:t>外部系统集成与 API 契约</w:t>
          </w:r>
          <w:r>
            <w:rPr>
              <w:sz w:val="21"/>
              <w:szCs w:val="21"/>
            </w:rPr>
            <w:tab/>
          </w:r>
          <w:r>
            <w:rPr>
              <w:sz w:val="21"/>
              <w:szCs w:val="21"/>
            </w:rPr>
            <w:fldChar w:fldCharType="begin"/>
          </w:r>
          <w:r>
            <w:rPr>
              <w:sz w:val="21"/>
              <w:szCs w:val="21"/>
            </w:rPr>
            <w:instrText xml:space="preserve"> PAGEREF _Toc6762 \h </w:instrText>
          </w:r>
          <w:r>
            <w:rPr>
              <w:sz w:val="21"/>
              <w:szCs w:val="21"/>
            </w:rPr>
            <w:fldChar w:fldCharType="separate"/>
          </w:r>
          <w:r>
            <w:rPr>
              <w:sz w:val="21"/>
              <w:szCs w:val="21"/>
            </w:rPr>
            <w:t>169</w:t>
          </w:r>
          <w:r>
            <w:rPr>
              <w:sz w:val="21"/>
              <w:szCs w:val="21"/>
            </w:rPr>
            <w:fldChar w:fldCharType="end"/>
          </w:r>
          <w:r>
            <w:rPr>
              <w:sz w:val="21"/>
              <w:szCs w:val="21"/>
            </w:rPr>
            <w:fldChar w:fldCharType="end"/>
          </w:r>
        </w:p>
        <w:p w14:paraId="140B1B86">
          <w:pPr>
            <w:pStyle w:val="27"/>
            <w:tabs>
              <w:tab w:val="right" w:leader="dot" w:pos="9648"/>
            </w:tabs>
            <w:rPr>
              <w:sz w:val="21"/>
              <w:szCs w:val="21"/>
            </w:rPr>
          </w:pPr>
          <w:r>
            <w:rPr>
              <w:sz w:val="21"/>
              <w:szCs w:val="21"/>
            </w:rPr>
            <w:fldChar w:fldCharType="begin"/>
          </w:r>
          <w:r>
            <w:rPr>
              <w:sz w:val="21"/>
              <w:szCs w:val="21"/>
            </w:rPr>
            <w:instrText xml:space="preserve"> HYPERLINK \l _Toc16500 </w:instrText>
          </w:r>
          <w:r>
            <w:rPr>
              <w:sz w:val="21"/>
              <w:szCs w:val="21"/>
            </w:rPr>
            <w:fldChar w:fldCharType="separate"/>
          </w:r>
          <w:r>
            <w:rPr>
              <w:rFonts w:hint="eastAsia" w:eastAsia="黑体"/>
              <w:bCs w:val="0"/>
              <w:sz w:val="21"/>
              <w:szCs w:val="28"/>
            </w:rPr>
            <w:t xml:space="preserve">三、 </w:t>
          </w:r>
          <w:r>
            <w:rPr>
              <w:rFonts w:ascii="Times New Roman" w:hAnsi="Times New Roman" w:eastAsia="黑体" w:cs="Times New Roman"/>
              <w:bCs w:val="0"/>
              <w:sz w:val="21"/>
              <w:szCs w:val="28"/>
            </w:rPr>
            <w:t>质量保障体系与全量验收测试用例矩阵</w:t>
          </w:r>
          <w:r>
            <w:rPr>
              <w:sz w:val="21"/>
              <w:szCs w:val="21"/>
            </w:rPr>
            <w:tab/>
          </w:r>
          <w:r>
            <w:rPr>
              <w:sz w:val="21"/>
              <w:szCs w:val="21"/>
            </w:rPr>
            <w:fldChar w:fldCharType="begin"/>
          </w:r>
          <w:r>
            <w:rPr>
              <w:sz w:val="21"/>
              <w:szCs w:val="21"/>
            </w:rPr>
            <w:instrText xml:space="preserve"> PAGEREF _Toc16500 \h </w:instrText>
          </w:r>
          <w:r>
            <w:rPr>
              <w:sz w:val="21"/>
              <w:szCs w:val="21"/>
            </w:rPr>
            <w:fldChar w:fldCharType="separate"/>
          </w:r>
          <w:r>
            <w:rPr>
              <w:sz w:val="21"/>
              <w:szCs w:val="21"/>
            </w:rPr>
            <w:t>170</w:t>
          </w:r>
          <w:r>
            <w:rPr>
              <w:sz w:val="21"/>
              <w:szCs w:val="21"/>
            </w:rPr>
            <w:fldChar w:fldCharType="end"/>
          </w:r>
          <w:r>
            <w:rPr>
              <w:sz w:val="21"/>
              <w:szCs w:val="21"/>
            </w:rPr>
            <w:fldChar w:fldCharType="end"/>
          </w:r>
        </w:p>
        <w:p w14:paraId="49A078FD">
          <w:pPr>
            <w:pStyle w:val="27"/>
            <w:tabs>
              <w:tab w:val="right" w:leader="dot" w:pos="9648"/>
            </w:tabs>
            <w:rPr>
              <w:sz w:val="21"/>
              <w:szCs w:val="21"/>
            </w:rPr>
          </w:pPr>
          <w:r>
            <w:rPr>
              <w:sz w:val="21"/>
              <w:szCs w:val="21"/>
            </w:rPr>
            <w:fldChar w:fldCharType="begin"/>
          </w:r>
          <w:r>
            <w:rPr>
              <w:sz w:val="21"/>
              <w:szCs w:val="21"/>
            </w:rPr>
            <w:instrText xml:space="preserve"> HYPERLINK \l _Toc21559 </w:instrText>
          </w:r>
          <w:r>
            <w:rPr>
              <w:sz w:val="21"/>
              <w:szCs w:val="21"/>
            </w:rPr>
            <w:fldChar w:fldCharType="separate"/>
          </w:r>
          <w:r>
            <w:rPr>
              <w:rFonts w:hint="eastAsia" w:eastAsia="黑体"/>
              <w:bCs w:val="0"/>
              <w:sz w:val="21"/>
              <w:szCs w:val="40"/>
            </w:rPr>
            <w:t xml:space="preserve">第五章 </w:t>
          </w:r>
          <w:r>
            <w:rPr>
              <w:rFonts w:ascii="Times New Roman" w:hAnsi="Times New Roman" w:eastAsia="黑体" w:cs="Times New Roman"/>
              <w:bCs w:val="0"/>
              <w:sz w:val="21"/>
              <w:szCs w:val="40"/>
            </w:rPr>
            <w:t>工程治理、状态机与合规保障体系</w:t>
          </w:r>
          <w:r>
            <w:rPr>
              <w:sz w:val="21"/>
              <w:szCs w:val="21"/>
            </w:rPr>
            <w:tab/>
          </w:r>
          <w:r>
            <w:rPr>
              <w:sz w:val="21"/>
              <w:szCs w:val="21"/>
            </w:rPr>
            <w:fldChar w:fldCharType="begin"/>
          </w:r>
          <w:r>
            <w:rPr>
              <w:sz w:val="21"/>
              <w:szCs w:val="21"/>
            </w:rPr>
            <w:instrText xml:space="preserve"> PAGEREF _Toc21559 \h </w:instrText>
          </w:r>
          <w:r>
            <w:rPr>
              <w:sz w:val="21"/>
              <w:szCs w:val="21"/>
            </w:rPr>
            <w:fldChar w:fldCharType="separate"/>
          </w:r>
          <w:r>
            <w:rPr>
              <w:sz w:val="21"/>
              <w:szCs w:val="21"/>
            </w:rPr>
            <w:t>172</w:t>
          </w:r>
          <w:r>
            <w:rPr>
              <w:sz w:val="21"/>
              <w:szCs w:val="21"/>
            </w:rPr>
            <w:fldChar w:fldCharType="end"/>
          </w:r>
          <w:r>
            <w:rPr>
              <w:sz w:val="21"/>
              <w:szCs w:val="21"/>
            </w:rPr>
            <w:fldChar w:fldCharType="end"/>
          </w:r>
        </w:p>
        <w:p w14:paraId="3AF459BF">
          <w:pPr>
            <w:pStyle w:val="27"/>
            <w:tabs>
              <w:tab w:val="right" w:leader="dot" w:pos="9648"/>
            </w:tabs>
            <w:rPr>
              <w:sz w:val="21"/>
              <w:szCs w:val="21"/>
            </w:rPr>
          </w:pPr>
          <w:r>
            <w:rPr>
              <w:sz w:val="21"/>
              <w:szCs w:val="21"/>
            </w:rPr>
            <w:fldChar w:fldCharType="begin"/>
          </w:r>
          <w:r>
            <w:rPr>
              <w:sz w:val="21"/>
              <w:szCs w:val="21"/>
            </w:rPr>
            <w:instrText xml:space="preserve"> HYPERLINK \l _Toc23289 </w:instrText>
          </w:r>
          <w:r>
            <w:rPr>
              <w:sz w:val="21"/>
              <w:szCs w:val="21"/>
            </w:rPr>
            <w:fldChar w:fldCharType="separate"/>
          </w:r>
          <w:r>
            <w:rPr>
              <w:rFonts w:hint="eastAsia" w:eastAsia="黑体"/>
              <w:bCs w:val="0"/>
              <w:sz w:val="21"/>
              <w:szCs w:val="28"/>
            </w:rPr>
            <w:t xml:space="preserve">一、 </w:t>
          </w:r>
          <w:r>
            <w:rPr>
              <w:rFonts w:ascii="Times New Roman" w:hAnsi="Times New Roman" w:eastAsia="黑体" w:cs="Times New Roman"/>
              <w:bCs w:val="0"/>
              <w:sz w:val="21"/>
              <w:szCs w:val="28"/>
            </w:rPr>
            <w:t>数据治理与商密合规</w:t>
          </w:r>
          <w:r>
            <w:rPr>
              <w:sz w:val="21"/>
              <w:szCs w:val="21"/>
            </w:rPr>
            <w:tab/>
          </w:r>
          <w:r>
            <w:rPr>
              <w:sz w:val="21"/>
              <w:szCs w:val="21"/>
            </w:rPr>
            <w:fldChar w:fldCharType="begin"/>
          </w:r>
          <w:r>
            <w:rPr>
              <w:sz w:val="21"/>
              <w:szCs w:val="21"/>
            </w:rPr>
            <w:instrText xml:space="preserve"> PAGEREF _Toc23289 \h </w:instrText>
          </w:r>
          <w:r>
            <w:rPr>
              <w:sz w:val="21"/>
              <w:szCs w:val="21"/>
            </w:rPr>
            <w:fldChar w:fldCharType="separate"/>
          </w:r>
          <w:r>
            <w:rPr>
              <w:sz w:val="21"/>
              <w:szCs w:val="21"/>
            </w:rPr>
            <w:t>172</w:t>
          </w:r>
          <w:r>
            <w:rPr>
              <w:sz w:val="21"/>
              <w:szCs w:val="21"/>
            </w:rPr>
            <w:fldChar w:fldCharType="end"/>
          </w:r>
          <w:r>
            <w:rPr>
              <w:sz w:val="21"/>
              <w:szCs w:val="21"/>
            </w:rPr>
            <w:fldChar w:fldCharType="end"/>
          </w:r>
        </w:p>
        <w:p w14:paraId="5E392170">
          <w:pPr>
            <w:pStyle w:val="27"/>
            <w:tabs>
              <w:tab w:val="right" w:leader="dot" w:pos="9648"/>
            </w:tabs>
            <w:rPr>
              <w:sz w:val="21"/>
              <w:szCs w:val="21"/>
            </w:rPr>
          </w:pPr>
          <w:r>
            <w:rPr>
              <w:sz w:val="21"/>
              <w:szCs w:val="21"/>
            </w:rPr>
            <w:fldChar w:fldCharType="begin"/>
          </w:r>
          <w:r>
            <w:rPr>
              <w:sz w:val="21"/>
              <w:szCs w:val="21"/>
            </w:rPr>
            <w:instrText xml:space="preserve"> HYPERLINK \l _Toc17792 </w:instrText>
          </w:r>
          <w:r>
            <w:rPr>
              <w:sz w:val="21"/>
              <w:szCs w:val="21"/>
            </w:rPr>
            <w:fldChar w:fldCharType="separate"/>
          </w:r>
          <w:r>
            <w:rPr>
              <w:rFonts w:hint="eastAsia" w:eastAsia="黑体"/>
              <w:bCs w:val="0"/>
              <w:sz w:val="21"/>
              <w:szCs w:val="28"/>
            </w:rPr>
            <w:t xml:space="preserve">二、 </w:t>
          </w:r>
          <w:r>
            <w:rPr>
              <w:rFonts w:ascii="Times New Roman" w:hAnsi="Times New Roman" w:eastAsia="黑体" w:cs="Times New Roman"/>
              <w:bCs w:val="0"/>
              <w:sz w:val="21"/>
              <w:szCs w:val="28"/>
            </w:rPr>
            <w:t>关键业务长流程状态机图谱</w:t>
          </w:r>
          <w:r>
            <w:rPr>
              <w:sz w:val="21"/>
              <w:szCs w:val="21"/>
            </w:rPr>
            <w:tab/>
          </w:r>
          <w:r>
            <w:rPr>
              <w:sz w:val="21"/>
              <w:szCs w:val="21"/>
            </w:rPr>
            <w:fldChar w:fldCharType="begin"/>
          </w:r>
          <w:r>
            <w:rPr>
              <w:sz w:val="21"/>
              <w:szCs w:val="21"/>
            </w:rPr>
            <w:instrText xml:space="preserve"> PAGEREF _Toc17792 \h </w:instrText>
          </w:r>
          <w:r>
            <w:rPr>
              <w:sz w:val="21"/>
              <w:szCs w:val="21"/>
            </w:rPr>
            <w:fldChar w:fldCharType="separate"/>
          </w:r>
          <w:r>
            <w:rPr>
              <w:sz w:val="21"/>
              <w:szCs w:val="21"/>
            </w:rPr>
            <w:t>172</w:t>
          </w:r>
          <w:r>
            <w:rPr>
              <w:sz w:val="21"/>
              <w:szCs w:val="21"/>
            </w:rPr>
            <w:fldChar w:fldCharType="end"/>
          </w:r>
          <w:r>
            <w:rPr>
              <w:sz w:val="21"/>
              <w:szCs w:val="21"/>
            </w:rPr>
            <w:fldChar w:fldCharType="end"/>
          </w:r>
        </w:p>
        <w:p w14:paraId="0C4BF580">
          <w:pPr>
            <w:pStyle w:val="27"/>
            <w:tabs>
              <w:tab w:val="right" w:leader="dot" w:pos="9648"/>
            </w:tabs>
            <w:rPr>
              <w:sz w:val="21"/>
              <w:szCs w:val="21"/>
            </w:rPr>
          </w:pPr>
          <w:r>
            <w:rPr>
              <w:sz w:val="21"/>
              <w:szCs w:val="21"/>
            </w:rPr>
            <w:fldChar w:fldCharType="begin"/>
          </w:r>
          <w:r>
            <w:rPr>
              <w:sz w:val="21"/>
              <w:szCs w:val="21"/>
            </w:rPr>
            <w:instrText xml:space="preserve"> HYPERLINK \l _Toc31419 </w:instrText>
          </w:r>
          <w:r>
            <w:rPr>
              <w:sz w:val="21"/>
              <w:szCs w:val="21"/>
            </w:rPr>
            <w:fldChar w:fldCharType="separate"/>
          </w:r>
          <w:r>
            <w:rPr>
              <w:rFonts w:hint="eastAsia" w:eastAsia="黑体"/>
              <w:bCs w:val="0"/>
              <w:sz w:val="21"/>
              <w:szCs w:val="28"/>
            </w:rPr>
            <w:t xml:space="preserve">三、 </w:t>
          </w:r>
          <w:r>
            <w:rPr>
              <w:rFonts w:ascii="Times New Roman" w:hAnsi="Times New Roman" w:eastAsia="黑体" w:cs="Times New Roman"/>
              <w:bCs w:val="0"/>
              <w:sz w:val="21"/>
              <w:szCs w:val="28"/>
            </w:rPr>
            <w:t>术语表与缩略语大全</w:t>
          </w:r>
          <w:r>
            <w:rPr>
              <w:sz w:val="21"/>
              <w:szCs w:val="21"/>
            </w:rPr>
            <w:tab/>
          </w:r>
          <w:r>
            <w:rPr>
              <w:sz w:val="21"/>
              <w:szCs w:val="21"/>
            </w:rPr>
            <w:fldChar w:fldCharType="begin"/>
          </w:r>
          <w:r>
            <w:rPr>
              <w:sz w:val="21"/>
              <w:szCs w:val="21"/>
            </w:rPr>
            <w:instrText xml:space="preserve"> PAGEREF _Toc31419 \h </w:instrText>
          </w:r>
          <w:r>
            <w:rPr>
              <w:sz w:val="21"/>
              <w:szCs w:val="21"/>
            </w:rPr>
            <w:fldChar w:fldCharType="separate"/>
          </w:r>
          <w:r>
            <w:rPr>
              <w:sz w:val="21"/>
              <w:szCs w:val="21"/>
            </w:rPr>
            <w:t>173</w:t>
          </w:r>
          <w:r>
            <w:rPr>
              <w:sz w:val="21"/>
              <w:szCs w:val="21"/>
            </w:rPr>
            <w:fldChar w:fldCharType="end"/>
          </w:r>
          <w:r>
            <w:rPr>
              <w:sz w:val="21"/>
              <w:szCs w:val="21"/>
            </w:rPr>
            <w:fldChar w:fldCharType="end"/>
          </w:r>
        </w:p>
        <w:p w14:paraId="0B4D3338">
          <w:pPr>
            <w:pStyle w:val="27"/>
            <w:tabs>
              <w:tab w:val="right" w:leader="dot" w:pos="9648"/>
            </w:tabs>
            <w:rPr>
              <w:sz w:val="21"/>
              <w:szCs w:val="21"/>
            </w:rPr>
          </w:pPr>
          <w:r>
            <w:rPr>
              <w:sz w:val="21"/>
              <w:szCs w:val="21"/>
            </w:rPr>
            <w:fldChar w:fldCharType="begin"/>
          </w:r>
          <w:r>
            <w:rPr>
              <w:sz w:val="21"/>
              <w:szCs w:val="21"/>
            </w:rPr>
            <w:instrText xml:space="preserve"> HYPERLINK \l _Toc26887 </w:instrText>
          </w:r>
          <w:r>
            <w:rPr>
              <w:sz w:val="21"/>
              <w:szCs w:val="21"/>
            </w:rPr>
            <w:fldChar w:fldCharType="separate"/>
          </w:r>
          <w:r>
            <w:rPr>
              <w:rFonts w:hint="eastAsia" w:eastAsia="黑体"/>
              <w:bCs w:val="0"/>
              <w:sz w:val="21"/>
              <w:szCs w:val="28"/>
            </w:rPr>
            <w:t xml:space="preserve">四、 </w:t>
          </w:r>
          <w:r>
            <w:rPr>
              <w:rFonts w:ascii="Times New Roman" w:hAnsi="Times New Roman" w:eastAsia="黑体" w:cs="Times New Roman"/>
              <w:bCs w:val="0"/>
              <w:sz w:val="21"/>
              <w:szCs w:val="28"/>
            </w:rPr>
            <w:t>标准化错误码字典与异常分级</w:t>
          </w:r>
          <w:r>
            <w:rPr>
              <w:sz w:val="21"/>
              <w:szCs w:val="21"/>
            </w:rPr>
            <w:tab/>
          </w:r>
          <w:r>
            <w:rPr>
              <w:sz w:val="21"/>
              <w:szCs w:val="21"/>
            </w:rPr>
            <w:fldChar w:fldCharType="begin"/>
          </w:r>
          <w:r>
            <w:rPr>
              <w:sz w:val="21"/>
              <w:szCs w:val="21"/>
            </w:rPr>
            <w:instrText xml:space="preserve"> PAGEREF _Toc26887 \h </w:instrText>
          </w:r>
          <w:r>
            <w:rPr>
              <w:sz w:val="21"/>
              <w:szCs w:val="21"/>
            </w:rPr>
            <w:fldChar w:fldCharType="separate"/>
          </w:r>
          <w:r>
            <w:rPr>
              <w:sz w:val="21"/>
              <w:szCs w:val="21"/>
            </w:rPr>
            <w:t>174</w:t>
          </w:r>
          <w:r>
            <w:rPr>
              <w:sz w:val="21"/>
              <w:szCs w:val="21"/>
            </w:rPr>
            <w:fldChar w:fldCharType="end"/>
          </w:r>
          <w:r>
            <w:rPr>
              <w:sz w:val="21"/>
              <w:szCs w:val="21"/>
            </w:rPr>
            <w:fldChar w:fldCharType="end"/>
          </w:r>
        </w:p>
        <w:p w14:paraId="5EF54381">
          <w:pPr>
            <w:pStyle w:val="27"/>
            <w:tabs>
              <w:tab w:val="right" w:leader="dot" w:pos="9648"/>
            </w:tabs>
            <w:rPr>
              <w:sz w:val="21"/>
              <w:szCs w:val="21"/>
            </w:rPr>
          </w:pPr>
          <w:r>
            <w:rPr>
              <w:sz w:val="21"/>
              <w:szCs w:val="21"/>
            </w:rPr>
            <w:fldChar w:fldCharType="begin"/>
          </w:r>
          <w:r>
            <w:rPr>
              <w:sz w:val="21"/>
              <w:szCs w:val="21"/>
            </w:rPr>
            <w:instrText xml:space="preserve"> HYPERLINK \l _Toc28375 </w:instrText>
          </w:r>
          <w:r>
            <w:rPr>
              <w:sz w:val="21"/>
              <w:szCs w:val="21"/>
            </w:rPr>
            <w:fldChar w:fldCharType="separate"/>
          </w:r>
          <w:r>
            <w:rPr>
              <w:rFonts w:hint="eastAsia" w:eastAsia="黑体"/>
              <w:bCs w:val="0"/>
              <w:sz w:val="21"/>
              <w:szCs w:val="28"/>
            </w:rPr>
            <w:t xml:space="preserve">五、 </w:t>
          </w:r>
          <w:r>
            <w:rPr>
              <w:rFonts w:ascii="Times New Roman" w:hAnsi="Times New Roman" w:eastAsia="黑体" w:cs="Times New Roman"/>
              <w:bCs w:val="0"/>
              <w:sz w:val="21"/>
              <w:szCs w:val="28"/>
            </w:rPr>
            <w:t>决策治理责任矩阵</w:t>
          </w:r>
          <w:r>
            <w:rPr>
              <w:sz w:val="21"/>
              <w:szCs w:val="21"/>
            </w:rPr>
            <w:tab/>
          </w:r>
          <w:r>
            <w:rPr>
              <w:sz w:val="21"/>
              <w:szCs w:val="21"/>
            </w:rPr>
            <w:fldChar w:fldCharType="begin"/>
          </w:r>
          <w:r>
            <w:rPr>
              <w:sz w:val="21"/>
              <w:szCs w:val="21"/>
            </w:rPr>
            <w:instrText xml:space="preserve"> PAGEREF _Toc28375 \h </w:instrText>
          </w:r>
          <w:r>
            <w:rPr>
              <w:sz w:val="21"/>
              <w:szCs w:val="21"/>
            </w:rPr>
            <w:fldChar w:fldCharType="separate"/>
          </w:r>
          <w:r>
            <w:rPr>
              <w:sz w:val="21"/>
              <w:szCs w:val="21"/>
            </w:rPr>
            <w:t>176</w:t>
          </w:r>
          <w:r>
            <w:rPr>
              <w:sz w:val="21"/>
              <w:szCs w:val="21"/>
            </w:rPr>
            <w:fldChar w:fldCharType="end"/>
          </w:r>
          <w:r>
            <w:rPr>
              <w:sz w:val="21"/>
              <w:szCs w:val="21"/>
            </w:rPr>
            <w:fldChar w:fldCharType="end"/>
          </w:r>
        </w:p>
        <w:p w14:paraId="75D80823">
          <w:pPr>
            <w:pStyle w:val="27"/>
            <w:tabs>
              <w:tab w:val="right" w:leader="dot" w:pos="9648"/>
            </w:tabs>
            <w:rPr>
              <w:sz w:val="21"/>
              <w:szCs w:val="21"/>
            </w:rPr>
          </w:pPr>
          <w:r>
            <w:rPr>
              <w:sz w:val="21"/>
              <w:szCs w:val="21"/>
            </w:rPr>
            <w:fldChar w:fldCharType="begin"/>
          </w:r>
          <w:r>
            <w:rPr>
              <w:sz w:val="21"/>
              <w:szCs w:val="21"/>
            </w:rPr>
            <w:instrText xml:space="preserve"> HYPERLINK \l _Toc15165 </w:instrText>
          </w:r>
          <w:r>
            <w:rPr>
              <w:sz w:val="21"/>
              <w:szCs w:val="21"/>
            </w:rPr>
            <w:fldChar w:fldCharType="separate"/>
          </w:r>
          <w:r>
            <w:rPr>
              <w:rFonts w:hint="eastAsia" w:eastAsia="黑体"/>
              <w:bCs w:val="0"/>
              <w:sz w:val="21"/>
              <w:szCs w:val="40"/>
            </w:rPr>
            <w:t xml:space="preserve">第六章 </w:t>
          </w:r>
          <w:r>
            <w:rPr>
              <w:rFonts w:ascii="Times New Roman" w:hAnsi="Times New Roman" w:eastAsia="黑体" w:cs="Times New Roman"/>
              <w:bCs w:val="0"/>
              <w:sz w:val="21"/>
              <w:szCs w:val="40"/>
            </w:rPr>
            <w:t>非功能需求与性能指标</w:t>
          </w:r>
          <w:r>
            <w:rPr>
              <w:sz w:val="21"/>
              <w:szCs w:val="21"/>
            </w:rPr>
            <w:tab/>
          </w:r>
          <w:r>
            <w:rPr>
              <w:sz w:val="21"/>
              <w:szCs w:val="21"/>
            </w:rPr>
            <w:fldChar w:fldCharType="begin"/>
          </w:r>
          <w:r>
            <w:rPr>
              <w:sz w:val="21"/>
              <w:szCs w:val="21"/>
            </w:rPr>
            <w:instrText xml:space="preserve"> PAGEREF _Toc15165 \h </w:instrText>
          </w:r>
          <w:r>
            <w:rPr>
              <w:sz w:val="21"/>
              <w:szCs w:val="21"/>
            </w:rPr>
            <w:fldChar w:fldCharType="separate"/>
          </w:r>
          <w:r>
            <w:rPr>
              <w:sz w:val="21"/>
              <w:szCs w:val="21"/>
            </w:rPr>
            <w:t>177</w:t>
          </w:r>
          <w:r>
            <w:rPr>
              <w:sz w:val="21"/>
              <w:szCs w:val="21"/>
            </w:rPr>
            <w:fldChar w:fldCharType="end"/>
          </w:r>
          <w:r>
            <w:rPr>
              <w:sz w:val="21"/>
              <w:szCs w:val="21"/>
            </w:rPr>
            <w:fldChar w:fldCharType="end"/>
          </w:r>
        </w:p>
        <w:p w14:paraId="03816789">
          <w:pPr>
            <w:pStyle w:val="27"/>
            <w:tabs>
              <w:tab w:val="right" w:leader="dot" w:pos="9648"/>
            </w:tabs>
            <w:rPr>
              <w:sz w:val="21"/>
              <w:szCs w:val="21"/>
            </w:rPr>
          </w:pPr>
          <w:r>
            <w:rPr>
              <w:sz w:val="21"/>
              <w:szCs w:val="21"/>
            </w:rPr>
            <w:fldChar w:fldCharType="begin"/>
          </w:r>
          <w:r>
            <w:rPr>
              <w:sz w:val="21"/>
              <w:szCs w:val="21"/>
            </w:rPr>
            <w:instrText xml:space="preserve"> HYPERLINK \l _Toc3256 </w:instrText>
          </w:r>
          <w:r>
            <w:rPr>
              <w:sz w:val="21"/>
              <w:szCs w:val="21"/>
            </w:rPr>
            <w:fldChar w:fldCharType="separate"/>
          </w:r>
          <w:r>
            <w:rPr>
              <w:rFonts w:hint="eastAsia" w:eastAsia="黑体"/>
              <w:bCs w:val="0"/>
              <w:sz w:val="21"/>
              <w:szCs w:val="28"/>
            </w:rPr>
            <w:t xml:space="preserve">一、 </w:t>
          </w:r>
          <w:r>
            <w:rPr>
              <w:rFonts w:ascii="Times New Roman" w:hAnsi="Times New Roman" w:eastAsia="黑体" w:cs="Times New Roman"/>
              <w:bCs w:val="0"/>
              <w:sz w:val="21"/>
              <w:szCs w:val="28"/>
            </w:rPr>
            <w:t>性能指标基线</w:t>
          </w:r>
          <w:r>
            <w:rPr>
              <w:sz w:val="21"/>
              <w:szCs w:val="21"/>
            </w:rPr>
            <w:tab/>
          </w:r>
          <w:r>
            <w:rPr>
              <w:sz w:val="21"/>
              <w:szCs w:val="21"/>
            </w:rPr>
            <w:fldChar w:fldCharType="begin"/>
          </w:r>
          <w:r>
            <w:rPr>
              <w:sz w:val="21"/>
              <w:szCs w:val="21"/>
            </w:rPr>
            <w:instrText xml:space="preserve"> PAGEREF _Toc3256 \h </w:instrText>
          </w:r>
          <w:r>
            <w:rPr>
              <w:sz w:val="21"/>
              <w:szCs w:val="21"/>
            </w:rPr>
            <w:fldChar w:fldCharType="separate"/>
          </w:r>
          <w:r>
            <w:rPr>
              <w:sz w:val="21"/>
              <w:szCs w:val="21"/>
            </w:rPr>
            <w:t>177</w:t>
          </w:r>
          <w:r>
            <w:rPr>
              <w:sz w:val="21"/>
              <w:szCs w:val="21"/>
            </w:rPr>
            <w:fldChar w:fldCharType="end"/>
          </w:r>
          <w:r>
            <w:rPr>
              <w:sz w:val="21"/>
              <w:szCs w:val="21"/>
            </w:rPr>
            <w:fldChar w:fldCharType="end"/>
          </w:r>
        </w:p>
        <w:p w14:paraId="2C11B833">
          <w:pPr>
            <w:pStyle w:val="27"/>
            <w:tabs>
              <w:tab w:val="right" w:leader="dot" w:pos="9648"/>
            </w:tabs>
            <w:rPr>
              <w:sz w:val="21"/>
              <w:szCs w:val="21"/>
            </w:rPr>
          </w:pPr>
          <w:r>
            <w:rPr>
              <w:sz w:val="21"/>
              <w:szCs w:val="21"/>
            </w:rPr>
            <w:fldChar w:fldCharType="begin"/>
          </w:r>
          <w:r>
            <w:rPr>
              <w:sz w:val="21"/>
              <w:szCs w:val="21"/>
            </w:rPr>
            <w:instrText xml:space="preserve"> HYPERLINK \l _Toc17329 </w:instrText>
          </w:r>
          <w:r>
            <w:rPr>
              <w:sz w:val="21"/>
              <w:szCs w:val="21"/>
            </w:rPr>
            <w:fldChar w:fldCharType="separate"/>
          </w:r>
          <w:r>
            <w:rPr>
              <w:rFonts w:hint="eastAsia" w:eastAsia="黑体"/>
              <w:bCs w:val="0"/>
              <w:sz w:val="21"/>
              <w:szCs w:val="28"/>
            </w:rPr>
            <w:t xml:space="preserve">二、 </w:t>
          </w:r>
          <w:r>
            <w:rPr>
              <w:rFonts w:ascii="Times New Roman" w:hAnsi="Times New Roman" w:eastAsia="黑体" w:cs="Times New Roman"/>
              <w:bCs w:val="0"/>
              <w:sz w:val="21"/>
              <w:szCs w:val="28"/>
            </w:rPr>
            <w:t>可靠性与可观测性基线</w:t>
          </w:r>
          <w:r>
            <w:rPr>
              <w:sz w:val="21"/>
              <w:szCs w:val="21"/>
            </w:rPr>
            <w:tab/>
          </w:r>
          <w:r>
            <w:rPr>
              <w:sz w:val="21"/>
              <w:szCs w:val="21"/>
            </w:rPr>
            <w:fldChar w:fldCharType="begin"/>
          </w:r>
          <w:r>
            <w:rPr>
              <w:sz w:val="21"/>
              <w:szCs w:val="21"/>
            </w:rPr>
            <w:instrText xml:space="preserve"> PAGEREF _Toc17329 \h </w:instrText>
          </w:r>
          <w:r>
            <w:rPr>
              <w:sz w:val="21"/>
              <w:szCs w:val="21"/>
            </w:rPr>
            <w:fldChar w:fldCharType="separate"/>
          </w:r>
          <w:r>
            <w:rPr>
              <w:sz w:val="21"/>
              <w:szCs w:val="21"/>
            </w:rPr>
            <w:t>177</w:t>
          </w:r>
          <w:r>
            <w:rPr>
              <w:sz w:val="21"/>
              <w:szCs w:val="21"/>
            </w:rPr>
            <w:fldChar w:fldCharType="end"/>
          </w:r>
          <w:r>
            <w:rPr>
              <w:sz w:val="21"/>
              <w:szCs w:val="21"/>
            </w:rPr>
            <w:fldChar w:fldCharType="end"/>
          </w:r>
        </w:p>
        <w:p w14:paraId="0120EA13">
          <w:pPr>
            <w:pStyle w:val="27"/>
            <w:tabs>
              <w:tab w:val="right" w:leader="dot" w:pos="9648"/>
            </w:tabs>
            <w:rPr>
              <w:sz w:val="21"/>
              <w:szCs w:val="21"/>
            </w:rPr>
          </w:pPr>
          <w:r>
            <w:rPr>
              <w:sz w:val="21"/>
              <w:szCs w:val="21"/>
            </w:rPr>
            <w:fldChar w:fldCharType="begin"/>
          </w:r>
          <w:r>
            <w:rPr>
              <w:sz w:val="21"/>
              <w:szCs w:val="21"/>
            </w:rPr>
            <w:instrText xml:space="preserve"> HYPERLINK \l _Toc28220 </w:instrText>
          </w:r>
          <w:r>
            <w:rPr>
              <w:sz w:val="21"/>
              <w:szCs w:val="21"/>
            </w:rPr>
            <w:fldChar w:fldCharType="separate"/>
          </w:r>
          <w:r>
            <w:rPr>
              <w:rFonts w:hint="eastAsia" w:eastAsia="黑体"/>
              <w:bCs w:val="0"/>
              <w:sz w:val="21"/>
              <w:szCs w:val="40"/>
            </w:rPr>
            <w:t xml:space="preserve">第七章 </w:t>
          </w:r>
          <w:r>
            <w:rPr>
              <w:rFonts w:ascii="Times New Roman" w:hAnsi="Times New Roman" w:eastAsia="黑体" w:cs="Times New Roman"/>
              <w:bCs w:val="0"/>
              <w:sz w:val="21"/>
              <w:szCs w:val="40"/>
            </w:rPr>
            <w:t>技术架构与系统选型</w:t>
          </w:r>
          <w:r>
            <w:rPr>
              <w:sz w:val="21"/>
              <w:szCs w:val="21"/>
            </w:rPr>
            <w:tab/>
          </w:r>
          <w:r>
            <w:rPr>
              <w:sz w:val="21"/>
              <w:szCs w:val="21"/>
            </w:rPr>
            <w:fldChar w:fldCharType="begin"/>
          </w:r>
          <w:r>
            <w:rPr>
              <w:sz w:val="21"/>
              <w:szCs w:val="21"/>
            </w:rPr>
            <w:instrText xml:space="preserve"> PAGEREF _Toc28220 \h </w:instrText>
          </w:r>
          <w:r>
            <w:rPr>
              <w:sz w:val="21"/>
              <w:szCs w:val="21"/>
            </w:rPr>
            <w:fldChar w:fldCharType="separate"/>
          </w:r>
          <w:r>
            <w:rPr>
              <w:sz w:val="21"/>
              <w:szCs w:val="21"/>
            </w:rPr>
            <w:t>178</w:t>
          </w:r>
          <w:r>
            <w:rPr>
              <w:sz w:val="21"/>
              <w:szCs w:val="21"/>
            </w:rPr>
            <w:fldChar w:fldCharType="end"/>
          </w:r>
          <w:r>
            <w:rPr>
              <w:sz w:val="21"/>
              <w:szCs w:val="21"/>
            </w:rPr>
            <w:fldChar w:fldCharType="end"/>
          </w:r>
        </w:p>
        <w:p w14:paraId="1C810B7C">
          <w:pPr>
            <w:pStyle w:val="27"/>
            <w:tabs>
              <w:tab w:val="right" w:leader="dot" w:pos="9648"/>
            </w:tabs>
            <w:rPr>
              <w:sz w:val="21"/>
              <w:szCs w:val="21"/>
            </w:rPr>
          </w:pPr>
          <w:r>
            <w:rPr>
              <w:sz w:val="21"/>
              <w:szCs w:val="21"/>
            </w:rPr>
            <w:fldChar w:fldCharType="begin"/>
          </w:r>
          <w:r>
            <w:rPr>
              <w:sz w:val="21"/>
              <w:szCs w:val="21"/>
            </w:rPr>
            <w:instrText xml:space="preserve"> HYPERLINK \l _Toc19241 </w:instrText>
          </w:r>
          <w:r>
            <w:rPr>
              <w:sz w:val="21"/>
              <w:szCs w:val="21"/>
            </w:rPr>
            <w:fldChar w:fldCharType="separate"/>
          </w:r>
          <w:r>
            <w:rPr>
              <w:rFonts w:hint="eastAsia" w:eastAsia="黑体"/>
              <w:bCs w:val="0"/>
              <w:sz w:val="21"/>
              <w:szCs w:val="28"/>
            </w:rPr>
            <w:t xml:space="preserve">一、 </w:t>
          </w:r>
          <w:r>
            <w:rPr>
              <w:rFonts w:ascii="Times New Roman" w:hAnsi="Times New Roman" w:eastAsia="黑体" w:cs="Times New Roman"/>
              <w:bCs w:val="0"/>
              <w:sz w:val="21"/>
              <w:szCs w:val="28"/>
            </w:rPr>
            <w:t>原型实现技术栈</w:t>
          </w:r>
          <w:r>
            <w:rPr>
              <w:sz w:val="21"/>
              <w:szCs w:val="21"/>
            </w:rPr>
            <w:tab/>
          </w:r>
          <w:r>
            <w:rPr>
              <w:sz w:val="21"/>
              <w:szCs w:val="21"/>
            </w:rPr>
            <w:fldChar w:fldCharType="begin"/>
          </w:r>
          <w:r>
            <w:rPr>
              <w:sz w:val="21"/>
              <w:szCs w:val="21"/>
            </w:rPr>
            <w:instrText xml:space="preserve"> PAGEREF _Toc19241 \h </w:instrText>
          </w:r>
          <w:r>
            <w:rPr>
              <w:sz w:val="21"/>
              <w:szCs w:val="21"/>
            </w:rPr>
            <w:fldChar w:fldCharType="separate"/>
          </w:r>
          <w:r>
            <w:rPr>
              <w:sz w:val="21"/>
              <w:szCs w:val="21"/>
            </w:rPr>
            <w:t>178</w:t>
          </w:r>
          <w:r>
            <w:rPr>
              <w:sz w:val="21"/>
              <w:szCs w:val="21"/>
            </w:rPr>
            <w:fldChar w:fldCharType="end"/>
          </w:r>
          <w:r>
            <w:rPr>
              <w:sz w:val="21"/>
              <w:szCs w:val="21"/>
            </w:rPr>
            <w:fldChar w:fldCharType="end"/>
          </w:r>
        </w:p>
        <w:p w14:paraId="6B742172">
          <w:pPr>
            <w:pStyle w:val="27"/>
            <w:tabs>
              <w:tab w:val="right" w:leader="dot" w:pos="9648"/>
            </w:tabs>
            <w:rPr>
              <w:sz w:val="21"/>
              <w:szCs w:val="21"/>
            </w:rPr>
          </w:pPr>
          <w:r>
            <w:rPr>
              <w:sz w:val="21"/>
              <w:szCs w:val="21"/>
            </w:rPr>
            <w:fldChar w:fldCharType="begin"/>
          </w:r>
          <w:r>
            <w:rPr>
              <w:sz w:val="21"/>
              <w:szCs w:val="21"/>
            </w:rPr>
            <w:instrText xml:space="preserve"> HYPERLINK \l _Toc32230 </w:instrText>
          </w:r>
          <w:r>
            <w:rPr>
              <w:sz w:val="21"/>
              <w:szCs w:val="21"/>
            </w:rPr>
            <w:fldChar w:fldCharType="separate"/>
          </w:r>
          <w:r>
            <w:rPr>
              <w:rFonts w:hint="eastAsia" w:eastAsia="黑体"/>
              <w:bCs w:val="0"/>
              <w:sz w:val="21"/>
              <w:szCs w:val="28"/>
            </w:rPr>
            <w:t xml:space="preserve">二、 </w:t>
          </w:r>
          <w:r>
            <w:rPr>
              <w:rFonts w:ascii="Times New Roman" w:hAnsi="Times New Roman" w:eastAsia="黑体" w:cs="Times New Roman"/>
              <w:bCs w:val="0"/>
              <w:sz w:val="21"/>
              <w:szCs w:val="28"/>
            </w:rPr>
            <w:t>关键架构决策（ADR）</w:t>
          </w:r>
          <w:r>
            <w:rPr>
              <w:sz w:val="21"/>
              <w:szCs w:val="21"/>
            </w:rPr>
            <w:tab/>
          </w:r>
          <w:r>
            <w:rPr>
              <w:sz w:val="21"/>
              <w:szCs w:val="21"/>
            </w:rPr>
            <w:fldChar w:fldCharType="begin"/>
          </w:r>
          <w:r>
            <w:rPr>
              <w:sz w:val="21"/>
              <w:szCs w:val="21"/>
            </w:rPr>
            <w:instrText xml:space="preserve"> PAGEREF _Toc32230 \h </w:instrText>
          </w:r>
          <w:r>
            <w:rPr>
              <w:sz w:val="21"/>
              <w:szCs w:val="21"/>
            </w:rPr>
            <w:fldChar w:fldCharType="separate"/>
          </w:r>
          <w:r>
            <w:rPr>
              <w:sz w:val="21"/>
              <w:szCs w:val="21"/>
            </w:rPr>
            <w:t>178</w:t>
          </w:r>
          <w:r>
            <w:rPr>
              <w:sz w:val="21"/>
              <w:szCs w:val="21"/>
            </w:rPr>
            <w:fldChar w:fldCharType="end"/>
          </w:r>
          <w:r>
            <w:rPr>
              <w:sz w:val="21"/>
              <w:szCs w:val="21"/>
            </w:rPr>
            <w:fldChar w:fldCharType="end"/>
          </w:r>
        </w:p>
        <w:p w14:paraId="0F47CD26">
          <w:pPr>
            <w:pStyle w:val="27"/>
            <w:tabs>
              <w:tab w:val="right" w:leader="dot" w:pos="9648"/>
            </w:tabs>
            <w:rPr>
              <w:sz w:val="21"/>
              <w:szCs w:val="21"/>
            </w:rPr>
          </w:pPr>
          <w:r>
            <w:rPr>
              <w:sz w:val="21"/>
              <w:szCs w:val="21"/>
            </w:rPr>
            <w:fldChar w:fldCharType="begin"/>
          </w:r>
          <w:r>
            <w:rPr>
              <w:sz w:val="21"/>
              <w:szCs w:val="21"/>
            </w:rPr>
            <w:instrText xml:space="preserve"> HYPERLINK \l _Toc11149 </w:instrText>
          </w:r>
          <w:r>
            <w:rPr>
              <w:sz w:val="21"/>
              <w:szCs w:val="21"/>
            </w:rPr>
            <w:fldChar w:fldCharType="separate"/>
          </w:r>
          <w:r>
            <w:rPr>
              <w:rFonts w:hint="eastAsia" w:eastAsia="黑体"/>
              <w:bCs w:val="0"/>
              <w:sz w:val="21"/>
              <w:szCs w:val="28"/>
            </w:rPr>
            <w:t xml:space="preserve">三、 </w:t>
          </w:r>
          <w:r>
            <w:rPr>
              <w:rFonts w:ascii="Times New Roman" w:hAnsi="Times New Roman" w:eastAsia="黑体" w:cs="Times New Roman"/>
              <w:bCs w:val="0"/>
              <w:sz w:val="21"/>
              <w:szCs w:val="28"/>
            </w:rPr>
            <w:t>待确认技术决策</w:t>
          </w:r>
          <w:r>
            <w:rPr>
              <w:sz w:val="21"/>
              <w:szCs w:val="21"/>
            </w:rPr>
            <w:tab/>
          </w:r>
          <w:r>
            <w:rPr>
              <w:sz w:val="21"/>
              <w:szCs w:val="21"/>
            </w:rPr>
            <w:fldChar w:fldCharType="begin"/>
          </w:r>
          <w:r>
            <w:rPr>
              <w:sz w:val="21"/>
              <w:szCs w:val="21"/>
            </w:rPr>
            <w:instrText xml:space="preserve"> PAGEREF _Toc11149 \h </w:instrText>
          </w:r>
          <w:r>
            <w:rPr>
              <w:sz w:val="21"/>
              <w:szCs w:val="21"/>
            </w:rPr>
            <w:fldChar w:fldCharType="separate"/>
          </w:r>
          <w:r>
            <w:rPr>
              <w:sz w:val="21"/>
              <w:szCs w:val="21"/>
            </w:rPr>
            <w:t>178</w:t>
          </w:r>
          <w:r>
            <w:rPr>
              <w:sz w:val="21"/>
              <w:szCs w:val="21"/>
            </w:rPr>
            <w:fldChar w:fldCharType="end"/>
          </w:r>
          <w:r>
            <w:rPr>
              <w:sz w:val="21"/>
              <w:szCs w:val="21"/>
            </w:rPr>
            <w:fldChar w:fldCharType="end"/>
          </w:r>
        </w:p>
        <w:p w14:paraId="30EAB98C">
          <w:pPr>
            <w:pStyle w:val="27"/>
            <w:tabs>
              <w:tab w:val="right" w:leader="dot" w:pos="9648"/>
            </w:tabs>
            <w:rPr>
              <w:sz w:val="21"/>
              <w:szCs w:val="21"/>
            </w:rPr>
          </w:pPr>
          <w:r>
            <w:rPr>
              <w:sz w:val="21"/>
              <w:szCs w:val="21"/>
            </w:rPr>
            <w:fldChar w:fldCharType="begin"/>
          </w:r>
          <w:r>
            <w:rPr>
              <w:sz w:val="21"/>
              <w:szCs w:val="21"/>
            </w:rPr>
            <w:instrText xml:space="preserve"> HYPERLINK \l _Toc10669 </w:instrText>
          </w:r>
          <w:r>
            <w:rPr>
              <w:sz w:val="21"/>
              <w:szCs w:val="21"/>
            </w:rPr>
            <w:fldChar w:fldCharType="separate"/>
          </w:r>
          <w:r>
            <w:rPr>
              <w:rFonts w:hint="eastAsia" w:eastAsia="黑体"/>
              <w:bCs w:val="0"/>
              <w:sz w:val="21"/>
              <w:szCs w:val="40"/>
            </w:rPr>
            <w:t xml:space="preserve">第八章 </w:t>
          </w:r>
          <w:r>
            <w:rPr>
              <w:rFonts w:ascii="Times New Roman" w:hAnsi="Times New Roman" w:eastAsia="黑体" w:cs="Times New Roman"/>
              <w:bCs w:val="0"/>
              <w:sz w:val="21"/>
              <w:szCs w:val="40"/>
            </w:rPr>
            <w:t>系统级公共模块需求</w:t>
          </w:r>
          <w:r>
            <w:rPr>
              <w:sz w:val="21"/>
              <w:szCs w:val="21"/>
            </w:rPr>
            <w:tab/>
          </w:r>
          <w:r>
            <w:rPr>
              <w:sz w:val="21"/>
              <w:szCs w:val="21"/>
            </w:rPr>
            <w:fldChar w:fldCharType="begin"/>
          </w:r>
          <w:r>
            <w:rPr>
              <w:sz w:val="21"/>
              <w:szCs w:val="21"/>
            </w:rPr>
            <w:instrText xml:space="preserve"> PAGEREF _Toc10669 \h </w:instrText>
          </w:r>
          <w:r>
            <w:rPr>
              <w:sz w:val="21"/>
              <w:szCs w:val="21"/>
            </w:rPr>
            <w:fldChar w:fldCharType="separate"/>
          </w:r>
          <w:r>
            <w:rPr>
              <w:sz w:val="21"/>
              <w:szCs w:val="21"/>
            </w:rPr>
            <w:t>179</w:t>
          </w:r>
          <w:r>
            <w:rPr>
              <w:sz w:val="21"/>
              <w:szCs w:val="21"/>
            </w:rPr>
            <w:fldChar w:fldCharType="end"/>
          </w:r>
          <w:r>
            <w:rPr>
              <w:sz w:val="21"/>
              <w:szCs w:val="21"/>
            </w:rPr>
            <w:fldChar w:fldCharType="end"/>
          </w:r>
        </w:p>
        <w:p w14:paraId="7324E03B">
          <w:pPr>
            <w:pStyle w:val="27"/>
            <w:tabs>
              <w:tab w:val="right" w:leader="dot" w:pos="9648"/>
            </w:tabs>
            <w:rPr>
              <w:sz w:val="21"/>
              <w:szCs w:val="21"/>
            </w:rPr>
          </w:pPr>
          <w:r>
            <w:rPr>
              <w:sz w:val="21"/>
              <w:szCs w:val="21"/>
            </w:rPr>
            <w:fldChar w:fldCharType="begin"/>
          </w:r>
          <w:r>
            <w:rPr>
              <w:sz w:val="21"/>
              <w:szCs w:val="21"/>
            </w:rPr>
            <w:instrText xml:space="preserve"> HYPERLINK \l _Toc20479 </w:instrText>
          </w:r>
          <w:r>
            <w:rPr>
              <w:sz w:val="21"/>
              <w:szCs w:val="21"/>
            </w:rPr>
            <w:fldChar w:fldCharType="separate"/>
          </w:r>
          <w:r>
            <w:rPr>
              <w:rFonts w:hint="eastAsia" w:eastAsia="黑体"/>
              <w:bCs w:val="0"/>
              <w:sz w:val="21"/>
              <w:szCs w:val="28"/>
            </w:rPr>
            <w:t xml:space="preserve">一、 </w:t>
          </w:r>
          <w:r>
            <w:rPr>
              <w:rFonts w:ascii="Times New Roman" w:hAnsi="Times New Roman" w:eastAsia="黑体" w:cs="Times New Roman"/>
              <w:bCs w:val="0"/>
              <w:sz w:val="21"/>
              <w:szCs w:val="28"/>
            </w:rPr>
            <w:t>公共模块清单</w:t>
          </w:r>
          <w:r>
            <w:rPr>
              <w:sz w:val="21"/>
              <w:szCs w:val="21"/>
            </w:rPr>
            <w:tab/>
          </w:r>
          <w:r>
            <w:rPr>
              <w:sz w:val="21"/>
              <w:szCs w:val="21"/>
            </w:rPr>
            <w:fldChar w:fldCharType="begin"/>
          </w:r>
          <w:r>
            <w:rPr>
              <w:sz w:val="21"/>
              <w:szCs w:val="21"/>
            </w:rPr>
            <w:instrText xml:space="preserve"> PAGEREF _Toc20479 \h </w:instrText>
          </w:r>
          <w:r>
            <w:rPr>
              <w:sz w:val="21"/>
              <w:szCs w:val="21"/>
            </w:rPr>
            <w:fldChar w:fldCharType="separate"/>
          </w:r>
          <w:r>
            <w:rPr>
              <w:sz w:val="21"/>
              <w:szCs w:val="21"/>
            </w:rPr>
            <w:t>179</w:t>
          </w:r>
          <w:r>
            <w:rPr>
              <w:sz w:val="21"/>
              <w:szCs w:val="21"/>
            </w:rPr>
            <w:fldChar w:fldCharType="end"/>
          </w:r>
          <w:r>
            <w:rPr>
              <w:sz w:val="21"/>
              <w:szCs w:val="21"/>
            </w:rPr>
            <w:fldChar w:fldCharType="end"/>
          </w:r>
        </w:p>
        <w:p w14:paraId="2CCD97CD">
          <w:pPr>
            <w:pStyle w:val="27"/>
            <w:tabs>
              <w:tab w:val="right" w:leader="dot" w:pos="9648"/>
            </w:tabs>
            <w:rPr>
              <w:sz w:val="21"/>
              <w:szCs w:val="21"/>
            </w:rPr>
          </w:pPr>
          <w:r>
            <w:rPr>
              <w:sz w:val="21"/>
              <w:szCs w:val="21"/>
            </w:rPr>
            <w:fldChar w:fldCharType="begin"/>
          </w:r>
          <w:r>
            <w:rPr>
              <w:sz w:val="21"/>
              <w:szCs w:val="21"/>
            </w:rPr>
            <w:instrText xml:space="preserve"> HYPERLINK \l _Toc6437 </w:instrText>
          </w:r>
          <w:r>
            <w:rPr>
              <w:sz w:val="21"/>
              <w:szCs w:val="21"/>
            </w:rPr>
            <w:fldChar w:fldCharType="separate"/>
          </w:r>
          <w:r>
            <w:rPr>
              <w:rFonts w:hint="eastAsia" w:eastAsia="黑体"/>
              <w:bCs w:val="0"/>
              <w:sz w:val="21"/>
              <w:szCs w:val="28"/>
            </w:rPr>
            <w:t xml:space="preserve">二、 </w:t>
          </w:r>
          <w:r>
            <w:rPr>
              <w:rFonts w:ascii="Times New Roman" w:hAnsi="Times New Roman" w:eastAsia="黑体" w:cs="Times New Roman"/>
              <w:bCs w:val="0"/>
              <w:sz w:val="21"/>
              <w:szCs w:val="28"/>
            </w:rPr>
            <w:t>告警中枢分级与响应契约</w:t>
          </w:r>
          <w:r>
            <w:rPr>
              <w:sz w:val="21"/>
              <w:szCs w:val="21"/>
            </w:rPr>
            <w:tab/>
          </w:r>
          <w:r>
            <w:rPr>
              <w:sz w:val="21"/>
              <w:szCs w:val="21"/>
            </w:rPr>
            <w:fldChar w:fldCharType="begin"/>
          </w:r>
          <w:r>
            <w:rPr>
              <w:sz w:val="21"/>
              <w:szCs w:val="21"/>
            </w:rPr>
            <w:instrText xml:space="preserve"> PAGEREF _Toc6437 \h </w:instrText>
          </w:r>
          <w:r>
            <w:rPr>
              <w:sz w:val="21"/>
              <w:szCs w:val="21"/>
            </w:rPr>
            <w:fldChar w:fldCharType="separate"/>
          </w:r>
          <w:r>
            <w:rPr>
              <w:sz w:val="21"/>
              <w:szCs w:val="21"/>
            </w:rPr>
            <w:t>179</w:t>
          </w:r>
          <w:r>
            <w:rPr>
              <w:sz w:val="21"/>
              <w:szCs w:val="21"/>
            </w:rPr>
            <w:fldChar w:fldCharType="end"/>
          </w:r>
          <w:r>
            <w:rPr>
              <w:sz w:val="21"/>
              <w:szCs w:val="21"/>
            </w:rPr>
            <w:fldChar w:fldCharType="end"/>
          </w:r>
        </w:p>
        <w:p w14:paraId="0E97F9B6">
          <w:pPr>
            <w:pStyle w:val="27"/>
            <w:tabs>
              <w:tab w:val="right" w:leader="dot" w:pos="9648"/>
            </w:tabs>
            <w:rPr>
              <w:sz w:val="21"/>
              <w:szCs w:val="21"/>
            </w:rPr>
          </w:pPr>
          <w:r>
            <w:rPr>
              <w:sz w:val="21"/>
              <w:szCs w:val="21"/>
            </w:rPr>
            <w:fldChar w:fldCharType="begin"/>
          </w:r>
          <w:r>
            <w:rPr>
              <w:sz w:val="21"/>
              <w:szCs w:val="21"/>
            </w:rPr>
            <w:instrText xml:space="preserve"> HYPERLINK \l _Toc28372 </w:instrText>
          </w:r>
          <w:r>
            <w:rPr>
              <w:sz w:val="21"/>
              <w:szCs w:val="21"/>
            </w:rPr>
            <w:fldChar w:fldCharType="separate"/>
          </w:r>
          <w:r>
            <w:rPr>
              <w:rFonts w:hint="eastAsia" w:eastAsia="黑体"/>
              <w:bCs w:val="0"/>
              <w:sz w:val="21"/>
              <w:szCs w:val="40"/>
            </w:rPr>
            <w:t xml:space="preserve">第九章 </w:t>
          </w:r>
          <w:r>
            <w:rPr>
              <w:rFonts w:ascii="Times New Roman" w:hAnsi="Times New Roman" w:eastAsia="黑体" w:cs="Times New Roman"/>
              <w:bCs w:val="0"/>
              <w:sz w:val="21"/>
              <w:szCs w:val="40"/>
            </w:rPr>
            <w:t>安全与合规需求</w:t>
          </w:r>
          <w:r>
            <w:rPr>
              <w:sz w:val="21"/>
              <w:szCs w:val="21"/>
            </w:rPr>
            <w:tab/>
          </w:r>
          <w:r>
            <w:rPr>
              <w:sz w:val="21"/>
              <w:szCs w:val="21"/>
            </w:rPr>
            <w:fldChar w:fldCharType="begin"/>
          </w:r>
          <w:r>
            <w:rPr>
              <w:sz w:val="21"/>
              <w:szCs w:val="21"/>
            </w:rPr>
            <w:instrText xml:space="preserve"> PAGEREF _Toc28372 \h </w:instrText>
          </w:r>
          <w:r>
            <w:rPr>
              <w:sz w:val="21"/>
              <w:szCs w:val="21"/>
            </w:rPr>
            <w:fldChar w:fldCharType="separate"/>
          </w:r>
          <w:r>
            <w:rPr>
              <w:sz w:val="21"/>
              <w:szCs w:val="21"/>
            </w:rPr>
            <w:t>181</w:t>
          </w:r>
          <w:r>
            <w:rPr>
              <w:sz w:val="21"/>
              <w:szCs w:val="21"/>
            </w:rPr>
            <w:fldChar w:fldCharType="end"/>
          </w:r>
          <w:r>
            <w:rPr>
              <w:sz w:val="21"/>
              <w:szCs w:val="21"/>
            </w:rPr>
            <w:fldChar w:fldCharType="end"/>
          </w:r>
        </w:p>
        <w:p w14:paraId="4A9ED5F6">
          <w:pPr>
            <w:pStyle w:val="27"/>
            <w:tabs>
              <w:tab w:val="right" w:leader="dot" w:pos="9648"/>
            </w:tabs>
            <w:rPr>
              <w:sz w:val="21"/>
              <w:szCs w:val="21"/>
            </w:rPr>
          </w:pPr>
          <w:r>
            <w:rPr>
              <w:sz w:val="21"/>
              <w:szCs w:val="21"/>
            </w:rPr>
            <w:fldChar w:fldCharType="begin"/>
          </w:r>
          <w:r>
            <w:rPr>
              <w:sz w:val="21"/>
              <w:szCs w:val="21"/>
            </w:rPr>
            <w:instrText xml:space="preserve"> HYPERLINK \l _Toc27157 </w:instrText>
          </w:r>
          <w:r>
            <w:rPr>
              <w:sz w:val="21"/>
              <w:szCs w:val="21"/>
            </w:rPr>
            <w:fldChar w:fldCharType="separate"/>
          </w:r>
          <w:r>
            <w:rPr>
              <w:rFonts w:hint="eastAsia" w:eastAsia="黑体"/>
              <w:bCs w:val="0"/>
              <w:sz w:val="21"/>
              <w:szCs w:val="28"/>
            </w:rPr>
            <w:t xml:space="preserve">一、 </w:t>
          </w:r>
          <w:r>
            <w:rPr>
              <w:rFonts w:ascii="Times New Roman" w:hAnsi="Times New Roman" w:eastAsia="黑体" w:cs="Times New Roman"/>
              <w:bCs w:val="0"/>
              <w:sz w:val="21"/>
              <w:szCs w:val="28"/>
            </w:rPr>
            <w:t>网络安全防护体系</w:t>
          </w:r>
          <w:r>
            <w:rPr>
              <w:sz w:val="21"/>
              <w:szCs w:val="21"/>
            </w:rPr>
            <w:tab/>
          </w:r>
          <w:r>
            <w:rPr>
              <w:sz w:val="21"/>
              <w:szCs w:val="21"/>
            </w:rPr>
            <w:fldChar w:fldCharType="begin"/>
          </w:r>
          <w:r>
            <w:rPr>
              <w:sz w:val="21"/>
              <w:szCs w:val="21"/>
            </w:rPr>
            <w:instrText xml:space="preserve"> PAGEREF _Toc27157 \h </w:instrText>
          </w:r>
          <w:r>
            <w:rPr>
              <w:sz w:val="21"/>
              <w:szCs w:val="21"/>
            </w:rPr>
            <w:fldChar w:fldCharType="separate"/>
          </w:r>
          <w:r>
            <w:rPr>
              <w:sz w:val="21"/>
              <w:szCs w:val="21"/>
            </w:rPr>
            <w:t>181</w:t>
          </w:r>
          <w:r>
            <w:rPr>
              <w:sz w:val="21"/>
              <w:szCs w:val="21"/>
            </w:rPr>
            <w:fldChar w:fldCharType="end"/>
          </w:r>
          <w:r>
            <w:rPr>
              <w:sz w:val="21"/>
              <w:szCs w:val="21"/>
            </w:rPr>
            <w:fldChar w:fldCharType="end"/>
          </w:r>
        </w:p>
        <w:p w14:paraId="00237304">
          <w:pPr>
            <w:pStyle w:val="27"/>
            <w:tabs>
              <w:tab w:val="right" w:leader="dot" w:pos="9648"/>
            </w:tabs>
            <w:rPr>
              <w:sz w:val="21"/>
              <w:szCs w:val="21"/>
            </w:rPr>
          </w:pPr>
          <w:r>
            <w:rPr>
              <w:sz w:val="21"/>
              <w:szCs w:val="21"/>
            </w:rPr>
            <w:fldChar w:fldCharType="begin"/>
          </w:r>
          <w:r>
            <w:rPr>
              <w:sz w:val="21"/>
              <w:szCs w:val="21"/>
            </w:rPr>
            <w:instrText xml:space="preserve"> HYPERLINK \l _Toc5203 </w:instrText>
          </w:r>
          <w:r>
            <w:rPr>
              <w:sz w:val="21"/>
              <w:szCs w:val="21"/>
            </w:rPr>
            <w:fldChar w:fldCharType="separate"/>
          </w:r>
          <w:r>
            <w:rPr>
              <w:rFonts w:hint="eastAsia" w:eastAsia="黑体"/>
              <w:bCs w:val="0"/>
              <w:sz w:val="21"/>
              <w:szCs w:val="28"/>
            </w:rPr>
            <w:t xml:space="preserve">二、 </w:t>
          </w:r>
          <w:r>
            <w:rPr>
              <w:rFonts w:ascii="Times New Roman" w:hAnsi="Times New Roman" w:eastAsia="黑体" w:cs="Times New Roman"/>
              <w:bCs w:val="0"/>
              <w:sz w:val="21"/>
              <w:szCs w:val="28"/>
            </w:rPr>
            <w:t>数据出境与合规</w:t>
          </w:r>
          <w:r>
            <w:rPr>
              <w:sz w:val="21"/>
              <w:szCs w:val="21"/>
            </w:rPr>
            <w:tab/>
          </w:r>
          <w:r>
            <w:rPr>
              <w:sz w:val="21"/>
              <w:szCs w:val="21"/>
            </w:rPr>
            <w:fldChar w:fldCharType="begin"/>
          </w:r>
          <w:r>
            <w:rPr>
              <w:sz w:val="21"/>
              <w:szCs w:val="21"/>
            </w:rPr>
            <w:instrText xml:space="preserve"> PAGEREF _Toc5203 \h </w:instrText>
          </w:r>
          <w:r>
            <w:rPr>
              <w:sz w:val="21"/>
              <w:szCs w:val="21"/>
            </w:rPr>
            <w:fldChar w:fldCharType="separate"/>
          </w:r>
          <w:r>
            <w:rPr>
              <w:sz w:val="21"/>
              <w:szCs w:val="21"/>
            </w:rPr>
            <w:t>181</w:t>
          </w:r>
          <w:r>
            <w:rPr>
              <w:sz w:val="21"/>
              <w:szCs w:val="21"/>
            </w:rPr>
            <w:fldChar w:fldCharType="end"/>
          </w:r>
          <w:r>
            <w:rPr>
              <w:sz w:val="21"/>
              <w:szCs w:val="21"/>
            </w:rPr>
            <w:fldChar w:fldCharType="end"/>
          </w:r>
        </w:p>
        <w:p w14:paraId="169F211A">
          <w:pPr>
            <w:pStyle w:val="27"/>
            <w:tabs>
              <w:tab w:val="right" w:leader="dot" w:pos="9648"/>
            </w:tabs>
            <w:rPr>
              <w:sz w:val="21"/>
              <w:szCs w:val="21"/>
            </w:rPr>
          </w:pPr>
          <w:r>
            <w:rPr>
              <w:sz w:val="21"/>
              <w:szCs w:val="21"/>
            </w:rPr>
            <w:fldChar w:fldCharType="begin"/>
          </w:r>
          <w:r>
            <w:rPr>
              <w:sz w:val="21"/>
              <w:szCs w:val="21"/>
            </w:rPr>
            <w:instrText xml:space="preserve"> HYPERLINK \l _Toc20164 </w:instrText>
          </w:r>
          <w:r>
            <w:rPr>
              <w:sz w:val="21"/>
              <w:szCs w:val="21"/>
            </w:rPr>
            <w:fldChar w:fldCharType="separate"/>
          </w:r>
          <w:r>
            <w:rPr>
              <w:rFonts w:hint="eastAsia" w:eastAsia="黑体"/>
              <w:bCs w:val="0"/>
              <w:sz w:val="21"/>
              <w:szCs w:val="28"/>
            </w:rPr>
            <w:t xml:space="preserve">三、 </w:t>
          </w:r>
          <w:r>
            <w:rPr>
              <w:rFonts w:ascii="Times New Roman" w:hAnsi="Times New Roman" w:eastAsia="黑体" w:cs="Times New Roman"/>
              <w:bCs w:val="0"/>
              <w:sz w:val="21"/>
              <w:szCs w:val="28"/>
            </w:rPr>
            <w:t>安全合规待确认 / 待补充清单</w:t>
          </w:r>
          <w:r>
            <w:rPr>
              <w:sz w:val="21"/>
              <w:szCs w:val="21"/>
            </w:rPr>
            <w:tab/>
          </w:r>
          <w:r>
            <w:rPr>
              <w:sz w:val="21"/>
              <w:szCs w:val="21"/>
            </w:rPr>
            <w:fldChar w:fldCharType="begin"/>
          </w:r>
          <w:r>
            <w:rPr>
              <w:sz w:val="21"/>
              <w:szCs w:val="21"/>
            </w:rPr>
            <w:instrText xml:space="preserve"> PAGEREF _Toc20164 \h </w:instrText>
          </w:r>
          <w:r>
            <w:rPr>
              <w:sz w:val="21"/>
              <w:szCs w:val="21"/>
            </w:rPr>
            <w:fldChar w:fldCharType="separate"/>
          </w:r>
          <w:r>
            <w:rPr>
              <w:sz w:val="21"/>
              <w:szCs w:val="21"/>
            </w:rPr>
            <w:t>181</w:t>
          </w:r>
          <w:r>
            <w:rPr>
              <w:sz w:val="21"/>
              <w:szCs w:val="21"/>
            </w:rPr>
            <w:fldChar w:fldCharType="end"/>
          </w:r>
          <w:r>
            <w:rPr>
              <w:sz w:val="21"/>
              <w:szCs w:val="21"/>
            </w:rPr>
            <w:fldChar w:fldCharType="end"/>
          </w:r>
        </w:p>
        <w:p w14:paraId="6406E7FA">
          <w:pPr>
            <w:pStyle w:val="27"/>
            <w:tabs>
              <w:tab w:val="right" w:leader="dot" w:pos="9648"/>
            </w:tabs>
            <w:rPr>
              <w:sz w:val="21"/>
              <w:szCs w:val="21"/>
            </w:rPr>
          </w:pPr>
          <w:r>
            <w:rPr>
              <w:sz w:val="21"/>
              <w:szCs w:val="21"/>
            </w:rPr>
            <w:fldChar w:fldCharType="begin"/>
          </w:r>
          <w:r>
            <w:rPr>
              <w:sz w:val="21"/>
              <w:szCs w:val="21"/>
            </w:rPr>
            <w:instrText xml:space="preserve"> HYPERLINK \l _Toc3168 </w:instrText>
          </w:r>
          <w:r>
            <w:rPr>
              <w:sz w:val="21"/>
              <w:szCs w:val="21"/>
            </w:rPr>
            <w:fldChar w:fldCharType="separate"/>
          </w:r>
          <w:r>
            <w:rPr>
              <w:rFonts w:hint="eastAsia" w:eastAsia="黑体"/>
              <w:bCs w:val="0"/>
              <w:sz w:val="21"/>
              <w:szCs w:val="40"/>
            </w:rPr>
            <w:t xml:space="preserve">第十章 </w:t>
          </w:r>
          <w:r>
            <w:rPr>
              <w:rFonts w:ascii="Times New Roman" w:hAnsi="Times New Roman" w:eastAsia="黑体" w:cs="Times New Roman"/>
              <w:bCs w:val="0"/>
              <w:sz w:val="21"/>
              <w:szCs w:val="40"/>
            </w:rPr>
            <w:t>外部系统集成与数据采集点表</w:t>
          </w:r>
          <w:r>
            <w:rPr>
              <w:sz w:val="21"/>
              <w:szCs w:val="21"/>
            </w:rPr>
            <w:tab/>
          </w:r>
          <w:r>
            <w:rPr>
              <w:sz w:val="21"/>
              <w:szCs w:val="21"/>
            </w:rPr>
            <w:fldChar w:fldCharType="begin"/>
          </w:r>
          <w:r>
            <w:rPr>
              <w:sz w:val="21"/>
              <w:szCs w:val="21"/>
            </w:rPr>
            <w:instrText xml:space="preserve"> PAGEREF _Toc3168 \h </w:instrText>
          </w:r>
          <w:r>
            <w:rPr>
              <w:sz w:val="21"/>
              <w:szCs w:val="21"/>
            </w:rPr>
            <w:fldChar w:fldCharType="separate"/>
          </w:r>
          <w:r>
            <w:rPr>
              <w:sz w:val="21"/>
              <w:szCs w:val="21"/>
            </w:rPr>
            <w:t>182</w:t>
          </w:r>
          <w:r>
            <w:rPr>
              <w:sz w:val="21"/>
              <w:szCs w:val="21"/>
            </w:rPr>
            <w:fldChar w:fldCharType="end"/>
          </w:r>
          <w:r>
            <w:rPr>
              <w:sz w:val="21"/>
              <w:szCs w:val="21"/>
            </w:rPr>
            <w:fldChar w:fldCharType="end"/>
          </w:r>
        </w:p>
        <w:p w14:paraId="2DD0A7DF">
          <w:pPr>
            <w:pStyle w:val="27"/>
            <w:tabs>
              <w:tab w:val="right" w:leader="dot" w:pos="9648"/>
            </w:tabs>
            <w:rPr>
              <w:sz w:val="21"/>
              <w:szCs w:val="21"/>
            </w:rPr>
          </w:pPr>
          <w:r>
            <w:rPr>
              <w:sz w:val="21"/>
              <w:szCs w:val="21"/>
            </w:rPr>
            <w:fldChar w:fldCharType="begin"/>
          </w:r>
          <w:r>
            <w:rPr>
              <w:sz w:val="21"/>
              <w:szCs w:val="21"/>
            </w:rPr>
            <w:instrText xml:space="preserve"> HYPERLINK \l _Toc882 </w:instrText>
          </w:r>
          <w:r>
            <w:rPr>
              <w:sz w:val="21"/>
              <w:szCs w:val="21"/>
            </w:rPr>
            <w:fldChar w:fldCharType="separate"/>
          </w:r>
          <w:r>
            <w:rPr>
              <w:rFonts w:hint="eastAsia" w:eastAsia="黑体"/>
              <w:bCs w:val="0"/>
              <w:sz w:val="21"/>
              <w:szCs w:val="28"/>
            </w:rPr>
            <w:t xml:space="preserve">一、 </w:t>
          </w:r>
          <w:r>
            <w:rPr>
              <w:rFonts w:ascii="Times New Roman" w:hAnsi="Times New Roman" w:eastAsia="黑体" w:cs="Times New Roman"/>
              <w:bCs w:val="0"/>
              <w:sz w:val="21"/>
              <w:szCs w:val="28"/>
            </w:rPr>
            <w:t>集成接口</w:t>
          </w:r>
          <w:r>
            <w:rPr>
              <w:sz w:val="21"/>
              <w:szCs w:val="21"/>
            </w:rPr>
            <w:tab/>
          </w:r>
          <w:r>
            <w:rPr>
              <w:sz w:val="21"/>
              <w:szCs w:val="21"/>
            </w:rPr>
            <w:fldChar w:fldCharType="begin"/>
          </w:r>
          <w:r>
            <w:rPr>
              <w:sz w:val="21"/>
              <w:szCs w:val="21"/>
            </w:rPr>
            <w:instrText xml:space="preserve"> PAGEREF _Toc882 \h </w:instrText>
          </w:r>
          <w:r>
            <w:rPr>
              <w:sz w:val="21"/>
              <w:szCs w:val="21"/>
            </w:rPr>
            <w:fldChar w:fldCharType="separate"/>
          </w:r>
          <w:r>
            <w:rPr>
              <w:sz w:val="21"/>
              <w:szCs w:val="21"/>
            </w:rPr>
            <w:t>182</w:t>
          </w:r>
          <w:r>
            <w:rPr>
              <w:sz w:val="21"/>
              <w:szCs w:val="21"/>
            </w:rPr>
            <w:fldChar w:fldCharType="end"/>
          </w:r>
          <w:r>
            <w:rPr>
              <w:sz w:val="21"/>
              <w:szCs w:val="21"/>
            </w:rPr>
            <w:fldChar w:fldCharType="end"/>
          </w:r>
        </w:p>
        <w:p w14:paraId="519FE0D5">
          <w:pPr>
            <w:pStyle w:val="27"/>
            <w:tabs>
              <w:tab w:val="right" w:leader="dot" w:pos="9648"/>
            </w:tabs>
            <w:rPr>
              <w:sz w:val="21"/>
              <w:szCs w:val="21"/>
            </w:rPr>
          </w:pPr>
          <w:r>
            <w:rPr>
              <w:sz w:val="21"/>
              <w:szCs w:val="21"/>
            </w:rPr>
            <w:fldChar w:fldCharType="begin"/>
          </w:r>
          <w:r>
            <w:rPr>
              <w:sz w:val="21"/>
              <w:szCs w:val="21"/>
            </w:rPr>
            <w:instrText xml:space="preserve"> HYPERLINK \l _Toc27256 </w:instrText>
          </w:r>
          <w:r>
            <w:rPr>
              <w:sz w:val="21"/>
              <w:szCs w:val="21"/>
            </w:rPr>
            <w:fldChar w:fldCharType="separate"/>
          </w:r>
          <w:r>
            <w:rPr>
              <w:rFonts w:hint="eastAsia" w:eastAsia="黑体"/>
              <w:bCs w:val="0"/>
              <w:sz w:val="21"/>
              <w:szCs w:val="28"/>
            </w:rPr>
            <w:t xml:space="preserve">二、 </w:t>
          </w:r>
          <w:r>
            <w:rPr>
              <w:rFonts w:ascii="Times New Roman" w:hAnsi="Times New Roman" w:eastAsia="黑体" w:cs="Times New Roman"/>
              <w:bCs w:val="0"/>
              <w:sz w:val="21"/>
              <w:szCs w:val="28"/>
            </w:rPr>
            <w:t>采集点表（核心点位）</w:t>
          </w:r>
          <w:r>
            <w:rPr>
              <w:sz w:val="21"/>
              <w:szCs w:val="21"/>
            </w:rPr>
            <w:tab/>
          </w:r>
          <w:r>
            <w:rPr>
              <w:sz w:val="21"/>
              <w:szCs w:val="21"/>
            </w:rPr>
            <w:fldChar w:fldCharType="begin"/>
          </w:r>
          <w:r>
            <w:rPr>
              <w:sz w:val="21"/>
              <w:szCs w:val="21"/>
            </w:rPr>
            <w:instrText xml:space="preserve"> PAGEREF _Toc27256 \h </w:instrText>
          </w:r>
          <w:r>
            <w:rPr>
              <w:sz w:val="21"/>
              <w:szCs w:val="21"/>
            </w:rPr>
            <w:fldChar w:fldCharType="separate"/>
          </w:r>
          <w:r>
            <w:rPr>
              <w:sz w:val="21"/>
              <w:szCs w:val="21"/>
            </w:rPr>
            <w:t>182</w:t>
          </w:r>
          <w:r>
            <w:rPr>
              <w:sz w:val="21"/>
              <w:szCs w:val="21"/>
            </w:rPr>
            <w:fldChar w:fldCharType="end"/>
          </w:r>
          <w:r>
            <w:rPr>
              <w:sz w:val="21"/>
              <w:szCs w:val="21"/>
            </w:rPr>
            <w:fldChar w:fldCharType="end"/>
          </w:r>
        </w:p>
        <w:p w14:paraId="23B7800E">
          <w:pPr>
            <w:pStyle w:val="27"/>
            <w:tabs>
              <w:tab w:val="right" w:leader="dot" w:pos="9648"/>
            </w:tabs>
            <w:rPr>
              <w:sz w:val="21"/>
              <w:szCs w:val="21"/>
            </w:rPr>
          </w:pPr>
          <w:r>
            <w:rPr>
              <w:sz w:val="21"/>
              <w:szCs w:val="21"/>
            </w:rPr>
            <w:fldChar w:fldCharType="begin"/>
          </w:r>
          <w:r>
            <w:rPr>
              <w:sz w:val="21"/>
              <w:szCs w:val="21"/>
            </w:rPr>
            <w:instrText xml:space="preserve"> HYPERLINK \l _Toc31967 </w:instrText>
          </w:r>
          <w:r>
            <w:rPr>
              <w:sz w:val="21"/>
              <w:szCs w:val="21"/>
            </w:rPr>
            <w:fldChar w:fldCharType="separate"/>
          </w:r>
          <w:r>
            <w:rPr>
              <w:rFonts w:hint="eastAsia" w:eastAsia="黑体"/>
              <w:bCs w:val="0"/>
              <w:sz w:val="21"/>
              <w:szCs w:val="28"/>
            </w:rPr>
            <w:t xml:space="preserve">三、 </w:t>
          </w:r>
          <w:r>
            <w:rPr>
              <w:rFonts w:ascii="Times New Roman" w:hAnsi="Times New Roman" w:eastAsia="黑体" w:cs="Times New Roman"/>
              <w:bCs w:val="0"/>
              <w:sz w:val="21"/>
              <w:szCs w:val="28"/>
            </w:rPr>
            <w:t>外部数据源与授权</w:t>
          </w:r>
          <w:r>
            <w:rPr>
              <w:sz w:val="21"/>
              <w:szCs w:val="21"/>
            </w:rPr>
            <w:tab/>
          </w:r>
          <w:r>
            <w:rPr>
              <w:sz w:val="21"/>
              <w:szCs w:val="21"/>
            </w:rPr>
            <w:fldChar w:fldCharType="begin"/>
          </w:r>
          <w:r>
            <w:rPr>
              <w:sz w:val="21"/>
              <w:szCs w:val="21"/>
            </w:rPr>
            <w:instrText xml:space="preserve"> PAGEREF _Toc31967 \h </w:instrText>
          </w:r>
          <w:r>
            <w:rPr>
              <w:sz w:val="21"/>
              <w:szCs w:val="21"/>
            </w:rPr>
            <w:fldChar w:fldCharType="separate"/>
          </w:r>
          <w:r>
            <w:rPr>
              <w:sz w:val="21"/>
              <w:szCs w:val="21"/>
            </w:rPr>
            <w:t>183</w:t>
          </w:r>
          <w:r>
            <w:rPr>
              <w:sz w:val="21"/>
              <w:szCs w:val="21"/>
            </w:rPr>
            <w:fldChar w:fldCharType="end"/>
          </w:r>
          <w:r>
            <w:rPr>
              <w:sz w:val="21"/>
              <w:szCs w:val="21"/>
            </w:rPr>
            <w:fldChar w:fldCharType="end"/>
          </w:r>
        </w:p>
        <w:p w14:paraId="14497D9B">
          <w:pPr>
            <w:pStyle w:val="27"/>
            <w:tabs>
              <w:tab w:val="right" w:leader="dot" w:pos="9648"/>
            </w:tabs>
            <w:rPr>
              <w:sz w:val="21"/>
              <w:szCs w:val="21"/>
            </w:rPr>
          </w:pPr>
          <w:r>
            <w:rPr>
              <w:sz w:val="21"/>
              <w:szCs w:val="21"/>
            </w:rPr>
            <w:fldChar w:fldCharType="begin"/>
          </w:r>
          <w:r>
            <w:rPr>
              <w:sz w:val="21"/>
              <w:szCs w:val="21"/>
            </w:rPr>
            <w:instrText xml:space="preserve"> HYPERLINK \l _Toc10931 </w:instrText>
          </w:r>
          <w:r>
            <w:rPr>
              <w:sz w:val="21"/>
              <w:szCs w:val="21"/>
            </w:rPr>
            <w:fldChar w:fldCharType="separate"/>
          </w:r>
          <w:r>
            <w:rPr>
              <w:rFonts w:hint="eastAsia" w:eastAsia="黑体"/>
              <w:bCs w:val="0"/>
              <w:sz w:val="21"/>
              <w:szCs w:val="40"/>
            </w:rPr>
            <w:t xml:space="preserve">第十一章 </w:t>
          </w:r>
          <w:r>
            <w:rPr>
              <w:rFonts w:ascii="Times New Roman" w:hAnsi="Times New Roman" w:eastAsia="黑体" w:cs="Times New Roman"/>
              <w:bCs w:val="0"/>
              <w:sz w:val="21"/>
              <w:szCs w:val="40"/>
            </w:rPr>
            <w:t>测试与验收基线</w:t>
          </w:r>
          <w:r>
            <w:rPr>
              <w:sz w:val="21"/>
              <w:szCs w:val="21"/>
            </w:rPr>
            <w:tab/>
          </w:r>
          <w:r>
            <w:rPr>
              <w:sz w:val="21"/>
              <w:szCs w:val="21"/>
            </w:rPr>
            <w:fldChar w:fldCharType="begin"/>
          </w:r>
          <w:r>
            <w:rPr>
              <w:sz w:val="21"/>
              <w:szCs w:val="21"/>
            </w:rPr>
            <w:instrText xml:space="preserve"> PAGEREF _Toc10931 \h </w:instrText>
          </w:r>
          <w:r>
            <w:rPr>
              <w:sz w:val="21"/>
              <w:szCs w:val="21"/>
            </w:rPr>
            <w:fldChar w:fldCharType="separate"/>
          </w:r>
          <w:r>
            <w:rPr>
              <w:sz w:val="21"/>
              <w:szCs w:val="21"/>
            </w:rPr>
            <w:t>184</w:t>
          </w:r>
          <w:r>
            <w:rPr>
              <w:sz w:val="21"/>
              <w:szCs w:val="21"/>
            </w:rPr>
            <w:fldChar w:fldCharType="end"/>
          </w:r>
          <w:r>
            <w:rPr>
              <w:sz w:val="21"/>
              <w:szCs w:val="21"/>
            </w:rPr>
            <w:fldChar w:fldCharType="end"/>
          </w:r>
        </w:p>
        <w:p w14:paraId="37417F9B">
          <w:pPr>
            <w:pStyle w:val="27"/>
            <w:tabs>
              <w:tab w:val="right" w:leader="dot" w:pos="9648"/>
            </w:tabs>
            <w:rPr>
              <w:sz w:val="21"/>
              <w:szCs w:val="21"/>
            </w:rPr>
          </w:pPr>
          <w:r>
            <w:rPr>
              <w:sz w:val="21"/>
              <w:szCs w:val="21"/>
            </w:rPr>
            <w:fldChar w:fldCharType="begin"/>
          </w:r>
          <w:r>
            <w:rPr>
              <w:sz w:val="21"/>
              <w:szCs w:val="21"/>
            </w:rPr>
            <w:instrText xml:space="preserve"> HYPERLINK \l _Toc32719 </w:instrText>
          </w:r>
          <w:r>
            <w:rPr>
              <w:sz w:val="21"/>
              <w:szCs w:val="21"/>
            </w:rPr>
            <w:fldChar w:fldCharType="separate"/>
          </w:r>
          <w:r>
            <w:rPr>
              <w:rFonts w:hint="eastAsia" w:eastAsia="黑体"/>
              <w:bCs w:val="0"/>
              <w:sz w:val="21"/>
              <w:szCs w:val="28"/>
            </w:rPr>
            <w:t xml:space="preserve">一、 </w:t>
          </w:r>
          <w:r>
            <w:rPr>
              <w:rFonts w:ascii="Times New Roman" w:hAnsi="Times New Roman" w:eastAsia="黑体" w:cs="Times New Roman"/>
              <w:bCs w:val="0"/>
              <w:sz w:val="21"/>
              <w:szCs w:val="28"/>
            </w:rPr>
            <w:t>验收准则</w:t>
          </w:r>
          <w:r>
            <w:rPr>
              <w:sz w:val="21"/>
              <w:szCs w:val="21"/>
            </w:rPr>
            <w:tab/>
          </w:r>
          <w:r>
            <w:rPr>
              <w:sz w:val="21"/>
              <w:szCs w:val="21"/>
            </w:rPr>
            <w:fldChar w:fldCharType="begin"/>
          </w:r>
          <w:r>
            <w:rPr>
              <w:sz w:val="21"/>
              <w:szCs w:val="21"/>
            </w:rPr>
            <w:instrText xml:space="preserve"> PAGEREF _Toc32719 \h </w:instrText>
          </w:r>
          <w:r>
            <w:rPr>
              <w:sz w:val="21"/>
              <w:szCs w:val="21"/>
            </w:rPr>
            <w:fldChar w:fldCharType="separate"/>
          </w:r>
          <w:r>
            <w:rPr>
              <w:sz w:val="21"/>
              <w:szCs w:val="21"/>
            </w:rPr>
            <w:t>184</w:t>
          </w:r>
          <w:r>
            <w:rPr>
              <w:sz w:val="21"/>
              <w:szCs w:val="21"/>
            </w:rPr>
            <w:fldChar w:fldCharType="end"/>
          </w:r>
          <w:r>
            <w:rPr>
              <w:sz w:val="21"/>
              <w:szCs w:val="21"/>
            </w:rPr>
            <w:fldChar w:fldCharType="end"/>
          </w:r>
        </w:p>
        <w:p w14:paraId="1A4FB3D0">
          <w:pPr>
            <w:pStyle w:val="27"/>
            <w:tabs>
              <w:tab w:val="right" w:leader="dot" w:pos="9648"/>
            </w:tabs>
            <w:rPr>
              <w:sz w:val="21"/>
              <w:szCs w:val="21"/>
            </w:rPr>
          </w:pPr>
          <w:r>
            <w:rPr>
              <w:sz w:val="21"/>
              <w:szCs w:val="21"/>
            </w:rPr>
            <w:fldChar w:fldCharType="begin"/>
          </w:r>
          <w:r>
            <w:rPr>
              <w:sz w:val="21"/>
              <w:szCs w:val="21"/>
            </w:rPr>
            <w:instrText xml:space="preserve"> HYPERLINK \l _Toc31649 </w:instrText>
          </w:r>
          <w:r>
            <w:rPr>
              <w:sz w:val="21"/>
              <w:szCs w:val="21"/>
            </w:rPr>
            <w:fldChar w:fldCharType="separate"/>
          </w:r>
          <w:r>
            <w:rPr>
              <w:rFonts w:hint="eastAsia" w:eastAsia="黑体"/>
              <w:bCs w:val="0"/>
              <w:sz w:val="21"/>
              <w:szCs w:val="28"/>
            </w:rPr>
            <w:t xml:space="preserve">二、 </w:t>
          </w:r>
          <w:r>
            <w:rPr>
              <w:rFonts w:ascii="Times New Roman" w:hAnsi="Times New Roman" w:eastAsia="黑体" w:cs="Times New Roman"/>
              <w:bCs w:val="0"/>
              <w:sz w:val="21"/>
              <w:szCs w:val="28"/>
            </w:rPr>
            <w:t>破坏性测试矩阵（EQP / BVA）</w:t>
          </w:r>
          <w:r>
            <w:rPr>
              <w:sz w:val="21"/>
              <w:szCs w:val="21"/>
            </w:rPr>
            <w:tab/>
          </w:r>
          <w:r>
            <w:rPr>
              <w:sz w:val="21"/>
              <w:szCs w:val="21"/>
            </w:rPr>
            <w:fldChar w:fldCharType="begin"/>
          </w:r>
          <w:r>
            <w:rPr>
              <w:sz w:val="21"/>
              <w:szCs w:val="21"/>
            </w:rPr>
            <w:instrText xml:space="preserve"> PAGEREF _Toc31649 \h </w:instrText>
          </w:r>
          <w:r>
            <w:rPr>
              <w:sz w:val="21"/>
              <w:szCs w:val="21"/>
            </w:rPr>
            <w:fldChar w:fldCharType="separate"/>
          </w:r>
          <w:r>
            <w:rPr>
              <w:sz w:val="21"/>
              <w:szCs w:val="21"/>
            </w:rPr>
            <w:t>184</w:t>
          </w:r>
          <w:r>
            <w:rPr>
              <w:sz w:val="21"/>
              <w:szCs w:val="21"/>
            </w:rPr>
            <w:fldChar w:fldCharType="end"/>
          </w:r>
          <w:r>
            <w:rPr>
              <w:sz w:val="21"/>
              <w:szCs w:val="21"/>
            </w:rPr>
            <w:fldChar w:fldCharType="end"/>
          </w:r>
        </w:p>
        <w:p w14:paraId="2572D695">
          <w:pPr>
            <w:pStyle w:val="27"/>
            <w:tabs>
              <w:tab w:val="right" w:leader="dot" w:pos="9648"/>
            </w:tabs>
            <w:rPr>
              <w:sz w:val="21"/>
              <w:szCs w:val="21"/>
            </w:rPr>
          </w:pPr>
          <w:r>
            <w:rPr>
              <w:sz w:val="21"/>
              <w:szCs w:val="21"/>
            </w:rPr>
            <w:fldChar w:fldCharType="begin"/>
          </w:r>
          <w:r>
            <w:rPr>
              <w:sz w:val="21"/>
              <w:szCs w:val="21"/>
            </w:rPr>
            <w:instrText xml:space="preserve"> HYPERLINK \l _Toc4587 </w:instrText>
          </w:r>
          <w:r>
            <w:rPr>
              <w:sz w:val="21"/>
              <w:szCs w:val="21"/>
            </w:rPr>
            <w:fldChar w:fldCharType="separate"/>
          </w:r>
          <w:r>
            <w:rPr>
              <w:rFonts w:hint="eastAsia" w:eastAsia="黑体"/>
              <w:bCs w:val="0"/>
              <w:sz w:val="21"/>
              <w:szCs w:val="28"/>
            </w:rPr>
            <w:t xml:space="preserve">三、 </w:t>
          </w:r>
          <w:r>
            <w:rPr>
              <w:rFonts w:ascii="Times New Roman" w:hAnsi="Times New Roman" w:eastAsia="黑体" w:cs="Times New Roman"/>
              <w:bCs w:val="0"/>
              <w:sz w:val="21"/>
              <w:szCs w:val="28"/>
            </w:rPr>
            <w:t>全系统验收基线</w:t>
          </w:r>
          <w:r>
            <w:rPr>
              <w:sz w:val="21"/>
              <w:szCs w:val="21"/>
            </w:rPr>
            <w:tab/>
          </w:r>
          <w:r>
            <w:rPr>
              <w:sz w:val="21"/>
              <w:szCs w:val="21"/>
            </w:rPr>
            <w:fldChar w:fldCharType="begin"/>
          </w:r>
          <w:r>
            <w:rPr>
              <w:sz w:val="21"/>
              <w:szCs w:val="21"/>
            </w:rPr>
            <w:instrText xml:space="preserve"> PAGEREF _Toc4587 \h </w:instrText>
          </w:r>
          <w:r>
            <w:rPr>
              <w:sz w:val="21"/>
              <w:szCs w:val="21"/>
            </w:rPr>
            <w:fldChar w:fldCharType="separate"/>
          </w:r>
          <w:r>
            <w:rPr>
              <w:sz w:val="21"/>
              <w:szCs w:val="21"/>
            </w:rPr>
            <w:t>184</w:t>
          </w:r>
          <w:r>
            <w:rPr>
              <w:sz w:val="21"/>
              <w:szCs w:val="21"/>
            </w:rPr>
            <w:fldChar w:fldCharType="end"/>
          </w:r>
          <w:r>
            <w:rPr>
              <w:sz w:val="21"/>
              <w:szCs w:val="21"/>
            </w:rPr>
            <w:fldChar w:fldCharType="end"/>
          </w:r>
        </w:p>
        <w:p w14:paraId="1C9F70AD">
          <w:pPr>
            <w:pStyle w:val="27"/>
            <w:tabs>
              <w:tab w:val="right" w:leader="dot" w:pos="9648"/>
            </w:tabs>
            <w:rPr>
              <w:sz w:val="21"/>
              <w:szCs w:val="21"/>
            </w:rPr>
          </w:pPr>
          <w:r>
            <w:rPr>
              <w:sz w:val="21"/>
              <w:szCs w:val="21"/>
            </w:rPr>
            <w:fldChar w:fldCharType="begin"/>
          </w:r>
          <w:r>
            <w:rPr>
              <w:sz w:val="21"/>
              <w:szCs w:val="21"/>
            </w:rPr>
            <w:instrText xml:space="preserve"> HYPERLINK \l _Toc59 </w:instrText>
          </w:r>
          <w:r>
            <w:rPr>
              <w:sz w:val="21"/>
              <w:szCs w:val="21"/>
            </w:rPr>
            <w:fldChar w:fldCharType="separate"/>
          </w:r>
          <w:r>
            <w:rPr>
              <w:rFonts w:ascii="Times New Roman" w:hAnsi="Times New Roman" w:eastAsia="黑体" w:cs="Times New Roman"/>
              <w:bCs w:val="0"/>
              <w:sz w:val="21"/>
              <w:szCs w:val="22"/>
            </w:rPr>
            <w:t>附录 A：现行国标 / 行标 / 欧标 法规映射表</w:t>
          </w:r>
          <w:r>
            <w:rPr>
              <w:sz w:val="21"/>
              <w:szCs w:val="21"/>
            </w:rPr>
            <w:tab/>
          </w:r>
          <w:r>
            <w:rPr>
              <w:sz w:val="21"/>
              <w:szCs w:val="21"/>
            </w:rPr>
            <w:fldChar w:fldCharType="begin"/>
          </w:r>
          <w:r>
            <w:rPr>
              <w:sz w:val="21"/>
              <w:szCs w:val="21"/>
            </w:rPr>
            <w:instrText xml:space="preserve"> PAGEREF _Toc59 \h </w:instrText>
          </w:r>
          <w:r>
            <w:rPr>
              <w:sz w:val="21"/>
              <w:szCs w:val="21"/>
            </w:rPr>
            <w:fldChar w:fldCharType="separate"/>
          </w:r>
          <w:r>
            <w:rPr>
              <w:sz w:val="21"/>
              <w:szCs w:val="21"/>
            </w:rPr>
            <w:t>185</w:t>
          </w:r>
          <w:r>
            <w:rPr>
              <w:sz w:val="21"/>
              <w:szCs w:val="21"/>
            </w:rPr>
            <w:fldChar w:fldCharType="end"/>
          </w:r>
          <w:r>
            <w:rPr>
              <w:sz w:val="21"/>
              <w:szCs w:val="21"/>
            </w:rPr>
            <w:fldChar w:fldCharType="end"/>
          </w:r>
        </w:p>
        <w:p w14:paraId="6652FDCF">
          <w:pPr>
            <w:pStyle w:val="27"/>
            <w:tabs>
              <w:tab w:val="right" w:leader="dot" w:pos="9648"/>
            </w:tabs>
            <w:rPr>
              <w:sz w:val="21"/>
              <w:szCs w:val="21"/>
            </w:rPr>
          </w:pPr>
          <w:r>
            <w:rPr>
              <w:sz w:val="21"/>
              <w:szCs w:val="21"/>
            </w:rPr>
            <w:fldChar w:fldCharType="begin"/>
          </w:r>
          <w:r>
            <w:rPr>
              <w:sz w:val="21"/>
              <w:szCs w:val="21"/>
            </w:rPr>
            <w:instrText xml:space="preserve"> HYPERLINK \l _Toc30322 </w:instrText>
          </w:r>
          <w:r>
            <w:rPr>
              <w:sz w:val="21"/>
              <w:szCs w:val="21"/>
            </w:rPr>
            <w:fldChar w:fldCharType="separate"/>
          </w:r>
          <w:r>
            <w:rPr>
              <w:rFonts w:ascii="Times New Roman" w:hAnsi="Times New Roman" w:eastAsia="黑体" w:cs="Times New Roman"/>
              <w:bCs w:val="0"/>
              <w:sz w:val="21"/>
              <w:szCs w:val="22"/>
            </w:rPr>
            <w:t>附录 B：反模式与反例对照治理清单</w:t>
          </w:r>
          <w:r>
            <w:rPr>
              <w:sz w:val="21"/>
              <w:szCs w:val="21"/>
            </w:rPr>
            <w:tab/>
          </w:r>
          <w:r>
            <w:rPr>
              <w:sz w:val="21"/>
              <w:szCs w:val="21"/>
            </w:rPr>
            <w:fldChar w:fldCharType="begin"/>
          </w:r>
          <w:r>
            <w:rPr>
              <w:sz w:val="21"/>
              <w:szCs w:val="21"/>
            </w:rPr>
            <w:instrText xml:space="preserve"> PAGEREF _Toc30322 \h </w:instrText>
          </w:r>
          <w:r>
            <w:rPr>
              <w:sz w:val="21"/>
              <w:szCs w:val="21"/>
            </w:rPr>
            <w:fldChar w:fldCharType="separate"/>
          </w:r>
          <w:r>
            <w:rPr>
              <w:sz w:val="21"/>
              <w:szCs w:val="21"/>
            </w:rPr>
            <w:t>185</w:t>
          </w:r>
          <w:r>
            <w:rPr>
              <w:sz w:val="21"/>
              <w:szCs w:val="21"/>
            </w:rPr>
            <w:fldChar w:fldCharType="end"/>
          </w:r>
          <w:r>
            <w:rPr>
              <w:sz w:val="21"/>
              <w:szCs w:val="21"/>
            </w:rPr>
            <w:fldChar w:fldCharType="end"/>
          </w:r>
        </w:p>
        <w:p w14:paraId="42E00445">
          <w:pPr>
            <w:pStyle w:val="27"/>
            <w:tabs>
              <w:tab w:val="right" w:leader="dot" w:pos="9648"/>
            </w:tabs>
            <w:rPr>
              <w:sz w:val="21"/>
              <w:szCs w:val="21"/>
            </w:rPr>
          </w:pPr>
          <w:r>
            <w:rPr>
              <w:sz w:val="21"/>
              <w:szCs w:val="21"/>
            </w:rPr>
            <w:fldChar w:fldCharType="begin"/>
          </w:r>
          <w:r>
            <w:rPr>
              <w:sz w:val="21"/>
              <w:szCs w:val="21"/>
            </w:rPr>
            <w:instrText xml:space="preserve"> HYPERLINK \l _Toc4678 </w:instrText>
          </w:r>
          <w:r>
            <w:rPr>
              <w:sz w:val="21"/>
              <w:szCs w:val="21"/>
            </w:rPr>
            <w:fldChar w:fldCharType="separate"/>
          </w:r>
          <w:r>
            <w:rPr>
              <w:rFonts w:ascii="Times New Roman" w:hAnsi="Times New Roman" w:eastAsia="黑体" w:cs="Times New Roman"/>
              <w:bCs w:val="0"/>
              <w:sz w:val="21"/>
              <w:szCs w:val="22"/>
            </w:rPr>
            <w:t>附录 C：企业组织结构树</w:t>
          </w:r>
          <w:r>
            <w:rPr>
              <w:sz w:val="21"/>
              <w:szCs w:val="21"/>
            </w:rPr>
            <w:tab/>
          </w:r>
          <w:r>
            <w:rPr>
              <w:sz w:val="21"/>
              <w:szCs w:val="21"/>
            </w:rPr>
            <w:fldChar w:fldCharType="begin"/>
          </w:r>
          <w:r>
            <w:rPr>
              <w:sz w:val="21"/>
              <w:szCs w:val="21"/>
            </w:rPr>
            <w:instrText xml:space="preserve"> PAGEREF _Toc4678 \h </w:instrText>
          </w:r>
          <w:r>
            <w:rPr>
              <w:sz w:val="21"/>
              <w:szCs w:val="21"/>
            </w:rPr>
            <w:fldChar w:fldCharType="separate"/>
          </w:r>
          <w:r>
            <w:rPr>
              <w:sz w:val="21"/>
              <w:szCs w:val="21"/>
            </w:rPr>
            <w:t>186</w:t>
          </w:r>
          <w:r>
            <w:rPr>
              <w:sz w:val="21"/>
              <w:szCs w:val="21"/>
            </w:rPr>
            <w:fldChar w:fldCharType="end"/>
          </w:r>
          <w:r>
            <w:rPr>
              <w:sz w:val="21"/>
              <w:szCs w:val="21"/>
            </w:rPr>
            <w:fldChar w:fldCharType="end"/>
          </w:r>
        </w:p>
        <w:p w14:paraId="225FCDC1">
          <w:pPr>
            <w:pStyle w:val="27"/>
            <w:tabs>
              <w:tab w:val="right" w:leader="dot" w:pos="9648"/>
            </w:tabs>
            <w:rPr>
              <w:sz w:val="21"/>
              <w:szCs w:val="21"/>
            </w:rPr>
          </w:pPr>
          <w:r>
            <w:rPr>
              <w:sz w:val="21"/>
              <w:szCs w:val="21"/>
            </w:rPr>
            <w:fldChar w:fldCharType="begin"/>
          </w:r>
          <w:r>
            <w:rPr>
              <w:sz w:val="21"/>
              <w:szCs w:val="21"/>
            </w:rPr>
            <w:instrText xml:space="preserve"> HYPERLINK \l _Toc15759 </w:instrText>
          </w:r>
          <w:r>
            <w:rPr>
              <w:sz w:val="21"/>
              <w:szCs w:val="21"/>
            </w:rPr>
            <w:fldChar w:fldCharType="separate"/>
          </w:r>
          <w:r>
            <w:rPr>
              <w:rFonts w:ascii="Times New Roman" w:hAnsi="Times New Roman" w:eastAsia="黑体" w:cs="Times New Roman"/>
              <w:bCs w:val="0"/>
              <w:sz w:val="21"/>
              <w:szCs w:val="22"/>
            </w:rPr>
            <w:t>附录 D：园区组织结构树</w:t>
          </w:r>
          <w:r>
            <w:rPr>
              <w:sz w:val="21"/>
              <w:szCs w:val="21"/>
            </w:rPr>
            <w:tab/>
          </w:r>
          <w:r>
            <w:rPr>
              <w:sz w:val="21"/>
              <w:szCs w:val="21"/>
            </w:rPr>
            <w:fldChar w:fldCharType="begin"/>
          </w:r>
          <w:r>
            <w:rPr>
              <w:sz w:val="21"/>
              <w:szCs w:val="21"/>
            </w:rPr>
            <w:instrText xml:space="preserve"> PAGEREF _Toc15759 \h </w:instrText>
          </w:r>
          <w:r>
            <w:rPr>
              <w:sz w:val="21"/>
              <w:szCs w:val="21"/>
            </w:rPr>
            <w:fldChar w:fldCharType="separate"/>
          </w:r>
          <w:r>
            <w:rPr>
              <w:sz w:val="21"/>
              <w:szCs w:val="21"/>
            </w:rPr>
            <w:t>187</w:t>
          </w:r>
          <w:r>
            <w:rPr>
              <w:sz w:val="21"/>
              <w:szCs w:val="21"/>
            </w:rPr>
            <w:fldChar w:fldCharType="end"/>
          </w:r>
          <w:r>
            <w:rPr>
              <w:sz w:val="21"/>
              <w:szCs w:val="21"/>
            </w:rPr>
            <w:fldChar w:fldCharType="end"/>
          </w:r>
        </w:p>
        <w:p w14:paraId="0DEC2855">
          <w:pPr>
            <w:pStyle w:val="27"/>
            <w:tabs>
              <w:tab w:val="right" w:leader="dot" w:pos="9648"/>
            </w:tabs>
          </w:pPr>
          <w:r>
            <w:rPr>
              <w:sz w:val="21"/>
              <w:szCs w:val="21"/>
            </w:rPr>
            <w:fldChar w:fldCharType="begin"/>
          </w:r>
          <w:r>
            <w:rPr>
              <w:sz w:val="21"/>
              <w:szCs w:val="21"/>
            </w:rPr>
            <w:instrText xml:space="preserve"> HYPERLINK \l _Toc4309 </w:instrText>
          </w:r>
          <w:r>
            <w:rPr>
              <w:sz w:val="21"/>
              <w:szCs w:val="21"/>
            </w:rPr>
            <w:fldChar w:fldCharType="separate"/>
          </w:r>
          <w:r>
            <w:rPr>
              <w:rFonts w:ascii="Times New Roman" w:hAnsi="Times New Roman" w:eastAsia="黑体" w:cs="Times New Roman"/>
              <w:bCs w:val="0"/>
              <w:sz w:val="21"/>
              <w:szCs w:val="22"/>
            </w:rPr>
            <w:t>附录 E：角色与权限矩阵</w:t>
          </w:r>
          <w:r>
            <w:rPr>
              <w:sz w:val="21"/>
              <w:szCs w:val="21"/>
            </w:rPr>
            <w:tab/>
          </w:r>
          <w:r>
            <w:rPr>
              <w:sz w:val="21"/>
              <w:szCs w:val="21"/>
            </w:rPr>
            <w:fldChar w:fldCharType="begin"/>
          </w:r>
          <w:r>
            <w:rPr>
              <w:sz w:val="21"/>
              <w:szCs w:val="21"/>
            </w:rPr>
            <w:instrText xml:space="preserve"> PAGEREF _Toc4309 \h </w:instrText>
          </w:r>
          <w:r>
            <w:rPr>
              <w:sz w:val="21"/>
              <w:szCs w:val="21"/>
            </w:rPr>
            <w:fldChar w:fldCharType="separate"/>
          </w:r>
          <w:r>
            <w:rPr>
              <w:sz w:val="21"/>
              <w:szCs w:val="21"/>
            </w:rPr>
            <w:t>188</w:t>
          </w:r>
          <w:r>
            <w:rPr>
              <w:sz w:val="21"/>
              <w:szCs w:val="21"/>
            </w:rPr>
            <w:fldChar w:fldCharType="end"/>
          </w:r>
          <w:r>
            <w:rPr>
              <w:sz w:val="21"/>
              <w:szCs w:val="21"/>
            </w:rPr>
            <w:fldChar w:fldCharType="end"/>
          </w:r>
        </w:p>
        <w:p w14:paraId="4C61D3FC">
          <w:r>
            <w:fldChar w:fldCharType="end"/>
          </w:r>
        </w:p>
      </w:sdtContent>
    </w:sdt>
    <w:p w14:paraId="7BD74E1B"/>
    <w:p w14:paraId="294A731F">
      <w:pPr>
        <w:ind w:left="0" w:leftChars="0" w:firstLine="0" w:firstLineChars="0"/>
        <w:rPr>
          <w:rFonts w:eastAsia="黑体"/>
          <w:b w:val="0"/>
          <w:bCs w:val="0"/>
          <w:sz w:val="32"/>
          <w:szCs w:val="44"/>
        </w:rPr>
        <w:sectPr>
          <w:footerReference r:id="rId8" w:type="first"/>
          <w:footerReference r:id="rId7" w:type="default"/>
          <w:pgSz w:w="11906" w:h="16838"/>
          <w:pgMar w:top="1296" w:right="1296" w:bottom="1296" w:left="1296" w:header="720" w:footer="720" w:gutter="0"/>
          <w:pgBorders>
            <w:top w:val="none" w:sz="0" w:space="0"/>
            <w:left w:val="none" w:sz="0" w:space="0"/>
            <w:bottom w:val="none" w:sz="0" w:space="0"/>
            <w:right w:val="none" w:sz="0" w:space="0"/>
          </w:pgBorders>
          <w:pgNumType w:fmt="decimal" w:start="1"/>
          <w:cols w:space="720" w:num="1"/>
          <w:titlePg/>
          <w:docGrid w:linePitch="360" w:charSpace="0"/>
        </w:sectPr>
      </w:pPr>
      <w:bookmarkStart w:id="0" w:name="_Toc23783"/>
    </w:p>
    <w:p w14:paraId="1972F910">
      <w:pPr>
        <w:pStyle w:val="3"/>
        <w:numPr>
          <w:ilvl w:val="0"/>
          <w:numId w:val="7"/>
        </w:numPr>
        <w:ind w:left="0" w:leftChars="0" w:firstLine="0" w:firstLineChars="0"/>
        <w:rPr>
          <w:rFonts w:eastAsia="黑体"/>
          <w:b w:val="0"/>
          <w:bCs w:val="0"/>
          <w:sz w:val="32"/>
          <w:szCs w:val="44"/>
        </w:rPr>
      </w:pPr>
      <w:r>
        <w:rPr>
          <w:rFonts w:ascii="Times New Roman" w:hAnsi="Times New Roman" w:eastAsia="黑体" w:cs="Times New Roman"/>
          <w:b w:val="0"/>
          <w:bCs w:val="0"/>
          <w:sz w:val="32"/>
          <w:szCs w:val="44"/>
        </w:rPr>
        <w:t>顶层业务架构与标准规范</w:t>
      </w:r>
      <w:bookmarkEnd w:id="0"/>
    </w:p>
    <w:p w14:paraId="34822E17">
      <w:pPr>
        <w:pStyle w:val="4"/>
        <w:numPr>
          <w:ilvl w:val="0"/>
          <w:numId w:val="8"/>
        </w:numPr>
        <w:topLinePunct w:val="0"/>
        <w:ind w:left="0" w:leftChars="0" w:firstLine="0" w:firstLineChars="0"/>
        <w:outlineLvl w:val="0"/>
        <w:rPr>
          <w:rFonts w:hint="eastAsia" w:eastAsia="黑体"/>
          <w:b w:val="0"/>
          <w:bCs w:val="0"/>
          <w:sz w:val="30"/>
          <w:szCs w:val="32"/>
        </w:rPr>
      </w:pPr>
      <w:bookmarkStart w:id="1" w:name="_Toc25175"/>
      <w:r>
        <w:rPr>
          <w:rFonts w:ascii="Times New Roman" w:hAnsi="Times New Roman" w:eastAsia="黑体" w:cs="Times New Roman"/>
          <w:b w:val="0"/>
          <w:bCs w:val="0"/>
          <w:sz w:val="30"/>
          <w:szCs w:val="32"/>
        </w:rPr>
        <w:t>项目背景与建设目标</w:t>
      </w:r>
      <w:bookmarkEnd w:id="1"/>
    </w:p>
    <w:p w14:paraId="09B42206">
      <w:pPr>
        <w:pStyle w:val="5"/>
        <w:widowControl/>
        <w:numPr>
          <w:ilvl w:val="0"/>
          <w:numId w:val="9"/>
        </w:numPr>
        <w:ind w:left="0" w:leftChars="0" w:firstLine="0" w:firstLineChars="0"/>
        <w:outlineLvl w:val="1"/>
        <w:rPr>
          <w:rFonts w:eastAsia="黑体"/>
          <w:b w:val="0"/>
          <w:bCs w:val="0"/>
          <w:sz w:val="30"/>
          <w:szCs w:val="24"/>
        </w:rPr>
      </w:pPr>
      <w:bookmarkStart w:id="2" w:name="_Toc9482"/>
      <w:r>
        <w:rPr>
          <w:rFonts w:ascii="Times New Roman" w:hAnsi="Times New Roman" w:eastAsia="黑体" w:cs="Times New Roman"/>
          <w:b w:val="0"/>
          <w:bCs w:val="0"/>
          <w:sz w:val="30"/>
          <w:szCs w:val="24"/>
        </w:rPr>
        <w:t>项目建设背景</w:t>
      </w:r>
      <w:bookmarkEnd w:id="2"/>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宏观战略与集团"十五五"低碳发展要求。</w:t>
      </w:r>
      <w:r>
        <w:rPr>
          <w:rFonts w:ascii="Times New Roman" w:hAnsi="Times New Roman" w:eastAsia="宋体" w:cs="Times New Roman"/>
          <w:i w:val="0"/>
          <w:color w:val="1F2937"/>
          <w:sz w:val="24"/>
          <w:szCs w:val="24"/>
        </w:rPr>
        <w:t xml:space="preserve"> 在国家"碳达峰、碳中和"战略深入推进的宏观背景下，工业装备制造业正加速向全生命周期绿色化、数字化转型。特变电工电装集团作为我国输变电高端装备制造领域的龙头企业，坚决贯彻集团绿色低碳发展统一部署。根据集团"十五五"战略规划纲要，到 2028 年，电装集团须全面形成以"零碳园区、零碳工厂、零碳产品"为主线的绿色高质量发展模式，确保零碳园区全面建成并成为集团新的核心产业增长极。在此目标引领下，构建一套覆盖自身运营并向上下游产业链纵深辐射、具备高公信力与高效协同能力的碳足迹数字化管理生态系统，已成为支撑集团战略落地的关键路径。</w:t>
      </w:r>
    </w:p>
    <w:p w14:paraId="79E049F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国际贸易绿色壁垒与合规实质性倒逼。</w:t>
      </w:r>
      <w:r>
        <w:rPr>
          <w:rFonts w:ascii="Times New Roman" w:hAnsi="Times New Roman" w:eastAsia="宋体" w:cs="Times New Roman"/>
          <w:i w:val="0"/>
          <w:color w:val="1F2937"/>
          <w:sz w:val="24"/>
          <w:szCs w:val="24"/>
        </w:rPr>
        <w:t xml:space="preserve"> 随着全球绿色供应链竞争加剧，欧盟碳边境调节机制（CBAM）已进入实质性操作阶段，针对输变电产品及其原材料（钢、铝等）的直接与间接排放溯源监管日益严苛。电装集团产品大量服务于国内外重点工程及海外基础设施建设，亟需建立符合国际核算标准（如 ISO 14067、GHG Protocol 等）、支持全流程证据链追溯与多维溯源的产品碳足迹认证体系，打破国际绿色贸易壁垒，巩固全球竞争优势。</w:t>
      </w:r>
    </w:p>
    <w:p w14:paraId="7273705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数字化能碳运营现状与核心痛点。</w:t>
      </w:r>
      <w:r>
        <w:rPr>
          <w:rFonts w:ascii="Times New Roman" w:hAnsi="Times New Roman" w:eastAsia="宋体" w:cs="Times New Roman"/>
          <w:i w:val="0"/>
          <w:color w:val="1F2937"/>
          <w:sz w:val="24"/>
          <w:szCs w:val="24"/>
        </w:rPr>
        <w:t xml:space="preserve"> 当前，电装集团绿色转型已进入深水区，但数字化支撑与集约化管控层面仍存在显著瓶颈：</w:t>
      </w:r>
    </w:p>
    <w:p w14:paraId="3F1DADA6">
      <w:pPr>
        <w:pStyle w:val="19"/>
        <w:widowControl/>
        <w:numPr>
          <w:ilvl w:val="0"/>
          <w:numId w:val="10"/>
        </w:numPr>
        <w:ind w:left="420" w:leftChars="0" w:hanging="420" w:firstLineChars="0"/>
        <w:rPr>
          <w:rFonts w:eastAsia="宋体"/>
          <w:i w:val="0"/>
          <w:sz w:val="24"/>
          <w:szCs w:val="24"/>
        </w:rPr>
      </w:pPr>
      <w:r>
        <w:rPr>
          <w:rFonts w:ascii="Times New Roman" w:hAnsi="Times New Roman" w:eastAsia="宋体" w:cs="Times New Roman"/>
          <w:b/>
          <w:i w:val="0"/>
          <w:color w:val="1E3A8A"/>
          <w:sz w:val="24"/>
          <w:szCs w:val="24"/>
        </w:rPr>
        <w:t>能碳数据底座割裂，缺乏统一监管抓手</w:t>
      </w:r>
      <w:r>
        <w:rPr>
          <w:rFonts w:ascii="Times New Roman" w:hAnsi="Times New Roman" w:eastAsia="宋体" w:cs="Times New Roman"/>
          <w:i w:val="0"/>
          <w:color w:val="1F2937"/>
          <w:sz w:val="24"/>
          <w:szCs w:val="24"/>
        </w:rPr>
        <w:t>：集团下辖 18 个生产基地/园区所处区域广泛、生产工艺与用能结构各异，各单位能源计量统计口径、数据精度及碳排放管控标准不一致，数据孤岛严重，总部层面难以实现"一本账"穿透式监管和精准横向对标。</w:t>
      </w:r>
    </w:p>
    <w:p w14:paraId="43D93B0B">
      <w:pPr>
        <w:pStyle w:val="19"/>
        <w:widowControl/>
        <w:numPr>
          <w:ilvl w:val="0"/>
          <w:numId w:val="10"/>
        </w:numPr>
        <w:ind w:left="420" w:leftChars="0" w:hanging="420" w:firstLineChars="0"/>
        <w:rPr>
          <w:rFonts w:eastAsia="宋体"/>
          <w:i w:val="0"/>
          <w:sz w:val="24"/>
          <w:szCs w:val="24"/>
        </w:rPr>
      </w:pPr>
      <w:r>
        <w:rPr>
          <w:rFonts w:ascii="Times New Roman" w:hAnsi="Times New Roman" w:eastAsia="宋体" w:cs="Times New Roman"/>
          <w:b/>
          <w:i w:val="0"/>
          <w:color w:val="1E3A8A"/>
          <w:sz w:val="24"/>
          <w:szCs w:val="24"/>
        </w:rPr>
        <w:t>零碳评价无标可依，成效难以量化评估</w:t>
      </w:r>
      <w:r>
        <w:rPr>
          <w:rFonts w:ascii="Times New Roman" w:hAnsi="Times New Roman" w:eastAsia="宋体" w:cs="Times New Roman"/>
          <w:i w:val="0"/>
          <w:color w:val="1F2937"/>
          <w:sz w:val="24"/>
          <w:szCs w:val="24"/>
        </w:rPr>
        <w:t>：零碳园区建设缺乏统一、标准化的指标评价框架与动态打分体系，各单位降碳举措分散、效果参差不齐，难以形成可复制、可推广的绿色制造示范模式。</w:t>
      </w:r>
    </w:p>
    <w:p w14:paraId="34FE40E1">
      <w:pPr>
        <w:pStyle w:val="19"/>
        <w:widowControl/>
        <w:numPr>
          <w:ilvl w:val="0"/>
          <w:numId w:val="10"/>
        </w:numPr>
        <w:ind w:left="420" w:leftChars="0" w:hanging="420" w:firstLineChars="0"/>
        <w:rPr>
          <w:rFonts w:eastAsia="宋体"/>
          <w:i w:val="0"/>
          <w:sz w:val="24"/>
          <w:szCs w:val="24"/>
        </w:rPr>
      </w:pPr>
      <w:r>
        <w:rPr>
          <w:rFonts w:ascii="Times New Roman" w:hAnsi="Times New Roman" w:eastAsia="宋体" w:cs="Times New Roman"/>
          <w:b/>
          <w:i w:val="0"/>
          <w:color w:val="1E3A8A"/>
          <w:sz w:val="24"/>
          <w:szCs w:val="24"/>
        </w:rPr>
        <w:t>碳足迹核算成本高、周期长、证据链缺失</w:t>
      </w:r>
      <w:r>
        <w:rPr>
          <w:rFonts w:ascii="Times New Roman" w:hAnsi="Times New Roman" w:eastAsia="宋体" w:cs="Times New Roman"/>
          <w:i w:val="0"/>
          <w:color w:val="1F2937"/>
          <w:sz w:val="24"/>
          <w:szCs w:val="24"/>
        </w:rPr>
        <w:t>：传统的碳足迹核算高度依赖离线调研与第三方机构人工驻场，数据收集周期动辄数月，认证成本居高不下；且过程数据缺乏原始采样凭证与不可篡改的时间戳支撑，权威性易受质疑。</w:t>
      </w:r>
    </w:p>
    <w:p w14:paraId="712E0970">
      <w:pPr>
        <w:pStyle w:val="19"/>
        <w:widowControl/>
        <w:numPr>
          <w:ilvl w:val="0"/>
          <w:numId w:val="10"/>
        </w:numPr>
        <w:ind w:left="420" w:leftChars="0" w:hanging="420" w:firstLineChars="0"/>
        <w:rPr>
          <w:rFonts w:eastAsia="宋体"/>
          <w:i w:val="0"/>
          <w:sz w:val="24"/>
          <w:szCs w:val="24"/>
        </w:rPr>
      </w:pPr>
      <w:r>
        <w:rPr>
          <w:rFonts w:ascii="Times New Roman" w:hAnsi="Times New Roman" w:eastAsia="宋体" w:cs="Times New Roman"/>
          <w:b/>
          <w:i w:val="0"/>
          <w:color w:val="1E3A8A"/>
          <w:sz w:val="24"/>
          <w:szCs w:val="24"/>
        </w:rPr>
        <w:t>云边端协同能力薄弱，缺乏实时闭环调控</w:t>
      </w:r>
      <w:r>
        <w:rPr>
          <w:rFonts w:ascii="Times New Roman" w:hAnsi="Times New Roman" w:eastAsia="宋体" w:cs="Times New Roman"/>
          <w:i w:val="0"/>
          <w:color w:val="1F2937"/>
          <w:sz w:val="24"/>
          <w:szCs w:val="24"/>
        </w:rPr>
        <w:t>：现有系统多停留在"事后统计与静态展示"，边缘侧缺乏智能化数据采集、边缘计算与闭环控制机制，无法实现供能、储能、用能多要素的微秒级与秒级协同优化。</w:t>
      </w:r>
    </w:p>
    <w:p w14:paraId="4134183C">
      <w:pPr>
        <w:pStyle w:val="5"/>
        <w:widowControl/>
        <w:numPr>
          <w:ilvl w:val="0"/>
          <w:numId w:val="9"/>
        </w:numPr>
        <w:ind w:left="0" w:leftChars="0" w:firstLine="0" w:firstLineChars="0"/>
        <w:outlineLvl w:val="1"/>
        <w:rPr>
          <w:rFonts w:eastAsia="黑体"/>
          <w:b w:val="0"/>
          <w:bCs w:val="0"/>
          <w:sz w:val="30"/>
          <w:szCs w:val="24"/>
        </w:rPr>
      </w:pPr>
      <w:bookmarkStart w:id="3" w:name="_Toc11607"/>
      <w:r>
        <w:rPr>
          <w:rFonts w:ascii="Times New Roman" w:hAnsi="Times New Roman" w:eastAsia="黑体" w:cs="Times New Roman"/>
          <w:b w:val="0"/>
          <w:bCs w:val="0"/>
          <w:sz w:val="30"/>
          <w:szCs w:val="24"/>
        </w:rPr>
        <w:t>建设目标</w:t>
      </w:r>
      <w:bookmarkEnd w:id="3"/>
    </w:p>
    <w:p w14:paraId="57D95C52">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本项目旨在通过"软硬件一体、云边端协同、管服一体化"的整体建设路径，研发构建"工厂—产业单位—总部"三级贯通的零碳集控运营系统与产品碳足迹集采管理认证一体化平台，实现对能源与碳排放"精准化计量、精细化管控、智能化决策、可视化呈现"。</w:t>
      </w:r>
    </w:p>
    <w:p w14:paraId="177F112A">
      <w:pPr>
        <w:pStyle w:val="19"/>
        <w:widowControl/>
        <w:ind w:left="0" w:leftChars="0" w:firstLine="0" w:firstLineChars="0"/>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管理层级落地目标：</w:t>
      </w:r>
    </w:p>
    <w:tbl>
      <w:tblPr>
        <w:tblStyle w:val="38"/>
        <w:tblW w:w="9784" w:type="dxa"/>
        <w:jc w:val="center"/>
        <w:tblLayout w:type="autofit"/>
        <w:tblCellMar>
          <w:top w:w="0" w:type="dxa"/>
          <w:left w:w="108" w:type="dxa"/>
          <w:bottom w:w="0" w:type="dxa"/>
          <w:right w:w="108" w:type="dxa"/>
        </w:tblCellMar>
      </w:tblPr>
      <w:tblGrid>
        <w:gridCol w:w="683"/>
        <w:gridCol w:w="2288"/>
        <w:gridCol w:w="6813"/>
      </w:tblGrid>
      <w:tr w14:paraId="723DC6FB">
        <w:tblPrEx>
          <w:tblCellMar>
            <w:top w:w="0" w:type="dxa"/>
            <w:left w:w="108" w:type="dxa"/>
            <w:bottom w:w="0" w:type="dxa"/>
            <w:right w:w="108" w:type="dxa"/>
          </w:tblCellMar>
        </w:tblPrEx>
        <w:trPr>
          <w:trHeight w:val="0" w:hRule="atLeast"/>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96B01E5">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管理层级</w:t>
            </w:r>
          </w:p>
        </w:tc>
        <w:tc>
          <w:tcPr>
            <w:tcW w:w="228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7FF9D85">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角色定位</w:t>
            </w:r>
          </w:p>
        </w:tc>
        <w:tc>
          <w:tcPr>
            <w:tcW w:w="681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DF1148A">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核心落地目标</w:t>
            </w:r>
          </w:p>
        </w:tc>
      </w:tr>
      <w:tr w14:paraId="73ADFA66">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08EBC9">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集团总部层</w:t>
            </w:r>
          </w:p>
        </w:tc>
        <w:tc>
          <w:tcPr>
            <w:tcW w:w="22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7F00D8">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监管与决策中心</w:t>
            </w:r>
          </w:p>
        </w:tc>
        <w:tc>
          <w:tcPr>
            <w:tcW w:w="681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EDC4B4">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打造集团能碳数据"驾驶舱"与统管枢纽，全面接入并统一管理 18 个园区的能碳运行态势；建立健全集团级能效对标体系与零碳园区评估模型，实现能耗异常穿透分析、减碳潜能挖掘与绿色转型成效的权威对外呈现</w:t>
            </w:r>
          </w:p>
        </w:tc>
      </w:tr>
      <w:tr w14:paraId="32A84555">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D374B5">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产业单位层</w:t>
            </w:r>
          </w:p>
        </w:tc>
        <w:tc>
          <w:tcPr>
            <w:tcW w:w="22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B6C687">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协同与治理中心</w:t>
            </w:r>
          </w:p>
        </w:tc>
        <w:tc>
          <w:tcPr>
            <w:tcW w:w="681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A6AE4D">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固化标准化的碳足迹数据采集、因子匹配与全过程核算流程，构建面向变压器、电缆、高低压开关等重点装备的行业级实景数据库（LCI），指导下属各生产经营单位科学编制降碳规划并精准落地技改措施</w:t>
            </w:r>
          </w:p>
        </w:tc>
      </w:tr>
      <w:tr w14:paraId="5B899D87">
        <w:tblPrEx>
          <w:tblCellMar>
            <w:top w:w="0" w:type="dxa"/>
            <w:left w:w="108" w:type="dxa"/>
            <w:bottom w:w="0" w:type="dxa"/>
            <w:right w:w="108" w:type="dxa"/>
          </w:tblCellMar>
        </w:tblPrEx>
        <w:trPr>
          <w:trHeight w:val="0" w:hRule="atLeast"/>
          <w:jc w:val="center"/>
        </w:trPr>
        <w:tc>
          <w:tcPr>
            <w:tcW w:w="6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7147F7">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工厂车间层</w:t>
            </w:r>
          </w:p>
        </w:tc>
        <w:tc>
          <w:tcPr>
            <w:tcW w:w="22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9B44E0">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执行与核算中心</w:t>
            </w:r>
          </w:p>
        </w:tc>
        <w:tc>
          <w:tcPr>
            <w:tcW w:w="681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1D80F5">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沉淀标准因子集、计算模型规范及一键式认证申报模板等数字化工具包，配合边缘网关与控制器实现产线级与设备级数据自动采集，支撑各工厂快速响应客户低碳招投标与第三方合规认证需求，核算效率提升 50% 以上</w:t>
            </w:r>
          </w:p>
        </w:tc>
      </w:tr>
    </w:tbl>
    <w:p w14:paraId="13E36B75">
      <w:pPr>
        <w:spacing w:after="60"/>
        <w:rPr>
          <w:rFonts w:hint="eastAsia" w:ascii="宋体" w:hAnsi="宋体" w:eastAsia="宋体" w:cs="宋体"/>
          <w:i w:val="0"/>
          <w:iCs w:val="0"/>
          <w:sz w:val="24"/>
          <w:szCs w:val="24"/>
        </w:rPr>
      </w:pPr>
    </w:p>
    <w:p w14:paraId="6F95DF3F">
      <w:pPr>
        <w:pStyle w:val="19"/>
        <w:widowControl/>
        <w:ind w:left="0" w:leftChars="0" w:firstLine="0" w:firstLineChars="0"/>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系统核心能力目标：</w:t>
      </w:r>
    </w:p>
    <w:p w14:paraId="5AE3C436">
      <w:pPr>
        <w:pStyle w:val="19"/>
        <w:widowControl/>
        <w:numPr>
          <w:ilvl w:val="0"/>
          <w:numId w:val="1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计量精准化</w:t>
      </w:r>
      <w:r>
        <w:rPr>
          <w:rFonts w:ascii="Times New Roman" w:hAnsi="Times New Roman" w:eastAsia="宋体" w:cs="Times New Roman"/>
          <w:i w:val="0"/>
          <w:color w:val="1F2937"/>
          <w:sz w:val="24"/>
          <w:szCs w:val="24"/>
        </w:rPr>
        <w:t>：依托工业物联网架构与边缘调控一体机，打通产线 DCS、SCADA、能源表计等系统，消除数据盲区与统计偏差，实现核心能碳指标毫秒级/秒级高精度感知。</w:t>
      </w:r>
    </w:p>
    <w:p w14:paraId="6A130B1A">
      <w:pPr>
        <w:pStyle w:val="19"/>
        <w:widowControl/>
        <w:numPr>
          <w:ilvl w:val="0"/>
          <w:numId w:val="1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管控精细化</w:t>
      </w:r>
      <w:r>
        <w:rPr>
          <w:rFonts w:ascii="Times New Roman" w:hAnsi="Times New Roman" w:eastAsia="宋体" w:cs="Times New Roman"/>
          <w:i w:val="0"/>
          <w:color w:val="1F2937"/>
          <w:sz w:val="24"/>
          <w:szCs w:val="24"/>
        </w:rPr>
        <w:t>：建立覆盖原材料输入、生产加工、组装测试到包装出厂的装备产品全生命周期（Cradle-to-Gate）碳足迹追踪链路，形成不可篡改的碳排放数据追溯链。</w:t>
      </w:r>
    </w:p>
    <w:p w14:paraId="1340333D">
      <w:pPr>
        <w:pStyle w:val="19"/>
        <w:widowControl/>
        <w:numPr>
          <w:ilvl w:val="0"/>
          <w:numId w:val="1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决策智能化</w:t>
      </w:r>
      <w:r>
        <w:rPr>
          <w:rFonts w:ascii="Times New Roman" w:hAnsi="Times New Roman" w:eastAsia="宋体" w:cs="Times New Roman"/>
          <w:i w:val="0"/>
          <w:color w:val="1F2937"/>
          <w:sz w:val="24"/>
          <w:szCs w:val="24"/>
        </w:rPr>
        <w:t>：深度融合行业机理与 AI 优化算法，实现用能负荷精准预测、峰谷分时响应、多能互补协同调度与碳减排路径智能推荐。</w:t>
      </w:r>
    </w:p>
    <w:p w14:paraId="64915C65">
      <w:pPr>
        <w:pStyle w:val="19"/>
        <w:widowControl/>
        <w:numPr>
          <w:ilvl w:val="0"/>
          <w:numId w:val="1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呈现全景化</w:t>
      </w:r>
      <w:r>
        <w:rPr>
          <w:rFonts w:ascii="Times New Roman" w:hAnsi="Times New Roman" w:eastAsia="宋体" w:cs="Times New Roman"/>
          <w:i w:val="0"/>
          <w:color w:val="1F2937"/>
          <w:sz w:val="24"/>
          <w:szCs w:val="24"/>
        </w:rPr>
        <w:t>：打造集管控、运营、汇报于一体的 3D/多维数字化大屏，以生动图表与动态全景呈现集团双碳目标推进路径。</w:t>
      </w:r>
    </w:p>
    <w:p w14:paraId="4E5072BD">
      <w:pPr>
        <w:pStyle w:val="4"/>
        <w:numPr>
          <w:ilvl w:val="0"/>
          <w:numId w:val="8"/>
        </w:numPr>
        <w:topLinePunct w:val="0"/>
        <w:ind w:left="0" w:leftChars="0" w:firstLine="0" w:firstLineChars="0"/>
        <w:outlineLvl w:val="0"/>
        <w:rPr>
          <w:rFonts w:hint="eastAsia" w:eastAsia="黑体"/>
          <w:b w:val="0"/>
          <w:bCs w:val="0"/>
          <w:sz w:val="30"/>
          <w:szCs w:val="32"/>
        </w:rPr>
      </w:pPr>
      <w:bookmarkStart w:id="4" w:name="_Toc1776"/>
      <w:r>
        <w:rPr>
          <w:rFonts w:ascii="Times New Roman" w:hAnsi="Times New Roman" w:eastAsia="黑体" w:cs="Times New Roman"/>
          <w:b w:val="0"/>
          <w:bCs w:val="0"/>
          <w:sz w:val="30"/>
          <w:szCs w:val="32"/>
        </w:rPr>
        <w:t>建设范围</w:t>
      </w:r>
      <w:bookmarkEnd w:id="4"/>
    </w:p>
    <w:p w14:paraId="4DD8C535">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本项目建设范围涵盖技术服务（标准与咨询）、软件研发、系统集成与数据治理、实施交付、硬件研制及供货部署五大板块，全面实现软硬件交钥匙工程。</w:t>
      </w:r>
    </w:p>
    <w:p w14:paraId="5F72605A">
      <w:pPr>
        <w:pStyle w:val="19"/>
        <w:widowControl/>
        <w:numPr>
          <w:ilvl w:val="0"/>
          <w:numId w:val="0"/>
        </w:numPr>
        <w:rPr>
          <w:rFonts w:eastAsia="宋体"/>
          <w:b/>
          <w:i w:val="0"/>
          <w:color w:val="0284C7"/>
          <w:sz w:val="24"/>
          <w:szCs w:val="24"/>
        </w:rPr>
      </w:pPr>
      <w:r>
        <w:rPr>
          <w:rFonts w:ascii="Times New Roman" w:hAnsi="Times New Roman" w:eastAsia="宋体" w:cs="Times New Roman"/>
          <w:b/>
          <w:i w:val="0"/>
          <w:color w:val="1E3A8A"/>
          <w:sz w:val="24"/>
          <w:szCs w:val="24"/>
        </w:rPr>
        <w:t>技术服务范围</w:t>
      </w:r>
    </w:p>
    <w:p w14:paraId="09A7A047">
      <w:pPr>
        <w:pStyle w:val="19"/>
        <w:widowControl/>
        <w:numPr>
          <w:ilvl w:val="0"/>
          <w:numId w:val="1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能碳与园区管理标准构建：深入结合输变电制造行业工艺特征，完成特变电工电装集团零碳园区集控中心管理标准研制；梳理零碳园区、零碳工厂评价指标体系，形成分级评价准则与对标评估方案。</w:t>
      </w:r>
    </w:p>
    <w:p w14:paraId="36FE872B">
      <w:pPr>
        <w:pStyle w:val="19"/>
        <w:widowControl/>
        <w:numPr>
          <w:ilvl w:val="0"/>
          <w:numId w:val="1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产品碳足迹规范与管理体系：编制输变电装备（涵盖变压器、线缆、开关设备）碳足迹核算导则与管控规范，明确生命周期边界（系统边界、分配原则、截止准则等），研究符合 CBAM 政策及主流国际标准（ISO 14067）的实景数据采集与证据链管理体系。</w:t>
      </w:r>
    </w:p>
    <w:p w14:paraId="5F752E06">
      <w:pPr>
        <w:pStyle w:val="19"/>
        <w:widowControl/>
        <w:numPr>
          <w:ilvl w:val="0"/>
          <w:numId w:val="1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标准数据字典与接口规范梳理：制定集团统一度量衡的能碳物联数据字典、多源异构系统数据交互协议规范，梳理并设计集控中心与集采中心的核心 API 标准接口规范。</w:t>
      </w:r>
    </w:p>
    <w:p w14:paraId="47723DC3">
      <w:pPr>
        <w:pStyle w:val="19"/>
        <w:widowControl/>
        <w:numPr>
          <w:ilvl w:val="0"/>
          <w:numId w:val="1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装备制造专属因子库体系梳理：系统化完成变压器、线缆、开关等主营产品的上下游物料基础背景数据库梳理，梳理电力消耗、化石燃料、原材料专属因子集，支撑平台快速算碳。</w:t>
      </w:r>
    </w:p>
    <w:p w14:paraId="552E296F">
      <w:pPr>
        <w:pStyle w:val="4"/>
        <w:numPr>
          <w:ilvl w:val="0"/>
          <w:numId w:val="8"/>
        </w:numPr>
        <w:topLinePunct w:val="0"/>
        <w:ind w:left="0" w:leftChars="0" w:firstLine="0" w:firstLineChars="0"/>
        <w:outlineLvl w:val="0"/>
        <w:rPr>
          <w:rFonts w:hint="eastAsia" w:eastAsia="黑体"/>
          <w:b w:val="0"/>
          <w:bCs w:val="0"/>
          <w:sz w:val="30"/>
          <w:szCs w:val="32"/>
        </w:rPr>
      </w:pPr>
      <w:bookmarkStart w:id="5" w:name="_Toc14229"/>
      <w:r>
        <w:rPr>
          <w:rFonts w:ascii="Times New Roman" w:hAnsi="Times New Roman" w:eastAsia="黑体" w:cs="Times New Roman"/>
          <w:b w:val="0"/>
          <w:bCs w:val="0"/>
          <w:sz w:val="30"/>
          <w:szCs w:val="32"/>
        </w:rPr>
        <w:t>双中心总体架构与协同机制</w:t>
      </w:r>
      <w:bookmarkEnd w:id="5"/>
    </w:p>
    <w:p w14:paraId="7EB70714">
      <w:pPr>
        <w:jc w:val="center"/>
        <w:rPr>
          <w:rFonts w:hint="eastAsia" w:eastAsia="黑体"/>
          <w:lang w:eastAsia="zh-CN"/>
        </w:rPr>
      </w:pPr>
      <w:r>
        <w:rPr>
          <w:rFonts w:hint="eastAsia" w:eastAsia="黑体"/>
          <w:lang w:eastAsia="zh-CN"/>
        </w:rPr>
        <w:drawing>
          <wp:inline distT="0" distB="0" distL="114300" distR="114300">
            <wp:extent cx="5588000" cy="3547110"/>
            <wp:effectExtent l="0" t="0" r="12700" b="15240"/>
            <wp:docPr id="5" name="图片 5" descr="55464558cab95a28eca7e088139696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55464558cab95a28eca7e088139696a7"/>
                    <pic:cNvPicPr>
                      <a:picLocks noChangeAspect="1"/>
                    </pic:cNvPicPr>
                  </pic:nvPicPr>
                  <pic:blipFill>
                    <a:blip r:embed="rId12"/>
                    <a:stretch>
                      <a:fillRect/>
                    </a:stretch>
                  </pic:blipFill>
                  <pic:spPr>
                    <a:xfrm>
                      <a:off x="0" y="0"/>
                      <a:ext cx="5588000" cy="3547110"/>
                    </a:xfrm>
                    <a:prstGeom prst="rect">
                      <a:avLst/>
                    </a:prstGeom>
                  </pic:spPr>
                </pic:pic>
              </a:graphicData>
            </a:graphic>
          </wp:inline>
        </w:drawing>
      </w:r>
    </w:p>
    <w:p w14:paraId="04121F5F">
      <w:pPr>
        <w:pStyle w:val="5"/>
        <w:widowControl/>
        <w:numPr>
          <w:ilvl w:val="0"/>
          <w:numId w:val="13"/>
        </w:numPr>
        <w:ind w:left="0" w:leftChars="0" w:firstLine="0" w:firstLineChars="0"/>
        <w:outlineLvl w:val="1"/>
        <w:rPr>
          <w:rFonts w:eastAsia="黑体"/>
          <w:b w:val="0"/>
          <w:bCs w:val="0"/>
          <w:sz w:val="30"/>
          <w:szCs w:val="24"/>
        </w:rPr>
      </w:pPr>
      <w:bookmarkStart w:id="6" w:name="_Toc28299"/>
      <w:r>
        <w:rPr>
          <w:rFonts w:ascii="Times New Roman" w:hAnsi="Times New Roman" w:eastAsia="黑体" w:cs="Times New Roman"/>
          <w:b w:val="0"/>
          <w:bCs w:val="0"/>
          <w:sz w:val="30"/>
          <w:szCs w:val="24"/>
        </w:rPr>
        <w:t>端—边—云三层物联网架构</w:t>
      </w:r>
      <w:bookmarkEnd w:id="6"/>
    </w:p>
    <w:tbl>
      <w:tblPr>
        <w:tblStyle w:val="38"/>
        <w:tblW w:w="9784" w:type="dxa"/>
        <w:jc w:val="center"/>
        <w:tblLayout w:type="autofit"/>
        <w:tblCellMar>
          <w:top w:w="0" w:type="dxa"/>
          <w:left w:w="108" w:type="dxa"/>
          <w:bottom w:w="0" w:type="dxa"/>
          <w:right w:w="108" w:type="dxa"/>
        </w:tblCellMar>
      </w:tblPr>
      <w:tblGrid>
        <w:gridCol w:w="1545"/>
        <w:gridCol w:w="1596"/>
        <w:gridCol w:w="2453"/>
        <w:gridCol w:w="4190"/>
      </w:tblGrid>
      <w:tr w14:paraId="68413DA6">
        <w:tblPrEx>
          <w:tblCellMar>
            <w:top w:w="0" w:type="dxa"/>
            <w:left w:w="108" w:type="dxa"/>
            <w:bottom w:w="0" w:type="dxa"/>
            <w:right w:w="108" w:type="dxa"/>
          </w:tblCellMar>
        </w:tblPrEx>
        <w:trPr>
          <w:trHeight w:val="0" w:hRule="atLeast"/>
          <w:jc w:val="center"/>
        </w:trPr>
        <w:tc>
          <w:tcPr>
            <w:tcW w:w="154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C5F4AEB">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层级</w:t>
            </w:r>
          </w:p>
        </w:tc>
        <w:tc>
          <w:tcPr>
            <w:tcW w:w="159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BE335A9">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部署形态</w:t>
            </w:r>
          </w:p>
        </w:tc>
        <w:tc>
          <w:tcPr>
            <w:tcW w:w="245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B165037">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核心职责</w:t>
            </w:r>
          </w:p>
        </w:tc>
        <w:tc>
          <w:tcPr>
            <w:tcW w:w="41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7CDAFA6">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关键组件</w:t>
            </w:r>
          </w:p>
        </w:tc>
      </w:tr>
      <w:tr w14:paraId="173368F5">
        <w:tblPrEx>
          <w:tblCellMar>
            <w:top w:w="0" w:type="dxa"/>
            <w:left w:w="108" w:type="dxa"/>
            <w:bottom w:w="0" w:type="dxa"/>
            <w:right w:w="108" w:type="dxa"/>
          </w:tblCellMar>
        </w:tblPrEx>
        <w:trPr>
          <w:trHeight w:val="0" w:hRule="atLeast"/>
          <w:jc w:val="center"/>
        </w:trPr>
        <w:tc>
          <w:tcPr>
            <w:tcW w:w="15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98DD86">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端层（感知执行层）</w:t>
            </w:r>
          </w:p>
        </w:tc>
        <w:tc>
          <w:tcPr>
            <w:tcW w:w="15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B46484">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园区现场</w:t>
            </w:r>
          </w:p>
        </w:tc>
        <w:tc>
          <w:tcPr>
            <w:tcW w:w="24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5647FF">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能源介质与工艺参数物理量采集、设备状态感知与调控执行</w:t>
            </w:r>
          </w:p>
        </w:tc>
        <w:tc>
          <w:tcPr>
            <w:tcW w:w="41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C83D5B">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数字电表、涡街/孔板流量计、温度压力变送器、智能仪表、变频器、储能 BMS</w:t>
            </w:r>
          </w:p>
        </w:tc>
      </w:tr>
      <w:tr w14:paraId="245C57AC">
        <w:tblPrEx>
          <w:tblCellMar>
            <w:top w:w="0" w:type="dxa"/>
            <w:left w:w="108" w:type="dxa"/>
            <w:bottom w:w="0" w:type="dxa"/>
            <w:right w:w="108" w:type="dxa"/>
          </w:tblCellMar>
        </w:tblPrEx>
        <w:trPr>
          <w:trHeight w:val="0" w:hRule="atLeast"/>
          <w:jc w:val="center"/>
        </w:trPr>
        <w:tc>
          <w:tcPr>
            <w:tcW w:w="15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802441">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边层（边缘计算层）</w:t>
            </w:r>
          </w:p>
        </w:tc>
        <w:tc>
          <w:tcPr>
            <w:tcW w:w="15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0B34CD">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园区机房/车间</w:t>
            </w:r>
          </w:p>
        </w:tc>
        <w:tc>
          <w:tcPr>
            <w:tcW w:w="245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AAF333">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协议转换、边缘计算、断点续传、本地闭环控制与告警预判</w:t>
            </w:r>
          </w:p>
        </w:tc>
        <w:tc>
          <w:tcPr>
            <w:tcW w:w="41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673089">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边缘调控一体机、IoT 采集网关、协议适配引擎（Modbus-TCP / MQTT / OPC-UA）、本地 SQLite 缓存</w:t>
            </w:r>
          </w:p>
        </w:tc>
      </w:tr>
      <w:tr w14:paraId="5DCCD43B">
        <w:tblPrEx>
          <w:tblCellMar>
            <w:top w:w="0" w:type="dxa"/>
            <w:left w:w="108" w:type="dxa"/>
            <w:bottom w:w="0" w:type="dxa"/>
            <w:right w:w="108" w:type="dxa"/>
          </w:tblCellMar>
        </w:tblPrEx>
        <w:trPr>
          <w:trHeight w:val="0" w:hRule="atLeast"/>
          <w:jc w:val="center"/>
        </w:trPr>
        <w:tc>
          <w:tcPr>
            <w:tcW w:w="15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BFA74E">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云层（平台应用层）</w:t>
            </w:r>
          </w:p>
        </w:tc>
        <w:tc>
          <w:tcPr>
            <w:tcW w:w="15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6B827CC">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集团私有云</w:t>
            </w:r>
          </w:p>
        </w:tc>
        <w:tc>
          <w:tcPr>
            <w:tcW w:w="24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CD27E4">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时序数据存储、指标核算、业务应用、跨域协同与对报告输出</w:t>
            </w:r>
          </w:p>
        </w:tc>
        <w:tc>
          <w:tcPr>
            <w:tcW w:w="41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485450">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时序数仓（TDengine 3.x）、业务主库（PostgreSQL）、指标计算引擎、双中心应用集群</w:t>
            </w:r>
          </w:p>
        </w:tc>
      </w:tr>
    </w:tbl>
    <w:p w14:paraId="065DF3F5">
      <w:pPr>
        <w:spacing w:after="60"/>
        <w:rPr>
          <w:rFonts w:hint="eastAsia" w:ascii="宋体" w:hAnsi="宋体" w:eastAsia="宋体" w:cs="宋体"/>
          <w:i w:val="0"/>
          <w:iCs w:val="0"/>
          <w:sz w:val="24"/>
          <w:szCs w:val="24"/>
        </w:rPr>
      </w:pPr>
    </w:p>
    <w:p w14:paraId="7B48DB1C">
      <w:pPr>
        <w:pStyle w:val="5"/>
        <w:widowControl/>
        <w:numPr>
          <w:ilvl w:val="0"/>
          <w:numId w:val="13"/>
        </w:numPr>
        <w:ind w:left="0" w:leftChars="0" w:firstLine="0" w:firstLineChars="0"/>
        <w:outlineLvl w:val="1"/>
        <w:rPr>
          <w:rFonts w:eastAsia="黑体"/>
          <w:b w:val="0"/>
          <w:bCs w:val="0"/>
          <w:sz w:val="30"/>
          <w:szCs w:val="24"/>
        </w:rPr>
      </w:pPr>
      <w:bookmarkStart w:id="7" w:name="_Toc11116"/>
      <w:r>
        <w:rPr>
          <w:rFonts w:ascii="Times New Roman" w:hAnsi="Times New Roman" w:eastAsia="黑体" w:cs="Times New Roman"/>
          <w:b w:val="0"/>
          <w:bCs w:val="0"/>
          <w:sz w:val="30"/>
          <w:szCs w:val="24"/>
        </w:rPr>
        <w:t>双中心定位与协同</w:t>
      </w:r>
      <w:bookmarkEnd w:id="7"/>
    </w:p>
    <w:p w14:paraId="1042B3C7">
      <w:pPr>
        <w:pStyle w:val="19"/>
        <w:widowControl/>
        <w:numPr>
          <w:ilvl w:val="0"/>
          <w:numId w:val="1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零碳园区集控中心</w:t>
      </w:r>
      <w:r>
        <w:rPr>
          <w:rFonts w:ascii="Times New Roman" w:hAnsi="Times New Roman" w:eastAsia="宋体" w:cs="Times New Roman"/>
          <w:i w:val="0"/>
          <w:color w:val="1F2937"/>
          <w:sz w:val="24"/>
          <w:szCs w:val="24"/>
        </w:rPr>
        <w:t>：面向"组织—能源—碳排放"的运行态管控，承担集团 18 园区能碳数据的统一采集、指标核算、对标分析与零碳评价，是集团能碳运行"驾驶舱"。</w:t>
      </w:r>
    </w:p>
    <w:p w14:paraId="3D146E8C">
      <w:pPr>
        <w:pStyle w:val="19"/>
        <w:widowControl/>
        <w:numPr>
          <w:ilvl w:val="0"/>
          <w:numId w:val="1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产品碳足迹集采中心</w:t>
      </w:r>
      <w:r>
        <w:rPr>
          <w:rFonts w:ascii="Times New Roman" w:hAnsi="Times New Roman" w:eastAsia="宋体" w:cs="Times New Roman"/>
          <w:i w:val="0"/>
          <w:color w:val="1F2937"/>
          <w:sz w:val="24"/>
          <w:szCs w:val="24"/>
        </w:rPr>
        <w:t>：面向"物料—工序—产品"的核算态管控，承担产品全生命周期 LCA 建模、因子匹配、认证签发与 CBAM 申报，是集团绿色贸易合规"通行证"。</w:t>
      </w:r>
    </w:p>
    <w:p w14:paraId="158CBB5E">
      <w:pPr>
        <w:pStyle w:val="19"/>
        <w:widowControl/>
        <w:numPr>
          <w:ilvl w:val="0"/>
          <w:numId w:val="1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协同赋能机制</w:t>
      </w:r>
      <w:r>
        <w:rPr>
          <w:rFonts w:ascii="Times New Roman" w:hAnsi="Times New Roman" w:eastAsia="宋体" w:cs="Times New Roman"/>
          <w:i w:val="0"/>
          <w:color w:val="1F2937"/>
          <w:sz w:val="24"/>
          <w:szCs w:val="24"/>
        </w:rPr>
        <w:t>：集控中心的能耗与工序实测数据是集采中心 LCA 制造加工阶段的核心输入；集采中心的单位产品碳足迹结果回流集控中心，作为零碳工厂自评估与对标管理的关键指标，形成"运行态数据反哺核算态模型、核算态结果约束运行态改进"的双向闭环。</w:t>
      </w:r>
    </w:p>
    <w:p w14:paraId="2464998B">
      <w:pPr>
        <w:pStyle w:val="4"/>
        <w:numPr>
          <w:ilvl w:val="0"/>
          <w:numId w:val="8"/>
        </w:numPr>
        <w:topLinePunct w:val="0"/>
        <w:ind w:left="0" w:leftChars="0" w:firstLine="0" w:firstLineChars="0"/>
        <w:outlineLvl w:val="0"/>
        <w:rPr>
          <w:rFonts w:hint="eastAsia" w:eastAsia="黑体"/>
          <w:b w:val="0"/>
          <w:bCs w:val="0"/>
          <w:sz w:val="30"/>
          <w:szCs w:val="32"/>
        </w:rPr>
      </w:pPr>
      <w:bookmarkStart w:id="8" w:name="_Toc23087"/>
      <w:r>
        <w:rPr>
          <w:rFonts w:ascii="Times New Roman" w:hAnsi="Times New Roman" w:eastAsia="黑体" w:cs="Times New Roman"/>
          <w:b w:val="0"/>
          <w:bCs w:val="0"/>
          <w:sz w:val="30"/>
          <w:szCs w:val="32"/>
        </w:rPr>
        <w:t>角色画像与权限边界</w:t>
      </w:r>
      <w:bookmarkEnd w:id="8"/>
    </w:p>
    <w:tbl>
      <w:tblPr>
        <w:tblStyle w:val="38"/>
        <w:tblW w:w="10096" w:type="dxa"/>
        <w:jc w:val="center"/>
        <w:tblLayout w:type="autofit"/>
        <w:tblCellMar>
          <w:top w:w="0" w:type="dxa"/>
          <w:left w:w="108" w:type="dxa"/>
          <w:bottom w:w="0" w:type="dxa"/>
          <w:right w:w="108" w:type="dxa"/>
        </w:tblCellMar>
      </w:tblPr>
      <w:tblGrid>
        <w:gridCol w:w="817"/>
        <w:gridCol w:w="1265"/>
        <w:gridCol w:w="1886"/>
        <w:gridCol w:w="3096"/>
        <w:gridCol w:w="3032"/>
      </w:tblGrid>
      <w:tr w14:paraId="495E0E11">
        <w:tblPrEx>
          <w:tblCellMar>
            <w:top w:w="0" w:type="dxa"/>
            <w:left w:w="108" w:type="dxa"/>
            <w:bottom w:w="0" w:type="dxa"/>
            <w:right w:w="108" w:type="dxa"/>
          </w:tblCellMar>
        </w:tblPrEx>
        <w:trPr>
          <w:trHeight w:val="0" w:hRule="atLeast"/>
          <w:tblHeade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044AB85">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编号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F86210C">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角色名称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B866AA9">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代表岗位</w:t>
            </w:r>
          </w:p>
        </w:tc>
        <w:tc>
          <w:tcPr>
            <w:tcW w:w="309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C6FEE25">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核心业务诉求</w:t>
            </w:r>
          </w:p>
        </w:tc>
        <w:tc>
          <w:tcPr>
            <w:tcW w:w="303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84EAFE1">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系统权限边界</w:t>
            </w:r>
          </w:p>
        </w:tc>
      </w:tr>
      <w:tr w14:paraId="192EDA35">
        <w:tblPrEx>
          <w:tblCellMar>
            <w:top w:w="0" w:type="dxa"/>
            <w:left w:w="108" w:type="dxa"/>
            <w:bottom w:w="0" w:type="dxa"/>
            <w:right w:w="108" w:type="dxa"/>
          </w:tblCellMar>
        </w:tblPrEx>
        <w:trPr>
          <w:trHeight w:val="0" w:hRule="atLeast"/>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6D03C8">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2BAD74">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集团决策层</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324F73">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董事长/分管副总裁</w:t>
            </w:r>
          </w:p>
        </w:tc>
        <w:tc>
          <w:tcPr>
            <w:tcW w:w="30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3D4DB1">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掌控全集团综合能耗趋势与国际碳关税合规态势</w:t>
            </w:r>
          </w:p>
        </w:tc>
        <w:tc>
          <w:tcPr>
            <w:tcW w:w="30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BA9D3F">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全系统只读大盘、战略批示、特批反冲</w:t>
            </w:r>
          </w:p>
        </w:tc>
      </w:tr>
      <w:tr w14:paraId="039A1B12">
        <w:tblPrEx>
          <w:tblCellMar>
            <w:top w:w="0" w:type="dxa"/>
            <w:left w:w="108" w:type="dxa"/>
            <w:bottom w:w="0" w:type="dxa"/>
            <w:right w:w="108" w:type="dxa"/>
          </w:tblCellMar>
        </w:tblPrEx>
        <w:trPr>
          <w:trHeight w:val="0" w:hRule="atLeast"/>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2E0C00">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08CA10">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园区能碳专员</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215FF3">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各基地动力处长/能源主管</w:t>
            </w:r>
          </w:p>
        </w:tc>
        <w:tc>
          <w:tcPr>
            <w:tcW w:w="30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5173AA">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穿透式排查工序用能跑冒滴漏，错峰用电降本</w:t>
            </w:r>
          </w:p>
        </w:tc>
        <w:tc>
          <w:tcPr>
            <w:tcW w:w="30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AA8496">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所辖基地读写与全量导出</w:t>
            </w:r>
          </w:p>
        </w:tc>
      </w:tr>
      <w:tr w14:paraId="2E721EFB">
        <w:tblPrEx>
          <w:tblCellMar>
            <w:top w:w="0" w:type="dxa"/>
            <w:left w:w="108" w:type="dxa"/>
            <w:bottom w:w="0" w:type="dxa"/>
            <w:right w:w="108" w:type="dxa"/>
          </w:tblCellMar>
        </w:tblPrEx>
        <w:trPr>
          <w:trHeight w:val="0" w:hRule="atLeast"/>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554AC0">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6F8AAF">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车间填报员</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82615A">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车间统计员/动力值班员</w:t>
            </w:r>
          </w:p>
        </w:tc>
        <w:tc>
          <w:tcPr>
            <w:tcW w:w="30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CFF5E8">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高密快速录入离线产量、能耗、相册与大事记</w:t>
            </w:r>
          </w:p>
        </w:tc>
        <w:tc>
          <w:tcPr>
            <w:tcW w:w="30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B462FC">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数据表录入/修改/纠错</w:t>
            </w:r>
          </w:p>
        </w:tc>
      </w:tr>
      <w:tr w14:paraId="39F5DAB6">
        <w:tblPrEx>
          <w:tblCellMar>
            <w:top w:w="0" w:type="dxa"/>
            <w:left w:w="108" w:type="dxa"/>
            <w:bottom w:w="0" w:type="dxa"/>
            <w:right w:w="108" w:type="dxa"/>
          </w:tblCellMar>
        </w:tblPrEx>
        <w:trPr>
          <w:trHeight w:val="0" w:hRule="atLeast"/>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502A0A">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1A25CD">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碳核算工程师</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A1D0C1">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碳资产部/产品技术部</w:t>
            </w:r>
          </w:p>
        </w:tc>
        <w:tc>
          <w:tcPr>
            <w:tcW w:w="30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7F67A2">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展开产品 BOM 树，匹配本土实测因子，导出报告</w:t>
            </w:r>
          </w:p>
        </w:tc>
        <w:tc>
          <w:tcPr>
            <w:tcW w:w="30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266099">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建模、因子库、碳标签</w:t>
            </w:r>
          </w:p>
        </w:tc>
      </w:tr>
      <w:tr w14:paraId="75A5F1F0">
        <w:tblPrEx>
          <w:tblCellMar>
            <w:top w:w="0" w:type="dxa"/>
            <w:left w:w="108" w:type="dxa"/>
            <w:bottom w:w="0" w:type="dxa"/>
            <w:right w:w="108" w:type="dxa"/>
          </w:tblCellMar>
        </w:tblPrEx>
        <w:trPr>
          <w:trHeight w:val="0" w:hRule="atLeast"/>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14967F">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9D8380">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报关与关税专家</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9B2DF9">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国际贸易部/关务岗</w:t>
            </w:r>
          </w:p>
        </w:tc>
        <w:tc>
          <w:tcPr>
            <w:tcW w:w="30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C32B9F">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测算 CBAM 碳关税、生成合规申报包</w:t>
            </w:r>
          </w:p>
        </w:tc>
        <w:tc>
          <w:tcPr>
            <w:tcW w:w="30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376AE7">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申报、税号白名单、申报包导出</w:t>
            </w:r>
          </w:p>
        </w:tc>
      </w:tr>
      <w:tr w14:paraId="2A6D16A4">
        <w:tblPrEx>
          <w:tblCellMar>
            <w:top w:w="0" w:type="dxa"/>
            <w:left w:w="108" w:type="dxa"/>
            <w:bottom w:w="0" w:type="dxa"/>
            <w:right w:w="108" w:type="dxa"/>
          </w:tblCellMar>
        </w:tblPrEx>
        <w:trPr>
          <w:trHeight w:val="0" w:hRule="atLeast"/>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5123B5">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P6</w:t>
            </w:r>
          </w:p>
        </w:tc>
        <w:tc>
          <w:tcPr>
            <w:tcW w:w="12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6C5F22">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外部独立审计机构</w:t>
            </w:r>
          </w:p>
        </w:tc>
        <w:tc>
          <w:tcPr>
            <w:tcW w:w="188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0CA1DF">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SGS / TÜV 南德 / 中国方圆</w:t>
            </w:r>
          </w:p>
        </w:tc>
        <w:tc>
          <w:tcPr>
            <w:tcW w:w="30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6ADCA0">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在线核验碳足迹证据链与原始凭证</w:t>
            </w:r>
          </w:p>
        </w:tc>
        <w:tc>
          <w:tcPr>
            <w:tcW w:w="30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5001007">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只读沙箱：指定报告与凭证原件，禁止导出全量</w:t>
            </w:r>
          </w:p>
        </w:tc>
      </w:tr>
    </w:tbl>
    <w:p w14:paraId="50A7B55E">
      <w:pPr>
        <w:spacing w:after="60"/>
        <w:rPr>
          <w:rFonts w:hint="eastAsia" w:ascii="宋体" w:hAnsi="宋体" w:eastAsia="宋体" w:cs="宋体"/>
          <w:i w:val="0"/>
          <w:iCs w:val="0"/>
          <w:sz w:val="24"/>
          <w:szCs w:val="24"/>
        </w:rPr>
      </w:pPr>
    </w:p>
    <w:p w14:paraId="4CD44814">
      <w:pPr>
        <w:spacing w:after="60"/>
        <w:rPr>
          <w:rFonts w:hint="eastAsia" w:ascii="宋体" w:hAnsi="宋体" w:eastAsia="宋体" w:cs="宋体"/>
          <w:i w:val="0"/>
          <w:iCs w:val="0"/>
          <w:sz w:val="24"/>
          <w:szCs w:val="24"/>
        </w:rPr>
      </w:pPr>
    </w:p>
    <w:p w14:paraId="13102C39">
      <w:pPr>
        <w:spacing w:after="60"/>
        <w:rPr>
          <w:rFonts w:hint="eastAsia" w:ascii="宋体" w:hAnsi="宋体" w:eastAsia="宋体" w:cs="宋体"/>
          <w:i w:val="0"/>
          <w:iCs w:val="0"/>
          <w:sz w:val="24"/>
          <w:szCs w:val="24"/>
        </w:rPr>
      </w:pPr>
    </w:p>
    <w:p w14:paraId="0E5D0A89">
      <w:pPr>
        <w:spacing w:after="60"/>
        <w:rPr>
          <w:rFonts w:hint="eastAsia" w:ascii="宋体" w:hAnsi="宋体" w:eastAsia="宋体" w:cs="宋体"/>
          <w:i w:val="0"/>
          <w:iCs w:val="0"/>
          <w:sz w:val="24"/>
          <w:szCs w:val="24"/>
        </w:rPr>
      </w:pPr>
    </w:p>
    <w:p w14:paraId="5560C252">
      <w:pPr>
        <w:pStyle w:val="4"/>
        <w:numPr>
          <w:ilvl w:val="0"/>
          <w:numId w:val="8"/>
        </w:numPr>
        <w:topLinePunct w:val="0"/>
        <w:ind w:left="0" w:leftChars="0" w:firstLine="0" w:firstLineChars="0"/>
        <w:outlineLvl w:val="0"/>
        <w:rPr>
          <w:rFonts w:hint="eastAsia" w:eastAsia="黑体"/>
          <w:b w:val="0"/>
          <w:bCs w:val="0"/>
          <w:sz w:val="30"/>
          <w:szCs w:val="32"/>
        </w:rPr>
      </w:pPr>
      <w:bookmarkStart w:id="9" w:name="_Toc15776"/>
      <w:r>
        <w:rPr>
          <w:rFonts w:ascii="Times New Roman" w:hAnsi="Times New Roman" w:eastAsia="黑体" w:cs="Times New Roman"/>
          <w:b w:val="0"/>
          <w:bCs w:val="0"/>
          <w:sz w:val="30"/>
          <w:szCs w:val="32"/>
        </w:rPr>
        <w:t>文档编制范式：统一八段式模块模板</w:t>
      </w:r>
      <w:bookmarkEnd w:id="9"/>
    </w:p>
    <w:tbl>
      <w:tblPr>
        <w:tblStyle w:val="38"/>
        <w:tblW w:w="9530" w:type="dxa"/>
        <w:jc w:val="center"/>
        <w:tblLayout w:type="autofit"/>
        <w:tblCellMar>
          <w:top w:w="0" w:type="dxa"/>
          <w:left w:w="108" w:type="dxa"/>
          <w:bottom w:w="0" w:type="dxa"/>
          <w:right w:w="108" w:type="dxa"/>
        </w:tblCellMar>
      </w:tblPr>
      <w:tblGrid>
        <w:gridCol w:w="1027"/>
        <w:gridCol w:w="2316"/>
        <w:gridCol w:w="3934"/>
        <w:gridCol w:w="2253"/>
      </w:tblGrid>
      <w:tr w14:paraId="183A7D12">
        <w:tblPrEx>
          <w:tblCellMar>
            <w:top w:w="0" w:type="dxa"/>
            <w:left w:w="108" w:type="dxa"/>
            <w:bottom w:w="0" w:type="dxa"/>
            <w:right w:w="108" w:type="dxa"/>
          </w:tblCellMar>
        </w:tblPrEx>
        <w:trPr>
          <w:trHeight w:val="0" w:hRule="atLeast"/>
          <w:jc w:val="center"/>
        </w:trPr>
        <w:tc>
          <w:tcPr>
            <w:tcW w:w="102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D046D29">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段序</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A56BAB4">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段落名称</w:t>
            </w:r>
          </w:p>
        </w:tc>
        <w:tc>
          <w:tcPr>
            <w:tcW w:w="393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BAADD0B">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编制要求</w:t>
            </w:r>
          </w:p>
        </w:tc>
        <w:tc>
          <w:tcPr>
            <w:tcW w:w="225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6CF50CB">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缺失判定</w:t>
            </w:r>
          </w:p>
        </w:tc>
      </w:tr>
      <w:tr w14:paraId="7FDBD26E">
        <w:tblPrEx>
          <w:tblCellMar>
            <w:top w:w="0" w:type="dxa"/>
            <w:left w:w="108" w:type="dxa"/>
            <w:bottom w:w="0" w:type="dxa"/>
            <w:right w:w="108" w:type="dxa"/>
          </w:tblCellMar>
        </w:tblPrEx>
        <w:trPr>
          <w:trHeight w:val="0" w:hRule="atLeast"/>
          <w:jc w:val="center"/>
        </w:trPr>
        <w:tc>
          <w:tcPr>
            <w:tcW w:w="10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ABB610">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8B298B">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定位与架构角色</w:t>
            </w:r>
          </w:p>
        </w:tc>
        <w:tc>
          <w:tcPr>
            <w:tcW w:w="39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304ACD">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明确模块功能定位、承载角色 Persona、页面路由/入口、上下游依赖与输出物</w:t>
            </w:r>
          </w:p>
        </w:tc>
        <w:tc>
          <w:tcPr>
            <w:tcW w:w="22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89981C">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缺失即视为模块不完整，不得进入研发准入</w:t>
            </w:r>
          </w:p>
        </w:tc>
      </w:tr>
      <w:tr w14:paraId="246F9DB3">
        <w:tblPrEx>
          <w:tblCellMar>
            <w:top w:w="0" w:type="dxa"/>
            <w:left w:w="108" w:type="dxa"/>
            <w:bottom w:w="0" w:type="dxa"/>
            <w:right w:w="108" w:type="dxa"/>
          </w:tblCellMar>
        </w:tblPrEx>
        <w:trPr>
          <w:trHeight w:val="0" w:hRule="atLeast"/>
          <w:jc w:val="center"/>
        </w:trPr>
        <w:tc>
          <w:tcPr>
            <w:tcW w:w="10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9A74BD">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C4C441">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业务场景与用户故事</w:t>
            </w:r>
          </w:p>
        </w:tc>
        <w:tc>
          <w:tcPr>
            <w:tcW w:w="39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0BF45D">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业务场景一句话描述 + INVEST 合规用户故事（As a / I want / So that）</w:t>
            </w:r>
          </w:p>
        </w:tc>
        <w:tc>
          <w:tcPr>
            <w:tcW w:w="225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232BCF5">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缺失用户故事视为需求来源不可追溯</w:t>
            </w:r>
          </w:p>
        </w:tc>
      </w:tr>
      <w:tr w14:paraId="2B6C0941">
        <w:tblPrEx>
          <w:tblCellMar>
            <w:top w:w="0" w:type="dxa"/>
            <w:left w:w="108" w:type="dxa"/>
            <w:bottom w:w="0" w:type="dxa"/>
            <w:right w:w="108" w:type="dxa"/>
          </w:tblCellMar>
        </w:tblPrEx>
        <w:trPr>
          <w:trHeight w:val="0" w:hRule="atLeast"/>
          <w:jc w:val="center"/>
        </w:trPr>
        <w:tc>
          <w:tcPr>
            <w:tcW w:w="10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5BB87D">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393437">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功能规格与交互契约</w:t>
            </w:r>
          </w:p>
        </w:tc>
        <w:tc>
          <w:tcPr>
            <w:tcW w:w="39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DD16EA">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页面布局分区说明 + 交互规则逐条枚举，含筛选器、联动、钻取与刷新策略</w:t>
            </w:r>
          </w:p>
        </w:tc>
        <w:tc>
          <w:tcPr>
            <w:tcW w:w="22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034C9F">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缺失交互契约视为不可开发</w:t>
            </w:r>
          </w:p>
        </w:tc>
      </w:tr>
      <w:tr w14:paraId="22C7F418">
        <w:tblPrEx>
          <w:tblCellMar>
            <w:top w:w="0" w:type="dxa"/>
            <w:left w:w="108" w:type="dxa"/>
            <w:bottom w:w="0" w:type="dxa"/>
            <w:right w:w="108" w:type="dxa"/>
          </w:tblCellMar>
        </w:tblPrEx>
        <w:trPr>
          <w:trHeight w:val="0" w:hRule="atLeast"/>
          <w:jc w:val="center"/>
        </w:trPr>
        <w:tc>
          <w:tcPr>
            <w:tcW w:w="10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02DE11">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D2715A2">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页面字段字典与数据契约</w:t>
            </w:r>
          </w:p>
        </w:tc>
        <w:tc>
          <w:tcPr>
            <w:tcW w:w="39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04C985">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字段级表格：序号 / 字段中文名称 / 数据类型 / 工程单位 / 校验与约束规则</w:t>
            </w:r>
          </w:p>
        </w:tc>
        <w:tc>
          <w:tcPr>
            <w:tcW w:w="225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CBFD27">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字段无校验规则视为不可测试</w:t>
            </w:r>
          </w:p>
        </w:tc>
      </w:tr>
      <w:tr w14:paraId="5280F496">
        <w:tblPrEx>
          <w:tblCellMar>
            <w:top w:w="0" w:type="dxa"/>
            <w:left w:w="108" w:type="dxa"/>
            <w:bottom w:w="0" w:type="dxa"/>
            <w:right w:w="108" w:type="dxa"/>
          </w:tblCellMar>
        </w:tblPrEx>
        <w:trPr>
          <w:trHeight w:val="0" w:hRule="atLeast"/>
          <w:jc w:val="center"/>
        </w:trPr>
        <w:tc>
          <w:tcPr>
            <w:tcW w:w="10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FCD0AE">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0F740C">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核心数学模型与算法公式</w:t>
            </w:r>
          </w:p>
        </w:tc>
        <w:tc>
          <w:tcPr>
            <w:tcW w:w="39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BE051A">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公式卡片：核算公式 + 逻辑说明 + 变量定义与取值约定</w:t>
            </w:r>
          </w:p>
        </w:tc>
        <w:tc>
          <w:tcPr>
            <w:tcW w:w="22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25A730">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涉及计算而无公式视为不可验收</w:t>
            </w:r>
          </w:p>
        </w:tc>
      </w:tr>
      <w:tr w14:paraId="78F6B4A3">
        <w:tblPrEx>
          <w:tblCellMar>
            <w:top w:w="0" w:type="dxa"/>
            <w:left w:w="108" w:type="dxa"/>
            <w:bottom w:w="0" w:type="dxa"/>
            <w:right w:w="108" w:type="dxa"/>
          </w:tblCellMar>
        </w:tblPrEx>
        <w:trPr>
          <w:trHeight w:val="0" w:hRule="atLeast"/>
          <w:jc w:val="center"/>
        </w:trPr>
        <w:tc>
          <w:tcPr>
            <w:tcW w:w="10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25CA58">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1442CB">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展示、对标与判定口径</w:t>
            </w:r>
          </w:p>
        </w:tc>
        <w:tc>
          <w:tcPr>
            <w:tcW w:w="39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CB3F5C">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指标粒度、对比口径（同比/环比）、三色判定阈值、排名与达标规则</w:t>
            </w:r>
          </w:p>
        </w:tc>
        <w:tc>
          <w:tcPr>
            <w:tcW w:w="225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4DCE3E0">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缺失判定口径视为结果不可解释</w:t>
            </w:r>
          </w:p>
        </w:tc>
      </w:tr>
      <w:tr w14:paraId="51D27E2F">
        <w:tblPrEx>
          <w:tblCellMar>
            <w:top w:w="0" w:type="dxa"/>
            <w:left w:w="108" w:type="dxa"/>
            <w:bottom w:w="0" w:type="dxa"/>
            <w:right w:w="108" w:type="dxa"/>
          </w:tblCellMar>
        </w:tblPrEx>
        <w:trPr>
          <w:trHeight w:val="0" w:hRule="atLeast"/>
          <w:jc w:val="center"/>
        </w:trPr>
        <w:tc>
          <w:tcPr>
            <w:tcW w:w="10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BF1CB5">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33C1F5">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边界条件、异常处理与防错规则</w:t>
            </w:r>
          </w:p>
        </w:tc>
        <w:tc>
          <w:tcPr>
            <w:tcW w:w="39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6E9415">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除零、空值、越权、超时、并发、离线等异常的标准错误码与界面表现</w:t>
            </w:r>
          </w:p>
        </w:tc>
        <w:tc>
          <w:tcPr>
            <w:tcW w:w="22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038284">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缺失异常规则视为生产事故隐患</w:t>
            </w:r>
          </w:p>
        </w:tc>
      </w:tr>
      <w:tr w14:paraId="182582CC">
        <w:tblPrEx>
          <w:tblCellMar>
            <w:top w:w="0" w:type="dxa"/>
            <w:left w:w="108" w:type="dxa"/>
            <w:bottom w:w="0" w:type="dxa"/>
            <w:right w:w="108" w:type="dxa"/>
          </w:tblCellMar>
        </w:tblPrEx>
        <w:trPr>
          <w:trHeight w:val="0" w:hRule="atLeast"/>
          <w:jc w:val="center"/>
        </w:trPr>
        <w:tc>
          <w:tcPr>
            <w:tcW w:w="10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78744D">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3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DA37B9">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QA 自动化验收准则（Gherkin BDD）</w:t>
            </w:r>
          </w:p>
        </w:tc>
        <w:tc>
          <w:tcPr>
            <w:tcW w:w="39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818F19">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Given / When / Then 三段式可自动化执行的验收用例</w:t>
            </w:r>
          </w:p>
        </w:tc>
        <w:tc>
          <w:tcPr>
            <w:tcW w:w="225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3DD6D4">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缺失验收准则不得进入测试准入</w:t>
            </w:r>
          </w:p>
        </w:tc>
      </w:tr>
    </w:tbl>
    <w:p w14:paraId="4808555E">
      <w:pPr>
        <w:rPr>
          <w:rFonts w:hint="eastAsia" w:ascii="宋体" w:hAnsi="宋体" w:eastAsia="宋体" w:cs="宋体"/>
          <w:b/>
          <w:i w:val="0"/>
          <w:iCs w:val="0"/>
          <w:color w:val="1E3A8A"/>
          <w:sz w:val="24"/>
          <w:szCs w:val="24"/>
        </w:rPr>
      </w:pPr>
      <w:r>
        <w:rPr>
          <w:rFonts w:hint="eastAsia" w:ascii="宋体" w:hAnsi="宋体" w:eastAsia="宋体" w:cs="宋体"/>
          <w:b/>
          <w:i w:val="0"/>
          <w:iCs w:val="0"/>
          <w:color w:val="1E3A8A"/>
          <w:sz w:val="24"/>
          <w:szCs w:val="24"/>
        </w:rPr>
        <w:br w:type="page"/>
      </w:r>
    </w:p>
    <w:p w14:paraId="123E3550">
      <w:pPr>
        <w:pStyle w:val="3"/>
        <w:widowControl/>
        <w:numPr>
          <w:ilvl w:val="0"/>
          <w:numId w:val="7"/>
        </w:numPr>
        <w:ind w:left="0" w:leftChars="0" w:firstLine="0" w:firstLineChars="0"/>
        <w:rPr>
          <w:rFonts w:eastAsia="黑体"/>
          <w:b w:val="0"/>
          <w:bCs w:val="0"/>
          <w:sz w:val="32"/>
          <w:szCs w:val="44"/>
        </w:rPr>
      </w:pPr>
      <w:bookmarkStart w:id="10" w:name="_Toc9295"/>
      <w:r>
        <w:rPr>
          <w:rFonts w:ascii="Times New Roman" w:hAnsi="Times New Roman" w:eastAsia="黑体" w:cs="Times New Roman"/>
          <w:b w:val="0"/>
          <w:bCs w:val="0"/>
          <w:sz w:val="32"/>
          <w:szCs w:val="44"/>
        </w:rPr>
        <w:t>零碳园区集控中心功能需求规格</w:t>
      </w:r>
      <w:bookmarkEnd w:id="10"/>
    </w:p>
    <w:p w14:paraId="0B06A0C1">
      <w:pPr>
        <w:pStyle w:val="19"/>
        <w:widowControl/>
        <w:ind w:left="0" w:leftChars="0" w:firstLine="0" w:firstLineChars="0"/>
        <w:rPr>
          <w:rFonts w:ascii="Times New Roman" w:hAnsi="Times New Roman" w:eastAsia="宋体" w:cs="Times New Roman"/>
          <w:b w:val="0"/>
          <w:bCs w:val="0"/>
          <w:i w:val="0"/>
          <w:color w:val="1F2937"/>
          <w:sz w:val="24"/>
          <w:szCs w:val="24"/>
        </w:rPr>
      </w:pPr>
      <w:r>
        <w:rPr>
          <w:rFonts w:hint="eastAsia" w:ascii="宋体" w:hAnsi="宋体" w:eastAsia="宋体" w:cs="宋体"/>
          <w:i w:val="0"/>
          <w:iCs w:val="0"/>
        </w:rPr>
        <w:drawing>
          <wp:inline distT="0" distB="0" distL="114300" distR="114300">
            <wp:extent cx="6210300" cy="3079115"/>
            <wp:effectExtent l="0" t="0" r="0" b="698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3"/>
                    <a:stretch>
                      <a:fillRect/>
                    </a:stretch>
                  </pic:blipFill>
                  <pic:spPr>
                    <a:xfrm>
                      <a:off x="0" y="0"/>
                      <a:ext cx="6210300" cy="3079115"/>
                    </a:xfrm>
                    <a:prstGeom prst="rect">
                      <a:avLst/>
                    </a:prstGeom>
                    <a:noFill/>
                    <a:ln>
                      <a:noFill/>
                    </a:ln>
                  </pic:spPr>
                </pic:pic>
              </a:graphicData>
            </a:graphic>
          </wp:inline>
        </w:drawing>
      </w:r>
    </w:p>
    <w:p w14:paraId="21C483D5">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本章严格对应系统切换至【零碳园区集控中心】时的 6 大一级主导航逐层展开，全面覆盖集中监控大屏、集中监管、能耗能效分析、零碳项目评估、统计报表与基础管理六大板块。全章功能权限矩阵见附录 E，验收用例见第十一章，错误码见第五章"标准化错误码字典"。</w:t>
      </w:r>
    </w:p>
    <w:p w14:paraId="0EEEF575">
      <w:pPr>
        <w:pStyle w:val="4"/>
        <w:numPr>
          <w:ilvl w:val="0"/>
          <w:numId w:val="15"/>
        </w:numPr>
        <w:topLinePunct w:val="0"/>
        <w:ind w:left="0" w:leftChars="0" w:firstLine="0" w:firstLineChars="0"/>
        <w:outlineLvl w:val="0"/>
        <w:rPr>
          <w:rFonts w:hint="eastAsia" w:eastAsia="黑体"/>
          <w:b w:val="0"/>
          <w:bCs w:val="0"/>
          <w:sz w:val="30"/>
          <w:szCs w:val="32"/>
        </w:rPr>
      </w:pPr>
      <w:bookmarkStart w:id="11" w:name="_Toc23727"/>
      <w:r>
        <w:rPr>
          <w:rFonts w:ascii="Times New Roman" w:hAnsi="Times New Roman" w:eastAsia="黑体" w:cs="Times New Roman"/>
          <w:b w:val="0"/>
          <w:bCs w:val="0"/>
          <w:sz w:val="30"/>
          <w:szCs w:val="32"/>
        </w:rPr>
        <w:t>集控中心大屏</w:t>
      </w:r>
      <w:bookmarkEnd w:id="11"/>
    </w:p>
    <w:p w14:paraId="6FAAACEE">
      <w:pPr>
        <w:pStyle w:val="5"/>
        <w:numPr>
          <w:ilvl w:val="0"/>
          <w:numId w:val="16"/>
        </w:numPr>
        <w:ind w:left="0" w:leftChars="0" w:firstLine="0" w:firstLineChars="0"/>
        <w:outlineLvl w:val="1"/>
        <w:rPr>
          <w:rFonts w:eastAsia="黑体"/>
          <w:b w:val="0"/>
          <w:bCs w:val="0"/>
          <w:sz w:val="30"/>
          <w:szCs w:val="24"/>
        </w:rPr>
      </w:pPr>
      <w:bookmarkStart w:id="12" w:name="_Toc20473"/>
      <w:r>
        <w:rPr>
          <w:rFonts w:ascii="Times New Roman" w:hAnsi="Times New Roman" w:eastAsia="黑体" w:cs="Times New Roman"/>
          <w:b w:val="0"/>
          <w:bCs w:val="0"/>
          <w:sz w:val="30"/>
          <w:szCs w:val="24"/>
        </w:rPr>
        <w:t>全景环幕大屏 46:9</w:t>
      </w:r>
      <w:bookmarkEnd w:id="12"/>
    </w:p>
    <w:p w14:paraId="0122400A">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eastAsia="zh-CN" w:bidi="ar-SA"/>
        </w:rPr>
      </w:pPr>
      <w:r>
        <w:rPr>
          <w:rFonts w:hint="eastAsia" w:ascii="Times New Roman" w:hAnsi="Times New Roman" w:eastAsia="黑体" w:cs="Times New Roman"/>
          <w:b w:val="0"/>
          <w:bCs/>
          <w:kern w:val="2"/>
          <w:sz w:val="28"/>
          <w:szCs w:val="28"/>
          <w:lang w:eastAsia="zh-CN" w:bidi="ar-SA"/>
        </w:rPr>
        <w:drawing>
          <wp:inline distT="0" distB="0" distL="114300" distR="114300">
            <wp:extent cx="6035040" cy="1131570"/>
            <wp:effectExtent l="0" t="0" r="3810" b="11430"/>
            <wp:docPr id="3" name="图片 3" descr="6547531b2aabc72f6817ed220ea5bd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6547531b2aabc72f6817ed220ea5bdc7"/>
                    <pic:cNvPicPr>
                      <a:picLocks noChangeAspect="1"/>
                    </pic:cNvPicPr>
                  </pic:nvPicPr>
                  <pic:blipFill>
                    <a:blip r:embed="rId14"/>
                    <a:stretch>
                      <a:fillRect/>
                    </a:stretch>
                  </pic:blipFill>
                  <pic:spPr>
                    <a:xfrm>
                      <a:off x="0" y="0"/>
                      <a:ext cx="6035040" cy="1131570"/>
                    </a:xfrm>
                    <a:prstGeom prst="rect">
                      <a:avLst/>
                    </a:prstGeom>
                  </pic:spPr>
                </pic:pic>
              </a:graphicData>
            </a:graphic>
          </wp:inline>
        </w:drawing>
      </w:r>
    </w:p>
    <w:p w14:paraId="378743A9">
      <w:pPr>
        <w:jc w:val="center"/>
        <w:rPr>
          <w:rFonts w:hint="default" w:eastAsia="黑体"/>
          <w:b w:val="0"/>
          <w:bCs/>
          <w:sz w:val="28"/>
          <w:szCs w:val="28"/>
          <w:lang w:val="en-US" w:eastAsia="zh-CN"/>
        </w:rPr>
      </w:pPr>
      <w:r>
        <w:rPr>
          <w:rFonts w:hint="eastAsia" w:eastAsia="黑体"/>
          <w:b w:val="0"/>
          <w:bCs/>
          <w:sz w:val="28"/>
          <w:szCs w:val="28"/>
          <w:lang w:val="en-US" w:eastAsia="zh-CN"/>
        </w:rPr>
        <w:t>集控中心大屏展示</w:t>
      </w:r>
    </w:p>
    <w:p w14:paraId="3ECF291B">
      <w:pPr>
        <w:rPr>
          <w:rFonts w:hint="eastAsia" w:eastAsia="黑体"/>
          <w:b w:val="0"/>
          <w:bCs/>
          <w:sz w:val="28"/>
          <w:szCs w:val="28"/>
          <w:lang w:eastAsia="zh-CN"/>
        </w:rPr>
      </w:pPr>
      <w:r>
        <w:rPr>
          <w:rFonts w:hint="eastAsia" w:eastAsia="黑体"/>
          <w:b w:val="0"/>
          <w:bCs/>
          <w:sz w:val="28"/>
          <w:szCs w:val="28"/>
          <w:lang w:eastAsia="zh-CN"/>
        </w:rPr>
        <w:drawing>
          <wp:inline distT="0" distB="0" distL="114300" distR="114300">
            <wp:extent cx="6094730" cy="884555"/>
            <wp:effectExtent l="0" t="0" r="1270" b="10795"/>
            <wp:docPr id="4" name="图片 4" descr="0bdadf2d4ce88726b5dd957ae0dd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0bdadf2d4ce88726b5dd957ae0dd2024"/>
                    <pic:cNvPicPr>
                      <a:picLocks noChangeAspect="1"/>
                    </pic:cNvPicPr>
                  </pic:nvPicPr>
                  <pic:blipFill>
                    <a:blip r:embed="rId15"/>
                    <a:stretch>
                      <a:fillRect/>
                    </a:stretch>
                  </pic:blipFill>
                  <pic:spPr>
                    <a:xfrm>
                      <a:off x="0" y="0"/>
                      <a:ext cx="6094730" cy="884555"/>
                    </a:xfrm>
                    <a:prstGeom prst="rect">
                      <a:avLst/>
                    </a:prstGeom>
                  </pic:spPr>
                </pic:pic>
              </a:graphicData>
            </a:graphic>
          </wp:inline>
        </w:drawing>
      </w:r>
    </w:p>
    <w:p w14:paraId="3707B6F1">
      <w:pPr>
        <w:jc w:val="center"/>
        <w:rPr>
          <w:rFonts w:hint="default" w:eastAsia="黑体"/>
          <w:b w:val="0"/>
          <w:bCs/>
          <w:sz w:val="28"/>
          <w:szCs w:val="28"/>
          <w:lang w:val="en-US" w:eastAsia="zh-CN"/>
        </w:rPr>
      </w:pPr>
      <w:r>
        <w:rPr>
          <w:rFonts w:hint="eastAsia" w:eastAsia="黑体"/>
          <w:b w:val="0"/>
          <w:bCs/>
          <w:sz w:val="28"/>
          <w:szCs w:val="28"/>
          <w:lang w:val="en-US" w:eastAsia="zh-CN"/>
        </w:rPr>
        <w:t>集采中心大屏展示</w:t>
      </w:r>
    </w:p>
    <w:p w14:paraId="6EBDB885">
      <w:pPr>
        <w:pStyle w:val="6"/>
        <w:numPr>
          <w:ilvl w:val="0"/>
          <w:numId w:val="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3CEDBC1B">
      <w:pPr>
        <w:pStyle w:val="19"/>
        <w:widowControl/>
        <w:numPr>
          <w:ilvl w:val="0"/>
          <w:numId w:val="1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：集团级对外示范与战略汇报窗口，以 46:9 超宽环幕形态宏观通览全集团园区能源大盘、实时功率流、微电网出力与降碳成效。</w:t>
      </w:r>
    </w:p>
    <w:p w14:paraId="384C81F0">
      <w:pPr>
        <w:pStyle w:val="19"/>
        <w:widowControl/>
        <w:numPr>
          <w:ilvl w:val="0"/>
          <w:numId w:val="1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：P1 集团决策层（主视角）；面向省部级领导、全球大客户参观场景。</w:t>
      </w:r>
    </w:p>
    <w:p w14:paraId="55C278F6">
      <w:pPr>
        <w:pStyle w:val="19"/>
        <w:widowControl/>
        <w:numPr>
          <w:ilvl w:val="0"/>
          <w:numId w:val="1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/monitor/screen/panoramic </w:t>
      </w:r>
      <w:r>
        <w:rPr>
          <w:rFonts w:ascii="Times New Roman" w:hAnsi="Times New Roman" w:eastAsia="宋体" w:cs="Times New Roman"/>
          <w:i w:val="0"/>
          <w:color w:val="1F2937"/>
          <w:sz w:val="24"/>
          <w:szCs w:val="24"/>
        </w:rPr>
        <w:t>；适配 46:9 超宽拼接环幕，支持 4K/8K 分辨率自适应缩放。</w:t>
      </w:r>
    </w:p>
    <w:p w14:paraId="5DE42AC1">
      <w:pPr>
        <w:pStyle w:val="19"/>
        <w:widowControl/>
        <w:numPr>
          <w:ilvl w:val="0"/>
          <w:numId w:val="1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：IoT 采集网关遥测流、指标管控核算结果、微电网监测数据、组织架构主数据。</w:t>
      </w:r>
    </w:p>
    <w:p w14:paraId="570C7D2C">
      <w:pPr>
        <w:pStyle w:val="19"/>
        <w:widowControl/>
        <w:numPr>
          <w:ilvl w:val="0"/>
          <w:numId w:val="1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：对外演示态数据快照；全屏轮播切换指令。</w:t>
      </w:r>
    </w:p>
    <w:p w14:paraId="304935FD">
      <w:pPr>
        <w:pStyle w:val="6"/>
        <w:numPr>
          <w:ilvl w:val="0"/>
          <w:numId w:val="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0983E235">
      <w:pPr>
        <w:pStyle w:val="19"/>
        <w:widowControl/>
        <w:numPr>
          <w:ilvl w:val="0"/>
          <w:numId w:val="1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：面向集团董事长、省部级领导及全球大客户参观特变电工指挥大厅时，宏观通览全集团 15 大园区及 21 家实体工厂的能源大盘、实时功率流、微电网出力与降碳成效。</w:t>
      </w:r>
    </w:p>
    <w:p w14:paraId="05114668">
      <w:pPr>
        <w:pStyle w:val="19"/>
        <w:widowControl/>
        <w:numPr>
          <w:ilvl w:val="0"/>
          <w:numId w:val="1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201AA18B">
      <w:pPr>
        <w:pStyle w:val="19"/>
        <w:widowControl/>
        <w:numPr>
          <w:ilvl w:val="0"/>
          <w:numId w:val="1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集团高层决策者 (Persona P1)</w:t>
      </w:r>
      <w:r>
        <w:rPr>
          <w:rFonts w:ascii="Times New Roman" w:hAnsi="Times New Roman" w:eastAsia="宋体" w:cs="Times New Roman"/>
          <w:i w:val="0"/>
          <w:color w:val="1F2937"/>
          <w:sz w:val="24"/>
          <w:szCs w:val="24"/>
        </w:rPr>
        <w:t>，</w:t>
      </w:r>
    </w:p>
    <w:p w14:paraId="689AD6AF">
      <w:pPr>
        <w:pStyle w:val="19"/>
        <w:widowControl/>
        <w:numPr>
          <w:ilvl w:val="0"/>
          <w:numId w:val="1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在集控中心环幕大屏上一屏穿透全集团实时能耗折标总量、万元产值能耗变动、微电网光储充实时出力与全国制造基地空间分布</w:t>
      </w:r>
      <w:r>
        <w:rPr>
          <w:rFonts w:ascii="Times New Roman" w:hAnsi="Times New Roman" w:eastAsia="宋体" w:cs="Times New Roman"/>
          <w:i w:val="0"/>
          <w:color w:val="1F2937"/>
          <w:sz w:val="24"/>
          <w:szCs w:val="24"/>
        </w:rPr>
        <w:t>，</w:t>
      </w:r>
    </w:p>
    <w:p w14:paraId="51948574">
      <w:pPr>
        <w:pStyle w:val="19"/>
        <w:widowControl/>
        <w:numPr>
          <w:ilvl w:val="0"/>
          <w:numId w:val="1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我能掌握集团能碳战略执行进度，对外彰显特变电工世界级绿色智造硬实力</w:t>
      </w:r>
      <w:r>
        <w:rPr>
          <w:rFonts w:ascii="Times New Roman" w:hAnsi="Times New Roman" w:eastAsia="宋体" w:cs="Times New Roman"/>
          <w:i w:val="0"/>
          <w:color w:val="1F2937"/>
          <w:sz w:val="24"/>
          <w:szCs w:val="24"/>
        </w:rPr>
        <w:t>。</w:t>
      </w:r>
    </w:p>
    <w:p w14:paraId="301F7043">
      <w:pPr>
        <w:pStyle w:val="6"/>
        <w:numPr>
          <w:ilvl w:val="0"/>
          <w:numId w:val="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089EAF6A">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三栏式布局流：</w:t>
      </w:r>
    </w:p>
    <w:tbl>
      <w:tblPr>
        <w:tblStyle w:val="38"/>
        <w:tblW w:w="9530" w:type="dxa"/>
        <w:jc w:val="center"/>
        <w:tblLayout w:type="autofit"/>
        <w:tblCellMar>
          <w:top w:w="0" w:type="dxa"/>
          <w:left w:w="108" w:type="dxa"/>
          <w:bottom w:w="0" w:type="dxa"/>
          <w:right w:w="108" w:type="dxa"/>
        </w:tblCellMar>
      </w:tblPr>
      <w:tblGrid>
        <w:gridCol w:w="1555"/>
        <w:gridCol w:w="928"/>
        <w:gridCol w:w="7047"/>
      </w:tblGrid>
      <w:tr w14:paraId="4CCD060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930EBA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分区</w:t>
            </w:r>
          </w:p>
        </w:tc>
        <w:tc>
          <w:tcPr>
            <w:tcW w:w="92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E33B72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占比</w:t>
            </w:r>
          </w:p>
        </w:tc>
        <w:tc>
          <w:tcPr>
            <w:tcW w:w="704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805DFA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核心内容</w:t>
            </w:r>
          </w:p>
        </w:tc>
      </w:tr>
      <w:tr w14:paraId="3096D7A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6F14EC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左侧大盘</w:t>
            </w:r>
          </w:p>
        </w:tc>
        <w:tc>
          <w:tcPr>
            <w:tcW w:w="92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BEEDE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25%</w:t>
            </w:r>
          </w:p>
        </w:tc>
        <w:tc>
          <w:tcPr>
            <w:tcW w:w="704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71A67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集团综合折标能耗总看板、万元产值综合单耗卡片、8 大能源介质消费占比圆环图、24 小时全集团用电负荷连续走势</w:t>
            </w:r>
          </w:p>
        </w:tc>
      </w:tr>
      <w:tr w14:paraId="218FF76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912D3E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中央 3D 数字孪生地图</w:t>
            </w:r>
          </w:p>
        </w:tc>
        <w:tc>
          <w:tcPr>
            <w:tcW w:w="92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F39AC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w:t>
            </w:r>
          </w:p>
        </w:tc>
        <w:tc>
          <w:tcPr>
            <w:tcW w:w="704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8D1FA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Three.js + D3-Geo 3D 浮雕中国立体地图、15 大园区与 21 家生产基地地理航标、5 家主力工厂切片胶囊 Tab</w:t>
            </w:r>
          </w:p>
        </w:tc>
      </w:tr>
      <w:tr w14:paraId="05A873B2">
        <w:tblPrEx>
          <w:tblCellMar>
            <w:top w:w="0" w:type="dxa"/>
            <w:left w:w="108" w:type="dxa"/>
            <w:bottom w:w="0" w:type="dxa"/>
            <w:right w:w="108" w:type="dxa"/>
          </w:tblCellMar>
        </w:tblPrEx>
        <w:trPr>
          <w:jc w:val="center"/>
        </w:trPr>
        <w:tc>
          <w:tcPr>
            <w:tcW w:w="15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469B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右侧微网与告警</w:t>
            </w:r>
          </w:p>
        </w:tc>
        <w:tc>
          <w:tcPr>
            <w:tcW w:w="92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19F8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25%</w:t>
            </w:r>
          </w:p>
        </w:tc>
        <w:tc>
          <w:tcPr>
            <w:tcW w:w="704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492F4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微电网实时出力矩阵、重点工序能效对标看板、实时运行事件流</w:t>
            </w:r>
          </w:p>
        </w:tc>
      </w:tr>
    </w:tbl>
    <w:p w14:paraId="77C84767">
      <w:pPr>
        <w:spacing w:after="60"/>
        <w:rPr>
          <w:rFonts w:hint="eastAsia" w:ascii="宋体" w:hAnsi="宋体" w:eastAsia="宋体" w:cs="宋体"/>
          <w:i w:val="0"/>
          <w:iCs w:val="0"/>
          <w:sz w:val="24"/>
          <w:szCs w:val="24"/>
        </w:rPr>
      </w:pPr>
    </w:p>
    <w:p w14:paraId="06147B9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关键交互规则：</w:t>
      </w:r>
    </w:p>
    <w:p w14:paraId="2074DBA7">
      <w:pPr>
        <w:pStyle w:val="19"/>
        <w:widowControl/>
        <w:numPr>
          <w:ilvl w:val="0"/>
          <w:numId w:val="2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左侧大盘</w:t>
      </w:r>
      <w:r>
        <w:rPr>
          <w:rFonts w:ascii="Times New Roman" w:hAnsi="Times New Roman" w:eastAsia="宋体" w:cs="Times New Roman"/>
          <w:i w:val="0"/>
          <w:color w:val="1F2937"/>
          <w:sz w:val="24"/>
          <w:szCs w:val="24"/>
        </w:rPr>
        <w:t xml:space="preserve">：集团综合折标能耗总看板展示当前年度/月度累计能耗（形如 </w:t>
      </w:r>
      <w:r>
        <w:rPr>
          <w:rFonts w:ascii="Times New Roman" w:hAnsi="Times New Roman" w:eastAsia="宋体" w:cs="Times New Roman"/>
          <w:b w:val="0"/>
          <w:i w:val="0"/>
          <w:color w:val="0284C7"/>
          <w:sz w:val="24"/>
          <w:szCs w:val="24"/>
        </w:rPr>
        <w:t xml:space="preserve"> 48,290 tce </w:t>
      </w:r>
      <w:r>
        <w:rPr>
          <w:rFonts w:ascii="Times New Roman" w:hAnsi="Times New Roman" w:eastAsia="宋体" w:cs="Times New Roman"/>
          <w:i w:val="0"/>
          <w:color w:val="1F2937"/>
          <w:sz w:val="24"/>
          <w:szCs w:val="24"/>
        </w:rPr>
        <w:t xml:space="preserve">）与同比降幅；万元产值综合单耗卡片展示 </w:t>
      </w:r>
      <w:r>
        <w:rPr>
          <w:rFonts w:ascii="Times New Roman" w:hAnsi="Times New Roman" w:eastAsia="宋体" w:cs="Times New Roman"/>
          <w:b w:val="0"/>
          <w:i w:val="0"/>
          <w:color w:val="0284C7"/>
          <w:sz w:val="24"/>
          <w:szCs w:val="24"/>
        </w:rPr>
        <w:t xml:space="preserve"> 0.0526 tce/万元 </w:t>
      </w:r>
      <w:r>
        <w:rPr>
          <w:rFonts w:ascii="Times New Roman" w:hAnsi="Times New Roman" w:eastAsia="宋体" w:cs="Times New Roman"/>
          <w:i w:val="0"/>
          <w:color w:val="1F2937"/>
          <w:sz w:val="24"/>
          <w:szCs w:val="24"/>
        </w:rPr>
        <w:t xml:space="preserve">（同比 </w:t>
      </w:r>
      <w:r>
        <w:rPr>
          <w:rFonts w:ascii="Times New Roman" w:hAnsi="Times New Roman" w:eastAsia="宋体" w:cs="Times New Roman"/>
          <w:b w:val="0"/>
          <w:i w:val="0"/>
          <w:color w:val="0284C7"/>
          <w:sz w:val="24"/>
          <w:szCs w:val="24"/>
        </w:rPr>
        <w:t xml:space="preserve"> -3.8% </w:t>
      </w:r>
      <w:r>
        <w:rPr>
          <w:rFonts w:ascii="Times New Roman" w:hAnsi="Times New Roman" w:eastAsia="宋体" w:cs="Times New Roman"/>
          <w:i w:val="0"/>
          <w:color w:val="1F2937"/>
          <w:sz w:val="24"/>
          <w:szCs w:val="24"/>
        </w:rPr>
        <w:t>）；8 大能源介质消费占比圆环图外圈呈现电力 (68.4%)、蒸汽 (14.2%)、天然气 (11.1%)、水资源 (3.2%)、液氮 (3.1%)，悬停展示标煤换算量；24 小时全集团用电负荷走势图展示当日与昨日对比曲线，游标采用微透科技蓝。</w:t>
      </w:r>
    </w:p>
    <w:p w14:paraId="6902F7F1">
      <w:pPr>
        <w:pStyle w:val="19"/>
        <w:widowControl/>
        <w:numPr>
          <w:ilvl w:val="0"/>
          <w:numId w:val="2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中央地图</w:t>
      </w:r>
      <w:r>
        <w:rPr>
          <w:rFonts w:ascii="Times New Roman" w:hAnsi="Times New Roman" w:eastAsia="宋体" w:cs="Times New Roman"/>
          <w:i w:val="0"/>
          <w:color w:val="1F2937"/>
          <w:sz w:val="24"/>
          <w:szCs w:val="24"/>
        </w:rPr>
        <w:t>：严格基于国家自然资源部标准地图服务系统官方底图构建，包含十段线、南海诸岛、钓鱼岛及其附属岛屿，右下角永久固化审图号文本（</w:t>
      </w:r>
      <w:r>
        <w:rPr>
          <w:rFonts w:ascii="Times New Roman" w:hAnsi="Times New Roman" w:eastAsia="宋体" w:cs="Times New Roman"/>
          <w:b/>
          <w:i w:val="0"/>
          <w:color w:val="1E3A8A"/>
          <w:sz w:val="24"/>
          <w:szCs w:val="24"/>
        </w:rPr>
        <w:t>自然资源部地图审图号合规红线</w:t>
      </w:r>
      <w:r>
        <w:rPr>
          <w:rFonts w:ascii="Times New Roman" w:hAnsi="Times New Roman" w:eastAsia="宋体" w:cs="Times New Roman"/>
          <w:i w:val="0"/>
          <w:color w:val="1F2937"/>
          <w:sz w:val="24"/>
          <w:szCs w:val="24"/>
        </w:rPr>
        <w:t>）；不同产业类型航标展示专属粒子光效（变压器为科技蓝脉冲，线缆为天青蓝脉冲，微电网为翡翠绿脉冲）；点击基地航标滑出轻量浮窗，展示基地瞬时有功负荷、当日光伏发电量、储能充放状态；5 家主力制造工厂（沈变、衡变、新变、鲁缆、德缆）切片胶囊 Tab 支持手动轮播或 30 秒自动巡检切换。</w:t>
      </w:r>
    </w:p>
    <w:p w14:paraId="23AB61D5">
      <w:pPr>
        <w:pStyle w:val="19"/>
        <w:widowControl/>
        <w:numPr>
          <w:ilvl w:val="0"/>
          <w:numId w:val="2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右侧微网</w:t>
      </w:r>
      <w:r>
        <w:rPr>
          <w:rFonts w:ascii="Times New Roman" w:hAnsi="Times New Roman" w:eastAsia="宋体" w:cs="Times New Roman"/>
          <w:i w:val="0"/>
          <w:color w:val="1F2937"/>
          <w:sz w:val="24"/>
          <w:szCs w:val="24"/>
        </w:rPr>
        <w:t>：微电网实时出力矩阵展示分布式光伏实时瞬时功率 (MW) 与当日发电量 (MWh)、储能电站当前 SOC 荷电状态 (%) 与充放电状态、柴油发电机应急热备用状态；重点工序能效对标看板展示变压器干燥工序、线缆交联挤出等标杆工序综合能效；实时运行事件流展示近 24 小时设备越限、通讯状态等动态流水。</w:t>
      </w:r>
    </w:p>
    <w:p w14:paraId="60746CFC">
      <w:pPr>
        <w:pStyle w:val="19"/>
        <w:widowControl/>
        <w:numPr>
          <w:ilvl w:val="0"/>
          <w:numId w:val="2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数据状态指示</w:t>
      </w:r>
      <w:r>
        <w:rPr>
          <w:rFonts w:ascii="Times New Roman" w:hAnsi="Times New Roman" w:eastAsia="宋体" w:cs="Times New Roman"/>
          <w:i w:val="0"/>
          <w:color w:val="1F2937"/>
          <w:sz w:val="24"/>
          <w:szCs w:val="24"/>
        </w:rPr>
        <w:t xml:space="preserve">：试运行演示阶段右上角展示演示标识；生产网联通后自动切换为 </w:t>
      </w:r>
      <w:r>
        <w:rPr>
          <w:rFonts w:ascii="Times New Roman" w:hAnsi="Times New Roman" w:eastAsia="宋体" w:cs="Times New Roman"/>
          <w:b w:val="0"/>
          <w:i w:val="0"/>
          <w:color w:val="0284C7"/>
          <w:sz w:val="24"/>
          <w:szCs w:val="24"/>
        </w:rPr>
        <w:t xml:space="preserve"> LIVE · 实时生产 </w:t>
      </w:r>
      <w:r>
        <w:rPr>
          <w:rFonts w:ascii="Times New Roman" w:hAnsi="Times New Roman" w:eastAsia="宋体" w:cs="Times New Roman"/>
          <w:i w:val="0"/>
          <w:color w:val="1F2937"/>
          <w:sz w:val="24"/>
          <w:szCs w:val="24"/>
        </w:rPr>
        <w:t>。</w:t>
      </w:r>
    </w:p>
    <w:p w14:paraId="5620E871">
      <w:pPr>
        <w:pStyle w:val="19"/>
        <w:widowControl/>
        <w:numPr>
          <w:ilvl w:val="0"/>
          <w:numId w:val="2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客观中立原则</w:t>
      </w:r>
      <w:r>
        <w:rPr>
          <w:rFonts w:ascii="Times New Roman" w:hAnsi="Times New Roman" w:eastAsia="宋体" w:cs="Times New Roman"/>
          <w:i w:val="0"/>
          <w:color w:val="1F2937"/>
          <w:sz w:val="24"/>
          <w:szCs w:val="24"/>
        </w:rPr>
        <w:t xml:space="preserve">：大屏全量图表与卡片严禁出现"表现优异""落后单位"等定性评语，统一以客观数值与客观时序环比（如 </w:t>
      </w:r>
      <w:r>
        <w:rPr>
          <w:rFonts w:ascii="Times New Roman" w:hAnsi="Times New Roman" w:eastAsia="宋体" w:cs="Times New Roman"/>
          <w:b w:val="0"/>
          <w:i w:val="0"/>
          <w:color w:val="0284C7"/>
          <w:sz w:val="24"/>
          <w:szCs w:val="24"/>
        </w:rPr>
        <w:t xml:space="preserve"> 同比 -2.4% ↓ </w:t>
      </w:r>
      <w:r>
        <w:rPr>
          <w:rFonts w:ascii="Times New Roman" w:hAnsi="Times New Roman" w:eastAsia="宋体" w:cs="Times New Roman"/>
          <w:i w:val="0"/>
          <w:color w:val="1F2937"/>
          <w:sz w:val="24"/>
          <w:szCs w:val="24"/>
        </w:rPr>
        <w:t>）自解释。</w:t>
      </w:r>
    </w:p>
    <w:p w14:paraId="3CE3273F">
      <w:pPr>
        <w:pStyle w:val="6"/>
        <w:numPr>
          <w:ilvl w:val="0"/>
          <w:numId w:val="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530" w:type="dxa"/>
        <w:jc w:val="center"/>
        <w:tblLayout w:type="autofit"/>
        <w:tblCellMar>
          <w:top w:w="0" w:type="dxa"/>
          <w:left w:w="108" w:type="dxa"/>
          <w:bottom w:w="0" w:type="dxa"/>
          <w:right w:w="108" w:type="dxa"/>
        </w:tblCellMar>
      </w:tblPr>
      <w:tblGrid>
        <w:gridCol w:w="876"/>
        <w:gridCol w:w="1829"/>
        <w:gridCol w:w="1358"/>
        <w:gridCol w:w="1358"/>
        <w:gridCol w:w="4109"/>
      </w:tblGrid>
      <w:tr w14:paraId="5D995F27">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0ECBEC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2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3FDED0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5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F2EEF1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5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F5DD4A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11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828119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4D90BF81">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0B391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F248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集团累计综合能耗</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D45D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88ED6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1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00CB5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0.00，由下级园区物化视图按日结汇总</w:t>
            </w:r>
          </w:p>
        </w:tc>
      </w:tr>
      <w:tr w14:paraId="0CA0232B">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EBF91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455DA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综合能耗同比变动率</w:t>
            </w:r>
          </w:p>
        </w:tc>
        <w:tc>
          <w:tcPr>
            <w:tcW w:w="13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65F64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758A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1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74596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与去年同期对比；无同期数据时显示 </w:t>
            </w:r>
            <w:r>
              <w:rPr>
                <w:rFonts w:hint="eastAsia" w:ascii="宋体" w:hAnsi="宋体" w:eastAsia="宋体" w:cs="宋体"/>
                <w:b w:val="0"/>
                <w:i w:val="0"/>
                <w:iCs w:val="0"/>
                <w:color w:val="0284C7"/>
                <w:sz w:val="24"/>
                <w:szCs w:val="24"/>
              </w:rPr>
              <w:t xml:space="preserve"> -- </w:t>
            </w:r>
          </w:p>
        </w:tc>
      </w:tr>
      <w:tr w14:paraId="6CC5193A">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B25F4E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5B19A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万元产值综合单耗</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80284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B7B5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41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D62FA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产值分母为 0 时安全兜底显示 </w:t>
            </w:r>
            <w:r>
              <w:rPr>
                <w:rFonts w:hint="eastAsia" w:ascii="宋体" w:hAnsi="宋体" w:eastAsia="宋体" w:cs="宋体"/>
                <w:b w:val="0"/>
                <w:i w:val="0"/>
                <w:iCs w:val="0"/>
                <w:color w:val="0284C7"/>
                <w:sz w:val="24"/>
                <w:szCs w:val="24"/>
              </w:rPr>
              <w:t xml:space="preserve"> -- </w:t>
            </w:r>
          </w:p>
        </w:tc>
      </w:tr>
      <w:tr w14:paraId="16AFDAAD">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EC34FA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453D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 大能源介质消费占比</w:t>
            </w:r>
          </w:p>
        </w:tc>
        <w:tc>
          <w:tcPr>
            <w:tcW w:w="13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A8ED3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A0868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1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4D2FA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各介质占比之和四舍五入至 100.0%，偏差 &gt;0.1% 触发配平自检</w:t>
            </w:r>
          </w:p>
        </w:tc>
      </w:tr>
      <w:tr w14:paraId="503622D8">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B6C0FF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020B6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园区地理航标坐标</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5D58D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308E2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经纬度</w:t>
            </w:r>
          </w:p>
        </w:tc>
        <w:tc>
          <w:tcPr>
            <w:tcW w:w="41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789C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必须落在标准底图国界范围内，越界坐标拦截入库</w:t>
            </w:r>
          </w:p>
        </w:tc>
      </w:tr>
      <w:tr w14:paraId="70AF4443">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03B2E9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8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E3022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光伏实时瞬时功率</w:t>
            </w:r>
          </w:p>
        </w:tc>
        <w:tc>
          <w:tcPr>
            <w:tcW w:w="13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4743C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D8AF9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MW</w:t>
            </w:r>
          </w:p>
        </w:tc>
        <w:tc>
          <w:tcPr>
            <w:tcW w:w="411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61A0D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0.000；数据延迟超 5s 打"数据延迟"微标签</w:t>
            </w:r>
          </w:p>
        </w:tc>
      </w:tr>
      <w:tr w14:paraId="563DD9E2">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1AA334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8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3F0F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储能 SOC 荷电状态</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AFDBB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3A95B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2C13E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取值范围 0.0 ~ 100.0</w:t>
            </w:r>
          </w:p>
        </w:tc>
      </w:tr>
      <w:tr w14:paraId="3C42E61D">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C661E1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8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DC2872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地图审图号固化文本</w:t>
            </w:r>
          </w:p>
        </w:tc>
        <w:tc>
          <w:tcPr>
            <w:tcW w:w="13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CCD9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C502F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1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720B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非空，强制常驻于地图右下角，不可隐藏</w:t>
            </w:r>
          </w:p>
        </w:tc>
      </w:tr>
      <w:tr w14:paraId="2E7EED09">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D2E50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8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BCF95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数据状态标识</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9B362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49DC8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EF9B1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取值 </w:t>
            </w:r>
            <w:r>
              <w:rPr>
                <w:rFonts w:hint="eastAsia" w:ascii="宋体" w:hAnsi="宋体" w:eastAsia="宋体" w:cs="宋体"/>
                <w:b w:val="0"/>
                <w:i w:val="0"/>
                <w:iCs w:val="0"/>
                <w:color w:val="0284C7"/>
                <w:sz w:val="24"/>
                <w:szCs w:val="24"/>
              </w:rPr>
              <w:t xml:space="preserve"> DEMO </w:t>
            </w:r>
            <w:r>
              <w:rPr>
                <w:rFonts w:hint="eastAsia" w:ascii="宋体" w:hAnsi="宋体" w:eastAsia="宋体" w:cs="宋体"/>
                <w:i w:val="0"/>
                <w:iCs w:val="0"/>
                <w:color w:val="1F2937"/>
                <w:sz w:val="24"/>
                <w:szCs w:val="24"/>
              </w:rPr>
              <w:t xml:space="preserve"> / </w:t>
            </w:r>
            <w:r>
              <w:rPr>
                <w:rFonts w:hint="eastAsia" w:ascii="宋体" w:hAnsi="宋体" w:eastAsia="宋体" w:cs="宋体"/>
                <w:b w:val="0"/>
                <w:i w:val="0"/>
                <w:iCs w:val="0"/>
                <w:color w:val="0284C7"/>
                <w:sz w:val="24"/>
                <w:szCs w:val="24"/>
              </w:rPr>
              <w:t xml:space="preserve"> LIVE </w:t>
            </w:r>
            <w:r>
              <w:rPr>
                <w:rFonts w:hint="eastAsia" w:ascii="宋体" w:hAnsi="宋体" w:eastAsia="宋体" w:cs="宋体"/>
                <w:i w:val="0"/>
                <w:iCs w:val="0"/>
                <w:color w:val="1F2937"/>
                <w:sz w:val="24"/>
                <w:szCs w:val="24"/>
              </w:rPr>
              <w:t>，由生产网联通状态自动切换</w:t>
            </w:r>
          </w:p>
        </w:tc>
      </w:tr>
    </w:tbl>
    <w:p w14:paraId="52174D1A">
      <w:pPr>
        <w:spacing w:after="60"/>
        <w:rPr>
          <w:rFonts w:hint="eastAsia" w:ascii="宋体" w:hAnsi="宋体" w:eastAsia="宋体" w:cs="宋体"/>
          <w:i w:val="0"/>
          <w:iCs w:val="0"/>
          <w:sz w:val="24"/>
          <w:szCs w:val="24"/>
        </w:rPr>
      </w:pPr>
    </w:p>
    <w:p w14:paraId="267FB17F">
      <w:pPr>
        <w:pStyle w:val="6"/>
        <w:numPr>
          <w:ilvl w:val="0"/>
          <w:numId w:val="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6D3C6422">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1984C86D">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【核心业务数学模型与计算公式】</w:t>
            </w:r>
            <w:r>
              <w:rPr>
                <w:rFonts w:hint="eastAsia" w:ascii="宋体" w:hAnsi="宋体" w:eastAsia="宋体" w:cs="宋体"/>
                <w:b/>
                <w:i w:val="0"/>
                <w:iCs w:val="0"/>
                <w:color w:val="16A34A"/>
                <w:sz w:val="24"/>
                <w:szCs w:val="24"/>
              </w:rPr>
              <w:br w:type="textWrapping"/>
            </w:r>
          </w:p>
          <w:p w14:paraId="72AF272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E_group = Σ ( E_park_i )               集团累计综合能耗 = 各园区折算能耗求和</w:t>
            </w:r>
          </w:p>
          <w:p w14:paraId="6CDC815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E_park_i = Σ ( Q_ij × k_j )            第 i 园区能耗 = 各介质实物量 × 折标准煤系数</w:t>
            </w:r>
          </w:p>
          <w:p w14:paraId="020477D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R_media_j = Q_j · k_j / Σ ( Q_n · k_n )  第 j 种介质折标占比</w:t>
            </w:r>
          </w:p>
          <w:p w14:paraId="102B2F3B">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Δ_E_yoy = ( E_current - E_last_year ) / E_last_year × 100%   同比变动率</w:t>
            </w:r>
          </w:p>
        </w:tc>
      </w:tr>
    </w:tbl>
    <w:p w14:paraId="6B0E8240">
      <w:pPr>
        <w:spacing w:after="40"/>
        <w:rPr>
          <w:rFonts w:hint="eastAsia" w:ascii="宋体" w:hAnsi="宋体" w:eastAsia="宋体" w:cs="宋体"/>
          <w:i w:val="0"/>
          <w:iCs w:val="0"/>
          <w:sz w:val="24"/>
          <w:szCs w:val="24"/>
        </w:rPr>
      </w:pPr>
    </w:p>
    <w:p w14:paraId="4EE60998">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Q_ij </w:t>
      </w:r>
      <w:r>
        <w:rPr>
          <w:rFonts w:ascii="Times New Roman" w:hAnsi="Times New Roman" w:eastAsia="宋体" w:cs="Times New Roman"/>
          <w:i w:val="0"/>
          <w:color w:val="1F2937"/>
          <w:sz w:val="24"/>
          <w:szCs w:val="24"/>
        </w:rPr>
        <w:t xml:space="preserve"> 为第 i 园区第 j 种能源介质实物消耗量；</w:t>
      </w:r>
      <w:r>
        <w:rPr>
          <w:rFonts w:ascii="Times New Roman" w:hAnsi="Times New Roman" w:eastAsia="宋体" w:cs="Times New Roman"/>
          <w:b w:val="0"/>
          <w:i w:val="0"/>
          <w:color w:val="0284C7"/>
          <w:sz w:val="24"/>
          <w:szCs w:val="24"/>
        </w:rPr>
        <w:t xml:space="preserve"> k_j </w:t>
      </w:r>
      <w:r>
        <w:rPr>
          <w:rFonts w:ascii="Times New Roman" w:hAnsi="Times New Roman" w:eastAsia="宋体" w:cs="Times New Roman"/>
          <w:i w:val="0"/>
          <w:color w:val="1F2937"/>
          <w:sz w:val="24"/>
          <w:szCs w:val="24"/>
        </w:rPr>
        <w:t xml:space="preserve"> 为第 j 种介质折标准煤系数（引用 GB/T 2589-2020 当量值）；</w:t>
      </w:r>
      <w:r>
        <w:rPr>
          <w:rFonts w:ascii="Times New Roman" w:hAnsi="Times New Roman" w:eastAsia="宋体" w:cs="Times New Roman"/>
          <w:b w:val="0"/>
          <w:i w:val="0"/>
          <w:color w:val="0284C7"/>
          <w:sz w:val="24"/>
          <w:szCs w:val="24"/>
        </w:rPr>
        <w:t xml:space="preserve"> R_media_j </w:t>
      </w:r>
      <w:r>
        <w:rPr>
          <w:rFonts w:ascii="Times New Roman" w:hAnsi="Times New Roman" w:eastAsia="宋体" w:cs="Times New Roman"/>
          <w:i w:val="0"/>
          <w:color w:val="1F2937"/>
          <w:sz w:val="24"/>
          <w:szCs w:val="24"/>
        </w:rPr>
        <w:t xml:space="preserve"> 为第 j 种介质折标煤消费占比；</w:t>
      </w:r>
      <w:r>
        <w:rPr>
          <w:rFonts w:ascii="Times New Roman" w:hAnsi="Times New Roman" w:eastAsia="宋体" w:cs="Times New Roman"/>
          <w:b w:val="0"/>
          <w:i w:val="0"/>
          <w:color w:val="0284C7"/>
          <w:sz w:val="24"/>
          <w:szCs w:val="24"/>
        </w:rPr>
        <w:t xml:space="preserve"> Δ_E_yoy </w:t>
      </w:r>
      <w:r>
        <w:rPr>
          <w:rFonts w:ascii="Times New Roman" w:hAnsi="Times New Roman" w:eastAsia="宋体" w:cs="Times New Roman"/>
          <w:i w:val="0"/>
          <w:color w:val="1F2937"/>
          <w:sz w:val="24"/>
          <w:szCs w:val="24"/>
        </w:rPr>
        <w:t xml:space="preserve"> 低于 0 表示同比下降（节能成效），显示为绿色。</w:t>
      </w:r>
    </w:p>
    <w:p w14:paraId="4F5820E6">
      <w:pPr>
        <w:pStyle w:val="6"/>
        <w:numPr>
          <w:ilvl w:val="0"/>
          <w:numId w:val="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2C2A8D35">
      <w:pPr>
        <w:pStyle w:val="19"/>
        <w:widowControl/>
        <w:numPr>
          <w:ilvl w:val="0"/>
          <w:numId w:val="2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：全部同比/环比以箭头 + 三色表达（绿：下降；红：上涨；灰：持平），遵循国内工业能耗语义。</w:t>
      </w:r>
    </w:p>
    <w:p w14:paraId="43B53E84">
      <w:pPr>
        <w:pStyle w:val="19"/>
        <w:widowControl/>
        <w:numPr>
          <w:ilvl w:val="0"/>
          <w:numId w:val="2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介质占比口径</w:t>
      </w:r>
      <w:r>
        <w:rPr>
          <w:rFonts w:ascii="Times New Roman" w:hAnsi="Times New Roman" w:eastAsia="宋体" w:cs="Times New Roman"/>
          <w:i w:val="0"/>
          <w:color w:val="1F2937"/>
          <w:sz w:val="24"/>
          <w:szCs w:val="24"/>
        </w:rPr>
        <w:t>：占比以折标准煤当量为统一量纲，严禁以实物量直接对比。</w:t>
      </w:r>
    </w:p>
    <w:p w14:paraId="256A5A2D">
      <w:pPr>
        <w:pStyle w:val="19"/>
        <w:widowControl/>
        <w:numPr>
          <w:ilvl w:val="0"/>
          <w:numId w:val="2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航标聚合口径</w:t>
      </w:r>
      <w:r>
        <w:rPr>
          <w:rFonts w:ascii="Times New Roman" w:hAnsi="Times New Roman" w:eastAsia="宋体" w:cs="Times New Roman"/>
          <w:i w:val="0"/>
          <w:color w:val="1F2937"/>
          <w:sz w:val="24"/>
          <w:szCs w:val="24"/>
        </w:rPr>
        <w:t>：产业集团节点展示下级园区加总；园区节点展示本园区实测值，禁止跨层级混算。</w:t>
      </w:r>
    </w:p>
    <w:p w14:paraId="5018C4BB">
      <w:pPr>
        <w:pStyle w:val="19"/>
        <w:widowControl/>
        <w:numPr>
          <w:ilvl w:val="0"/>
          <w:numId w:val="2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轮播节奏</w:t>
      </w:r>
      <w:r>
        <w:rPr>
          <w:rFonts w:ascii="Times New Roman" w:hAnsi="Times New Roman" w:eastAsia="宋体" w:cs="Times New Roman"/>
          <w:i w:val="0"/>
          <w:color w:val="1F2937"/>
          <w:sz w:val="24"/>
          <w:szCs w:val="24"/>
        </w:rPr>
        <w:t>：自动巡检周期固定 30 秒，手动操作后暂停 60 秒再恢复。</w:t>
      </w:r>
    </w:p>
    <w:p w14:paraId="6BF10879">
      <w:pPr>
        <w:pStyle w:val="6"/>
        <w:numPr>
          <w:ilvl w:val="0"/>
          <w:numId w:val="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2BA91D6E">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3BDD727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地图合规红线</w:t>
            </w:r>
            <w:r>
              <w:rPr>
                <w:rFonts w:hint="eastAsia" w:ascii="宋体" w:hAnsi="宋体" w:eastAsia="宋体" w:cs="宋体"/>
                <w:i w:val="0"/>
                <w:iCs w:val="0"/>
                <w:color w:val="1F2937"/>
                <w:sz w:val="24"/>
                <w:szCs w:val="24"/>
              </w:rPr>
              <w:t>：底图与审图号不可动态替换、不可缩放至裁剪十段线；违规判定为阻断级缺陷。</w:t>
            </w:r>
          </w:p>
          <w:p w14:paraId="669CF8B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越权红线</w:t>
            </w:r>
            <w:r>
              <w:rPr>
                <w:rFonts w:hint="eastAsia" w:ascii="宋体" w:hAnsi="宋体" w:eastAsia="宋体" w:cs="宋体"/>
                <w:i w:val="0"/>
                <w:iCs w:val="0"/>
                <w:color w:val="1F2937"/>
                <w:sz w:val="24"/>
                <w:szCs w:val="24"/>
              </w:rPr>
              <w:t>：大屏默认只读，禁止在大屏路由内提供任何数据写入口。</w:t>
            </w:r>
          </w:p>
          <w:p w14:paraId="3A55452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遥测心跳超 5 秒未响应：触发 </w:t>
            </w:r>
            <w:r>
              <w:rPr>
                <w:rFonts w:hint="eastAsia" w:ascii="宋体" w:hAnsi="宋体" w:eastAsia="宋体" w:cs="宋体"/>
                <w:b w:val="0"/>
                <w:i w:val="0"/>
                <w:iCs w:val="0"/>
                <w:color w:val="0284C7"/>
                <w:sz w:val="24"/>
                <w:szCs w:val="24"/>
              </w:rPr>
              <w:t xml:space="preserve"> E_IO_MQTT_TIMEOUT </w:t>
            </w:r>
            <w:r>
              <w:rPr>
                <w:rFonts w:hint="eastAsia" w:ascii="宋体" w:hAnsi="宋体" w:eastAsia="宋体" w:cs="宋体"/>
                <w:i w:val="0"/>
                <w:iCs w:val="0"/>
                <w:color w:val="1F2937"/>
                <w:sz w:val="24"/>
                <w:szCs w:val="24"/>
              </w:rPr>
              <w:t>，图表展示最近一次缓存读数并打"数据延迟"微标签。</w:t>
            </w:r>
          </w:p>
          <w:p w14:paraId="355B127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边缘一体机物理断网：触发 </w:t>
            </w:r>
            <w:r>
              <w:rPr>
                <w:rFonts w:hint="eastAsia" w:ascii="宋体" w:hAnsi="宋体" w:eastAsia="宋体" w:cs="宋体"/>
                <w:b w:val="0"/>
                <w:i w:val="0"/>
                <w:iCs w:val="0"/>
                <w:color w:val="0284C7"/>
                <w:sz w:val="24"/>
                <w:szCs w:val="24"/>
              </w:rPr>
              <w:t xml:space="preserve"> E_IO_GATEWAY_OFFLINE </w:t>
            </w:r>
            <w:r>
              <w:rPr>
                <w:rFonts w:hint="eastAsia" w:ascii="宋体" w:hAnsi="宋体" w:eastAsia="宋体" w:cs="宋体"/>
                <w:i w:val="0"/>
                <w:iCs w:val="0"/>
                <w:color w:val="1F2937"/>
                <w:sz w:val="24"/>
                <w:szCs w:val="24"/>
              </w:rPr>
              <w:t>，启动本地断点续传，恢复联网后自动同步。</w:t>
            </w:r>
          </w:p>
          <w:p w14:paraId="5B88F1C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主库连接断开：触发 </w:t>
            </w:r>
            <w:r>
              <w:rPr>
                <w:rFonts w:hint="eastAsia" w:ascii="宋体" w:hAnsi="宋体" w:eastAsia="宋体" w:cs="宋体"/>
                <w:b w:val="0"/>
                <w:i w:val="0"/>
                <w:iCs w:val="0"/>
                <w:color w:val="0284C7"/>
                <w:sz w:val="24"/>
                <w:szCs w:val="24"/>
              </w:rPr>
              <w:t xml:space="preserve"> E_SYS_DB_CONN_LOST </w:t>
            </w:r>
            <w:r>
              <w:rPr>
                <w:rFonts w:hint="eastAsia" w:ascii="宋体" w:hAnsi="宋体" w:eastAsia="宋体" w:cs="宋体"/>
                <w:i w:val="0"/>
                <w:iCs w:val="0"/>
                <w:color w:val="1F2937"/>
                <w:sz w:val="24"/>
                <w:szCs w:val="24"/>
              </w:rPr>
              <w:t>，30 秒内备库接管并切换只读模式。</w:t>
            </w:r>
          </w:p>
          <w:p w14:paraId="5E89369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分母产值为 0：单耗显示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，严禁 NaN 或白屏。</w:t>
            </w:r>
          </w:p>
        </w:tc>
      </w:tr>
    </w:tbl>
    <w:p w14:paraId="49C64564">
      <w:pPr>
        <w:pStyle w:val="6"/>
        <w:numPr>
          <w:ilvl w:val="0"/>
          <w:numId w:val="17"/>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1896BC10">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6905A31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全景环幕大屏 46:9</w:t>
            </w:r>
          </w:p>
          <w:p w14:paraId="1C2CD30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环幕大屏一屏穿透全集团态势</w:t>
            </w:r>
          </w:p>
          <w:p w14:paraId="785E317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集团已接入 15 大园区与 21 家实体工厂的遥测与指标数据</w:t>
            </w:r>
          </w:p>
          <w:p w14:paraId="7278F99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P1 进入 /monitor/screen/panoramic 且屏幕比例为 46:9</w:t>
            </w:r>
          </w:p>
          <w:p w14:paraId="7FCF3BB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三栏布局占比分别为 25% / 50% / 25%，无横向滚动条</w:t>
            </w:r>
          </w:p>
          <w:p w14:paraId="6581775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地图右下角常驻显示自然资源部地图审图号文本</w:t>
            </w:r>
          </w:p>
          <w:p w14:paraId="3E0C7BF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8 大能源介质折标占比之和恒等于 100.0%</w:t>
            </w:r>
          </w:p>
          <w:p w14:paraId="18D414ED">
            <w:pPr>
              <w:spacing w:before="0" w:after="20" w:line="264" w:lineRule="auto"/>
              <w:rPr>
                <w:rFonts w:hint="eastAsia" w:ascii="宋体" w:hAnsi="宋体" w:eastAsia="宋体" w:cs="宋体"/>
                <w:i w:val="0"/>
                <w:iCs w:val="0"/>
                <w:sz w:val="24"/>
                <w:szCs w:val="24"/>
              </w:rPr>
            </w:pPr>
          </w:p>
          <w:p w14:paraId="42F6B2F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遥测延迟的客观自解释</w:t>
            </w:r>
          </w:p>
          <w:p w14:paraId="24A32D6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IoT 网关心跳超过 5 秒未响应</w:t>
            </w:r>
          </w:p>
          <w:p w14:paraId="04D7A70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大屏右侧微网矩阵完成一次数据刷新</w:t>
            </w:r>
          </w:p>
          <w:p w14:paraId="2A36BDA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图表保留最近一次缓存读数并显示"数据延迟"微标签</w:t>
            </w:r>
          </w:p>
          <w:p w14:paraId="3B85543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页面不出现任何主观定性评语</w:t>
            </w:r>
          </w:p>
          <w:p w14:paraId="7CDC9264">
            <w:pPr>
              <w:spacing w:before="0" w:after="20" w:line="264" w:lineRule="auto"/>
              <w:rPr>
                <w:rFonts w:hint="eastAsia" w:ascii="宋体" w:hAnsi="宋体" w:eastAsia="宋体" w:cs="宋体"/>
                <w:i w:val="0"/>
                <w:iCs w:val="0"/>
                <w:sz w:val="24"/>
                <w:szCs w:val="24"/>
              </w:rPr>
            </w:pPr>
          </w:p>
          <w:p w14:paraId="54FBDD7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大屏只读红线</w:t>
            </w:r>
          </w:p>
          <w:p w14:paraId="1CC38DB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任意角色已登录</w:t>
            </w:r>
          </w:p>
          <w:p w14:paraId="6D83FFF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在大屏路由内尝试发起数据提交请求</w:t>
            </w:r>
          </w:p>
          <w:p w14:paraId="36D3456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请求被服务网关切断并记录越权审计日志</w:t>
            </w:r>
          </w:p>
          <w:p w14:paraId="6B9326E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返回 E_AUTH_RBAC_FORBIDDEN</w:t>
            </w:r>
          </w:p>
        </w:tc>
      </w:tr>
    </w:tbl>
    <w:p w14:paraId="6D7DD229">
      <w:pPr>
        <w:spacing w:after="40"/>
        <w:rPr>
          <w:rFonts w:hint="eastAsia" w:ascii="宋体" w:hAnsi="宋体" w:eastAsia="宋体" w:cs="宋体"/>
          <w:i w:val="0"/>
          <w:iCs w:val="0"/>
          <w:sz w:val="24"/>
          <w:szCs w:val="24"/>
        </w:rPr>
      </w:pPr>
    </w:p>
    <w:p w14:paraId="7DA4BC72">
      <w:pPr>
        <w:pStyle w:val="5"/>
        <w:numPr>
          <w:ilvl w:val="0"/>
          <w:numId w:val="16"/>
        </w:numPr>
        <w:ind w:left="0" w:leftChars="0" w:firstLine="0" w:firstLineChars="0"/>
        <w:outlineLvl w:val="1"/>
        <w:rPr>
          <w:rFonts w:eastAsia="黑体"/>
          <w:b w:val="0"/>
          <w:bCs w:val="0"/>
          <w:sz w:val="30"/>
          <w:szCs w:val="24"/>
        </w:rPr>
      </w:pPr>
      <w:bookmarkStart w:id="13" w:name="_Toc15307"/>
      <w:r>
        <w:rPr>
          <w:rFonts w:ascii="Times New Roman" w:hAnsi="Times New Roman" w:eastAsia="黑体" w:cs="Times New Roman"/>
          <w:b w:val="0"/>
          <w:bCs w:val="0"/>
          <w:sz w:val="30"/>
          <w:szCs w:val="24"/>
        </w:rPr>
        <w:t>综合集控大屏 16:9</w:t>
      </w:r>
      <w:bookmarkEnd w:id="13"/>
    </w:p>
    <w:p w14:paraId="1F90B59E">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6210300" cy="3494405"/>
            <wp:effectExtent l="0" t="0" r="0" b="1079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a:picLocks noChangeAspect="1"/>
                    </pic:cNvPicPr>
                  </pic:nvPicPr>
                  <pic:blipFill>
                    <a:blip r:embed="rId16"/>
                    <a:stretch>
                      <a:fillRect/>
                    </a:stretch>
                  </pic:blipFill>
                  <pic:spPr>
                    <a:xfrm>
                      <a:off x="0" y="0"/>
                      <a:ext cx="6210300" cy="3494918"/>
                    </a:xfrm>
                    <a:prstGeom prst="rect">
                      <a:avLst/>
                    </a:prstGeom>
                  </pic:spPr>
                </pic:pic>
              </a:graphicData>
            </a:graphic>
          </wp:inline>
        </w:drawing>
      </w:r>
    </w:p>
    <w:p w14:paraId="51BCCC66">
      <w:pPr>
        <w:pStyle w:val="6"/>
        <w:numPr>
          <w:ilvl w:val="0"/>
          <w:numId w:val="2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07428DC3">
      <w:pPr>
        <w:pStyle w:val="19"/>
        <w:widowControl/>
        <w:numPr>
          <w:ilvl w:val="0"/>
          <w:numId w:val="2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：面向园区中控室 7×24 小时连续运行监视的标准 16:9 大屏，聚焦全域尖峰平谷用电结构、储能充放循环与能效平衡。</w:t>
      </w:r>
    </w:p>
    <w:p w14:paraId="36A24C2F">
      <w:pPr>
        <w:pStyle w:val="19"/>
        <w:widowControl/>
        <w:numPr>
          <w:ilvl w:val="0"/>
          <w:numId w:val="2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园区能碳专员（运行班长、能效运营工程师）。</w:t>
      </w:r>
    </w:p>
    <w:p w14:paraId="60E22178">
      <w:pPr>
        <w:pStyle w:val="19"/>
        <w:widowControl/>
        <w:numPr>
          <w:ilvl w:val="0"/>
          <w:numId w:val="2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/monitor/screen/integrated </w:t>
      </w:r>
      <w:r>
        <w:rPr>
          <w:rFonts w:ascii="Times New Roman" w:hAnsi="Times New Roman" w:eastAsia="宋体" w:cs="Times New Roman"/>
          <w:i w:val="0"/>
          <w:color w:val="1F2937"/>
          <w:sz w:val="24"/>
          <w:szCs w:val="24"/>
        </w:rPr>
        <w:t>；适配 1920×1080 / 2560×1440 / 3840×2160。</w:t>
      </w:r>
    </w:p>
    <w:p w14:paraId="0D628356">
      <w:pPr>
        <w:pStyle w:val="19"/>
        <w:widowControl/>
        <w:numPr>
          <w:ilvl w:val="0"/>
          <w:numId w:val="2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：分时电能遥测、能效对标核算结果、微电网监测数据。</w:t>
      </w:r>
    </w:p>
    <w:p w14:paraId="00980317">
      <w:pPr>
        <w:pStyle w:val="19"/>
        <w:widowControl/>
        <w:numPr>
          <w:ilvl w:val="0"/>
          <w:numId w:val="2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：削峰填谷调度指令依据、越限事件推送告警中枢。</w:t>
      </w:r>
    </w:p>
    <w:p w14:paraId="5A52D7CD">
      <w:pPr>
        <w:pStyle w:val="6"/>
        <w:numPr>
          <w:ilvl w:val="0"/>
          <w:numId w:val="2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64DE582A">
      <w:pPr>
        <w:pStyle w:val="19"/>
        <w:widowControl/>
        <w:numPr>
          <w:ilvl w:val="0"/>
          <w:numId w:val="2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：园区中控室运行班长与能效专员进行 7×24 小时连续运行监视，跟踪全域尖峰平谷用电结构、基地储能充放循环与能效平衡。</w:t>
      </w:r>
    </w:p>
    <w:p w14:paraId="334673FB">
      <w:pPr>
        <w:pStyle w:val="19"/>
        <w:widowControl/>
        <w:numPr>
          <w:ilvl w:val="0"/>
          <w:numId w:val="2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4316BB6E">
      <w:pPr>
        <w:pStyle w:val="19"/>
        <w:widowControl/>
        <w:numPr>
          <w:ilvl w:val="0"/>
          <w:numId w:val="2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园区能效运营工程师 (Persona P2)</w:t>
      </w:r>
      <w:r>
        <w:rPr>
          <w:rFonts w:ascii="Times New Roman" w:hAnsi="Times New Roman" w:eastAsia="宋体" w:cs="Times New Roman"/>
          <w:i w:val="0"/>
          <w:color w:val="1F2937"/>
          <w:sz w:val="24"/>
          <w:szCs w:val="24"/>
        </w:rPr>
        <w:t>，</w:t>
      </w:r>
    </w:p>
    <w:p w14:paraId="6C505835">
      <w:pPr>
        <w:pStyle w:val="19"/>
        <w:widowControl/>
        <w:numPr>
          <w:ilvl w:val="0"/>
          <w:numId w:val="2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在标准 16:9 集控大屏上实时监控全集团各经营单位当月用电峰平谷配比与基准线偏差</w:t>
      </w:r>
      <w:r>
        <w:rPr>
          <w:rFonts w:ascii="Times New Roman" w:hAnsi="Times New Roman" w:eastAsia="宋体" w:cs="Times New Roman"/>
          <w:i w:val="0"/>
          <w:color w:val="1F2937"/>
          <w:sz w:val="24"/>
          <w:szCs w:val="24"/>
        </w:rPr>
        <w:t>，</w:t>
      </w:r>
    </w:p>
    <w:p w14:paraId="70287F5D">
      <w:pPr>
        <w:pStyle w:val="19"/>
        <w:widowControl/>
        <w:numPr>
          <w:ilvl w:val="0"/>
          <w:numId w:val="2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我能精准调度微电网削峰填谷，降低全厂尖峰电费支出</w:t>
      </w:r>
      <w:r>
        <w:rPr>
          <w:rFonts w:ascii="Times New Roman" w:hAnsi="Times New Roman" w:eastAsia="宋体" w:cs="Times New Roman"/>
          <w:i w:val="0"/>
          <w:color w:val="1F2937"/>
          <w:sz w:val="24"/>
          <w:szCs w:val="24"/>
        </w:rPr>
        <w:t>。</w:t>
      </w:r>
    </w:p>
    <w:p w14:paraId="023C88C5">
      <w:pPr>
        <w:pStyle w:val="6"/>
        <w:numPr>
          <w:ilvl w:val="0"/>
          <w:numId w:val="2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65633BE5">
      <w:pPr>
        <w:pStyle w:val="19"/>
        <w:widowControl/>
        <w:ind w:left="0" w:leftChars="0" w:firstLine="0" w:firstLineChars="0"/>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Bento 四象限栅格布局：</w:t>
      </w:r>
    </w:p>
    <w:tbl>
      <w:tblPr>
        <w:tblStyle w:val="38"/>
        <w:tblW w:w="9784" w:type="dxa"/>
        <w:jc w:val="center"/>
        <w:tblLayout w:type="autofit"/>
        <w:tblCellMar>
          <w:top w:w="0" w:type="dxa"/>
          <w:left w:w="108" w:type="dxa"/>
          <w:bottom w:w="0" w:type="dxa"/>
          <w:right w:w="108" w:type="dxa"/>
        </w:tblCellMar>
      </w:tblPr>
      <w:tblGrid>
        <w:gridCol w:w="1161"/>
        <w:gridCol w:w="2227"/>
        <w:gridCol w:w="6396"/>
      </w:tblGrid>
      <w:tr w14:paraId="5AA85EAF">
        <w:tblPrEx>
          <w:tblCellMar>
            <w:top w:w="0" w:type="dxa"/>
            <w:left w:w="108" w:type="dxa"/>
            <w:bottom w:w="0" w:type="dxa"/>
            <w:right w:w="108" w:type="dxa"/>
          </w:tblCellMar>
        </w:tblPrEx>
        <w:trPr>
          <w:jc w:val="center"/>
        </w:trPr>
        <w:tc>
          <w:tcPr>
            <w:tcW w:w="116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02B00B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象限</w:t>
            </w:r>
          </w:p>
        </w:tc>
        <w:tc>
          <w:tcPr>
            <w:tcW w:w="222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1211C2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位置</w:t>
            </w:r>
          </w:p>
        </w:tc>
        <w:tc>
          <w:tcPr>
            <w:tcW w:w="639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C4B831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核心内容</w:t>
            </w:r>
          </w:p>
        </w:tc>
      </w:tr>
      <w:tr w14:paraId="071AEB3E">
        <w:tblPrEx>
          <w:tblCellMar>
            <w:top w:w="0" w:type="dxa"/>
            <w:left w:w="108" w:type="dxa"/>
            <w:bottom w:w="0" w:type="dxa"/>
            <w:right w:w="108" w:type="dxa"/>
          </w:tblCellMar>
        </w:tblPrEx>
        <w:trPr>
          <w:jc w:val="center"/>
        </w:trPr>
        <w:tc>
          <w:tcPr>
            <w:tcW w:w="11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5935AC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象限 A</w:t>
            </w:r>
          </w:p>
        </w:tc>
        <w:tc>
          <w:tcPr>
            <w:tcW w:w="22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2025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左上 · 能耗与分时负荷</w:t>
            </w:r>
          </w:p>
        </w:tc>
        <w:tc>
          <w:tcPr>
            <w:tcW w:w="63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2167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顶部聚合全集团综合能耗总值与当日累计电量；分时电量结构 4 段堆叠图（尖/峰/平/谷）时序连续面积图</w:t>
            </w:r>
          </w:p>
        </w:tc>
      </w:tr>
      <w:tr w14:paraId="017C9768">
        <w:tblPrEx>
          <w:tblCellMar>
            <w:top w:w="0" w:type="dxa"/>
            <w:left w:w="108" w:type="dxa"/>
            <w:bottom w:w="0" w:type="dxa"/>
            <w:right w:w="108" w:type="dxa"/>
          </w:tblCellMar>
        </w:tblPrEx>
        <w:trPr>
          <w:jc w:val="center"/>
        </w:trPr>
        <w:tc>
          <w:tcPr>
            <w:tcW w:w="11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AC2E7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象限 B</w:t>
            </w:r>
          </w:p>
        </w:tc>
        <w:tc>
          <w:tcPr>
            <w:tcW w:w="22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F3063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右上 · 经营单位能效对标</w:t>
            </w:r>
          </w:p>
        </w:tc>
        <w:tc>
          <w:tcPr>
            <w:tcW w:w="63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E00F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 大直属经营单位当月能效对标双向柱状图，叠加国家先进值基准标线与集团均值虚线</w:t>
            </w:r>
          </w:p>
        </w:tc>
      </w:tr>
      <w:tr w14:paraId="3C07B796">
        <w:tblPrEx>
          <w:tblCellMar>
            <w:top w:w="0" w:type="dxa"/>
            <w:left w:w="108" w:type="dxa"/>
            <w:bottom w:w="0" w:type="dxa"/>
            <w:right w:w="108" w:type="dxa"/>
          </w:tblCellMar>
        </w:tblPrEx>
        <w:trPr>
          <w:jc w:val="center"/>
        </w:trPr>
        <w:tc>
          <w:tcPr>
            <w:tcW w:w="11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F1A38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象限 C</w:t>
            </w:r>
          </w:p>
        </w:tc>
        <w:tc>
          <w:tcPr>
            <w:tcW w:w="22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52C30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左下 · 微电网源网荷储</w:t>
            </w:r>
          </w:p>
        </w:tc>
        <w:tc>
          <w:tcPr>
            <w:tcW w:w="63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83FE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光伏出力与储能充放状态曲线（双 Y 轴），标注"谷充峰放"执行时段；直供绿电消纳比仪表盘</w:t>
            </w:r>
          </w:p>
        </w:tc>
      </w:tr>
      <w:tr w14:paraId="206FA138">
        <w:tblPrEx>
          <w:tblCellMar>
            <w:top w:w="0" w:type="dxa"/>
            <w:left w:w="108" w:type="dxa"/>
            <w:bottom w:w="0" w:type="dxa"/>
            <w:right w:w="108" w:type="dxa"/>
          </w:tblCellMar>
        </w:tblPrEx>
        <w:trPr>
          <w:jc w:val="center"/>
        </w:trPr>
        <w:tc>
          <w:tcPr>
            <w:tcW w:w="11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52121E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象限 D</w:t>
            </w:r>
          </w:p>
        </w:tc>
        <w:tc>
          <w:tcPr>
            <w:tcW w:w="22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94D0B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右下 · 降碳等效与社会责任</w:t>
            </w:r>
          </w:p>
        </w:tc>
        <w:tc>
          <w:tcPr>
            <w:tcW w:w="63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60976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累计碳减排量、等效植树量（万棵）、等效节约标煤量；重点车间排碳时序柱状图</w:t>
            </w:r>
          </w:p>
        </w:tc>
      </w:tr>
    </w:tbl>
    <w:p w14:paraId="0852B837">
      <w:pPr>
        <w:spacing w:after="60"/>
        <w:rPr>
          <w:rFonts w:hint="eastAsia" w:ascii="宋体" w:hAnsi="宋体" w:eastAsia="宋体" w:cs="宋体"/>
          <w:i w:val="0"/>
          <w:iCs w:val="0"/>
          <w:sz w:val="24"/>
          <w:szCs w:val="24"/>
        </w:rPr>
      </w:pPr>
    </w:p>
    <w:p w14:paraId="28BE125E">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交互规则：</w:t>
      </w:r>
    </w:p>
    <w:p w14:paraId="20CF8184">
      <w:pPr>
        <w:pStyle w:val="19"/>
        <w:widowControl/>
        <w:numPr>
          <w:ilvl w:val="0"/>
          <w:numId w:val="2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柱状图悬停游标强制采用微透科技蓝；全屏顶部展示系统时钟（精准到秒）、天气及当前活跃通讯状态。</w:t>
      </w:r>
    </w:p>
    <w:p w14:paraId="73E2D9CA">
      <w:pPr>
        <w:pStyle w:val="19"/>
        <w:widowControl/>
        <w:numPr>
          <w:ilvl w:val="0"/>
          <w:numId w:val="2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象限 B 叠加国家先进值基准标线与集团均值虚线，以偏差柱长短自解释，无主观定性标签。</w:t>
      </w:r>
    </w:p>
    <w:p w14:paraId="318FF444">
      <w:pPr>
        <w:pStyle w:val="19"/>
        <w:widowControl/>
        <w:numPr>
          <w:ilvl w:val="0"/>
          <w:numId w:val="2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象限 C 清晰标注"谷充峰放"执行时段；直供绿电消纳比以仪表盘形态呈现。</w:t>
      </w:r>
    </w:p>
    <w:p w14:paraId="0F78B9BB">
      <w:pPr>
        <w:pStyle w:val="19"/>
        <w:widowControl/>
        <w:numPr>
          <w:ilvl w:val="0"/>
          <w:numId w:val="2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全屏无滚动条，自适应缩放下所有图表保持等比，不出现文字截断。</w:t>
      </w:r>
    </w:p>
    <w:p w14:paraId="1DF35544">
      <w:pPr>
        <w:pStyle w:val="6"/>
        <w:numPr>
          <w:ilvl w:val="0"/>
          <w:numId w:val="2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7"/>
        <w:gridCol w:w="1769"/>
        <w:gridCol w:w="1369"/>
        <w:gridCol w:w="1369"/>
        <w:gridCol w:w="4390"/>
      </w:tblGrid>
      <w:tr w14:paraId="0E611C8E">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EE8FB4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C32961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6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91345A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6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FE899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39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48566A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6FD1F0F7">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15F7FB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497AD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尖峰时段用电量</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E094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C7A5A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43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9287A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0.00；四段之和须等于当日累计电量</w:t>
            </w:r>
          </w:p>
        </w:tc>
      </w:tr>
      <w:tr w14:paraId="74FF8965">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46D0AC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84E76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高峰时段用电量</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FDE2C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19120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43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71885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w:t>
            </w:r>
          </w:p>
        </w:tc>
      </w:tr>
      <w:tr w14:paraId="45D4FE59">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C96320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3FD7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平时段用电量</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DBFB5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7F1B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43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E66D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w:t>
            </w:r>
          </w:p>
        </w:tc>
      </w:tr>
      <w:tr w14:paraId="5779BC9C">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CD85F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BDF14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低谷时段用电量</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33527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C82DB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43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E4AF3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w:t>
            </w:r>
          </w:p>
        </w:tc>
      </w:tr>
      <w:tr w14:paraId="731FFE69">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96C7C0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16B87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分时电量配比</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D65E1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8455E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4FFD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由系统自动计算，不可手工录入</w:t>
            </w:r>
          </w:p>
        </w:tc>
      </w:tr>
      <w:tr w14:paraId="2585C0D1">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5B15BB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BD15D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能效对标偏差量</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3B3E6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84AF0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43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0871E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实测值 − 国家先进值；负值表示优于国家先进值</w:t>
            </w:r>
          </w:p>
        </w:tc>
      </w:tr>
      <w:tr w14:paraId="6FBD24E2">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D3230F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574CB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光伏出力</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0193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33063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MW</w:t>
            </w:r>
          </w:p>
        </w:tc>
        <w:tc>
          <w:tcPr>
            <w:tcW w:w="43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584D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0.000，采样周期 15 分钟</w:t>
            </w:r>
          </w:p>
        </w:tc>
      </w:tr>
      <w:tr w14:paraId="7A82FD51">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366A6C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684EF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储能充放电功率</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F273D2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1C1AB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43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DEAC5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正值充电 / 负值放电，符号语义固定</w:t>
            </w:r>
          </w:p>
        </w:tc>
      </w:tr>
      <w:tr w14:paraId="6B728B13">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D2B4E6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60F2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直供绿电消纳比</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B8EBA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099F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F7C5B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取值范围 0.0 ~ 100.0</w:t>
            </w:r>
          </w:p>
        </w:tc>
      </w:tr>
      <w:tr w14:paraId="0AD9B705">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162072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7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E4A45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累计碳减排量</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AB846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16767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43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6B049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0，按绿电自发自用量 × 区域电网因子核算</w:t>
            </w:r>
          </w:p>
        </w:tc>
      </w:tr>
    </w:tbl>
    <w:p w14:paraId="0C1743A9">
      <w:pPr>
        <w:spacing w:after="60"/>
        <w:rPr>
          <w:rFonts w:hint="eastAsia" w:ascii="宋体" w:hAnsi="宋体" w:eastAsia="宋体" w:cs="宋体"/>
          <w:i w:val="0"/>
          <w:iCs w:val="0"/>
          <w:sz w:val="24"/>
          <w:szCs w:val="24"/>
        </w:rPr>
      </w:pPr>
    </w:p>
    <w:p w14:paraId="097BF657">
      <w:pPr>
        <w:pStyle w:val="6"/>
        <w:numPr>
          <w:ilvl w:val="0"/>
          <w:numId w:val="2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3E555C76">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3DDF322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Q_total = Q_tip + Q_peak + Q_flat + Q_valley  当日累计电量 = 四时段用电量之和</w:t>
            </w:r>
          </w:p>
          <w:p w14:paraId="7E9909C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R_valley = Q_valley / Q_total × 100%         谷段电量占比（越高越好）</w:t>
            </w:r>
          </w:p>
          <w:p w14:paraId="25C6C77D">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Gap = KPI_actual - KPI_national_advanced      能效对标偏差量</w:t>
            </w:r>
          </w:p>
          <w:p w14:paraId="1967F5C2">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E_saved = T_shift × ( P_peak - P_valley ) × η_storage   移峰填谷理论节约金额</w:t>
            </w:r>
          </w:p>
          <w:p w14:paraId="1FA39B35">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C_reduce = P_pv_self × EF_grid               绿电自发自用减排量</w:t>
            </w:r>
          </w:p>
          <w:p w14:paraId="035AFD6B">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N_tree = C_reduce / 18.3                      等效植树量（1 棵树年均固碳 18.3 kgCO2）</w:t>
            </w:r>
          </w:p>
        </w:tc>
      </w:tr>
    </w:tbl>
    <w:p w14:paraId="48A5CBBD">
      <w:pPr>
        <w:spacing w:after="40"/>
        <w:rPr>
          <w:rFonts w:hint="eastAsia" w:ascii="宋体" w:hAnsi="宋体" w:eastAsia="宋体" w:cs="宋体"/>
          <w:i w:val="0"/>
          <w:iCs w:val="0"/>
          <w:sz w:val="24"/>
          <w:szCs w:val="24"/>
        </w:rPr>
      </w:pPr>
    </w:p>
    <w:p w14:paraId="711A957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Q_tip/peak/flat/valley </w:t>
      </w:r>
      <w:r>
        <w:rPr>
          <w:rFonts w:ascii="Times New Roman" w:hAnsi="Times New Roman" w:eastAsia="宋体" w:cs="Times New Roman"/>
          <w:i w:val="0"/>
          <w:color w:val="1F2937"/>
          <w:sz w:val="24"/>
          <w:szCs w:val="24"/>
        </w:rPr>
        <w:t xml:space="preserve"> 分别对应尖、峰、平、谷时段电量；</w:t>
      </w:r>
      <w:r>
        <w:rPr>
          <w:rFonts w:ascii="Times New Roman" w:hAnsi="Times New Roman" w:eastAsia="宋体" w:cs="Times New Roman"/>
          <w:b w:val="0"/>
          <w:i w:val="0"/>
          <w:color w:val="0284C7"/>
          <w:sz w:val="24"/>
          <w:szCs w:val="24"/>
        </w:rPr>
        <w:t xml:space="preserve"> T_shift </w:t>
      </w:r>
      <w:r>
        <w:rPr>
          <w:rFonts w:ascii="Times New Roman" w:hAnsi="Times New Roman" w:eastAsia="宋体" w:cs="Times New Roman"/>
          <w:i w:val="0"/>
          <w:color w:val="1F2937"/>
          <w:sz w:val="24"/>
          <w:szCs w:val="24"/>
        </w:rPr>
        <w:t xml:space="preserve"> 为转移负荷时长；</w:t>
      </w:r>
      <w:r>
        <w:rPr>
          <w:rFonts w:ascii="Times New Roman" w:hAnsi="Times New Roman" w:eastAsia="宋体" w:cs="Times New Roman"/>
          <w:b w:val="0"/>
          <w:i w:val="0"/>
          <w:color w:val="0284C7"/>
          <w:sz w:val="24"/>
          <w:szCs w:val="24"/>
        </w:rPr>
        <w:t xml:space="preserve"> P_peak/P_valley </w:t>
      </w:r>
      <w:r>
        <w:rPr>
          <w:rFonts w:ascii="Times New Roman" w:hAnsi="Times New Roman" w:eastAsia="宋体" w:cs="Times New Roman"/>
          <w:i w:val="0"/>
          <w:color w:val="1F2937"/>
          <w:sz w:val="24"/>
          <w:szCs w:val="24"/>
        </w:rPr>
        <w:t xml:space="preserve"> 为峰谷电价；</w:t>
      </w:r>
      <w:r>
        <w:rPr>
          <w:rFonts w:ascii="Times New Roman" w:hAnsi="Times New Roman" w:eastAsia="宋体" w:cs="Times New Roman"/>
          <w:b w:val="0"/>
          <w:i w:val="0"/>
          <w:color w:val="0284C7"/>
          <w:sz w:val="24"/>
          <w:szCs w:val="24"/>
        </w:rPr>
        <w:t xml:space="preserve"> η_storage </w:t>
      </w:r>
      <w:r>
        <w:rPr>
          <w:rFonts w:ascii="Times New Roman" w:hAnsi="Times New Roman" w:eastAsia="宋体" w:cs="Times New Roman"/>
          <w:i w:val="0"/>
          <w:color w:val="1F2937"/>
          <w:sz w:val="24"/>
          <w:szCs w:val="24"/>
        </w:rPr>
        <w:t xml:space="preserve"> 为储能充放综合效率（默认 0.88）；</w:t>
      </w:r>
      <w:r>
        <w:rPr>
          <w:rFonts w:ascii="Times New Roman" w:hAnsi="Times New Roman" w:eastAsia="宋体" w:cs="Times New Roman"/>
          <w:b w:val="0"/>
          <w:i w:val="0"/>
          <w:color w:val="0284C7"/>
          <w:sz w:val="24"/>
          <w:szCs w:val="24"/>
        </w:rPr>
        <w:t xml:space="preserve"> P_pv_self </w:t>
      </w:r>
      <w:r>
        <w:rPr>
          <w:rFonts w:ascii="Times New Roman" w:hAnsi="Times New Roman" w:eastAsia="宋体" w:cs="Times New Roman"/>
          <w:i w:val="0"/>
          <w:color w:val="1F2937"/>
          <w:sz w:val="24"/>
          <w:szCs w:val="24"/>
        </w:rPr>
        <w:t xml:space="preserve"> 为光伏自发自用量；</w:t>
      </w:r>
      <w:r>
        <w:rPr>
          <w:rFonts w:ascii="Times New Roman" w:hAnsi="Times New Roman" w:eastAsia="宋体" w:cs="Times New Roman"/>
          <w:b w:val="0"/>
          <w:i w:val="0"/>
          <w:color w:val="0284C7"/>
          <w:sz w:val="24"/>
          <w:szCs w:val="24"/>
        </w:rPr>
        <w:t xml:space="preserve"> EF_grid </w:t>
      </w:r>
      <w:r>
        <w:rPr>
          <w:rFonts w:ascii="Times New Roman" w:hAnsi="Times New Roman" w:eastAsia="宋体" w:cs="Times New Roman"/>
          <w:i w:val="0"/>
          <w:color w:val="1F2937"/>
          <w:sz w:val="24"/>
          <w:szCs w:val="24"/>
        </w:rPr>
        <w:t xml:space="preserve"> 为区域电网排放因子。</w:t>
      </w:r>
    </w:p>
    <w:p w14:paraId="0AFC06F2">
      <w:pPr>
        <w:pStyle w:val="6"/>
        <w:numPr>
          <w:ilvl w:val="0"/>
          <w:numId w:val="2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60E4CEC3">
      <w:pPr>
        <w:pStyle w:val="19"/>
        <w:widowControl/>
        <w:numPr>
          <w:ilvl w:val="0"/>
          <w:numId w:val="2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时段口径</w:t>
      </w:r>
      <w:r>
        <w:rPr>
          <w:rFonts w:ascii="Times New Roman" w:hAnsi="Times New Roman" w:eastAsia="宋体" w:cs="Times New Roman"/>
          <w:i w:val="0"/>
          <w:color w:val="1F2937"/>
          <w:sz w:val="24"/>
          <w:szCs w:val="24"/>
        </w:rPr>
        <w:t>：尖/峰/平/谷时段划分严格取自能源价格管理模块最新生效版本，跨版本切换时页面提示时段变更。</w:t>
      </w:r>
    </w:p>
    <w:p w14:paraId="19788BAE">
      <w:pPr>
        <w:pStyle w:val="19"/>
        <w:widowControl/>
        <w:numPr>
          <w:ilvl w:val="0"/>
          <w:numId w:val="2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对标口径</w:t>
      </w:r>
      <w:r>
        <w:rPr>
          <w:rFonts w:ascii="Times New Roman" w:hAnsi="Times New Roman" w:eastAsia="宋体" w:cs="Times New Roman"/>
          <w:i w:val="0"/>
          <w:color w:val="1F2937"/>
          <w:sz w:val="24"/>
          <w:szCs w:val="24"/>
        </w:rPr>
        <w:t>：仅与项目公司同层级实体横向对比，项目公司/在建单位不参与排名与达标统计。</w:t>
      </w:r>
    </w:p>
    <w:p w14:paraId="0CCA8A70">
      <w:pPr>
        <w:pStyle w:val="19"/>
        <w:widowControl/>
        <w:numPr>
          <w:ilvl w:val="0"/>
          <w:numId w:val="2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等效换算口径</w:t>
      </w:r>
      <w:r>
        <w:rPr>
          <w:rFonts w:ascii="Times New Roman" w:hAnsi="Times New Roman" w:eastAsia="宋体" w:cs="Times New Roman"/>
          <w:i w:val="0"/>
          <w:color w:val="1F2937"/>
          <w:sz w:val="24"/>
          <w:szCs w:val="24"/>
        </w:rPr>
        <w:t>：等效植树按 1 棵成年乔木年均固碳 18.3 kgCO2 折算；等效节约标煤按 GB/T 2589 当量值折算。</w:t>
      </w:r>
    </w:p>
    <w:p w14:paraId="30F44C7E">
      <w:pPr>
        <w:pStyle w:val="19"/>
        <w:widowControl/>
        <w:numPr>
          <w:ilvl w:val="0"/>
          <w:numId w:val="2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刷新周期</w:t>
      </w:r>
      <w:r>
        <w:rPr>
          <w:rFonts w:ascii="Times New Roman" w:hAnsi="Times New Roman" w:eastAsia="宋体" w:cs="Times New Roman"/>
          <w:i w:val="0"/>
          <w:color w:val="1F2937"/>
          <w:sz w:val="24"/>
          <w:szCs w:val="24"/>
        </w:rPr>
        <w:t>：分时负荷与微网数据 15 分钟刷新，时钟与通讯状态 1 秒刷新。</w:t>
      </w:r>
    </w:p>
    <w:p w14:paraId="13FB458C">
      <w:pPr>
        <w:pStyle w:val="6"/>
        <w:numPr>
          <w:ilvl w:val="0"/>
          <w:numId w:val="2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5C2C1DCC">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13A6EFD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分时四段电量之和与累计电量偏差超过 0.5%：页面标注"分时数据待核对"，不在大屏上抛出技术错误码。</w:t>
            </w:r>
          </w:p>
          <w:p w14:paraId="3465F84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ETS/电价外链数据源不可用：按最近有效版本测算并标注价格时间戳。</w:t>
            </w:r>
          </w:p>
          <w:p w14:paraId="696E7DB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光伏与储能设备全部离线：象限 C 输出单行客观结论"当前无光伏/储能数据"，严禁空白占位卡片。</w:t>
            </w:r>
          </w:p>
          <w:p w14:paraId="7F25DCD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除零兜底：谷段占比、消纳比等分母为 0 时统一显示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tc>
      </w:tr>
    </w:tbl>
    <w:p w14:paraId="69442215">
      <w:pPr>
        <w:spacing w:after="40"/>
        <w:rPr>
          <w:rFonts w:hint="eastAsia" w:ascii="宋体" w:hAnsi="宋体" w:eastAsia="宋体" w:cs="宋体"/>
          <w:i w:val="0"/>
          <w:iCs w:val="0"/>
          <w:sz w:val="24"/>
          <w:szCs w:val="24"/>
        </w:rPr>
      </w:pPr>
    </w:p>
    <w:p w14:paraId="59FD11BB">
      <w:pPr>
        <w:pStyle w:val="6"/>
        <w:numPr>
          <w:ilvl w:val="0"/>
          <w:numId w:val="22"/>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6F4C7B87">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5970021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综合集控大屏 16:9</w:t>
            </w:r>
          </w:p>
          <w:p w14:paraId="4912B1B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分时电量结构自校验</w:t>
            </w:r>
          </w:p>
          <w:p w14:paraId="6E666AC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园区当日尖、峰、平、谷四段电量均已入账</w:t>
            </w:r>
          </w:p>
          <w:p w14:paraId="0731D45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大屏渲染象限 A 的分时电量堆叠图</w:t>
            </w:r>
          </w:p>
          <w:p w14:paraId="42C604F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四段电量之和与当日累计电量偏差不超过 0.5%</w:t>
            </w:r>
          </w:p>
          <w:p w14:paraId="0276ACB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偏差超限时显示"分时数据待核对"且不抛出技术错误码</w:t>
            </w:r>
          </w:p>
          <w:p w14:paraId="433B364F">
            <w:pPr>
              <w:spacing w:before="0" w:after="20" w:line="264" w:lineRule="auto"/>
              <w:rPr>
                <w:rFonts w:hint="eastAsia" w:ascii="宋体" w:hAnsi="宋体" w:eastAsia="宋体" w:cs="宋体"/>
                <w:i w:val="0"/>
                <w:iCs w:val="0"/>
                <w:sz w:val="24"/>
                <w:szCs w:val="24"/>
              </w:rPr>
            </w:pPr>
          </w:p>
          <w:p w14:paraId="066570D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移峰填谷效益测算</w:t>
            </w:r>
          </w:p>
          <w:p w14:paraId="0A3973B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园区已配置最新生效版本的尖峰平谷电价</w:t>
            </w:r>
          </w:p>
          <w:p w14:paraId="1806670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系统测算谷段充放储能的理论节约金额</w:t>
            </w:r>
          </w:p>
          <w:p w14:paraId="2C663E8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计算结果采用公式 E_saved = T_shift × (P_peak - P_valley) × η_storage</w:t>
            </w:r>
          </w:p>
          <w:p w14:paraId="6862289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储能综合效率取值 0.88</w:t>
            </w:r>
          </w:p>
        </w:tc>
      </w:tr>
    </w:tbl>
    <w:p w14:paraId="047A172B">
      <w:pPr>
        <w:spacing w:after="40"/>
        <w:rPr>
          <w:rFonts w:hint="eastAsia" w:ascii="宋体" w:hAnsi="宋体" w:eastAsia="宋体" w:cs="宋体"/>
          <w:i w:val="0"/>
          <w:iCs w:val="0"/>
          <w:sz w:val="24"/>
          <w:szCs w:val="24"/>
        </w:rPr>
      </w:pPr>
    </w:p>
    <w:p w14:paraId="4AA3585A">
      <w:pPr>
        <w:pStyle w:val="4"/>
        <w:numPr>
          <w:ilvl w:val="0"/>
          <w:numId w:val="15"/>
        </w:numPr>
        <w:topLinePunct w:val="0"/>
        <w:ind w:left="0" w:leftChars="0" w:firstLine="0" w:firstLineChars="0"/>
        <w:outlineLvl w:val="0"/>
        <w:rPr>
          <w:rFonts w:hint="eastAsia" w:eastAsia="黑体"/>
          <w:b w:val="0"/>
          <w:bCs w:val="0"/>
          <w:sz w:val="30"/>
          <w:szCs w:val="32"/>
        </w:rPr>
      </w:pPr>
      <w:bookmarkStart w:id="14" w:name="_Toc5744"/>
      <w:r>
        <w:rPr>
          <w:rFonts w:ascii="Times New Roman" w:hAnsi="Times New Roman" w:eastAsia="黑体" w:cs="Times New Roman"/>
          <w:b w:val="0"/>
          <w:bCs w:val="0"/>
          <w:sz w:val="30"/>
          <w:szCs w:val="32"/>
        </w:rPr>
        <w:t>集中监管</w:t>
      </w:r>
      <w:bookmarkEnd w:id="14"/>
    </w:p>
    <w:p w14:paraId="22E1B7C2">
      <w:pPr>
        <w:pStyle w:val="5"/>
        <w:numPr>
          <w:ilvl w:val="0"/>
          <w:numId w:val="27"/>
        </w:numPr>
        <w:ind w:left="0" w:leftChars="0" w:firstLine="0" w:firstLineChars="0"/>
        <w:outlineLvl w:val="1"/>
        <w:rPr>
          <w:rFonts w:eastAsia="黑体"/>
          <w:b w:val="0"/>
          <w:bCs w:val="0"/>
          <w:sz w:val="30"/>
          <w:szCs w:val="24"/>
        </w:rPr>
      </w:pPr>
      <w:bookmarkStart w:id="15" w:name="_Toc7844"/>
      <w:r>
        <w:rPr>
          <w:rFonts w:ascii="Times New Roman" w:hAnsi="Times New Roman" w:eastAsia="黑体" w:cs="Times New Roman"/>
          <w:b w:val="0"/>
          <w:bCs w:val="0"/>
          <w:sz w:val="30"/>
          <w:szCs w:val="24"/>
        </w:rPr>
        <w:t>指标管控</w:t>
      </w:r>
      <w:bookmarkEnd w:id="15"/>
    </w:p>
    <w:p w14:paraId="0F0E3F16">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7"/>
                    <a:stretch>
                      <a:fillRect/>
                    </a:stretch>
                  </pic:blipFill>
                  <pic:spPr>
                    <a:xfrm>
                      <a:off x="0" y="0"/>
                      <a:ext cx="6210300" cy="3079115"/>
                    </a:xfrm>
                    <a:prstGeom prst="rect">
                      <a:avLst/>
                    </a:prstGeom>
                    <a:noFill/>
                    <a:ln>
                      <a:noFill/>
                    </a:ln>
                  </pic:spPr>
                </pic:pic>
              </a:graphicData>
            </a:graphic>
          </wp:inline>
        </w:drawing>
      </w:r>
    </w:p>
    <w:p w14:paraId="124DF4CB">
      <w:pPr>
        <w:pStyle w:val="6"/>
        <w:numPr>
          <w:ilvl w:val="0"/>
          <w:numId w:val="2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12FC7759">
      <w:pPr>
        <w:pStyle w:val="19"/>
        <w:widowControl/>
        <w:numPr>
          <w:ilvl w:val="0"/>
          <w:numId w:val="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：作为全集团能碳运行中枢，构建 Mode A（宏观指标卡片矩阵）与 Mode B（深入分析详情内页）双模无损穿透体系，彻底剥离冗余标签，实现纯粹的工业数据自解释。</w:t>
      </w:r>
    </w:p>
    <w:p w14:paraId="028480BE">
      <w:pPr>
        <w:pStyle w:val="19"/>
        <w:widowControl/>
        <w:numPr>
          <w:ilvl w:val="0"/>
          <w:numId w:val="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：P1 集团决策层（宏观视角）、P2 园区能碳专员（穿透排查视角）。</w:t>
      </w:r>
    </w:p>
    <w:p w14:paraId="2F0B88A7">
      <w:pPr>
        <w:pStyle w:val="19"/>
        <w:widowControl/>
        <w:numPr>
          <w:ilvl w:val="0"/>
          <w:numId w:val="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/monitor/indicators </w:t>
      </w:r>
      <w:r>
        <w:rPr>
          <w:rFonts w:ascii="Times New Roman" w:hAnsi="Times New Roman" w:eastAsia="宋体" w:cs="Times New Roman"/>
          <w:i w:val="0"/>
          <w:color w:val="1F2937"/>
          <w:sz w:val="24"/>
          <w:szCs w:val="24"/>
        </w:rPr>
        <w:t xml:space="preserve">；详情内页 </w:t>
      </w:r>
      <w:r>
        <w:rPr>
          <w:rFonts w:ascii="Times New Roman" w:hAnsi="Times New Roman" w:eastAsia="宋体" w:cs="Times New Roman"/>
          <w:b w:val="0"/>
          <w:i w:val="0"/>
          <w:color w:val="0284C7"/>
          <w:sz w:val="24"/>
          <w:szCs w:val="24"/>
        </w:rPr>
        <w:t xml:space="preserve"> /monitor/indicators/detail/:kpiCode </w:t>
      </w:r>
      <w:r>
        <w:rPr>
          <w:rFonts w:ascii="Times New Roman" w:hAnsi="Times New Roman" w:eastAsia="宋体" w:cs="Times New Roman"/>
          <w:i w:val="0"/>
          <w:color w:val="1F2937"/>
          <w:sz w:val="24"/>
          <w:szCs w:val="24"/>
        </w:rPr>
        <w:t>。</w:t>
      </w:r>
    </w:p>
    <w:p w14:paraId="1E2A08A9">
      <w:pPr>
        <w:pStyle w:val="19"/>
        <w:widowControl/>
        <w:numPr>
          <w:ilvl w:val="0"/>
          <w:numId w:val="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：用能在线监测实时采集数据、基础参数配置的折标系数与能源价格版本、组织架构六级主数据。</w:t>
      </w:r>
    </w:p>
    <w:p w14:paraId="6D557549">
      <w:pPr>
        <w:pStyle w:val="19"/>
        <w:widowControl/>
        <w:numPr>
          <w:ilvl w:val="0"/>
          <w:numId w:val="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：数据变化桑基图归因结果、对标管理输入、统计报表口径来源、零碳工厂自评估指标输入。</w:t>
      </w:r>
    </w:p>
    <w:p w14:paraId="6040B37D">
      <w:pPr>
        <w:pStyle w:val="19"/>
        <w:widowControl/>
        <w:numPr>
          <w:ilvl w:val="0"/>
          <w:numId w:val="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本文档定位</w:t>
      </w:r>
      <w:r>
        <w:rPr>
          <w:rFonts w:ascii="Times New Roman" w:hAnsi="Times New Roman" w:eastAsia="宋体" w:cs="Times New Roman"/>
          <w:i w:val="0"/>
          <w:color w:val="1F2937"/>
          <w:sz w:val="24"/>
          <w:szCs w:val="24"/>
        </w:rPr>
        <w:t>：本模块为 v2.0 全量模块的</w:t>
      </w:r>
      <w:r>
        <w:rPr>
          <w:rFonts w:ascii="Times New Roman" w:hAnsi="Times New Roman" w:eastAsia="宋体" w:cs="Times New Roman"/>
          <w:b/>
          <w:i w:val="0"/>
          <w:color w:val="1E3A8A"/>
          <w:sz w:val="24"/>
          <w:szCs w:val="24"/>
        </w:rPr>
        <w:t>结构样板与颗粒度基准</w:t>
      </w:r>
      <w:r>
        <w:rPr>
          <w:rFonts w:ascii="Times New Roman" w:hAnsi="Times New Roman" w:eastAsia="宋体" w:cs="Times New Roman"/>
          <w:i w:val="0"/>
          <w:color w:val="1F2937"/>
          <w:sz w:val="24"/>
          <w:szCs w:val="24"/>
        </w:rPr>
        <w:t>，其余模块均对齐本模块的八段式完整度。</w:t>
      </w:r>
    </w:p>
    <w:p w14:paraId="1B54E29A">
      <w:pPr>
        <w:pStyle w:val="6"/>
        <w:numPr>
          <w:ilvl w:val="0"/>
          <w:numId w:val="2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495651DE">
      <w:pPr>
        <w:pStyle w:val="19"/>
        <w:widowControl/>
        <w:numPr>
          <w:ilvl w:val="0"/>
          <w:numId w:val="3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：集团月度能碳经营分析会上，决策层需一屏掌握 10 项核心指标的水平与走势；园区能碳专员需对异常指标逐层穿透至工厂、产线、工序与底层仪表，定位跑冒滴漏根因。</w:t>
      </w:r>
    </w:p>
    <w:p w14:paraId="1D77F438">
      <w:pPr>
        <w:pStyle w:val="19"/>
        <w:widowControl/>
        <w:numPr>
          <w:ilvl w:val="0"/>
          <w:numId w:val="3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3AD72F9B">
      <w:pPr>
        <w:pStyle w:val="19"/>
        <w:widowControl/>
        <w:numPr>
          <w:ilvl w:val="0"/>
          <w:numId w:val="3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园区能碳专员 (Persona P2)</w:t>
      </w:r>
      <w:r>
        <w:rPr>
          <w:rFonts w:ascii="Times New Roman" w:hAnsi="Times New Roman" w:eastAsia="宋体" w:cs="Times New Roman"/>
          <w:i w:val="0"/>
          <w:color w:val="1F2937"/>
          <w:sz w:val="24"/>
          <w:szCs w:val="24"/>
        </w:rPr>
        <w:t>，</w:t>
      </w:r>
    </w:p>
    <w:p w14:paraId="31BD20F0">
      <w:pPr>
        <w:pStyle w:val="19"/>
        <w:widowControl/>
        <w:numPr>
          <w:ilvl w:val="0"/>
          <w:numId w:val="3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在指标卡片矩阵中按组织树与时间维度查看 10 项核心指标，并点击任意指标卡穿透查看其分子分母工程物理量、核算公式、仪表点位路径与近 12 个月趋势</w:t>
      </w:r>
      <w:r>
        <w:rPr>
          <w:rFonts w:ascii="Times New Roman" w:hAnsi="Times New Roman" w:eastAsia="宋体" w:cs="Times New Roman"/>
          <w:i w:val="0"/>
          <w:color w:val="1F2937"/>
          <w:sz w:val="24"/>
          <w:szCs w:val="24"/>
        </w:rPr>
        <w:t>，</w:t>
      </w:r>
    </w:p>
    <w:p w14:paraId="05E3A3BE">
      <w:pPr>
        <w:pStyle w:val="19"/>
        <w:widowControl/>
        <w:numPr>
          <w:ilvl w:val="0"/>
          <w:numId w:val="3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我能精准定位某工厂某工序的能耗异常根因，形成可追溯的整改依据</w:t>
      </w:r>
      <w:r>
        <w:rPr>
          <w:rFonts w:ascii="Times New Roman" w:hAnsi="Times New Roman" w:eastAsia="宋体" w:cs="Times New Roman"/>
          <w:i w:val="0"/>
          <w:color w:val="1F2937"/>
          <w:sz w:val="24"/>
          <w:szCs w:val="24"/>
        </w:rPr>
        <w:t>。</w:t>
      </w:r>
    </w:p>
    <w:p w14:paraId="79DC1AAD">
      <w:pPr>
        <w:pStyle w:val="6"/>
        <w:numPr>
          <w:ilvl w:val="0"/>
          <w:numId w:val="2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73394B51">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页面通用交互规则：</w:t>
      </w:r>
    </w:p>
    <w:p w14:paraId="45D481F9">
      <w:pPr>
        <w:pStyle w:val="19"/>
        <w:widowControl/>
        <w:numPr>
          <w:ilvl w:val="0"/>
          <w:numId w:val="3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左侧组织树</w:t>
      </w:r>
      <w:r>
        <w:rPr>
          <w:rFonts w:ascii="Times New Roman" w:hAnsi="Times New Roman" w:eastAsia="宋体" w:cs="Times New Roman"/>
          <w:i w:val="0"/>
          <w:color w:val="1F2937"/>
          <w:sz w:val="24"/>
          <w:szCs w:val="24"/>
        </w:rPr>
        <w:t>：左侧企业组织结构树 4 级结构驱动右侧数据联动，支持产业集团、二级公司及工厂级下钻（参考：附录 C）。</w:t>
      </w:r>
    </w:p>
    <w:p w14:paraId="0CE6586B">
      <w:pPr>
        <w:pStyle w:val="19"/>
        <w:widowControl/>
        <w:numPr>
          <w:ilvl w:val="0"/>
          <w:numId w:val="3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顶部控制</w:t>
      </w:r>
      <w:r>
        <w:rPr>
          <w:rFonts w:ascii="Times New Roman" w:hAnsi="Times New Roman" w:eastAsia="宋体" w:cs="Times New Roman"/>
          <w:i w:val="0"/>
          <w:color w:val="1F2937"/>
          <w:sz w:val="24"/>
          <w:szCs w:val="24"/>
        </w:rPr>
        <w:t>：右上方提供时间维度选择（月 / 年）与时间范围选择（跨月区间）。</w:t>
      </w:r>
    </w:p>
    <w:p w14:paraId="7D10C807">
      <w:pPr>
        <w:pStyle w:val="19"/>
        <w:widowControl/>
        <w:numPr>
          <w:ilvl w:val="0"/>
          <w:numId w:val="3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时间筛选条件</w:t>
      </w:r>
      <w:r>
        <w:rPr>
          <w:rFonts w:ascii="Times New Roman" w:hAnsi="Times New Roman" w:eastAsia="宋体" w:cs="Times New Roman"/>
          <w:i w:val="0"/>
          <w:color w:val="1F2937"/>
          <w:sz w:val="24"/>
          <w:szCs w:val="24"/>
        </w:rPr>
        <w:t>：选择【月度】【季度】【年度】时下方数据同步进行更新。</w:t>
      </w:r>
    </w:p>
    <w:p w14:paraId="5DBA4C61">
      <w:pPr>
        <w:pStyle w:val="19"/>
        <w:widowControl/>
        <w:numPr>
          <w:ilvl w:val="0"/>
          <w:numId w:val="3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双模穿透</w:t>
      </w:r>
      <w:r>
        <w:rPr>
          <w:rFonts w:ascii="Times New Roman" w:hAnsi="Times New Roman" w:eastAsia="宋体" w:cs="Times New Roman"/>
          <w:i w:val="0"/>
          <w:color w:val="1F2937"/>
          <w:sz w:val="24"/>
          <w:szCs w:val="24"/>
        </w:rPr>
        <w:t>：Mode A 为宏观指标卡片矩阵；点击任意卡片平滑展开 Mode B 详情内页（无页面跳转，采用侧滑内页），点击返回恢复 Mode A 且保留筛选上下文。</w:t>
      </w:r>
    </w:p>
    <w:p w14:paraId="785069A3">
      <w:pPr>
        <w:pStyle w:val="7"/>
        <w:numPr>
          <w:ilvl w:val="0"/>
          <w:numId w:val="32"/>
        </w:numPr>
        <w:ind w:left="0" w:leftChars="0" w:firstLine="0" w:firstLineChars="0"/>
        <w:outlineLvl w:val="3"/>
        <w:rPr>
          <w:rFonts w:eastAsia="黑体"/>
          <w:b w:val="0"/>
          <w:bCs/>
          <w:sz w:val="28"/>
          <w:szCs w:val="28"/>
        </w:rPr>
      </w:pPr>
      <w:r>
        <w:rPr>
          <w:rFonts w:ascii="Times New Roman" w:hAnsi="Times New Roman" w:eastAsia="黑体" w:cs="Times New Roman"/>
          <w:b w:val="0"/>
          <w:bCs/>
          <w:sz w:val="28"/>
          <w:szCs w:val="28"/>
        </w:rPr>
        <w:t>经营单位及项目公司整体指标</w:t>
      </w:r>
    </w:p>
    <w:p w14:paraId="59F16D6E">
      <w:pPr>
        <w:pStyle w:val="19"/>
        <w:widowControl/>
        <w:numPr>
          <w:ilvl w:val="0"/>
          <w:numId w:val="3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指标卡片</w:t>
      </w:r>
      <w:r>
        <w:rPr>
          <w:rFonts w:ascii="Times New Roman" w:hAnsi="Times New Roman" w:eastAsia="宋体" w:cs="Times New Roman"/>
          <w:i w:val="0"/>
          <w:color w:val="1F2937"/>
          <w:sz w:val="24"/>
          <w:szCs w:val="24"/>
        </w:rPr>
        <w:t>：重点指标大号数值展示，各指标值右侧提供向上/向下箭头表示同比变化，并用三种颜色表示优秀值、正常值、异常值（与标杆值 / 基准值对比）。</w:t>
      </w:r>
    </w:p>
    <w:p w14:paraId="38381D48">
      <w:pPr>
        <w:pStyle w:val="19"/>
        <w:widowControl/>
        <w:numPr>
          <w:ilvl w:val="0"/>
          <w:numId w:val="3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详情展开</w:t>
      </w:r>
      <w:r>
        <w:rPr>
          <w:rFonts w:ascii="Times New Roman" w:hAnsi="Times New Roman" w:eastAsia="宋体" w:cs="Times New Roman"/>
          <w:i w:val="0"/>
          <w:color w:val="1F2937"/>
          <w:sz w:val="24"/>
          <w:szCs w:val="24"/>
        </w:rPr>
        <w:t>：点击任意指标卡片平滑展开 Mode B 详情内页，呈现指标标准定义、分子分母工程物理量、核算公式、仪表点位路径、近 12 个月趋势图与底层水电气汽折标台账。</w:t>
      </w:r>
    </w:p>
    <w:p w14:paraId="4DAFA394">
      <w:pPr>
        <w:pStyle w:val="19"/>
        <w:widowControl/>
        <w:numPr>
          <w:ilvl w:val="0"/>
          <w:numId w:val="3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：同比变化以箭头 + 三色表达（绿：下降 / 红：上涨 / 灰：持平）。</w:t>
      </w:r>
    </w:p>
    <w:p w14:paraId="0573BC5E">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指标聚合口径矩阵（22 项参数 × 4 级节点）：</w:t>
      </w:r>
    </w:p>
    <w:tbl>
      <w:tblPr>
        <w:tblStyle w:val="38"/>
        <w:tblW w:w="9454" w:type="dxa"/>
        <w:jc w:val="center"/>
        <w:tblLayout w:type="autofit"/>
        <w:tblCellMar>
          <w:top w:w="0" w:type="dxa"/>
          <w:left w:w="108" w:type="dxa"/>
          <w:bottom w:w="0" w:type="dxa"/>
          <w:right w:w="108" w:type="dxa"/>
        </w:tblCellMar>
      </w:tblPr>
      <w:tblGrid>
        <w:gridCol w:w="2638"/>
        <w:gridCol w:w="2641"/>
        <w:gridCol w:w="2641"/>
        <w:gridCol w:w="1534"/>
      </w:tblGrid>
      <w:tr w14:paraId="76283B5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6C99B56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一级节点</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0E4E67C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二级节点</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29798EB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三级节点</w:t>
            </w:r>
          </w:p>
        </w:tc>
        <w:tc>
          <w:tcPr>
            <w:tcW w:w="153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70CCCAC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四级节点（工厂）</w:t>
            </w:r>
          </w:p>
        </w:tc>
      </w:tr>
      <w:tr w14:paraId="4AE3E17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615846F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下级工厂数据汇总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23DAFC5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下级工厂数据汇总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42B347E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下级工厂数据汇总</w:t>
            </w:r>
          </w:p>
        </w:tc>
        <w:tc>
          <w:tcPr>
            <w:tcW w:w="15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71167C0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显示工厂数据</w:t>
            </w:r>
          </w:p>
        </w:tc>
      </w:tr>
      <w:tr w14:paraId="56F0C8B2">
        <w:tblPrEx>
          <w:tblCellMar>
            <w:top w:w="0" w:type="dxa"/>
            <w:left w:w="108" w:type="dxa"/>
            <w:bottom w:w="0" w:type="dxa"/>
            <w:right w:w="108" w:type="dxa"/>
          </w:tblCellMar>
        </w:tblPrEx>
        <w:trPr>
          <w:jc w:val="center"/>
        </w:trPr>
        <w:tc>
          <w:tcPr>
            <w:tcW w:w="26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6E57077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下级工厂分子分母相加后再计算占比</w:t>
            </w:r>
          </w:p>
        </w:tc>
        <w:tc>
          <w:tcPr>
            <w:tcW w:w="26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4E43E84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下级工厂分子分母相加后再计算占比</w:t>
            </w:r>
          </w:p>
        </w:tc>
        <w:tc>
          <w:tcPr>
            <w:tcW w:w="26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35A944B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下级工厂分子分母相加后再计算占比</w:t>
            </w:r>
          </w:p>
        </w:tc>
        <w:tc>
          <w:tcPr>
            <w:tcW w:w="15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0E6A6EE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显示工厂数据</w:t>
            </w:r>
          </w:p>
        </w:tc>
      </w:tr>
    </w:tbl>
    <w:p w14:paraId="4A5656B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10 项核心指标字典：</w:t>
      </w:r>
    </w:p>
    <w:tbl>
      <w:tblPr>
        <w:tblStyle w:val="38"/>
        <w:tblW w:w="9530" w:type="dxa"/>
        <w:jc w:val="center"/>
        <w:tblLayout w:type="autofit"/>
        <w:tblCellMar>
          <w:top w:w="0" w:type="dxa"/>
          <w:left w:w="108" w:type="dxa"/>
          <w:bottom w:w="0" w:type="dxa"/>
          <w:right w:w="108" w:type="dxa"/>
        </w:tblCellMar>
      </w:tblPr>
      <w:tblGrid>
        <w:gridCol w:w="882"/>
        <w:gridCol w:w="1585"/>
        <w:gridCol w:w="1234"/>
        <w:gridCol w:w="1863"/>
        <w:gridCol w:w="3966"/>
      </w:tblGrid>
      <w:tr w14:paraId="66A941F9">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AFE2E5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58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860350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指标名称</w:t>
            </w:r>
          </w:p>
        </w:tc>
        <w:tc>
          <w:tcPr>
            <w:tcW w:w="123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128C2C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单位</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55B259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核算数学模型</w:t>
            </w:r>
          </w:p>
        </w:tc>
        <w:tc>
          <w:tcPr>
            <w:tcW w:w="396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D00E796">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说明</w:t>
            </w:r>
          </w:p>
        </w:tc>
      </w:tr>
      <w:tr w14:paraId="630B251B">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696ED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5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D82E4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综合能源消费量</w:t>
            </w:r>
          </w:p>
        </w:tc>
        <w:tc>
          <w:tcPr>
            <w:tcW w:w="12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6B235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C1F73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Σ(E_i × k_i)</w:t>
            </w:r>
          </w:p>
        </w:tc>
        <w:tc>
          <w:tcPr>
            <w:tcW w:w="396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B2EFEA">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月度指标。E 为综合能源消耗量；n 为消耗的能源种类数；E_i 为第 i 种能源实际消耗量；k_i 为第 i 种能源折标准煤系数</w:t>
            </w:r>
          </w:p>
        </w:tc>
      </w:tr>
      <w:tr w14:paraId="6DE77E55">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A229B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5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996B2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总碳排放量</w:t>
            </w:r>
          </w:p>
        </w:tc>
        <w:tc>
          <w:tcPr>
            <w:tcW w:w="12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02B69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3B7E1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C = C_燃烧 + C_购入电 + C_购入热</w:t>
            </w:r>
          </w:p>
        </w:tc>
        <w:tc>
          <w:tcPr>
            <w:tcW w:w="396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3850DD">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月度指标。C 为二氧化碳总排放量；C_燃烧 为化石燃料燃烧排放；C_购入电 为购入电力排放；C_购入热 为购入热力排放</w:t>
            </w:r>
          </w:p>
        </w:tc>
      </w:tr>
      <w:tr w14:paraId="3FB271AB">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46F06A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5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5AE44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单位能耗碳排放</w:t>
            </w:r>
          </w:p>
        </w:tc>
        <w:tc>
          <w:tcPr>
            <w:tcW w:w="12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8ACDF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tCO2/tce</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607E8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I = C / E</w:t>
            </w:r>
          </w:p>
        </w:tc>
        <w:tc>
          <w:tcPr>
            <w:tcW w:w="396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119A45">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月度指标。I 为单位能耗碳排放；C 为二氧化碳排放量；E 为综合能源消耗量</w:t>
            </w:r>
          </w:p>
        </w:tc>
      </w:tr>
      <w:tr w14:paraId="1CE70ABA">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909DC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5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B377C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非化石能源消费占比</w:t>
            </w:r>
          </w:p>
        </w:tc>
        <w:tc>
          <w:tcPr>
            <w:tcW w:w="12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19A7A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6B779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r = R / E × 100%</w:t>
            </w:r>
          </w:p>
        </w:tc>
        <w:tc>
          <w:tcPr>
            <w:tcW w:w="396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6DFE14">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月度指标。R 为各类非化石能源消费量（不含原料用能）；E 为综合能源消费量（不含原料用能）</w:t>
            </w:r>
          </w:p>
        </w:tc>
      </w:tr>
      <w:tr w14:paraId="4F9A4EC7">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4413D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5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027B7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非化石能源电力消费物理认定量占比</w:t>
            </w:r>
          </w:p>
        </w:tc>
        <w:tc>
          <w:tcPr>
            <w:tcW w:w="12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191E2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CA13E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E_{ui} = E_z / Q × 100%</w:t>
            </w:r>
          </w:p>
        </w:tc>
        <w:tc>
          <w:tcPr>
            <w:tcW w:w="396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07068D">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月度指标。E_z 为具备物理可溯源条件的非化石能源电力消费量；Q 为总用电量</w:t>
            </w:r>
          </w:p>
        </w:tc>
      </w:tr>
      <w:tr w14:paraId="0B0F0B45">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CAA44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5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2E506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单位工业增加值能耗</w:t>
            </w:r>
          </w:p>
        </w:tc>
        <w:tc>
          <w:tcPr>
            <w:tcW w:w="12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7D5FC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C042A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E_{nva} = E / G_{nva}</w:t>
            </w:r>
          </w:p>
        </w:tc>
        <w:tc>
          <w:tcPr>
            <w:tcW w:w="396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EE3490">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月度指标。G_nva 为工业增加值（万元）</w:t>
            </w:r>
          </w:p>
        </w:tc>
      </w:tr>
      <w:tr w14:paraId="58F7C604">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AB815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5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628C1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单位产值能耗</w:t>
            </w:r>
          </w:p>
        </w:tc>
        <w:tc>
          <w:tcPr>
            <w:tcW w:w="12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541CA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DF004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g = E / G</w:t>
            </w:r>
          </w:p>
        </w:tc>
        <w:tc>
          <w:tcPr>
            <w:tcW w:w="396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7157C8">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月度指标。G 为产品产值（万元）</w:t>
            </w:r>
          </w:p>
        </w:tc>
      </w:tr>
      <w:tr w14:paraId="7AD65D99">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D43DE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5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75423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水资源消耗量</w:t>
            </w:r>
          </w:p>
        </w:tc>
        <w:tc>
          <w:tcPr>
            <w:tcW w:w="12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6693F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65E55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W = Σ W_i</w:t>
            </w:r>
          </w:p>
        </w:tc>
        <w:tc>
          <w:tcPr>
            <w:tcW w:w="396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328253">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月度指标。W_i 为各车间、工段及公辅设施水表计量用水量</w:t>
            </w:r>
          </w:p>
        </w:tc>
      </w:tr>
      <w:tr w14:paraId="55CCA650">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606CD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5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C6BBE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节能装备应用占比</w:t>
            </w:r>
          </w:p>
        </w:tc>
        <w:tc>
          <w:tcPr>
            <w:tcW w:w="12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3C1BB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740C7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S = R_{es} / E_{ts} × 100%</w:t>
            </w:r>
          </w:p>
        </w:tc>
        <w:tc>
          <w:tcPr>
            <w:tcW w:w="396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B0ACCA">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月度指标。R_es 为达到或优于能效国标 2 级水平装备累计额定总功率；E_ts 为纳入统计范围装备累计额定总功率</w:t>
            </w:r>
          </w:p>
        </w:tc>
      </w:tr>
      <w:tr w14:paraId="51AED9C8">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365ED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5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6C4FB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开展产品碳足迹分析占比</w:t>
            </w:r>
          </w:p>
        </w:tc>
        <w:tc>
          <w:tcPr>
            <w:tcW w:w="12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083C7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8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7DE2A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R_{cf} = N_{cf} / N × 100%</w:t>
            </w:r>
          </w:p>
        </w:tc>
        <w:tc>
          <w:tcPr>
            <w:tcW w:w="396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6BAFF2">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月度指标。N_cf 为已开展主要产品碳足迹分析的产品类别数量；N 为主要产品类别总数</w:t>
            </w:r>
          </w:p>
        </w:tc>
      </w:tr>
    </w:tbl>
    <w:p w14:paraId="2E46F005">
      <w:pPr>
        <w:spacing w:after="60"/>
        <w:rPr>
          <w:rFonts w:hint="eastAsia" w:ascii="宋体" w:hAnsi="宋体" w:eastAsia="宋体" w:cs="宋体"/>
          <w:i w:val="0"/>
          <w:iCs w:val="0"/>
          <w:sz w:val="24"/>
          <w:szCs w:val="24"/>
        </w:rPr>
      </w:pPr>
    </w:p>
    <w:p w14:paraId="3C4F1513">
      <w:pPr>
        <w:pStyle w:val="7"/>
        <w:numPr>
          <w:ilvl w:val="0"/>
          <w:numId w:val="32"/>
        </w:numPr>
        <w:ind w:left="0" w:leftChars="0" w:firstLine="0" w:firstLineChars="0"/>
        <w:outlineLvl w:val="3"/>
        <w:rPr>
          <w:rFonts w:eastAsia="黑体"/>
          <w:b w:val="0"/>
          <w:bCs/>
          <w:sz w:val="28"/>
          <w:szCs w:val="28"/>
        </w:rPr>
      </w:pPr>
      <w:r>
        <w:rPr>
          <w:rFonts w:ascii="Times New Roman" w:hAnsi="Times New Roman" w:eastAsia="黑体" w:cs="Times New Roman"/>
          <w:b w:val="0"/>
          <w:bCs/>
          <w:sz w:val="28"/>
          <w:szCs w:val="28"/>
        </w:rPr>
        <w:t>数据变化桑基图</w:t>
      </w:r>
    </w:p>
    <w:p w14:paraId="554F21A8">
      <w:pPr>
        <w:pStyle w:val="19"/>
        <w:widowControl/>
        <w:numPr>
          <w:ilvl w:val="0"/>
          <w:numId w:val="3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显示逻辑</w:t>
      </w:r>
      <w:r>
        <w:rPr>
          <w:rFonts w:ascii="Times New Roman" w:hAnsi="Times New Roman" w:eastAsia="宋体" w:cs="Times New Roman"/>
          <w:i w:val="0"/>
          <w:color w:val="1F2937"/>
          <w:sz w:val="24"/>
          <w:szCs w:val="24"/>
        </w:rPr>
        <w:t>：桑基图仅在选择 1 级节点时显示。</w:t>
      </w:r>
    </w:p>
    <w:p w14:paraId="2001C284">
      <w:pPr>
        <w:pStyle w:val="19"/>
        <w:widowControl/>
        <w:numPr>
          <w:ilvl w:val="0"/>
          <w:numId w:val="3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：对集团、单位、工厂之间维度的数据变化归因流展示，呈现指标变化量在各级经营单位 / 项目公司间的分布与贡献度。</w:t>
      </w:r>
    </w:p>
    <w:p w14:paraId="471B5008">
      <w:pPr>
        <w:pStyle w:val="19"/>
        <w:widowControl/>
        <w:numPr>
          <w:ilvl w:val="0"/>
          <w:numId w:val="3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交互规则</w:t>
      </w:r>
      <w:r>
        <w:rPr>
          <w:rFonts w:ascii="Times New Roman" w:hAnsi="Times New Roman" w:eastAsia="宋体" w:cs="Times New Roman"/>
          <w:i w:val="0"/>
          <w:color w:val="1F2937"/>
          <w:sz w:val="24"/>
          <w:szCs w:val="24"/>
        </w:rPr>
        <w:t>：点击 3.1 卡片中 10 项核心指标时，下方桑基图根据所选指标的不同进行展示。</w:t>
      </w:r>
    </w:p>
    <w:tbl>
      <w:tblPr>
        <w:tblStyle w:val="38"/>
        <w:tblW w:w="9784" w:type="dxa"/>
        <w:jc w:val="center"/>
        <w:tblLayout w:type="autofit"/>
        <w:tblCellMar>
          <w:top w:w="0" w:type="dxa"/>
          <w:left w:w="108" w:type="dxa"/>
          <w:bottom w:w="0" w:type="dxa"/>
          <w:right w:w="108" w:type="dxa"/>
        </w:tblCellMar>
      </w:tblPr>
      <w:tblGrid>
        <w:gridCol w:w="646"/>
        <w:gridCol w:w="1416"/>
        <w:gridCol w:w="5226"/>
        <w:gridCol w:w="2496"/>
      </w:tblGrid>
      <w:tr w14:paraId="44711D38">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C471B1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1746F53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节点/字段</w:t>
            </w:r>
          </w:p>
        </w:tc>
        <w:tc>
          <w:tcPr>
            <w:tcW w:w="522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6339FF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说明</w:t>
            </w:r>
          </w:p>
        </w:tc>
        <w:tc>
          <w:tcPr>
            <w:tcW w:w="249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D20C9F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数据来源</w:t>
            </w:r>
          </w:p>
        </w:tc>
      </w:tr>
      <w:tr w14:paraId="6F6EBB0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596287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0A2EEF9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源节点</w:t>
            </w:r>
          </w:p>
        </w:tc>
        <w:tc>
          <w:tcPr>
            <w:tcW w:w="522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F96DF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指标变化发起节点</w:t>
            </w:r>
          </w:p>
        </w:tc>
        <w:tc>
          <w:tcPr>
            <w:tcW w:w="24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14F9A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指标管控计算</w:t>
            </w:r>
          </w:p>
        </w:tc>
      </w:tr>
      <w:tr w14:paraId="0363DF46">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10A7AF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2200DD7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流量</w:t>
            </w:r>
          </w:p>
        </w:tc>
        <w:tc>
          <w:tcPr>
            <w:tcW w:w="522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CCDEA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指标变化量</w:t>
            </w:r>
          </w:p>
        </w:tc>
        <w:tc>
          <w:tcPr>
            <w:tcW w:w="24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53667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环比 / 同比计算结果</w:t>
            </w:r>
          </w:p>
        </w:tc>
      </w:tr>
      <w:tr w14:paraId="135DE26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D49AAF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2B8D7FB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目标节点</w:t>
            </w:r>
          </w:p>
        </w:tc>
        <w:tc>
          <w:tcPr>
            <w:tcW w:w="522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7AE74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变化归集到的经营单位 / 项目公司 / 时间粒度</w:t>
            </w:r>
          </w:p>
        </w:tc>
        <w:tc>
          <w:tcPr>
            <w:tcW w:w="24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E4DD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指标台账</w:t>
            </w:r>
          </w:p>
        </w:tc>
      </w:tr>
      <w:tr w14:paraId="7622E39E">
        <w:tblPrEx>
          <w:tblCellMar>
            <w:top w:w="0" w:type="dxa"/>
            <w:left w:w="108" w:type="dxa"/>
            <w:bottom w:w="0" w:type="dxa"/>
            <w:right w:w="108" w:type="dxa"/>
          </w:tblCellMar>
        </w:tblPrEx>
        <w:trPr>
          <w:jc w:val="center"/>
        </w:trPr>
        <w:tc>
          <w:tcPr>
            <w:tcW w:w="64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9D6DBA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4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2BFD500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悬浮交互</w:t>
            </w:r>
          </w:p>
        </w:tc>
        <w:tc>
          <w:tcPr>
            <w:tcW w:w="522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D4D8E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显示流经值与占比</w:t>
            </w:r>
          </w:p>
        </w:tc>
        <w:tc>
          <w:tcPr>
            <w:tcW w:w="24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FD92A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r>
    </w:tbl>
    <w:p w14:paraId="0B561913">
      <w:pPr>
        <w:spacing w:after="60"/>
        <w:rPr>
          <w:rFonts w:hint="eastAsia" w:ascii="宋体" w:hAnsi="宋体" w:eastAsia="宋体" w:cs="宋体"/>
          <w:i w:val="0"/>
          <w:iCs w:val="0"/>
          <w:sz w:val="24"/>
          <w:szCs w:val="24"/>
        </w:rPr>
      </w:pPr>
    </w:p>
    <w:p w14:paraId="2E501D11">
      <w:pPr>
        <w:pStyle w:val="7"/>
        <w:numPr>
          <w:ilvl w:val="0"/>
          <w:numId w:val="32"/>
        </w:numPr>
        <w:ind w:left="0" w:leftChars="0" w:firstLine="0" w:firstLineChars="0"/>
        <w:outlineLvl w:val="3"/>
        <w:rPr>
          <w:rFonts w:eastAsia="黑体"/>
          <w:b w:val="0"/>
          <w:bCs/>
          <w:sz w:val="28"/>
          <w:szCs w:val="28"/>
        </w:rPr>
      </w:pPr>
      <w:r>
        <w:rPr>
          <w:rFonts w:ascii="Times New Roman" w:hAnsi="Times New Roman" w:eastAsia="黑体" w:cs="Times New Roman"/>
          <w:b w:val="0"/>
          <w:bCs/>
          <w:sz w:val="28"/>
          <w:szCs w:val="28"/>
        </w:rPr>
        <w:t>产品管控指标</w:t>
      </w:r>
    </w:p>
    <w:p w14:paraId="19E635F4">
      <w:pPr>
        <w:pStyle w:val="19"/>
        <w:widowControl/>
        <w:numPr>
          <w:ilvl w:val="0"/>
          <w:numId w:val="3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变压器产业</w:t>
      </w:r>
      <w:r>
        <w:rPr>
          <w:rFonts w:ascii="Times New Roman" w:hAnsi="Times New Roman" w:eastAsia="宋体" w:cs="Times New Roman"/>
          <w:i w:val="0"/>
          <w:color w:val="1F2937"/>
          <w:sz w:val="24"/>
          <w:szCs w:val="24"/>
        </w:rPr>
        <w:t>：分母物理量统一为容量【万 kVA】（或千伏安 kVA），单位产品综合能耗单位为【tce/万 kVA】或【tce/kVA】。</w:t>
      </w:r>
    </w:p>
    <w:p w14:paraId="7C8C5836">
      <w:pPr>
        <w:pStyle w:val="19"/>
        <w:widowControl/>
        <w:numPr>
          <w:ilvl w:val="0"/>
          <w:numId w:val="3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线缆产业</w:t>
      </w:r>
      <w:r>
        <w:rPr>
          <w:rFonts w:ascii="Times New Roman" w:hAnsi="Times New Roman" w:eastAsia="宋体" w:cs="Times New Roman"/>
          <w:i w:val="0"/>
          <w:color w:val="1F2937"/>
          <w:sz w:val="24"/>
          <w:szCs w:val="24"/>
        </w:rPr>
        <w:t>：分母物理量统一为导体规格【万 km·mm²】（公里 × 毫米平方），单位产品综合能耗单位为【tce/万 km·mm²】。</w:t>
      </w:r>
    </w:p>
    <w:tbl>
      <w:tblPr>
        <w:tblStyle w:val="38"/>
        <w:tblW w:w="9784" w:type="dxa"/>
        <w:jc w:val="center"/>
        <w:tblLayout w:type="autofit"/>
        <w:tblCellMar>
          <w:top w:w="0" w:type="dxa"/>
          <w:left w:w="108" w:type="dxa"/>
          <w:bottom w:w="0" w:type="dxa"/>
          <w:right w:w="108" w:type="dxa"/>
        </w:tblCellMar>
      </w:tblPr>
      <w:tblGrid>
        <w:gridCol w:w="775"/>
        <w:gridCol w:w="2580"/>
        <w:gridCol w:w="2279"/>
        <w:gridCol w:w="2171"/>
        <w:gridCol w:w="1979"/>
      </w:tblGrid>
      <w:tr w14:paraId="32B5B9A2">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6827072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437AAE1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产品管控指标名称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324904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变压器产业单位</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405B8BE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线缆产业单位</w:t>
            </w:r>
          </w:p>
        </w:tc>
        <w:tc>
          <w:tcPr>
            <w:tcW w:w="19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205BB4B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核算数学公式</w:t>
            </w:r>
          </w:p>
        </w:tc>
      </w:tr>
      <w:tr w14:paraId="74013B6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1F08302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102A475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单位产品综合能耗</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3AB2307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tce/万kVA</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4109A7C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tce/万km·mm²</w:t>
            </w:r>
          </w:p>
        </w:tc>
        <w:tc>
          <w:tcPr>
            <w:tcW w:w="19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3B13570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E / M</w:t>
            </w:r>
          </w:p>
        </w:tc>
      </w:tr>
      <w:tr w14:paraId="2B59CCE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6F46FEA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02C7B3F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单位产品电耗</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78AAC4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kWh/kVA</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0B4F844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kWh/km·mm²</w:t>
            </w:r>
          </w:p>
        </w:tc>
        <w:tc>
          <w:tcPr>
            <w:tcW w:w="19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1D7559E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 / M</w:t>
            </w:r>
          </w:p>
        </w:tc>
      </w:tr>
      <w:tr w14:paraId="710B62C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36B9D50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180A15E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单位产品蒸汽耗</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54CC3FB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GJ/kVA</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29F7713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GJ/km·mm²</w:t>
            </w:r>
          </w:p>
        </w:tc>
        <w:tc>
          <w:tcPr>
            <w:tcW w:w="19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2796D7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 / M</w:t>
            </w:r>
          </w:p>
        </w:tc>
      </w:tr>
      <w:tr w14:paraId="03FC3B0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2A4A1B4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4649D73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单位产品天然气耗</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0800554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m³/kVA</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1180814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m³/km·mm²</w:t>
            </w:r>
          </w:p>
        </w:tc>
        <w:tc>
          <w:tcPr>
            <w:tcW w:w="19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1CB45F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 / M</w:t>
            </w:r>
          </w:p>
        </w:tc>
      </w:tr>
      <w:tr w14:paraId="65CFE05A">
        <w:tblPrEx>
          <w:tblCellMar>
            <w:top w:w="0" w:type="dxa"/>
            <w:left w:w="108" w:type="dxa"/>
            <w:bottom w:w="0" w:type="dxa"/>
            <w:right w:w="108" w:type="dxa"/>
          </w:tblCellMar>
        </w:tblPrEx>
        <w:trPr>
          <w:jc w:val="center"/>
        </w:trPr>
        <w:tc>
          <w:tcPr>
            <w:tcW w:w="7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5B966D0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25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395C068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单位产品水耗</w:t>
            </w:r>
          </w:p>
        </w:tc>
        <w:tc>
          <w:tcPr>
            <w:tcW w:w="22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6FB3502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t/kVA</w:t>
            </w:r>
          </w:p>
        </w:tc>
        <w:tc>
          <w:tcPr>
            <w:tcW w:w="217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6050184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t/km·mm²</w:t>
            </w:r>
          </w:p>
        </w:tc>
        <w:tc>
          <w:tcPr>
            <w:tcW w:w="19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193A998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 / M</w:t>
            </w:r>
          </w:p>
        </w:tc>
      </w:tr>
    </w:tbl>
    <w:p w14:paraId="113F1CD1">
      <w:pPr>
        <w:spacing w:after="60"/>
        <w:rPr>
          <w:rFonts w:hint="eastAsia" w:ascii="宋体" w:hAnsi="宋体" w:eastAsia="宋体" w:cs="宋体"/>
          <w:i w:val="0"/>
          <w:iCs w:val="0"/>
          <w:sz w:val="24"/>
          <w:szCs w:val="24"/>
        </w:rPr>
      </w:pPr>
    </w:p>
    <w:p w14:paraId="271541F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展示与对比规则：</w:t>
      </w:r>
    </w:p>
    <w:p w14:paraId="328C36A9">
      <w:pPr>
        <w:pStyle w:val="19"/>
        <w:widowControl/>
        <w:numPr>
          <w:ilvl w:val="0"/>
          <w:numId w:val="3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指标粒度</w:t>
      </w:r>
      <w:r>
        <w:rPr>
          <w:rFonts w:ascii="Times New Roman" w:hAnsi="Times New Roman" w:eastAsia="宋体" w:cs="Times New Roman"/>
          <w:i w:val="0"/>
          <w:color w:val="1F2937"/>
          <w:sz w:val="24"/>
          <w:szCs w:val="24"/>
        </w:rPr>
        <w:t>：5 项单位产品指标均细化到产品大类。</w:t>
      </w:r>
    </w:p>
    <w:p w14:paraId="68D68267">
      <w:pPr>
        <w:pStyle w:val="19"/>
        <w:widowControl/>
        <w:numPr>
          <w:ilvl w:val="0"/>
          <w:numId w:val="3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环比范围</w:t>
      </w:r>
      <w:r>
        <w:rPr>
          <w:rFonts w:ascii="Times New Roman" w:hAnsi="Times New Roman" w:eastAsia="宋体" w:cs="Times New Roman"/>
          <w:i w:val="0"/>
          <w:color w:val="1F2937"/>
          <w:sz w:val="24"/>
          <w:szCs w:val="24"/>
        </w:rPr>
        <w:t>：环比变化选择范围固定为同型号产品；同比为同型号去年同期。</w:t>
      </w:r>
    </w:p>
    <w:p w14:paraId="4FABD700">
      <w:pPr>
        <w:pStyle w:val="19"/>
        <w:widowControl/>
        <w:numPr>
          <w:ilvl w:val="0"/>
          <w:numId w:val="3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分母隔离</w:t>
      </w:r>
      <w:r>
        <w:rPr>
          <w:rFonts w:ascii="Times New Roman" w:hAnsi="Times New Roman" w:eastAsia="宋体" w:cs="Times New Roman"/>
          <w:i w:val="0"/>
          <w:color w:val="1F2937"/>
          <w:sz w:val="24"/>
          <w:szCs w:val="24"/>
        </w:rPr>
        <w:t>：变压器产业分母为 kVA/万 kVA，线缆产业分母为 km·mm²/万 km·mm²，严禁跨产业混算。</w:t>
      </w:r>
    </w:p>
    <w:p w14:paraId="55EC8357">
      <w:pPr>
        <w:pStyle w:val="19"/>
        <w:widowControl/>
        <w:numPr>
          <w:ilvl w:val="0"/>
          <w:numId w:val="3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状态与对比</w:t>
      </w:r>
      <w:r>
        <w:rPr>
          <w:rFonts w:ascii="Times New Roman" w:hAnsi="Times New Roman" w:eastAsia="宋体" w:cs="Times New Roman"/>
          <w:i w:val="0"/>
          <w:color w:val="1F2937"/>
          <w:sz w:val="24"/>
          <w:szCs w:val="24"/>
        </w:rPr>
        <w:t>：按标杆值/基准值三色判定，点击指标进入二级详情。</w:t>
      </w:r>
    </w:p>
    <w:p w14:paraId="28ACB668">
      <w:pPr>
        <w:pStyle w:val="19"/>
        <w:widowControl/>
        <w:numPr>
          <w:ilvl w:val="0"/>
          <w:numId w:val="3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条件显示</w:t>
      </w:r>
      <w:r>
        <w:rPr>
          <w:rFonts w:ascii="Times New Roman" w:hAnsi="Times New Roman" w:eastAsia="宋体" w:cs="Times New Roman"/>
          <w:i w:val="0"/>
          <w:color w:val="1F2937"/>
          <w:sz w:val="24"/>
          <w:szCs w:val="24"/>
        </w:rPr>
        <w:t>：根据产品类型不同，页面显示的卡片信息会不同。</w:t>
      </w:r>
    </w:p>
    <w:p w14:paraId="532F927C">
      <w:pPr>
        <w:pStyle w:val="7"/>
        <w:numPr>
          <w:ilvl w:val="0"/>
          <w:numId w:val="32"/>
        </w:numPr>
        <w:ind w:left="0" w:leftChars="0" w:firstLine="0" w:firstLineChars="0"/>
        <w:outlineLvl w:val="3"/>
        <w:rPr>
          <w:rFonts w:eastAsia="黑体"/>
          <w:b w:val="0"/>
          <w:bCs/>
          <w:sz w:val="28"/>
          <w:szCs w:val="28"/>
        </w:rPr>
      </w:pPr>
      <w:r>
        <w:rPr>
          <w:rFonts w:ascii="Times New Roman" w:hAnsi="Times New Roman" w:eastAsia="黑体" w:cs="Times New Roman"/>
          <w:b w:val="0"/>
          <w:bCs/>
          <w:sz w:val="28"/>
          <w:szCs w:val="28"/>
        </w:rPr>
        <w:t>产线子分类管控指标</w:t>
      </w:r>
    </w:p>
    <w:p w14:paraId="520EA7A0">
      <w:pPr>
        <w:pStyle w:val="19"/>
        <w:widowControl/>
        <w:numPr>
          <w:ilvl w:val="0"/>
          <w:numId w:val="3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框架说明</w:t>
      </w:r>
      <w:r>
        <w:rPr>
          <w:rFonts w:ascii="Times New Roman" w:hAnsi="Times New Roman" w:eastAsia="宋体" w:cs="Times New Roman"/>
          <w:i w:val="0"/>
          <w:color w:val="1F2937"/>
          <w:sz w:val="24"/>
          <w:szCs w:val="24"/>
        </w:rPr>
        <w:t>：按【产线子分类】归集单位产品能耗、工序能耗占比、单耗与基准偏差等指标。</w:t>
      </w:r>
    </w:p>
    <w:p w14:paraId="452D69AE">
      <w:pPr>
        <w:pStyle w:val="19"/>
        <w:widowControl/>
        <w:numPr>
          <w:ilvl w:val="0"/>
          <w:numId w:val="3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子分类</w:t>
      </w:r>
      <w:r>
        <w:rPr>
          <w:rFonts w:ascii="Times New Roman" w:hAnsi="Times New Roman" w:eastAsia="宋体" w:cs="Times New Roman"/>
          <w:i w:val="0"/>
          <w:color w:val="1F2937"/>
          <w:sz w:val="24"/>
          <w:szCs w:val="24"/>
        </w:rPr>
        <w:t>：变压器产业按【高压产线 / 中低压产线 / 干式产线】划分；线缆产业按【拉丝 / 交联 / 其他】划分（最终以项目组确认为准）。</w:t>
      </w:r>
    </w:p>
    <w:tbl>
      <w:tblPr>
        <w:tblStyle w:val="38"/>
        <w:tblW w:w="9784" w:type="dxa"/>
        <w:jc w:val="center"/>
        <w:tblLayout w:type="autofit"/>
        <w:tblCellMar>
          <w:top w:w="0" w:type="dxa"/>
          <w:left w:w="108" w:type="dxa"/>
          <w:bottom w:w="0" w:type="dxa"/>
          <w:right w:w="108" w:type="dxa"/>
        </w:tblCellMar>
      </w:tblPr>
      <w:tblGrid>
        <w:gridCol w:w="725"/>
        <w:gridCol w:w="1810"/>
        <w:gridCol w:w="1025"/>
        <w:gridCol w:w="1284"/>
        <w:gridCol w:w="4940"/>
      </w:tblGrid>
      <w:tr w14:paraId="61FB82B6">
        <w:tblPrEx>
          <w:tblCellMar>
            <w:top w:w="0" w:type="dxa"/>
            <w:left w:w="108" w:type="dxa"/>
            <w:bottom w:w="0" w:type="dxa"/>
            <w:right w:w="108" w:type="dxa"/>
          </w:tblCellMar>
        </w:tblPrEx>
        <w:trPr>
          <w:tblHeader/>
          <w:jc w:val="center"/>
        </w:trPr>
        <w:tc>
          <w:tcPr>
            <w:tcW w:w="72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5C9FD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1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EA978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工序指标</w:t>
            </w:r>
          </w:p>
        </w:tc>
        <w:tc>
          <w:tcPr>
            <w:tcW w:w="102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ECD63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单位</w:t>
            </w:r>
          </w:p>
        </w:tc>
        <w:tc>
          <w:tcPr>
            <w:tcW w:w="128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448D2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计算公式</w:t>
            </w:r>
          </w:p>
        </w:tc>
        <w:tc>
          <w:tcPr>
            <w:tcW w:w="494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8E23D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指标说明</w:t>
            </w:r>
          </w:p>
        </w:tc>
      </w:tr>
      <w:tr w14:paraId="5DD4D9A0">
        <w:tblPrEx>
          <w:tblCellMar>
            <w:top w:w="0" w:type="dxa"/>
            <w:left w:w="108" w:type="dxa"/>
            <w:bottom w:w="0" w:type="dxa"/>
            <w:right w:w="108" w:type="dxa"/>
          </w:tblCellMar>
        </w:tblPrEx>
        <w:trPr>
          <w:jc w:val="center"/>
        </w:trPr>
        <w:tc>
          <w:tcPr>
            <w:tcW w:w="7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3322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6BA1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单位产品能耗（型号）</w:t>
            </w:r>
          </w:p>
        </w:tc>
        <w:tc>
          <w:tcPr>
            <w:tcW w:w="1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0815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tce/产品单位</w:t>
            </w:r>
          </w:p>
        </w:tc>
        <w:tc>
          <w:tcPr>
            <w:tcW w:w="12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61A79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E / M</w:t>
            </w:r>
          </w:p>
        </w:tc>
        <w:tc>
          <w:tcPr>
            <w:tcW w:w="494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B30C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月度指标。E 为综合能源消费量（tce）；M 为产品产量（万 kVA、万 km·mm² 等）</w:t>
            </w:r>
          </w:p>
        </w:tc>
      </w:tr>
      <w:tr w14:paraId="44B6E726">
        <w:tblPrEx>
          <w:tblCellMar>
            <w:top w:w="0" w:type="dxa"/>
            <w:left w:w="108" w:type="dxa"/>
            <w:bottom w:w="0" w:type="dxa"/>
            <w:right w:w="108" w:type="dxa"/>
          </w:tblCellMar>
        </w:tblPrEx>
        <w:trPr>
          <w:jc w:val="center"/>
        </w:trPr>
        <w:tc>
          <w:tcPr>
            <w:tcW w:w="7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7849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1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AB19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单位产品电耗</w:t>
            </w:r>
          </w:p>
        </w:tc>
        <w:tc>
          <w:tcPr>
            <w:tcW w:w="1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3BC7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kWh/产品单位</w:t>
            </w:r>
          </w:p>
        </w:tc>
        <w:tc>
          <w:tcPr>
            <w:tcW w:w="12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6B93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q_电 = Q_电 / M</w:t>
            </w:r>
          </w:p>
        </w:tc>
        <w:tc>
          <w:tcPr>
            <w:tcW w:w="494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1FD7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月度指标。Q_电 为电能源消费量（kWh）</w:t>
            </w:r>
          </w:p>
        </w:tc>
      </w:tr>
      <w:tr w14:paraId="04A15BED">
        <w:tblPrEx>
          <w:tblCellMar>
            <w:top w:w="0" w:type="dxa"/>
            <w:left w:w="108" w:type="dxa"/>
            <w:bottom w:w="0" w:type="dxa"/>
            <w:right w:w="108" w:type="dxa"/>
          </w:tblCellMar>
        </w:tblPrEx>
        <w:trPr>
          <w:jc w:val="center"/>
        </w:trPr>
        <w:tc>
          <w:tcPr>
            <w:tcW w:w="7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0F8B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F71C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单位产品蒸汽消耗</w:t>
            </w:r>
          </w:p>
        </w:tc>
        <w:tc>
          <w:tcPr>
            <w:tcW w:w="1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4991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GJ/产品单位</w:t>
            </w:r>
          </w:p>
        </w:tc>
        <w:tc>
          <w:tcPr>
            <w:tcW w:w="12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F93B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q_汽 = Q_汽 / M</w:t>
            </w:r>
          </w:p>
        </w:tc>
        <w:tc>
          <w:tcPr>
            <w:tcW w:w="494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3B94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月度指标。Q_汽 为蒸汽能源消费量（GJ）</w:t>
            </w:r>
          </w:p>
        </w:tc>
      </w:tr>
      <w:tr w14:paraId="61FA777A">
        <w:tblPrEx>
          <w:tblCellMar>
            <w:top w:w="0" w:type="dxa"/>
            <w:left w:w="108" w:type="dxa"/>
            <w:bottom w:w="0" w:type="dxa"/>
            <w:right w:w="108" w:type="dxa"/>
          </w:tblCellMar>
        </w:tblPrEx>
        <w:trPr>
          <w:jc w:val="center"/>
        </w:trPr>
        <w:tc>
          <w:tcPr>
            <w:tcW w:w="7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5D10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1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FF78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单位产品天然气消耗</w:t>
            </w:r>
          </w:p>
        </w:tc>
        <w:tc>
          <w:tcPr>
            <w:tcW w:w="1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B599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m³/产品单位</w:t>
            </w:r>
          </w:p>
        </w:tc>
        <w:tc>
          <w:tcPr>
            <w:tcW w:w="12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994A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q_气 = Q_气 / M</w:t>
            </w:r>
          </w:p>
        </w:tc>
        <w:tc>
          <w:tcPr>
            <w:tcW w:w="494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6A70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月度指标。Q_气 为天然气能源消费量（m³）</w:t>
            </w:r>
          </w:p>
        </w:tc>
      </w:tr>
      <w:tr w14:paraId="5F795763">
        <w:tblPrEx>
          <w:tblCellMar>
            <w:top w:w="0" w:type="dxa"/>
            <w:left w:w="108" w:type="dxa"/>
            <w:bottom w:w="0" w:type="dxa"/>
            <w:right w:w="108" w:type="dxa"/>
          </w:tblCellMar>
        </w:tblPrEx>
        <w:trPr>
          <w:jc w:val="center"/>
        </w:trPr>
        <w:tc>
          <w:tcPr>
            <w:tcW w:w="7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9952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9045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单位产品水耗</w:t>
            </w:r>
          </w:p>
        </w:tc>
        <w:tc>
          <w:tcPr>
            <w:tcW w:w="1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99C4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t/产品单位</w:t>
            </w:r>
          </w:p>
        </w:tc>
        <w:tc>
          <w:tcPr>
            <w:tcW w:w="12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BAA5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q_水 = Q_水 / M</w:t>
            </w:r>
          </w:p>
        </w:tc>
        <w:tc>
          <w:tcPr>
            <w:tcW w:w="494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4F20A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月度指标。Q_水 为水能源消费量（t）</w:t>
            </w:r>
          </w:p>
        </w:tc>
      </w:tr>
    </w:tbl>
    <w:p w14:paraId="3A9E3995">
      <w:pPr>
        <w:spacing w:after="60"/>
        <w:rPr>
          <w:rFonts w:hint="eastAsia" w:ascii="宋体" w:hAnsi="宋体" w:eastAsia="宋体" w:cs="宋体"/>
          <w:i w:val="0"/>
          <w:iCs w:val="0"/>
          <w:sz w:val="24"/>
          <w:szCs w:val="24"/>
        </w:rPr>
      </w:pPr>
    </w:p>
    <w:p w14:paraId="066B2960">
      <w:pPr>
        <w:pStyle w:val="7"/>
        <w:numPr>
          <w:ilvl w:val="0"/>
          <w:numId w:val="32"/>
        </w:numPr>
        <w:ind w:left="0" w:leftChars="0" w:firstLine="0" w:firstLineChars="0"/>
        <w:outlineLvl w:val="3"/>
        <w:rPr>
          <w:rFonts w:eastAsia="黑体"/>
          <w:b w:val="0"/>
          <w:bCs/>
          <w:sz w:val="28"/>
          <w:szCs w:val="28"/>
        </w:rPr>
      </w:pPr>
      <w:r>
        <w:rPr>
          <w:rFonts w:ascii="Times New Roman" w:hAnsi="Times New Roman" w:eastAsia="黑体" w:cs="Times New Roman"/>
          <w:b w:val="0"/>
          <w:bCs/>
          <w:sz w:val="28"/>
          <w:szCs w:val="28"/>
        </w:rPr>
        <w:t>关键制造工序能耗管控指标</w:t>
      </w:r>
    </w:p>
    <w:tbl>
      <w:tblPr>
        <w:tblStyle w:val="38"/>
        <w:tblW w:w="5000" w:type="pct"/>
        <w:jc w:val="center"/>
        <w:tblLayout w:type="autofit"/>
        <w:tblCellMar>
          <w:top w:w="0" w:type="dxa"/>
          <w:left w:w="108" w:type="dxa"/>
          <w:bottom w:w="0" w:type="dxa"/>
          <w:right w:w="108" w:type="dxa"/>
        </w:tblCellMar>
      </w:tblPr>
      <w:tblGrid>
        <w:gridCol w:w="9514"/>
      </w:tblGrid>
      <w:tr w14:paraId="620EB5EB">
        <w:tblPrEx>
          <w:tblCellMar>
            <w:top w:w="0" w:type="dxa"/>
            <w:left w:w="108" w:type="dxa"/>
            <w:bottom w:w="0" w:type="dxa"/>
            <w:right w:w="108" w:type="dxa"/>
          </w:tblCellMar>
        </w:tblPrEx>
        <w:trPr>
          <w:jc w:val="center"/>
        </w:trPr>
        <w:tc>
          <w:tcPr>
            <w:tcW w:w="5000" w:type="pct"/>
            <w:tcBorders>
              <w:top w:val="nil"/>
              <w:left w:val="single" w:color="2563EB" w:sz="24" w:space="0"/>
              <w:bottom w:val="nil"/>
              <w:right w:val="nil"/>
            </w:tcBorders>
            <w:shd w:val="clear" w:color="auto" w:fill="EFF6FF"/>
            <w:tcMar>
              <w:top w:w="70" w:type="dxa"/>
              <w:left w:w="100" w:type="dxa"/>
              <w:bottom w:w="70" w:type="dxa"/>
              <w:right w:w="100" w:type="dxa"/>
            </w:tcMar>
          </w:tcPr>
          <w:p w14:paraId="4D67F7E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【关键工序指标显示规则】参考《生产单位与涉及关键工序对应表》和《"双中心"项目能碳管控指标体系 V1.5》文件：</w:t>
            </w:r>
          </w:p>
          <w:p w14:paraId="20A303A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 </w:t>
            </w:r>
            <w:r>
              <w:rPr>
                <w:rFonts w:hint="eastAsia" w:ascii="宋体" w:hAnsi="宋体" w:eastAsia="宋体" w:cs="宋体"/>
                <w:b/>
                <w:i w:val="0"/>
                <w:iCs w:val="0"/>
                <w:color w:val="1E3A8A"/>
                <w:sz w:val="24"/>
                <w:szCs w:val="24"/>
              </w:rPr>
              <w:t>实体制造单位</w:t>
            </w:r>
            <w:r>
              <w:rPr>
                <w:rFonts w:hint="eastAsia" w:ascii="宋体" w:hAnsi="宋体" w:eastAsia="宋体" w:cs="宋体"/>
                <w:i w:val="0"/>
                <w:iCs w:val="0"/>
                <w:color w:val="1F2937"/>
                <w:sz w:val="24"/>
                <w:szCs w:val="24"/>
              </w:rPr>
              <w:t>（沈变、衡变、新变、鲁缆、新缆、德缆等）：仅展示其业务真实涉及的制造工序（如变压器绕制、铁芯叠装、真空干燥固化；线缆拉丝、绝缘挤出、交联等）。</w:t>
            </w:r>
          </w:p>
          <w:p w14:paraId="2D5E568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 </w:t>
            </w:r>
            <w:r>
              <w:rPr>
                <w:rFonts w:hint="eastAsia" w:ascii="宋体" w:hAnsi="宋体" w:eastAsia="宋体" w:cs="宋体"/>
                <w:b/>
                <w:i w:val="0"/>
                <w:iCs w:val="0"/>
                <w:color w:val="1E3A8A"/>
                <w:sz w:val="24"/>
                <w:szCs w:val="24"/>
              </w:rPr>
              <w:t>10 家无工序单位</w:t>
            </w:r>
            <w:r>
              <w:rPr>
                <w:rFonts w:hint="eastAsia" w:ascii="宋体" w:hAnsi="宋体" w:eastAsia="宋体" w:cs="宋体"/>
                <w:i w:val="0"/>
                <w:iCs w:val="0"/>
                <w:color w:val="1F2937"/>
                <w:sz w:val="24"/>
                <w:szCs w:val="24"/>
              </w:rPr>
              <w:t>（沈变智慧能源、衡变智慧能源、新变智慧能源、鲁缆智慧能源、天池能源管理、科技投资、新能源集控、特变电装总部、进出口贸易、工程建设）：切换至该类单位时，工序管控区域整行必须精准输出单行干练结论：【暂无相关工序！】；严禁出现空白占位卡片，严禁出现"由于白名单未配置因此无工序……"等主观解释说教文案；激活态仅由边框高亮呈现，严禁在卡片右上角增加"已联动过滤"等过程标签。</w:t>
            </w:r>
          </w:p>
        </w:tc>
      </w:tr>
    </w:tbl>
    <w:p w14:paraId="7A417FE2">
      <w:pPr>
        <w:spacing w:after="40"/>
        <w:rPr>
          <w:rFonts w:hint="eastAsia" w:ascii="宋体" w:hAnsi="宋体" w:eastAsia="宋体" w:cs="宋体"/>
          <w:i w:val="0"/>
          <w:iCs w:val="0"/>
          <w:sz w:val="24"/>
          <w:szCs w:val="24"/>
        </w:rPr>
      </w:pPr>
    </w:p>
    <w:p w14:paraId="03A628FA">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关键工序指标清单（44 项，节选核心字段）：</w:t>
      </w:r>
    </w:p>
    <w:tbl>
      <w:tblPr>
        <w:tblStyle w:val="38"/>
        <w:tblW w:w="9784" w:type="dxa"/>
        <w:jc w:val="center"/>
        <w:tblLayout w:type="autofit"/>
        <w:tblCellMar>
          <w:top w:w="0" w:type="dxa"/>
          <w:left w:w="108" w:type="dxa"/>
          <w:bottom w:w="0" w:type="dxa"/>
          <w:right w:w="108" w:type="dxa"/>
        </w:tblCellMar>
      </w:tblPr>
      <w:tblGrid>
        <w:gridCol w:w="693"/>
        <w:gridCol w:w="5350"/>
        <w:gridCol w:w="1603"/>
        <w:gridCol w:w="2138"/>
      </w:tblGrid>
      <w:tr w14:paraId="428CDB3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048FD1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D7644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工序指标</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D65438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单位</w:t>
            </w:r>
          </w:p>
        </w:tc>
        <w:tc>
          <w:tcPr>
            <w:tcW w:w="213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85DF41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核算公式</w:t>
            </w:r>
          </w:p>
        </w:tc>
      </w:tr>
      <w:tr w14:paraId="29E3D4F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41386C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8FDF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吨铜电耗（线缆-拉丝）</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74C69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kWh/t</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DA9E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M_铜</w:t>
            </w:r>
          </w:p>
        </w:tc>
      </w:tr>
      <w:tr w14:paraId="03463BE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5DFC72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2D1FC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吨铝电耗（线缆-拉丝）</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577B1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kWh/t</w:t>
            </w:r>
          </w:p>
        </w:tc>
        <w:tc>
          <w:tcPr>
            <w:tcW w:w="21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11F69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M_铝</w:t>
            </w:r>
          </w:p>
        </w:tc>
      </w:tr>
      <w:tr w14:paraId="16C2B62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AFAB40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5790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交联电耗（干法）（线缆-中低压-交联）</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53A3A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kWh/km·mm²</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1C42F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M</w:t>
            </w:r>
          </w:p>
        </w:tc>
      </w:tr>
      <w:tr w14:paraId="2504EFC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2B68E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8BDF0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交联电耗（干法）（线缆-高压-交联）</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F4BF3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kWh/km·mm²</w:t>
            </w:r>
          </w:p>
        </w:tc>
        <w:tc>
          <w:tcPr>
            <w:tcW w:w="21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45FE2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M</w:t>
            </w:r>
          </w:p>
        </w:tc>
      </w:tr>
      <w:tr w14:paraId="7935CD1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B11EF5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E9855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单位产值能耗（变压器-高压-干燥）</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67EFE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6590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E / G</w:t>
            </w:r>
          </w:p>
        </w:tc>
      </w:tr>
      <w:tr w14:paraId="4B53E4F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527321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0B171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单位产值能耗（变压器-中低压-油变-干燥）</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CB84E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21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BBB96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E / G</w:t>
            </w:r>
          </w:p>
        </w:tc>
      </w:tr>
      <w:tr w14:paraId="4353EF6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1A319E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278B4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单位产值能耗（变压器-中低压-干变-固化）</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C1DE6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2A97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E / G</w:t>
            </w:r>
          </w:p>
        </w:tc>
      </w:tr>
      <w:tr w14:paraId="5A9406A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15767F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63E8E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单位产值电耗（变压器-高压-干燥）</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70C83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00BF5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G</w:t>
            </w:r>
          </w:p>
        </w:tc>
      </w:tr>
      <w:tr w14:paraId="15EC171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D14F3E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4D583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单位产值电耗（变压器-中低压-干变-固化）</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0E673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F3360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G</w:t>
            </w:r>
          </w:p>
        </w:tc>
      </w:tr>
      <w:tr w14:paraId="2DBCDE8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9FD33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316F0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单位产值蒸汽消耗（变压器-高压-干燥）</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4586D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t/万元</w:t>
            </w:r>
          </w:p>
        </w:tc>
        <w:tc>
          <w:tcPr>
            <w:tcW w:w="21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EE54C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Q_汽 / G</w:t>
            </w:r>
          </w:p>
        </w:tc>
      </w:tr>
      <w:tr w14:paraId="28AA6C8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2EB130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4ABE7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单位产量能耗（变压器-高压-干燥）</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6BC6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tce/万kVA</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210CE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E / M</w:t>
            </w:r>
          </w:p>
        </w:tc>
      </w:tr>
      <w:tr w14:paraId="6D0C33B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B98443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BA70A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单位产量电耗（变压器-中低压-油变-干燥）</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FC171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kWh/万kVA</w:t>
            </w:r>
          </w:p>
        </w:tc>
        <w:tc>
          <w:tcPr>
            <w:tcW w:w="21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026B0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M</w:t>
            </w:r>
          </w:p>
        </w:tc>
      </w:tr>
      <w:tr w14:paraId="3CE21DF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1FB70A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018A3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单位产值电耗（变压器-试验）</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120DA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D3272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G</w:t>
            </w:r>
          </w:p>
        </w:tc>
      </w:tr>
      <w:tr w14:paraId="45704BF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0CCDFC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D4F86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单位产值电耗（中低压开关柜-钣金喷涂）</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8CDF1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B20E5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G</w:t>
            </w:r>
          </w:p>
        </w:tc>
      </w:tr>
      <w:tr w14:paraId="4D1D2EE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21A45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4BDC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单位产值电耗（套管-干燥）</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099C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4B12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G</w:t>
            </w:r>
          </w:p>
        </w:tc>
      </w:tr>
      <w:tr w14:paraId="0C17C07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DA0E7C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0B15D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单位产值综合能耗（互感器-干燥）</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A78CD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21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ACC0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E / G</w:t>
            </w:r>
          </w:p>
        </w:tc>
      </w:tr>
      <w:tr w14:paraId="4E3223E6">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3DA3A8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CDEF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单位产值蒸汽消耗（互感器-干燥）</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23546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t/万元</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550E7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Q_汽 / G</w:t>
            </w:r>
          </w:p>
        </w:tc>
      </w:tr>
      <w:tr w14:paraId="693E3B9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FF24F8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A0F8A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单位产量电耗（电容器-芯子卷绕）</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68979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8E83D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M</w:t>
            </w:r>
          </w:p>
        </w:tc>
      </w:tr>
      <w:tr w14:paraId="49598B9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3540E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1B72F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单位产量电耗（电容器-真空浸渍）</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D5F0D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FB2FD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M</w:t>
            </w:r>
          </w:p>
        </w:tc>
      </w:tr>
      <w:tr w14:paraId="05B95D6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72123F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46E08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单位产值电耗（干式电抗器-固化）</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6EB5F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0EA04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G</w:t>
            </w:r>
          </w:p>
        </w:tc>
      </w:tr>
      <w:tr w14:paraId="6AEE774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869630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46CF8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单位产值电耗（干式电抗器-试验）</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8F03D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kWh/kvar</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198A1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G</w:t>
            </w:r>
          </w:p>
        </w:tc>
      </w:tr>
      <w:tr w14:paraId="6D75FBA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A346C2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89688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单位产值电耗（GIL-螺旋焊管生产）</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B6535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kWh/kvar</w:t>
            </w:r>
          </w:p>
        </w:tc>
        <w:tc>
          <w:tcPr>
            <w:tcW w:w="21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138ED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G</w:t>
            </w:r>
          </w:p>
        </w:tc>
      </w:tr>
      <w:tr w14:paraId="29C0D6E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410B22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365A8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单位产值电耗（GIL-绝缘子生产）</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72502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kWh/kvar</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ECAEA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G</w:t>
            </w:r>
          </w:p>
        </w:tc>
      </w:tr>
      <w:tr w14:paraId="4AEBD78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07E8B9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17935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单位产值电耗（GIS-抽真空）</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84E4E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3C177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G</w:t>
            </w:r>
          </w:p>
        </w:tc>
      </w:tr>
      <w:tr w14:paraId="0991DE5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A671A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18927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单位产值电耗（GIS-绝缘件干燥）</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DF60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A38AE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G</w:t>
            </w:r>
          </w:p>
        </w:tc>
      </w:tr>
      <w:tr w14:paraId="2639176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C61373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80D0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单位产值电耗（GIS-工频耐压试验）</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75EE1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4D05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G</w:t>
            </w:r>
          </w:p>
        </w:tc>
      </w:tr>
      <w:tr w14:paraId="4DEC85D6">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723BA2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7815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单位产值电耗（GIS-空调恒温除湿）</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2D958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C411B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G</w:t>
            </w:r>
          </w:p>
        </w:tc>
      </w:tr>
      <w:tr w14:paraId="5A931C66">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207C4E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B7C0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单位产量电耗（非晶合金铁心-退火）</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BAD93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1A76C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M</w:t>
            </w:r>
          </w:p>
        </w:tc>
      </w:tr>
      <w:tr w14:paraId="567F3EA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76C411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712D4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单位产量电耗（硅钢铁心-纵剪）</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E38A0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3425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M</w:t>
            </w:r>
          </w:p>
        </w:tc>
      </w:tr>
      <w:tr w14:paraId="1327289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8094A7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D1798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单位产量电耗（硅钢铁心-中型叠装）</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9C5AB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8DA6B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M</w:t>
            </w:r>
          </w:p>
        </w:tc>
      </w:tr>
      <w:tr w14:paraId="558D3DED">
        <w:tblPrEx>
          <w:tblCellMar>
            <w:top w:w="0" w:type="dxa"/>
            <w:left w:w="108" w:type="dxa"/>
            <w:bottom w:w="0" w:type="dxa"/>
            <w:right w:w="108" w:type="dxa"/>
          </w:tblCellMar>
        </w:tblPrEx>
        <w:trPr>
          <w:jc w:val="center"/>
        </w:trPr>
        <w:tc>
          <w:tcPr>
            <w:tcW w:w="6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D5877A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31</w:t>
            </w:r>
          </w:p>
        </w:tc>
        <w:tc>
          <w:tcPr>
            <w:tcW w:w="5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C6DF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单位产量电耗（硅钢铁心-大型叠装）</w:t>
            </w:r>
          </w:p>
        </w:tc>
        <w:tc>
          <w:tcPr>
            <w:tcW w:w="160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70603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D58EF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M</w:t>
            </w:r>
          </w:p>
        </w:tc>
      </w:tr>
    </w:tbl>
    <w:p w14:paraId="43668F18">
      <w:pPr>
        <w:spacing w:after="60"/>
        <w:rPr>
          <w:rFonts w:hint="eastAsia" w:ascii="宋体" w:hAnsi="宋体" w:eastAsia="宋体" w:cs="宋体"/>
          <w:i w:val="0"/>
          <w:iCs w:val="0"/>
          <w:sz w:val="24"/>
          <w:szCs w:val="24"/>
        </w:rPr>
      </w:pPr>
    </w:p>
    <w:p w14:paraId="3262A9F7">
      <w:pPr>
        <w:pStyle w:val="6"/>
        <w:numPr>
          <w:ilvl w:val="0"/>
          <w:numId w:val="2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41"/>
        <w:gridCol w:w="1900"/>
        <w:gridCol w:w="1323"/>
        <w:gridCol w:w="2193"/>
        <w:gridCol w:w="3527"/>
      </w:tblGrid>
      <w:tr w14:paraId="6369A714">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AB032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DBAC6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2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97C66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F2F28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52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102B9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310CB27C">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6C42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1733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指标唯一编码</w:t>
            </w:r>
          </w:p>
        </w:tc>
        <w:tc>
          <w:tcPr>
            <w:tcW w:w="1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087B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33B5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7734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全局唯一主键，命名规则 </w:t>
            </w:r>
            <w:r>
              <w:rPr>
                <w:rFonts w:hint="eastAsia" w:ascii="宋体" w:hAnsi="宋体" w:eastAsia="宋体" w:cs="宋体"/>
                <w:b w:val="0"/>
                <w:i w:val="0"/>
                <w:iCs w:val="0"/>
                <w:color w:val="0284C7"/>
                <w:sz w:val="24"/>
                <w:szCs w:val="24"/>
              </w:rPr>
              <w:t xml:space="preserve"> KPI-&lt;DOMAIN&gt;-&lt;SEQ&gt; </w:t>
            </w:r>
          </w:p>
        </w:tc>
      </w:tr>
      <w:tr w14:paraId="6E6B08A9">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B990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C11D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指标标准名称</w:t>
            </w:r>
          </w:p>
        </w:tc>
        <w:tc>
          <w:tcPr>
            <w:tcW w:w="1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1697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902EC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AC5B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非空，最长 64 字符，须与指标字典一致</w:t>
            </w:r>
          </w:p>
        </w:tc>
      </w:tr>
      <w:tr w14:paraId="5D743D5E">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421F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593F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指标单位</w:t>
            </w:r>
          </w:p>
        </w:tc>
        <w:tc>
          <w:tcPr>
            <w:tcW w:w="1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C7FF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8689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 / tCO2 / % 等</w:t>
            </w:r>
          </w:p>
        </w:tc>
        <w:tc>
          <w:tcPr>
            <w:tcW w:w="35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A195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必须落在受控单位枚举内</w:t>
            </w:r>
          </w:p>
        </w:tc>
      </w:tr>
      <w:tr w14:paraId="733E656F">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63365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7843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统计周期标签</w:t>
            </w:r>
          </w:p>
        </w:tc>
        <w:tc>
          <w:tcPr>
            <w:tcW w:w="1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2549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FDF0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 / 年</w:t>
            </w:r>
          </w:p>
        </w:tc>
        <w:tc>
          <w:tcPr>
            <w:tcW w:w="35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4F37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月度指标按自然月闭环，年度按自然年闭环</w:t>
            </w:r>
          </w:p>
        </w:tc>
      </w:tr>
      <w:tr w14:paraId="15E92AC8">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AD8E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552C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实测值</w:t>
            </w:r>
          </w:p>
        </w:tc>
        <w:tc>
          <w:tcPr>
            <w:tcW w:w="1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3CEB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E537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见指标单位</w:t>
            </w:r>
          </w:p>
        </w:tc>
        <w:tc>
          <w:tcPr>
            <w:tcW w:w="35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A9D3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0；空值显示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，不得显示 0 冒充真实值</w:t>
            </w:r>
          </w:p>
        </w:tc>
      </w:tr>
      <w:tr w14:paraId="57CCD4E4">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49F6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04D9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同比变动率</w:t>
            </w:r>
          </w:p>
        </w:tc>
        <w:tc>
          <w:tcPr>
            <w:tcW w:w="1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AC81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C0A6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BD35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(本期 − 去年同期) / 去年同期 × 100%；去年同期为 0 时显示 </w:t>
            </w:r>
            <w:r>
              <w:rPr>
                <w:rFonts w:hint="eastAsia" w:ascii="宋体" w:hAnsi="宋体" w:eastAsia="宋体" w:cs="宋体"/>
                <w:b w:val="0"/>
                <w:i w:val="0"/>
                <w:iCs w:val="0"/>
                <w:color w:val="0284C7"/>
                <w:sz w:val="24"/>
                <w:szCs w:val="24"/>
              </w:rPr>
              <w:t xml:space="preserve"> -- </w:t>
            </w:r>
          </w:p>
        </w:tc>
      </w:tr>
      <w:tr w14:paraId="68B36518">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3BF3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32DB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标杆值 / 基准值</w:t>
            </w:r>
          </w:p>
        </w:tc>
        <w:tc>
          <w:tcPr>
            <w:tcW w:w="1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6697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C0F5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见指标单位</w:t>
            </w:r>
          </w:p>
        </w:tc>
        <w:tc>
          <w:tcPr>
            <w:tcW w:w="35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5042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取自基准管理模块当前生效版本</w:t>
            </w:r>
          </w:p>
        </w:tc>
      </w:tr>
      <w:tr w14:paraId="1CCD9050">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C8F5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E02B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三色状态</w:t>
            </w:r>
          </w:p>
        </w:tc>
        <w:tc>
          <w:tcPr>
            <w:tcW w:w="1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1C81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0305D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40AD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优秀（绿）/ 正常（黄）/ 异常（红），由达标系数判定</w:t>
            </w:r>
          </w:p>
        </w:tc>
      </w:tr>
      <w:tr w14:paraId="50EFB726">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F714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B6B1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分子工程物理量</w:t>
            </w:r>
          </w:p>
        </w:tc>
        <w:tc>
          <w:tcPr>
            <w:tcW w:w="1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7E87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0653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 / m³ / t 等</w:t>
            </w:r>
          </w:p>
        </w:tc>
        <w:tc>
          <w:tcPr>
            <w:tcW w:w="35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DE13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展示原始实物量，保留原始采集精度</w:t>
            </w:r>
          </w:p>
        </w:tc>
      </w:tr>
      <w:tr w14:paraId="0BFEA659">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03EC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C198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分母工程物理量</w:t>
            </w:r>
          </w:p>
        </w:tc>
        <w:tc>
          <w:tcPr>
            <w:tcW w:w="1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FE13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3660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 / km·mm² / 万元</w:t>
            </w:r>
          </w:p>
        </w:tc>
        <w:tc>
          <w:tcPr>
            <w:tcW w:w="35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AD9E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为 0 时单耗安全兜底显示 </w:t>
            </w:r>
            <w:r>
              <w:rPr>
                <w:rFonts w:hint="eastAsia" w:ascii="宋体" w:hAnsi="宋体" w:eastAsia="宋体" w:cs="宋体"/>
                <w:b w:val="0"/>
                <w:i w:val="0"/>
                <w:iCs w:val="0"/>
                <w:color w:val="0284C7"/>
                <w:sz w:val="24"/>
                <w:szCs w:val="24"/>
              </w:rPr>
              <w:t xml:space="preserve"> -- </w:t>
            </w:r>
          </w:p>
        </w:tc>
      </w:tr>
      <w:tr w14:paraId="693BFBDF">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E78E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E806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仪表点位路径</w:t>
            </w:r>
          </w:p>
        </w:tc>
        <w:tc>
          <w:tcPr>
            <w:tcW w:w="1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2FEA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DEF6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23933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格式 </w:t>
            </w:r>
            <w:r>
              <w:rPr>
                <w:rFonts w:hint="eastAsia" w:ascii="宋体" w:hAnsi="宋体" w:eastAsia="宋体" w:cs="宋体"/>
                <w:b w:val="0"/>
                <w:i w:val="0"/>
                <w:iCs w:val="0"/>
                <w:color w:val="0284C7"/>
                <w:sz w:val="24"/>
                <w:szCs w:val="24"/>
              </w:rPr>
              <w:t xml:space="preserve"> 园区/车间/设备/点位 </w:t>
            </w:r>
            <w:r>
              <w:rPr>
                <w:rFonts w:hint="eastAsia" w:ascii="宋体" w:hAnsi="宋体" w:eastAsia="宋体" w:cs="宋体"/>
                <w:i w:val="0"/>
                <w:iCs w:val="0"/>
                <w:color w:val="1F2937"/>
                <w:sz w:val="24"/>
                <w:szCs w:val="24"/>
              </w:rPr>
              <w:t>，非空</w:t>
            </w:r>
          </w:p>
        </w:tc>
      </w:tr>
      <w:tr w14:paraId="3FE97B01">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C1EB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CA9C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折标系数版本号</w:t>
            </w:r>
          </w:p>
        </w:tc>
        <w:tc>
          <w:tcPr>
            <w:tcW w:w="1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6275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44D4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74D3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记录本次核算所用折标系数版本，保证可追溯</w:t>
            </w:r>
          </w:p>
        </w:tc>
      </w:tr>
      <w:tr w14:paraId="5D0FB5C3">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40E2D2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7266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数据来源系统</w:t>
            </w:r>
          </w:p>
        </w:tc>
        <w:tc>
          <w:tcPr>
            <w:tcW w:w="1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EF44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E0CC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336E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 / MES / IoT-SCADA / 手工填报</w:t>
            </w:r>
          </w:p>
        </w:tc>
      </w:tr>
      <w:tr w14:paraId="5740F4E7">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D707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14</w:t>
            </w:r>
          </w:p>
        </w:tc>
        <w:tc>
          <w:tcPr>
            <w:tcW w:w="19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6017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组织节点层级</w:t>
            </w:r>
          </w:p>
        </w:tc>
        <w:tc>
          <w:tcPr>
            <w:tcW w:w="1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1A3D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21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252C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一级 / 二级 / 三级 / 四级</w:t>
            </w:r>
          </w:p>
        </w:tc>
        <w:tc>
          <w:tcPr>
            <w:tcW w:w="35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6651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决定聚合口径（汇总 or 占比重算）</w:t>
            </w:r>
          </w:p>
        </w:tc>
      </w:tr>
    </w:tbl>
    <w:p w14:paraId="0DAC0CDD">
      <w:pPr>
        <w:spacing w:after="60"/>
        <w:rPr>
          <w:rFonts w:hint="eastAsia" w:ascii="宋体" w:hAnsi="宋体" w:eastAsia="宋体" w:cs="宋体"/>
          <w:i w:val="0"/>
          <w:iCs w:val="0"/>
          <w:sz w:val="24"/>
          <w:szCs w:val="24"/>
        </w:rPr>
      </w:pPr>
    </w:p>
    <w:p w14:paraId="41055A08">
      <w:pPr>
        <w:pStyle w:val="6"/>
        <w:numPr>
          <w:ilvl w:val="0"/>
          <w:numId w:val="2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核心数学模型与算法公式</w:t>
      </w:r>
    </w:p>
    <w:tbl>
      <w:tblPr>
        <w:tblStyle w:val="38"/>
        <w:tblW w:w="5000" w:type="pct"/>
        <w:jc w:val="center"/>
        <w:tblLayout w:type="autofit"/>
        <w:tblCellMar>
          <w:top w:w="0" w:type="dxa"/>
          <w:left w:w="108" w:type="dxa"/>
          <w:bottom w:w="0" w:type="dxa"/>
          <w:right w:w="108" w:type="dxa"/>
        </w:tblCellMar>
      </w:tblPr>
      <w:tblGrid>
        <w:gridCol w:w="9514"/>
      </w:tblGrid>
      <w:tr w14:paraId="28790CAD">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57971E6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 = Σ ( E_i × k_i )              综合能源消费量（GB/T 2589-2020 当量值）</w:t>
            </w:r>
          </w:p>
          <w:p w14:paraId="74B316B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 = C_burn + C_grid + C_heat       总碳排放量 = 燃烧 + 购入电 + 购入热</w:t>
            </w:r>
          </w:p>
          <w:p w14:paraId="0C57402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C_grid = Q_grid × EF_grid         购入电力排放 = 外购电量 × 区域电网因子</w:t>
            </w:r>
          </w:p>
          <w:p w14:paraId="1C21CBD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I = C / E                          单位能耗碳排放</w:t>
            </w:r>
          </w:p>
          <w:p w14:paraId="494310C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e_unit = E / M                     单位产品综合能耗（分母按产业隔离）</w:t>
            </w:r>
          </w:p>
          <w:p w14:paraId="47E2F76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R_media = R_j / Σ R_n × 100%     占比类指标：分子分母先加总后再计算占比</w:t>
            </w:r>
          </w:p>
          <w:p w14:paraId="35C6D5A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Ach = 越低越好 ? (Benchmark / Actual) : (Actual / Benchmark)   达标系数</w:t>
            </w:r>
          </w:p>
          <w:p w14:paraId="0B6D956B">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gapPct = 越低越好 ? ((Actual − Benchmark)/Benchmark×100%) : ((Benchmark − Actual)/Benchmark×100%)</w:t>
            </w:r>
          </w:p>
        </w:tc>
      </w:tr>
    </w:tbl>
    <w:p w14:paraId="63FE70A9">
      <w:pPr>
        <w:spacing w:after="40"/>
        <w:rPr>
          <w:rFonts w:hint="eastAsia" w:ascii="宋体" w:hAnsi="宋体" w:eastAsia="宋体" w:cs="宋体"/>
          <w:i w:val="0"/>
          <w:iCs w:val="0"/>
          <w:sz w:val="24"/>
          <w:szCs w:val="24"/>
        </w:rPr>
      </w:pPr>
    </w:p>
    <w:p w14:paraId="7F4E9872">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k_i </w:t>
      </w:r>
      <w:r>
        <w:rPr>
          <w:rFonts w:ascii="Times New Roman" w:hAnsi="Times New Roman" w:eastAsia="宋体" w:cs="Times New Roman"/>
          <w:i w:val="0"/>
          <w:color w:val="1F2937"/>
          <w:sz w:val="24"/>
          <w:szCs w:val="24"/>
        </w:rPr>
        <w:t xml:space="preserve"> 为第 i 种能源折标准煤系数（tce/单位）；</w:t>
      </w:r>
      <w:r>
        <w:rPr>
          <w:rFonts w:ascii="Times New Roman" w:hAnsi="Times New Roman" w:eastAsia="宋体" w:cs="Times New Roman"/>
          <w:b w:val="0"/>
          <w:i w:val="0"/>
          <w:color w:val="0284C7"/>
          <w:sz w:val="24"/>
          <w:szCs w:val="24"/>
        </w:rPr>
        <w:t xml:space="preserve"> EF_grid </w:t>
      </w:r>
      <w:r>
        <w:rPr>
          <w:rFonts w:ascii="Times New Roman" w:hAnsi="Times New Roman" w:eastAsia="宋体" w:cs="Times New Roman"/>
          <w:i w:val="0"/>
          <w:color w:val="1F2937"/>
          <w:sz w:val="24"/>
          <w:szCs w:val="24"/>
        </w:rPr>
        <w:t xml:space="preserve"> 为园区所在地省级电网平均排放因子（tCO2/MWh）；</w:t>
      </w:r>
      <w:r>
        <w:rPr>
          <w:rFonts w:ascii="Times New Roman" w:hAnsi="Times New Roman" w:eastAsia="宋体" w:cs="Times New Roman"/>
          <w:b w:val="0"/>
          <w:i w:val="0"/>
          <w:color w:val="0284C7"/>
          <w:sz w:val="24"/>
          <w:szCs w:val="24"/>
        </w:rPr>
        <w:t xml:space="preserve"> Ach ≥ 1.00 </w:t>
      </w:r>
      <w:r>
        <w:rPr>
          <w:rFonts w:ascii="Times New Roman" w:hAnsi="Times New Roman" w:eastAsia="宋体" w:cs="Times New Roman"/>
          <w:i w:val="0"/>
          <w:color w:val="1F2937"/>
          <w:sz w:val="24"/>
          <w:szCs w:val="24"/>
        </w:rPr>
        <w:t xml:space="preserve"> 判定优秀，</w:t>
      </w:r>
      <w:r>
        <w:rPr>
          <w:rFonts w:ascii="Times New Roman" w:hAnsi="Times New Roman" w:eastAsia="宋体" w:cs="Times New Roman"/>
          <w:b w:val="0"/>
          <w:i w:val="0"/>
          <w:color w:val="0284C7"/>
          <w:sz w:val="24"/>
          <w:szCs w:val="24"/>
        </w:rPr>
        <w:t xml:space="preserve"> 0.85 ~ 1.00 </w:t>
      </w:r>
      <w:r>
        <w:rPr>
          <w:rFonts w:ascii="Times New Roman" w:hAnsi="Times New Roman" w:eastAsia="宋体" w:cs="Times New Roman"/>
          <w:i w:val="0"/>
          <w:color w:val="1F2937"/>
          <w:sz w:val="24"/>
          <w:szCs w:val="24"/>
        </w:rPr>
        <w:t xml:space="preserve"> 判定正常，</w:t>
      </w:r>
      <w:r>
        <w:rPr>
          <w:rFonts w:ascii="Times New Roman" w:hAnsi="Times New Roman" w:eastAsia="宋体" w:cs="Times New Roman"/>
          <w:b w:val="0"/>
          <w:i w:val="0"/>
          <w:color w:val="0284C7"/>
          <w:sz w:val="24"/>
          <w:szCs w:val="24"/>
        </w:rPr>
        <w:t xml:space="preserve"> &lt; 0.85 </w:t>
      </w:r>
      <w:r>
        <w:rPr>
          <w:rFonts w:ascii="Times New Roman" w:hAnsi="Times New Roman" w:eastAsia="宋体" w:cs="Times New Roman"/>
          <w:i w:val="0"/>
          <w:color w:val="1F2937"/>
          <w:sz w:val="24"/>
          <w:szCs w:val="24"/>
        </w:rPr>
        <w:t xml:space="preserve"> 判定异常。</w:t>
      </w:r>
    </w:p>
    <w:p w14:paraId="6C293846">
      <w:pPr>
        <w:pStyle w:val="6"/>
        <w:numPr>
          <w:ilvl w:val="0"/>
          <w:numId w:val="2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768FC2DA">
      <w:pPr>
        <w:pStyle w:val="19"/>
        <w:widowControl/>
        <w:numPr>
          <w:ilvl w:val="0"/>
          <w:numId w:val="3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聚合口径铁律</w:t>
      </w:r>
      <w:r>
        <w:rPr>
          <w:rFonts w:ascii="Times New Roman" w:hAnsi="Times New Roman" w:eastAsia="宋体" w:cs="Times New Roman"/>
          <w:i w:val="0"/>
          <w:color w:val="1F2937"/>
          <w:sz w:val="24"/>
          <w:szCs w:val="24"/>
        </w:rPr>
        <w:t>：</w:t>
      </w:r>
      <w:r>
        <w:rPr>
          <w:rFonts w:ascii="Times New Roman" w:hAnsi="Times New Roman" w:eastAsia="宋体" w:cs="Times New Roman"/>
          <w:b/>
          <w:i w:val="0"/>
          <w:color w:val="1E3A8A"/>
          <w:sz w:val="24"/>
          <w:szCs w:val="24"/>
        </w:rPr>
        <w:t>绝对量类指标</w:t>
      </w:r>
      <w:r>
        <w:rPr>
          <w:rFonts w:ascii="Times New Roman" w:hAnsi="Times New Roman" w:eastAsia="宋体" w:cs="Times New Roman"/>
          <w:i w:val="0"/>
          <w:color w:val="1F2937"/>
          <w:sz w:val="24"/>
          <w:szCs w:val="24"/>
        </w:rPr>
        <w:t>（能耗、碳排）按下级工厂数值直接汇总；</w:t>
      </w:r>
      <w:r>
        <w:rPr>
          <w:rFonts w:ascii="Times New Roman" w:hAnsi="Times New Roman" w:eastAsia="宋体" w:cs="Times New Roman"/>
          <w:b/>
          <w:i w:val="0"/>
          <w:color w:val="1E3A8A"/>
          <w:sz w:val="24"/>
          <w:szCs w:val="24"/>
        </w:rPr>
        <w:t>占比类/单耗类指标</w:t>
      </w:r>
      <w:r>
        <w:rPr>
          <w:rFonts w:ascii="Times New Roman" w:hAnsi="Times New Roman" w:eastAsia="宋体" w:cs="Times New Roman"/>
          <w:i w:val="0"/>
          <w:color w:val="1F2937"/>
          <w:sz w:val="24"/>
          <w:szCs w:val="24"/>
        </w:rPr>
        <w:t>必须先汇总分子分母再重新计算，严禁对各下级占比直接求平均。</w:t>
      </w:r>
    </w:p>
    <w:p w14:paraId="24A676AF">
      <w:pPr>
        <w:pStyle w:val="19"/>
        <w:widowControl/>
        <w:numPr>
          <w:ilvl w:val="0"/>
          <w:numId w:val="3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：同比变化以箭头 + 三色表达（绿：下降 / 红：上涨 / 灰：持平）；单位产品指标环比固定为同型号对比。</w:t>
      </w:r>
    </w:p>
    <w:p w14:paraId="6ACE18F2">
      <w:pPr>
        <w:pStyle w:val="19"/>
        <w:widowControl/>
        <w:numPr>
          <w:ilvl w:val="0"/>
          <w:numId w:val="3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三色判定阈值</w:t>
      </w:r>
      <w:r>
        <w:rPr>
          <w:rFonts w:ascii="Times New Roman" w:hAnsi="Times New Roman" w:eastAsia="宋体" w:cs="Times New Roman"/>
          <w:i w:val="0"/>
          <w:color w:val="1F2937"/>
          <w:sz w:val="24"/>
          <w:szCs w:val="24"/>
        </w:rPr>
        <w:t>：达标系数 ≥1.00 优秀，0.85~1.00 正常，&lt;0.85 异常。</w:t>
      </w:r>
    </w:p>
    <w:p w14:paraId="36F305F2">
      <w:pPr>
        <w:pStyle w:val="19"/>
        <w:widowControl/>
        <w:numPr>
          <w:ilvl w:val="0"/>
          <w:numId w:val="3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空值口径</w:t>
      </w:r>
      <w:r>
        <w:rPr>
          <w:rFonts w:ascii="Times New Roman" w:hAnsi="Times New Roman" w:eastAsia="宋体" w:cs="Times New Roman"/>
          <w:i w:val="0"/>
          <w:color w:val="1F2937"/>
          <w:sz w:val="24"/>
          <w:szCs w:val="24"/>
        </w:rPr>
        <w:t xml:space="preserve">：任何无有效数据的指标位统一显示 </w:t>
      </w:r>
      <w:r>
        <w:rPr>
          <w:rFonts w:ascii="Times New Roman" w:hAnsi="Times New Roman" w:eastAsia="宋体" w:cs="Times New Roman"/>
          <w:b w:val="0"/>
          <w:i w:val="0"/>
          <w:color w:val="0284C7"/>
          <w:sz w:val="24"/>
          <w:szCs w:val="24"/>
        </w:rPr>
        <w:t xml:space="preserve"> -- </w:t>
      </w:r>
      <w:r>
        <w:rPr>
          <w:rFonts w:ascii="Times New Roman" w:hAnsi="Times New Roman" w:eastAsia="宋体" w:cs="Times New Roman"/>
          <w:i w:val="0"/>
          <w:color w:val="1F2937"/>
          <w:sz w:val="24"/>
          <w:szCs w:val="24"/>
        </w:rPr>
        <w:t>，并支持悬停查看"数据未上报"说明。</w:t>
      </w:r>
    </w:p>
    <w:p w14:paraId="73DF25F6">
      <w:pPr>
        <w:pStyle w:val="19"/>
        <w:widowControl/>
        <w:numPr>
          <w:ilvl w:val="0"/>
          <w:numId w:val="3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口径留痕</w:t>
      </w:r>
      <w:r>
        <w:rPr>
          <w:rFonts w:ascii="Times New Roman" w:hAnsi="Times New Roman" w:eastAsia="宋体" w:cs="Times New Roman"/>
          <w:i w:val="0"/>
          <w:color w:val="1F2937"/>
          <w:sz w:val="24"/>
          <w:szCs w:val="24"/>
        </w:rPr>
        <w:t>：每张卡片右下角可悬停查看本次核算所用的指标口径版本与折标系数版本。</w:t>
      </w:r>
    </w:p>
    <w:p w14:paraId="5C324A7A">
      <w:pPr>
        <w:pStyle w:val="6"/>
        <w:numPr>
          <w:ilvl w:val="0"/>
          <w:numId w:val="2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59EB9B96">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6163FC1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除零安全兜底</w:t>
            </w:r>
            <w:r>
              <w:rPr>
                <w:rFonts w:hint="eastAsia" w:ascii="宋体" w:hAnsi="宋体" w:eastAsia="宋体" w:cs="宋体"/>
                <w:i w:val="0"/>
                <w:iCs w:val="0"/>
                <w:color w:val="1F2937"/>
                <w:sz w:val="24"/>
                <w:szCs w:val="24"/>
              </w:rPr>
              <w:t xml:space="preserve">：分母（产量、产值、增加值、总用电量）为 0 时，所有单耗类指标统一显示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 xml:space="preserve">，触发 </w:t>
            </w:r>
            <w:r>
              <w:rPr>
                <w:rFonts w:hint="eastAsia" w:ascii="宋体" w:hAnsi="宋体" w:eastAsia="宋体" w:cs="宋体"/>
                <w:b w:val="0"/>
                <w:i w:val="0"/>
                <w:iCs w:val="0"/>
                <w:color w:val="0284C7"/>
                <w:sz w:val="24"/>
                <w:szCs w:val="24"/>
              </w:rPr>
              <w:t xml:space="preserve"> E_CALC_UNIT_DIV_ZERO_SOFT </w:t>
            </w:r>
            <w:r>
              <w:rPr>
                <w:rFonts w:hint="eastAsia" w:ascii="宋体" w:hAnsi="宋体" w:eastAsia="宋体" w:cs="宋体"/>
                <w:i w:val="0"/>
                <w:iCs w:val="0"/>
                <w:color w:val="1F2937"/>
                <w:sz w:val="24"/>
                <w:szCs w:val="24"/>
              </w:rPr>
              <w:t xml:space="preserve">；严禁抛出 </w:t>
            </w:r>
            <w:r>
              <w:rPr>
                <w:rFonts w:hint="eastAsia" w:ascii="宋体" w:hAnsi="宋体" w:eastAsia="宋体" w:cs="宋体"/>
                <w:b w:val="0"/>
                <w:i w:val="0"/>
                <w:iCs w:val="0"/>
                <w:color w:val="0284C7"/>
                <w:sz w:val="24"/>
                <w:szCs w:val="24"/>
              </w:rPr>
              <w:t xml:space="preserve"> NaN </w:t>
            </w:r>
            <w:r>
              <w:rPr>
                <w:rFonts w:hint="eastAsia" w:ascii="宋体" w:hAnsi="宋体" w:eastAsia="宋体" w:cs="宋体"/>
                <w:i w:val="0"/>
                <w:iCs w:val="0"/>
                <w:color w:val="1F2937"/>
                <w:sz w:val="24"/>
                <w:szCs w:val="24"/>
              </w:rPr>
              <w:t>、</w:t>
            </w:r>
            <w:r>
              <w:rPr>
                <w:rFonts w:hint="eastAsia" w:ascii="宋体" w:hAnsi="宋体" w:eastAsia="宋体" w:cs="宋体"/>
                <w:b w:val="0"/>
                <w:i w:val="0"/>
                <w:iCs w:val="0"/>
                <w:color w:val="0284C7"/>
                <w:sz w:val="24"/>
                <w:szCs w:val="24"/>
              </w:rPr>
              <w:t xml:space="preserve"> Infinity </w:t>
            </w:r>
            <w:r>
              <w:rPr>
                <w:rFonts w:hint="eastAsia" w:ascii="宋体" w:hAnsi="宋体" w:eastAsia="宋体" w:cs="宋体"/>
                <w:i w:val="0"/>
                <w:iCs w:val="0"/>
                <w:color w:val="1F2937"/>
                <w:sz w:val="24"/>
                <w:szCs w:val="24"/>
              </w:rPr>
              <w:t xml:space="preserve"> 或白屏。</w:t>
            </w:r>
          </w:p>
          <w:p w14:paraId="46B9930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产业分母隔离铁律</w:t>
            </w:r>
            <w:r>
              <w:rPr>
                <w:rFonts w:hint="eastAsia" w:ascii="宋体" w:hAnsi="宋体" w:eastAsia="宋体" w:cs="宋体"/>
                <w:i w:val="0"/>
                <w:iCs w:val="0"/>
                <w:color w:val="1F2937"/>
                <w:sz w:val="24"/>
                <w:szCs w:val="24"/>
              </w:rPr>
              <w:t>：变压器与线缆单耗在数据库结构、底层 API 响应、页面表格及导出文件中绝对禁止混编在同一统计列，禁止跨产业直接对比。</w:t>
            </w:r>
          </w:p>
          <w:p w14:paraId="683CA18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无工序单位判空</w:t>
            </w:r>
            <w:r>
              <w:rPr>
                <w:rFonts w:hint="eastAsia" w:ascii="宋体" w:hAnsi="宋体" w:eastAsia="宋体" w:cs="宋体"/>
                <w:i w:val="0"/>
                <w:iCs w:val="0"/>
                <w:color w:val="1F2937"/>
                <w:sz w:val="24"/>
                <w:szCs w:val="24"/>
              </w:rPr>
              <w:t xml:space="preserve">：选中 10 家无工序单位时，工序管控区域整行单行输出"暂无相关工序！"，触发 </w:t>
            </w:r>
            <w:r>
              <w:rPr>
                <w:rFonts w:hint="eastAsia" w:ascii="宋体" w:hAnsi="宋体" w:eastAsia="宋体" w:cs="宋体"/>
                <w:b w:val="0"/>
                <w:i w:val="0"/>
                <w:iCs w:val="0"/>
                <w:color w:val="0284C7"/>
                <w:sz w:val="24"/>
                <w:szCs w:val="24"/>
              </w:rPr>
              <w:t xml:space="preserve"> E_QM_WHITE_LIST_MISS </w:t>
            </w:r>
            <w:r>
              <w:rPr>
                <w:rFonts w:hint="eastAsia" w:ascii="宋体" w:hAnsi="宋体" w:eastAsia="宋体" w:cs="宋体"/>
                <w:i w:val="0"/>
                <w:iCs w:val="0"/>
                <w:color w:val="1F2937"/>
                <w:sz w:val="24"/>
                <w:szCs w:val="24"/>
              </w:rPr>
              <w:t>。</w:t>
            </w:r>
          </w:p>
          <w:p w14:paraId="1714DD6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越权拦截</w:t>
            </w:r>
            <w:r>
              <w:rPr>
                <w:rFonts w:hint="eastAsia" w:ascii="宋体" w:hAnsi="宋体" w:eastAsia="宋体" w:cs="宋体"/>
                <w:i w:val="0"/>
                <w:iCs w:val="0"/>
                <w:color w:val="1F2937"/>
                <w:sz w:val="24"/>
                <w:szCs w:val="24"/>
              </w:rPr>
              <w:t xml:space="preserve">：P3 车间填报员访问集团级指标详情触发 </w:t>
            </w:r>
            <w:r>
              <w:rPr>
                <w:rFonts w:hint="eastAsia" w:ascii="宋体" w:hAnsi="宋体" w:eastAsia="宋体" w:cs="宋体"/>
                <w:b w:val="0"/>
                <w:i w:val="0"/>
                <w:iCs w:val="0"/>
                <w:color w:val="0284C7"/>
                <w:sz w:val="24"/>
                <w:szCs w:val="24"/>
              </w:rPr>
              <w:t xml:space="preserve"> E_AUTH_RBAC_FORBIDDEN </w:t>
            </w:r>
            <w:r>
              <w:rPr>
                <w:rFonts w:hint="eastAsia" w:ascii="宋体" w:hAnsi="宋体" w:eastAsia="宋体" w:cs="宋体"/>
                <w:i w:val="0"/>
                <w:iCs w:val="0"/>
                <w:color w:val="1F2937"/>
                <w:sz w:val="24"/>
                <w:szCs w:val="24"/>
              </w:rPr>
              <w:t>。</w:t>
            </w:r>
          </w:p>
          <w:p w14:paraId="6A36E54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锁账拦截</w:t>
            </w:r>
            <w:r>
              <w:rPr>
                <w:rFonts w:hint="eastAsia" w:ascii="宋体" w:hAnsi="宋体" w:eastAsia="宋体" w:cs="宋体"/>
                <w:i w:val="0"/>
                <w:iCs w:val="0"/>
                <w:color w:val="1F2937"/>
                <w:sz w:val="24"/>
                <w:szCs w:val="24"/>
              </w:rPr>
              <w:t xml:space="preserve">：已关账月度指标详情页禁止触发任何重算动作，触发 </w:t>
            </w:r>
            <w:r>
              <w:rPr>
                <w:rFonts w:hint="eastAsia" w:ascii="宋体" w:hAnsi="宋体" w:eastAsia="宋体" w:cs="宋体"/>
                <w:b w:val="0"/>
                <w:i w:val="0"/>
                <w:iCs w:val="0"/>
                <w:color w:val="0284C7"/>
                <w:sz w:val="24"/>
                <w:szCs w:val="24"/>
              </w:rPr>
              <w:t xml:space="preserve"> E_SYS_ENTRY_ALREADY_LOCKED </w:t>
            </w:r>
            <w:r>
              <w:rPr>
                <w:rFonts w:hint="eastAsia" w:ascii="宋体" w:hAnsi="宋体" w:eastAsia="宋体" w:cs="宋体"/>
                <w:i w:val="0"/>
                <w:iCs w:val="0"/>
                <w:color w:val="1F2937"/>
                <w:sz w:val="24"/>
                <w:szCs w:val="24"/>
              </w:rPr>
              <w:t>。</w:t>
            </w:r>
          </w:p>
          <w:p w14:paraId="49F8F47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因子过期</w:t>
            </w:r>
            <w:r>
              <w:rPr>
                <w:rFonts w:hint="eastAsia" w:ascii="宋体" w:hAnsi="宋体" w:eastAsia="宋体" w:cs="宋体"/>
                <w:i w:val="0"/>
                <w:iCs w:val="0"/>
                <w:color w:val="1F2937"/>
                <w:sz w:val="24"/>
                <w:szCs w:val="24"/>
              </w:rPr>
              <w:t xml:space="preserve">：指标核算所引用的折标系数或排放因子已过有效期时触发 </w:t>
            </w:r>
            <w:r>
              <w:rPr>
                <w:rFonts w:hint="eastAsia" w:ascii="宋体" w:hAnsi="宋体" w:eastAsia="宋体" w:cs="宋体"/>
                <w:b w:val="0"/>
                <w:i w:val="0"/>
                <w:iCs w:val="0"/>
                <w:color w:val="0284C7"/>
                <w:sz w:val="24"/>
                <w:szCs w:val="24"/>
              </w:rPr>
              <w:t xml:space="preserve"> E_VAL_FACTOR_EXPIRED </w:t>
            </w:r>
            <w:r>
              <w:rPr>
                <w:rFonts w:hint="eastAsia" w:ascii="宋体" w:hAnsi="宋体" w:eastAsia="宋体" w:cs="宋体"/>
                <w:i w:val="0"/>
                <w:iCs w:val="0"/>
                <w:color w:val="1F2937"/>
                <w:sz w:val="24"/>
                <w:szCs w:val="24"/>
              </w:rPr>
              <w:t>，卡片标注"因子待升级"。</w:t>
            </w:r>
          </w:p>
        </w:tc>
      </w:tr>
    </w:tbl>
    <w:p w14:paraId="58017EBA">
      <w:pPr>
        <w:spacing w:after="40"/>
        <w:rPr>
          <w:rFonts w:hint="eastAsia" w:ascii="宋体" w:hAnsi="宋体" w:eastAsia="宋体" w:cs="宋体"/>
          <w:i w:val="0"/>
          <w:iCs w:val="0"/>
          <w:sz w:val="24"/>
          <w:szCs w:val="24"/>
        </w:rPr>
      </w:pPr>
    </w:p>
    <w:p w14:paraId="770973B6">
      <w:pPr>
        <w:pStyle w:val="6"/>
        <w:numPr>
          <w:ilvl w:val="0"/>
          <w:numId w:val="28"/>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77774576">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407DC82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指标管控双模穿透与聚合口径</w:t>
            </w:r>
          </w:p>
          <w:p w14:paraId="79D7B84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10 项核心指标聚合口径正确性</w:t>
            </w:r>
          </w:p>
          <w:p w14:paraId="5BE8981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一级节点下挂 5 家二级工厂且均已上报能耗与碳排数据</w:t>
            </w:r>
          </w:p>
          <w:p w14:paraId="1BDFAFA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P2 在一级节点查看"综合能源消费量"与"单位能耗碳排放"</w:t>
            </w:r>
          </w:p>
          <w:p w14:paraId="11D0FAF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综合能源消费量等于 5 家工厂数值直接汇总</w:t>
            </w:r>
          </w:p>
          <w:p w14:paraId="4A8F817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单位能耗碳排放等于汇总后的总碳排除以汇总后的总能耗</w:t>
            </w:r>
          </w:p>
          <w:p w14:paraId="7697B20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页面不对 5 家工厂的碳排放强度直接求算术平均</w:t>
            </w:r>
          </w:p>
          <w:p w14:paraId="5330A621">
            <w:pPr>
              <w:spacing w:before="0" w:after="20" w:line="264" w:lineRule="auto"/>
              <w:rPr>
                <w:rFonts w:hint="eastAsia" w:ascii="宋体" w:hAnsi="宋体" w:eastAsia="宋体" w:cs="宋体"/>
                <w:i w:val="0"/>
                <w:iCs w:val="0"/>
                <w:sz w:val="24"/>
                <w:szCs w:val="24"/>
              </w:rPr>
            </w:pPr>
          </w:p>
          <w:p w14:paraId="665CF80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极限除零边界防御</w:t>
            </w:r>
          </w:p>
          <w:p w14:paraId="31714D6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某工厂当月产品产量 M 录入为 0</w:t>
            </w:r>
          </w:p>
          <w:p w14:paraId="6386338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系统渲染该工厂"单位产品综合能耗"指标卡片</w:t>
            </w:r>
          </w:p>
          <w:p w14:paraId="415FE62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指标值安全显示为 "--"</w:t>
            </w:r>
          </w:p>
          <w:p w14:paraId="4C001CD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页面不出现 NaN、Infinity 或白屏</w:t>
            </w:r>
          </w:p>
          <w:p w14:paraId="3266203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后台记录 E_CALC_UNIT_DIV_ZERO_SOFT</w:t>
            </w:r>
          </w:p>
          <w:p w14:paraId="739FC787">
            <w:pPr>
              <w:spacing w:before="0" w:after="20" w:line="264" w:lineRule="auto"/>
              <w:rPr>
                <w:rFonts w:hint="eastAsia" w:ascii="宋体" w:hAnsi="宋体" w:eastAsia="宋体" w:cs="宋体"/>
                <w:i w:val="0"/>
                <w:iCs w:val="0"/>
                <w:sz w:val="24"/>
                <w:szCs w:val="24"/>
              </w:rPr>
            </w:pPr>
          </w:p>
          <w:p w14:paraId="0C80F46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无工序单位精准判空</w:t>
            </w:r>
          </w:p>
          <w:p w14:paraId="57FBFDE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组织树中已选中"沈变智慧能源"等 10 家无工序单位之一</w:t>
            </w:r>
          </w:p>
          <w:p w14:paraId="6F2F428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页面渲染关键制造工序能耗管控区域</w:t>
            </w:r>
          </w:p>
          <w:p w14:paraId="5A2133E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工序区域整行仅输出单行文本 "暂无相关工序！"</w:t>
            </w:r>
          </w:p>
          <w:p w14:paraId="5CAEA78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不出现空白占位卡片</w:t>
            </w:r>
          </w:p>
          <w:p w14:paraId="538AF07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不出现任何解释性说教文案</w:t>
            </w:r>
          </w:p>
          <w:p w14:paraId="5007CF6F">
            <w:pPr>
              <w:spacing w:before="0" w:after="20" w:line="264" w:lineRule="auto"/>
              <w:rPr>
                <w:rFonts w:hint="eastAsia" w:ascii="宋体" w:hAnsi="宋体" w:eastAsia="宋体" w:cs="宋体"/>
                <w:i w:val="0"/>
                <w:iCs w:val="0"/>
                <w:sz w:val="24"/>
                <w:szCs w:val="24"/>
              </w:rPr>
            </w:pPr>
          </w:p>
          <w:p w14:paraId="5B1D1DF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桑基图显示条件</w:t>
            </w:r>
          </w:p>
          <w:p w14:paraId="2A78A20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组织树当前选中节点为二级公司</w:t>
            </w:r>
          </w:p>
          <w:p w14:paraId="09540A3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页面上方渲染数据变化桑基图区域</w:t>
            </w:r>
          </w:p>
          <w:p w14:paraId="132C3F7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桑基图不显示</w:t>
            </w:r>
          </w:p>
          <w:p w14:paraId="39F0355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仅当选中一级节点时桑基图才按所选指标渲染</w:t>
            </w:r>
          </w:p>
          <w:p w14:paraId="39552325">
            <w:pPr>
              <w:spacing w:before="0" w:after="20" w:line="264" w:lineRule="auto"/>
              <w:rPr>
                <w:rFonts w:hint="eastAsia" w:ascii="宋体" w:hAnsi="宋体" w:eastAsia="宋体" w:cs="宋体"/>
                <w:i w:val="0"/>
                <w:iCs w:val="0"/>
                <w:sz w:val="24"/>
                <w:szCs w:val="24"/>
              </w:rPr>
            </w:pPr>
          </w:p>
          <w:p w14:paraId="21D15FA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产业分母隔离铁律</w:t>
            </w:r>
          </w:p>
          <w:p w14:paraId="103195C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报表数据同时包含变压器产业与线缆产业的单位产品能耗</w:t>
            </w:r>
          </w:p>
          <w:p w14:paraId="26A73C0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系统生成指标明细与 Excel 导出文件</w:t>
            </w:r>
          </w:p>
          <w:p w14:paraId="3369925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两类产业的单耗分别以 kVA 口径与 km·mm² 口径独立成列</w:t>
            </w:r>
          </w:p>
          <w:p w14:paraId="37500B4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不存在任何跨产业混算列或跨产业排名</w:t>
            </w:r>
          </w:p>
        </w:tc>
      </w:tr>
    </w:tbl>
    <w:p w14:paraId="25E5EC56">
      <w:pPr>
        <w:spacing w:after="40"/>
        <w:rPr>
          <w:rFonts w:hint="eastAsia" w:ascii="宋体" w:hAnsi="宋体" w:eastAsia="宋体" w:cs="宋体"/>
          <w:i w:val="0"/>
          <w:iCs w:val="0"/>
          <w:sz w:val="24"/>
          <w:szCs w:val="24"/>
        </w:rPr>
      </w:pPr>
    </w:p>
    <w:p w14:paraId="39ABCA67">
      <w:pPr>
        <w:pStyle w:val="5"/>
        <w:numPr>
          <w:ilvl w:val="0"/>
          <w:numId w:val="27"/>
        </w:numPr>
        <w:ind w:left="0" w:leftChars="0" w:firstLine="0" w:firstLineChars="0"/>
        <w:outlineLvl w:val="1"/>
        <w:rPr>
          <w:rFonts w:eastAsia="黑体"/>
          <w:b w:val="0"/>
          <w:bCs w:val="0"/>
          <w:sz w:val="30"/>
          <w:szCs w:val="24"/>
        </w:rPr>
      </w:pPr>
      <w:bookmarkStart w:id="16" w:name="_Toc9809"/>
      <w:r>
        <w:rPr>
          <w:rFonts w:ascii="Times New Roman" w:hAnsi="Times New Roman" w:eastAsia="黑体" w:cs="Times New Roman"/>
          <w:b w:val="0"/>
          <w:bCs w:val="0"/>
          <w:sz w:val="30"/>
          <w:szCs w:val="24"/>
        </w:rPr>
        <w:t>数据变化详情</w:t>
      </w:r>
      <w:bookmarkEnd w:id="16"/>
    </w:p>
    <w:p w14:paraId="18174114">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kern w:val="2"/>
          <w:sz w:val="28"/>
          <w:szCs w:val="28"/>
          <w:lang w:bidi="ar-SA"/>
        </w:rPr>
      </w:pPr>
      <w:r>
        <w:rPr>
          <w:rFonts w:hint="eastAsia" w:ascii="宋体" w:hAnsi="宋体" w:eastAsia="宋体" w:cs="宋体"/>
          <w:bCs/>
          <w:kern w:val="2"/>
          <w:sz w:val="28"/>
          <w:szCs w:val="28"/>
          <w:lang w:bidi="ar-SA"/>
        </w:rPr>
        <w:drawing>
          <wp:inline distT="0" distB="0" distL="114300" distR="114300">
            <wp:extent cx="6210300" cy="3079115"/>
            <wp:effectExtent l="0" t="0" r="0" b="6985"/>
            <wp:docPr id="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
                    <pic:cNvPicPr>
                      <a:picLocks noChangeAspect="1"/>
                    </pic:cNvPicPr>
                  </pic:nvPicPr>
                  <pic:blipFill>
                    <a:blip r:embed="rId18"/>
                    <a:stretch>
                      <a:fillRect/>
                    </a:stretch>
                  </pic:blipFill>
                  <pic:spPr>
                    <a:xfrm>
                      <a:off x="0" y="0"/>
                      <a:ext cx="6210300" cy="3079115"/>
                    </a:xfrm>
                    <a:prstGeom prst="rect">
                      <a:avLst/>
                    </a:prstGeom>
                    <a:noFill/>
                    <a:ln>
                      <a:noFill/>
                    </a:ln>
                  </pic:spPr>
                </pic:pic>
              </a:graphicData>
            </a:graphic>
          </wp:inline>
        </w:drawing>
      </w:r>
    </w:p>
    <w:p w14:paraId="1095198B">
      <w:pPr>
        <w:pStyle w:val="6"/>
        <w:numPr>
          <w:ilvl w:val="0"/>
          <w:numId w:val="3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430D184E">
      <w:pPr>
        <w:pStyle w:val="19"/>
        <w:widowControl/>
        <w:numPr>
          <w:ilvl w:val="0"/>
          <w:numId w:val="3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：指标管控 Mode B 的落地载体，以侧滑抽屉形态承载单一指标的完整证据链，实现"从数值到台账"的无损穿透。</w:t>
      </w:r>
    </w:p>
    <w:p w14:paraId="4B1F2021">
      <w:pPr>
        <w:pStyle w:val="19"/>
        <w:widowControl/>
        <w:numPr>
          <w:ilvl w:val="0"/>
          <w:numId w:val="3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园区能碳专员；P6 外部审计机构（只读）。</w:t>
      </w:r>
    </w:p>
    <w:p w14:paraId="1547571A">
      <w:pPr>
        <w:pStyle w:val="19"/>
        <w:widowControl/>
        <w:numPr>
          <w:ilvl w:val="0"/>
          <w:numId w:val="3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/monitor/indicators/detail/:kpiCode </w:t>
      </w:r>
      <w:r>
        <w:rPr>
          <w:rFonts w:ascii="Times New Roman" w:hAnsi="Times New Roman" w:eastAsia="宋体" w:cs="Times New Roman"/>
          <w:i w:val="0"/>
          <w:color w:val="1F2937"/>
          <w:sz w:val="24"/>
          <w:szCs w:val="24"/>
        </w:rPr>
        <w:t>（亦可由 Mode A 卡片点击侧滑唤起）。</w:t>
      </w:r>
    </w:p>
    <w:p w14:paraId="35630F6E">
      <w:pPr>
        <w:pStyle w:val="19"/>
        <w:widowControl/>
        <w:numPr>
          <w:ilvl w:val="0"/>
          <w:numId w:val="3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：指标字典、折标系数版本库、数仓链路元数据、底层仪表遥测台账。</w:t>
      </w:r>
    </w:p>
    <w:p w14:paraId="5079B9B7">
      <w:pPr>
        <w:pStyle w:val="19"/>
        <w:widowControl/>
        <w:numPr>
          <w:ilvl w:val="0"/>
          <w:numId w:val="3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：Excel 明细导出文件；指标口径说明引用。</w:t>
      </w:r>
    </w:p>
    <w:p w14:paraId="4C26AF8F">
      <w:pPr>
        <w:pStyle w:val="6"/>
        <w:numPr>
          <w:ilvl w:val="0"/>
          <w:numId w:val="3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2402FD90">
      <w:pPr>
        <w:pStyle w:val="19"/>
        <w:widowControl/>
        <w:numPr>
          <w:ilvl w:val="0"/>
          <w:numId w:val="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：能碳专员发现某园区单位产值能耗异常上涨后，需在 3 分钟内确认该数值由哪些表计、哪些凭证、哪些折标系数计算得出，并判定是统计口径问题还是真实能耗恶化。</w:t>
      </w:r>
    </w:p>
    <w:p w14:paraId="68E95F6D">
      <w:pPr>
        <w:pStyle w:val="19"/>
        <w:widowControl/>
        <w:numPr>
          <w:ilvl w:val="0"/>
          <w:numId w:val="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66D823D7">
      <w:pPr>
        <w:pStyle w:val="19"/>
        <w:widowControl/>
        <w:numPr>
          <w:ilvl w:val="0"/>
          <w:numId w:val="4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园区能碳专员 (Persona P2)</w:t>
      </w:r>
      <w:r>
        <w:rPr>
          <w:rFonts w:ascii="Times New Roman" w:hAnsi="Times New Roman" w:eastAsia="宋体" w:cs="Times New Roman"/>
          <w:i w:val="0"/>
          <w:color w:val="1F2937"/>
          <w:sz w:val="24"/>
          <w:szCs w:val="24"/>
        </w:rPr>
        <w:t>，</w:t>
      </w:r>
    </w:p>
    <w:p w14:paraId="77A03457">
      <w:pPr>
        <w:pStyle w:val="19"/>
        <w:widowControl/>
        <w:numPr>
          <w:ilvl w:val="0"/>
          <w:numId w:val="4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在指标详情抽屉中查看数学核算模型、数仓链路与仪表点位、12 个月走势图与底层抄表台账，并一键导出明细</w:t>
      </w:r>
      <w:r>
        <w:rPr>
          <w:rFonts w:ascii="Times New Roman" w:hAnsi="Times New Roman" w:eastAsia="宋体" w:cs="Times New Roman"/>
          <w:i w:val="0"/>
          <w:color w:val="1F2937"/>
          <w:sz w:val="24"/>
          <w:szCs w:val="24"/>
        </w:rPr>
        <w:t>，</w:t>
      </w:r>
    </w:p>
    <w:p w14:paraId="40C3365F">
      <w:pPr>
        <w:pStyle w:val="19"/>
        <w:widowControl/>
        <w:numPr>
          <w:ilvl w:val="0"/>
          <w:numId w:val="4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我能形成经得起审计追溯的能耗异常归因证据</w:t>
      </w:r>
      <w:r>
        <w:rPr>
          <w:rFonts w:ascii="Times New Roman" w:hAnsi="Times New Roman" w:eastAsia="宋体" w:cs="Times New Roman"/>
          <w:i w:val="0"/>
          <w:color w:val="1F2937"/>
          <w:sz w:val="24"/>
          <w:szCs w:val="24"/>
        </w:rPr>
        <w:t>。</w:t>
      </w:r>
    </w:p>
    <w:p w14:paraId="2AE4547B">
      <w:pPr>
        <w:pStyle w:val="6"/>
        <w:numPr>
          <w:ilvl w:val="0"/>
          <w:numId w:val="3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24DDB4D2">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抽屉六大功能区块：</w:t>
      </w:r>
    </w:p>
    <w:tbl>
      <w:tblPr>
        <w:tblStyle w:val="38"/>
        <w:tblW w:w="9784" w:type="dxa"/>
        <w:jc w:val="center"/>
        <w:tblLayout w:type="autofit"/>
        <w:tblCellMar>
          <w:top w:w="0" w:type="dxa"/>
          <w:left w:w="108" w:type="dxa"/>
          <w:bottom w:w="0" w:type="dxa"/>
          <w:right w:w="108" w:type="dxa"/>
        </w:tblCellMar>
      </w:tblPr>
      <w:tblGrid>
        <w:gridCol w:w="1896"/>
        <w:gridCol w:w="3729"/>
        <w:gridCol w:w="4159"/>
      </w:tblGrid>
      <w:tr w14:paraId="132FCD1C">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BCC02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区块</w:t>
            </w:r>
          </w:p>
        </w:tc>
        <w:tc>
          <w:tcPr>
            <w:tcW w:w="372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AE399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内容</w:t>
            </w:r>
          </w:p>
        </w:tc>
        <w:tc>
          <w:tcPr>
            <w:tcW w:w="415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4FE0E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交互</w:t>
            </w:r>
          </w:p>
        </w:tc>
      </w:tr>
      <w:tr w14:paraId="46D59D7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7DF4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指标物理定义</w:t>
            </w:r>
          </w:p>
        </w:tc>
        <w:tc>
          <w:tcPr>
            <w:tcW w:w="37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92BB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显示当前指标的标准物理定义与业务释义</w:t>
            </w:r>
          </w:p>
        </w:tc>
        <w:tc>
          <w:tcPr>
            <w:tcW w:w="41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B75B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只读，支持复制</w:t>
            </w:r>
          </w:p>
        </w:tc>
      </w:tr>
      <w:tr w14:paraId="77EAE42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787B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数学核算模型</w:t>
            </w:r>
          </w:p>
        </w:tc>
        <w:tc>
          <w:tcPr>
            <w:tcW w:w="37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43DE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分子、分母、折标系数公式与变量中文释义</w:t>
            </w:r>
          </w:p>
        </w:tc>
        <w:tc>
          <w:tcPr>
            <w:tcW w:w="41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00E86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公式卡片渲染，变量可悬停查看取值</w:t>
            </w:r>
          </w:p>
        </w:tc>
      </w:tr>
      <w:tr w14:paraId="2D31D4E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DC74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数仓链路与点位</w:t>
            </w:r>
          </w:p>
        </w:tc>
        <w:tc>
          <w:tcPr>
            <w:tcW w:w="37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A598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 凭证、MES 报工、IoT SCADA 电表/流量计点位物理链路</w:t>
            </w:r>
          </w:p>
        </w:tc>
        <w:tc>
          <w:tcPr>
            <w:tcW w:w="41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3834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链路节点可点击跳转至原始台账</w:t>
            </w:r>
          </w:p>
        </w:tc>
      </w:tr>
      <w:tr w14:paraId="77D4EA7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CFFE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时序走势图</w:t>
            </w:r>
          </w:p>
        </w:tc>
        <w:tc>
          <w:tcPr>
            <w:tcW w:w="37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C236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 个月高对比度面积折线图，自动标注历史极值</w:t>
            </w:r>
          </w:p>
        </w:tc>
        <w:tc>
          <w:tcPr>
            <w:tcW w:w="41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D2FA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游标微透科技蓝；极值点自动挂标签</w:t>
            </w:r>
          </w:p>
        </w:tc>
      </w:tr>
      <w:tr w14:paraId="23BA3C4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A0BA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因子说明</w:t>
            </w:r>
          </w:p>
        </w:tc>
        <w:tc>
          <w:tcPr>
            <w:tcW w:w="37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AC5E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显示公式所涉及因子的数值与版本</w:t>
            </w:r>
          </w:p>
        </w:tc>
        <w:tc>
          <w:tcPr>
            <w:tcW w:w="41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CAEC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一级节点不显示具体因子数值；二级节点显示公司所在地排放因子参数</w:t>
            </w:r>
          </w:p>
        </w:tc>
      </w:tr>
      <w:tr w14:paraId="4E3F055A">
        <w:tblPrEx>
          <w:tblCellMar>
            <w:top w:w="0" w:type="dxa"/>
            <w:left w:w="108" w:type="dxa"/>
            <w:bottom w:w="0" w:type="dxa"/>
            <w:right w:w="108" w:type="dxa"/>
          </w:tblCellMar>
        </w:tblPrEx>
        <w:trPr>
          <w:jc w:val="center"/>
        </w:trPr>
        <w:tc>
          <w:tcPr>
            <w:tcW w:w="18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F8F1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底层仪表抄表台账</w:t>
            </w:r>
          </w:p>
        </w:tc>
        <w:tc>
          <w:tcPr>
            <w:tcW w:w="37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DFD8F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历史监测数据明细</w:t>
            </w:r>
          </w:p>
        </w:tc>
        <w:tc>
          <w:tcPr>
            <w:tcW w:w="41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2717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支持分页、按时间排序、导出 Excel</w:t>
            </w:r>
          </w:p>
        </w:tc>
      </w:tr>
    </w:tbl>
    <w:p w14:paraId="0BCF6153">
      <w:pPr>
        <w:spacing w:after="60"/>
        <w:rPr>
          <w:rFonts w:hint="eastAsia" w:ascii="宋体" w:hAnsi="宋体" w:eastAsia="宋体" w:cs="宋体"/>
          <w:i w:val="0"/>
          <w:iCs w:val="0"/>
          <w:sz w:val="24"/>
          <w:szCs w:val="24"/>
        </w:rPr>
      </w:pPr>
    </w:p>
    <w:p w14:paraId="403086A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关键交互规则：</w:t>
      </w:r>
    </w:p>
    <w:p w14:paraId="48AE3240">
      <w:pPr>
        <w:pStyle w:val="19"/>
        <w:widowControl/>
        <w:numPr>
          <w:ilvl w:val="0"/>
          <w:numId w:val="4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抽屉从右侧滑入，宽度占屏 45%，Mode A 内容自动左移不遮挡。</w:t>
      </w:r>
    </w:p>
    <w:p w14:paraId="6C6C521F">
      <w:pPr>
        <w:pStyle w:val="19"/>
        <w:widowControl/>
        <w:numPr>
          <w:ilvl w:val="0"/>
          <w:numId w:val="4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因子说明按组织层级差异化：</w:t>
      </w:r>
      <w:r>
        <w:rPr>
          <w:rFonts w:ascii="Times New Roman" w:hAnsi="Times New Roman" w:eastAsia="宋体" w:cs="Times New Roman"/>
          <w:b/>
          <w:i w:val="0"/>
          <w:color w:val="1E3A8A"/>
          <w:sz w:val="24"/>
          <w:szCs w:val="24"/>
        </w:rPr>
        <w:t>一级节点不显示单位因子具体数值</w:t>
      </w:r>
      <w:r>
        <w:rPr>
          <w:rFonts w:ascii="Times New Roman" w:hAnsi="Times New Roman" w:eastAsia="宋体" w:cs="Times New Roman"/>
          <w:i w:val="0"/>
          <w:color w:val="1F2937"/>
          <w:sz w:val="24"/>
          <w:szCs w:val="24"/>
        </w:rPr>
        <w:t>；</w:t>
      </w:r>
      <w:r>
        <w:rPr>
          <w:rFonts w:ascii="Times New Roman" w:hAnsi="Times New Roman" w:eastAsia="宋体" w:cs="Times New Roman"/>
          <w:b/>
          <w:i w:val="0"/>
          <w:color w:val="1E3A8A"/>
          <w:sz w:val="24"/>
          <w:szCs w:val="24"/>
        </w:rPr>
        <w:t>二级节点显示公司所在地排放因子参数</w:t>
      </w:r>
      <w:r>
        <w:rPr>
          <w:rFonts w:ascii="Times New Roman" w:hAnsi="Times New Roman" w:eastAsia="宋体" w:cs="Times New Roman"/>
          <w:i w:val="0"/>
          <w:color w:val="1F2937"/>
          <w:sz w:val="24"/>
          <w:szCs w:val="24"/>
        </w:rPr>
        <w:t>。</w:t>
      </w:r>
    </w:p>
    <w:p w14:paraId="49D20659">
      <w:pPr>
        <w:pStyle w:val="19"/>
        <w:widowControl/>
        <w:numPr>
          <w:ilvl w:val="0"/>
          <w:numId w:val="4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趋势图默认展示近 12 个月，可切换至 24 / 36 个月；无数据月份保持断层不插值。</w:t>
      </w:r>
    </w:p>
    <w:p w14:paraId="32C41889">
      <w:pPr>
        <w:pStyle w:val="19"/>
        <w:widowControl/>
        <w:numPr>
          <w:ilvl w:val="0"/>
          <w:numId w:val="4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数据明细展示计算公式中的分子、分母、计算指标、环比和同比数据；点击导出后可将明细数据导出为 Excel 文件；字段信息与数据来源见附录 F。</w:t>
      </w:r>
    </w:p>
    <w:p w14:paraId="22E25536">
      <w:pPr>
        <w:pStyle w:val="6"/>
        <w:numPr>
          <w:ilvl w:val="0"/>
          <w:numId w:val="3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74"/>
        <w:gridCol w:w="1900"/>
        <w:gridCol w:w="1356"/>
        <w:gridCol w:w="1672"/>
        <w:gridCol w:w="3982"/>
      </w:tblGrid>
      <w:tr w14:paraId="747334E8">
        <w:tblPrEx>
          <w:tblCellMar>
            <w:top w:w="0" w:type="dxa"/>
            <w:left w:w="108" w:type="dxa"/>
            <w:bottom w:w="0" w:type="dxa"/>
            <w:right w:w="108" w:type="dxa"/>
          </w:tblCellMar>
        </w:tblPrEx>
        <w:trPr>
          <w:tblHeade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533C2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0B1FF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5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9AC28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6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DE5AB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98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7D233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485FFEA9">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EDA52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715D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指标编码</w:t>
            </w:r>
          </w:p>
        </w:tc>
        <w:tc>
          <w:tcPr>
            <w:tcW w:w="13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744D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6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5B3C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BE48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与 Mode A 卡片一一对应，非空</w:t>
            </w:r>
          </w:p>
        </w:tc>
      </w:tr>
      <w:tr w14:paraId="1A53E5BC">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8C4C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1B67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指标物理定义</w:t>
            </w:r>
          </w:p>
        </w:tc>
        <w:tc>
          <w:tcPr>
            <w:tcW w:w="13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A9D5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Text</w:t>
            </w:r>
          </w:p>
        </w:tc>
        <w:tc>
          <w:tcPr>
            <w:tcW w:w="16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6E76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954A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非空，引用指标字典标准释义</w:t>
            </w:r>
          </w:p>
        </w:tc>
      </w:tr>
      <w:tr w14:paraId="27515DD6">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E602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FCC3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核算公式表达式</w:t>
            </w:r>
          </w:p>
        </w:tc>
        <w:tc>
          <w:tcPr>
            <w:tcW w:w="13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8021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6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C0F0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CA07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引用《"双中心"项目能碳管控指标体系 V1.5》标准公式</w:t>
            </w:r>
          </w:p>
        </w:tc>
      </w:tr>
      <w:tr w14:paraId="25A94539">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199A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A688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公式变量释义</w:t>
            </w:r>
          </w:p>
        </w:tc>
        <w:tc>
          <w:tcPr>
            <w:tcW w:w="13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4D55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Text</w:t>
            </w:r>
          </w:p>
        </w:tc>
        <w:tc>
          <w:tcPr>
            <w:tcW w:w="16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B4B7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65E4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描述信息中显示公式中计算指标参数含义</w:t>
            </w:r>
          </w:p>
        </w:tc>
      </w:tr>
      <w:tr w14:paraId="7E858D73">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5956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A52B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分子数值</w:t>
            </w:r>
          </w:p>
        </w:tc>
        <w:tc>
          <w:tcPr>
            <w:tcW w:w="13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3389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E408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实物单位</w:t>
            </w:r>
          </w:p>
        </w:tc>
        <w:tc>
          <w:tcPr>
            <w:tcW w:w="39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7411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保留原始采集精度，不得四舍五入后展示</w:t>
            </w:r>
          </w:p>
        </w:tc>
      </w:tr>
      <w:tr w14:paraId="103FA026">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810F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E461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分母数值</w:t>
            </w:r>
          </w:p>
        </w:tc>
        <w:tc>
          <w:tcPr>
            <w:tcW w:w="13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30D1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008D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实物单位</w:t>
            </w:r>
          </w:p>
        </w:tc>
        <w:tc>
          <w:tcPr>
            <w:tcW w:w="39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990E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为 0 时整个单耗显示 </w:t>
            </w:r>
            <w:r>
              <w:rPr>
                <w:rFonts w:hint="eastAsia" w:ascii="宋体" w:hAnsi="宋体" w:eastAsia="宋体" w:cs="宋体"/>
                <w:b w:val="0"/>
                <w:i w:val="0"/>
                <w:iCs w:val="0"/>
                <w:color w:val="0284C7"/>
                <w:sz w:val="24"/>
                <w:szCs w:val="24"/>
              </w:rPr>
              <w:t xml:space="preserve"> -- </w:t>
            </w:r>
          </w:p>
        </w:tc>
      </w:tr>
      <w:tr w14:paraId="448CC2FF">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0E95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7696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本期值</w:t>
            </w:r>
          </w:p>
        </w:tc>
        <w:tc>
          <w:tcPr>
            <w:tcW w:w="13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A01E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6583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见指标单位</w:t>
            </w:r>
          </w:p>
        </w:tc>
        <w:tc>
          <w:tcPr>
            <w:tcW w:w="39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8F2E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0，空值 </w:t>
            </w:r>
            <w:r>
              <w:rPr>
                <w:rFonts w:hint="eastAsia" w:ascii="宋体" w:hAnsi="宋体" w:eastAsia="宋体" w:cs="宋体"/>
                <w:b w:val="0"/>
                <w:i w:val="0"/>
                <w:iCs w:val="0"/>
                <w:color w:val="0284C7"/>
                <w:sz w:val="24"/>
                <w:szCs w:val="24"/>
              </w:rPr>
              <w:t xml:space="preserve"> -- </w:t>
            </w:r>
          </w:p>
        </w:tc>
      </w:tr>
      <w:tr w14:paraId="2385DA97">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D6D9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70C2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环比变动率</w:t>
            </w:r>
          </w:p>
        </w:tc>
        <w:tc>
          <w:tcPr>
            <w:tcW w:w="13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086C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168B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B90D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 − 上期) / 上期 × 100%</w:t>
            </w:r>
          </w:p>
        </w:tc>
      </w:tr>
      <w:tr w14:paraId="1A38C43F">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84F1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C94C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同比变动率</w:t>
            </w:r>
          </w:p>
        </w:tc>
        <w:tc>
          <w:tcPr>
            <w:tcW w:w="13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4559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CA46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47C3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 − 去年同期) / 去年同期 × 100%</w:t>
            </w:r>
          </w:p>
        </w:tc>
      </w:tr>
      <w:tr w14:paraId="64765E59">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B80D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C274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折标系数值</w:t>
            </w:r>
          </w:p>
        </w:tc>
        <w:tc>
          <w:tcPr>
            <w:tcW w:w="13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BBC0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E0E8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tce/单位</w:t>
            </w:r>
          </w:p>
        </w:tc>
        <w:tc>
          <w:tcPr>
            <w:tcW w:w="39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5A7D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注明版本号与依据标准</w:t>
            </w:r>
          </w:p>
        </w:tc>
      </w:tr>
      <w:tr w14:paraId="1B5E1EC0">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F474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B283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排放因子值</w:t>
            </w:r>
          </w:p>
        </w:tc>
        <w:tc>
          <w:tcPr>
            <w:tcW w:w="13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27C6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118F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tCO2/MWh</w:t>
            </w:r>
          </w:p>
        </w:tc>
        <w:tc>
          <w:tcPr>
            <w:tcW w:w="39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0102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一级节点隐藏、二级节点显示所在地取值</w:t>
            </w:r>
          </w:p>
        </w:tc>
      </w:tr>
      <w:tr w14:paraId="6C33CC44">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CC7B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2735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点位物理链路</w:t>
            </w:r>
          </w:p>
        </w:tc>
        <w:tc>
          <w:tcPr>
            <w:tcW w:w="13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CF63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6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A3A30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A0F0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格式 </w:t>
            </w:r>
            <w:r>
              <w:rPr>
                <w:rFonts w:hint="eastAsia" w:ascii="宋体" w:hAnsi="宋体" w:eastAsia="宋体" w:cs="宋体"/>
                <w:b w:val="0"/>
                <w:i w:val="0"/>
                <w:iCs w:val="0"/>
                <w:color w:val="0284C7"/>
                <w:sz w:val="24"/>
                <w:szCs w:val="24"/>
              </w:rPr>
              <w:t xml:space="preserve"> &lt;系统&gt;/&lt;单据号&gt;/&lt;表计编码&gt;/&lt;寄存器&gt; </w:t>
            </w:r>
          </w:p>
        </w:tc>
      </w:tr>
      <w:tr w14:paraId="64BAC45D">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B866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0FD6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台账采集时间戳</w:t>
            </w:r>
          </w:p>
        </w:tc>
        <w:tc>
          <w:tcPr>
            <w:tcW w:w="13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F94A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DateTime</w:t>
            </w:r>
          </w:p>
        </w:tc>
        <w:tc>
          <w:tcPr>
            <w:tcW w:w="16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A855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 HH:mm</w:t>
            </w:r>
          </w:p>
        </w:tc>
        <w:tc>
          <w:tcPr>
            <w:tcW w:w="39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A1F9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非空，不得晚于当前服务器时间</w:t>
            </w:r>
          </w:p>
        </w:tc>
      </w:tr>
      <w:tr w14:paraId="63CF479F">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C52B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14</w:t>
            </w:r>
          </w:p>
        </w:tc>
        <w:tc>
          <w:tcPr>
            <w:tcW w:w="19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1920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历史极值标记</w:t>
            </w:r>
          </w:p>
        </w:tc>
        <w:tc>
          <w:tcPr>
            <w:tcW w:w="13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304D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6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87E2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35D6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最大值 / 最小值 / 无，由系统自动标注</w:t>
            </w:r>
          </w:p>
        </w:tc>
      </w:tr>
    </w:tbl>
    <w:p w14:paraId="2083010B">
      <w:pPr>
        <w:spacing w:after="60"/>
        <w:rPr>
          <w:rFonts w:hint="eastAsia" w:ascii="宋体" w:hAnsi="宋体" w:eastAsia="宋体" w:cs="宋体"/>
          <w:i w:val="0"/>
          <w:iCs w:val="0"/>
          <w:sz w:val="24"/>
          <w:szCs w:val="24"/>
        </w:rPr>
      </w:pPr>
    </w:p>
    <w:p w14:paraId="5D69EEAB">
      <w:pPr>
        <w:pStyle w:val="6"/>
        <w:numPr>
          <w:ilvl w:val="0"/>
          <w:numId w:val="3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471A60F9">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76CC6388">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Value_kpi = Numerator / Denominator               指标值 = 分子 / 分母</w:t>
            </w:r>
          </w:p>
          <w:p w14:paraId="30A255F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MoM = ( V_t - V_{t-1} ) / V_{t-1} × 100%         环比变动率</w:t>
            </w:r>
          </w:p>
          <w:p w14:paraId="22CA340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YoY = ( V_t - V_{t-12} ) / V_{t-12} × 100%       同比变动率</w:t>
            </w:r>
          </w:p>
          <w:p w14:paraId="4F8264C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Max_flag = ( V_t == MAX( V_{t-11..t} ) )          历史极值自动标注</w:t>
            </w:r>
          </w:p>
        </w:tc>
      </w:tr>
    </w:tbl>
    <w:p w14:paraId="41D72771">
      <w:pPr>
        <w:spacing w:after="40"/>
        <w:rPr>
          <w:rFonts w:hint="eastAsia" w:ascii="宋体" w:hAnsi="宋体" w:eastAsia="宋体" w:cs="宋体"/>
          <w:i w:val="0"/>
          <w:iCs w:val="0"/>
          <w:sz w:val="24"/>
          <w:szCs w:val="24"/>
        </w:rPr>
      </w:pPr>
    </w:p>
    <w:p w14:paraId="536EF13E">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Numerator </w:t>
      </w:r>
      <w:r>
        <w:rPr>
          <w:rFonts w:ascii="Times New Roman" w:hAnsi="Times New Roman" w:eastAsia="宋体" w:cs="Times New Roman"/>
          <w:i w:val="0"/>
          <w:color w:val="1F2937"/>
          <w:sz w:val="24"/>
          <w:szCs w:val="24"/>
        </w:rPr>
        <w:t xml:space="preserve"> 与 </w:t>
      </w:r>
      <w:r>
        <w:rPr>
          <w:rFonts w:ascii="Times New Roman" w:hAnsi="Times New Roman" w:eastAsia="宋体" w:cs="Times New Roman"/>
          <w:b w:val="0"/>
          <w:i w:val="0"/>
          <w:color w:val="0284C7"/>
          <w:sz w:val="24"/>
          <w:szCs w:val="24"/>
        </w:rPr>
        <w:t xml:space="preserve"> Denominator </w:t>
      </w:r>
      <w:r>
        <w:rPr>
          <w:rFonts w:ascii="Times New Roman" w:hAnsi="Times New Roman" w:eastAsia="宋体" w:cs="Times New Roman"/>
          <w:i w:val="0"/>
          <w:color w:val="1F2937"/>
          <w:sz w:val="24"/>
          <w:szCs w:val="24"/>
        </w:rPr>
        <w:t xml:space="preserve"> 分别对应指标的分子与分母工程物理量；</w:t>
      </w:r>
      <w:r>
        <w:rPr>
          <w:rFonts w:ascii="Times New Roman" w:hAnsi="Times New Roman" w:eastAsia="宋体" w:cs="Times New Roman"/>
          <w:b w:val="0"/>
          <w:i w:val="0"/>
          <w:color w:val="0284C7"/>
          <w:sz w:val="24"/>
          <w:szCs w:val="24"/>
        </w:rPr>
        <w:t xml:space="preserve"> V_{t-1} </w:t>
      </w:r>
      <w:r>
        <w:rPr>
          <w:rFonts w:ascii="Times New Roman" w:hAnsi="Times New Roman" w:eastAsia="宋体" w:cs="Times New Roman"/>
          <w:i w:val="0"/>
          <w:color w:val="1F2937"/>
          <w:sz w:val="24"/>
          <w:szCs w:val="24"/>
        </w:rPr>
        <w:t xml:space="preserve"> 为上月同期值，</w:t>
      </w:r>
      <w:r>
        <w:rPr>
          <w:rFonts w:ascii="Times New Roman" w:hAnsi="Times New Roman" w:eastAsia="宋体" w:cs="Times New Roman"/>
          <w:b w:val="0"/>
          <w:i w:val="0"/>
          <w:color w:val="0284C7"/>
          <w:sz w:val="24"/>
          <w:szCs w:val="24"/>
        </w:rPr>
        <w:t xml:space="preserve"> V_{t-12} </w:t>
      </w:r>
      <w:r>
        <w:rPr>
          <w:rFonts w:ascii="Times New Roman" w:hAnsi="Times New Roman" w:eastAsia="宋体" w:cs="Times New Roman"/>
          <w:i w:val="0"/>
          <w:color w:val="1F2937"/>
          <w:sz w:val="24"/>
          <w:szCs w:val="24"/>
        </w:rPr>
        <w:t xml:space="preserve"> 为去年同月值；任一基准值为 0 时对应变动率显示 </w:t>
      </w:r>
      <w:r>
        <w:rPr>
          <w:rFonts w:ascii="Times New Roman" w:hAnsi="Times New Roman" w:eastAsia="宋体" w:cs="Times New Roman"/>
          <w:b w:val="0"/>
          <w:i w:val="0"/>
          <w:color w:val="0284C7"/>
          <w:sz w:val="24"/>
          <w:szCs w:val="24"/>
        </w:rPr>
        <w:t xml:space="preserve"> -- </w:t>
      </w:r>
      <w:r>
        <w:rPr>
          <w:rFonts w:ascii="Times New Roman" w:hAnsi="Times New Roman" w:eastAsia="宋体" w:cs="Times New Roman"/>
          <w:i w:val="0"/>
          <w:color w:val="1F2937"/>
          <w:sz w:val="24"/>
          <w:szCs w:val="24"/>
        </w:rPr>
        <w:t>。</w:t>
      </w:r>
    </w:p>
    <w:p w14:paraId="51AFB0CB">
      <w:pPr>
        <w:pStyle w:val="6"/>
        <w:numPr>
          <w:ilvl w:val="0"/>
          <w:numId w:val="3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7A70BD28">
      <w:pPr>
        <w:pStyle w:val="19"/>
        <w:widowControl/>
        <w:numPr>
          <w:ilvl w:val="0"/>
          <w:numId w:val="4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趋势图数值轴起点固定为 0，禁止截断纵轴放大波动。</w:t>
      </w:r>
    </w:p>
    <w:p w14:paraId="0E999AB7">
      <w:pPr>
        <w:pStyle w:val="19"/>
        <w:widowControl/>
        <w:numPr>
          <w:ilvl w:val="0"/>
          <w:numId w:val="4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明细表支持按组织（集团/产业/二级公司/车间）与时间维度自由切换，切换后榜单与趋势同步刷新。</w:t>
      </w:r>
    </w:p>
    <w:p w14:paraId="09F21085">
      <w:pPr>
        <w:pStyle w:val="19"/>
        <w:widowControl/>
        <w:numPr>
          <w:ilvl w:val="0"/>
          <w:numId w:val="4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导出字段顺序固定为：组织、统计周期、分子、分母、指标值、环比、同比、数据来源、采集时间戳。</w:t>
      </w:r>
    </w:p>
    <w:p w14:paraId="2E8F94D2">
      <w:pPr>
        <w:pStyle w:val="6"/>
        <w:numPr>
          <w:ilvl w:val="0"/>
          <w:numId w:val="3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1383B54C">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3581EEA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无历史数据月份趋势图保持真实断层，严禁用插值或 0 值填补。</w:t>
            </w:r>
          </w:p>
          <w:p w14:paraId="007061B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折标系数版本缺失时触发 </w:t>
            </w:r>
            <w:r>
              <w:rPr>
                <w:rFonts w:hint="eastAsia" w:ascii="宋体" w:hAnsi="宋体" w:eastAsia="宋体" w:cs="宋体"/>
                <w:b w:val="0"/>
                <w:i w:val="0"/>
                <w:iCs w:val="0"/>
                <w:color w:val="0284C7"/>
                <w:sz w:val="24"/>
                <w:szCs w:val="24"/>
              </w:rPr>
              <w:t xml:space="preserve"> E_VAL_FACTOR_EXPIRED </w:t>
            </w:r>
            <w:r>
              <w:rPr>
                <w:rFonts w:hint="eastAsia" w:ascii="宋体" w:hAnsi="宋体" w:eastAsia="宋体" w:cs="宋体"/>
                <w:i w:val="0"/>
                <w:iCs w:val="0"/>
                <w:color w:val="1F2937"/>
                <w:sz w:val="24"/>
                <w:szCs w:val="24"/>
              </w:rPr>
              <w:t>，明细行标注"系数待升级"并禁止导出该行。</w:t>
            </w:r>
          </w:p>
          <w:p w14:paraId="4048E95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P6 外部审计机构仅可查看与其认证报告关联的指标明细，访问其他指标触发 </w:t>
            </w:r>
            <w:r>
              <w:rPr>
                <w:rFonts w:hint="eastAsia" w:ascii="宋体" w:hAnsi="宋体" w:eastAsia="宋体" w:cs="宋体"/>
                <w:b w:val="0"/>
                <w:i w:val="0"/>
                <w:iCs w:val="0"/>
                <w:color w:val="0284C7"/>
                <w:sz w:val="24"/>
                <w:szCs w:val="24"/>
              </w:rPr>
              <w:t xml:space="preserve"> E_AUTH_RBAC_FORBIDDEN </w:t>
            </w:r>
            <w:r>
              <w:rPr>
                <w:rFonts w:hint="eastAsia" w:ascii="宋体" w:hAnsi="宋体" w:eastAsia="宋体" w:cs="宋体"/>
                <w:i w:val="0"/>
                <w:iCs w:val="0"/>
                <w:color w:val="1F2937"/>
                <w:sz w:val="24"/>
                <w:szCs w:val="24"/>
              </w:rPr>
              <w:t>。</w:t>
            </w:r>
          </w:p>
          <w:p w14:paraId="4B079A7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明细导出强制注入防伪动态水印（员工号、姓名、时间戳、哈希校验码）。</w:t>
            </w:r>
          </w:p>
        </w:tc>
      </w:tr>
    </w:tbl>
    <w:p w14:paraId="5C1FAC84">
      <w:pPr>
        <w:spacing w:after="40"/>
        <w:rPr>
          <w:rFonts w:hint="eastAsia" w:ascii="宋体" w:hAnsi="宋体" w:eastAsia="宋体" w:cs="宋体"/>
          <w:i w:val="0"/>
          <w:iCs w:val="0"/>
          <w:sz w:val="24"/>
          <w:szCs w:val="24"/>
        </w:rPr>
      </w:pPr>
    </w:p>
    <w:p w14:paraId="423E3F69">
      <w:pPr>
        <w:pStyle w:val="6"/>
        <w:numPr>
          <w:ilvl w:val="0"/>
          <w:numId w:val="38"/>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5FB99B9B">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23457A6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指标详情抽屉与证据链穿透</w:t>
            </w:r>
          </w:p>
          <w:p w14:paraId="038CF41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抽屉完整体现六大区块</w:t>
            </w:r>
          </w:p>
          <w:p w14:paraId="43FE969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P2 已在指标管控 Mode A 视图中</w:t>
            </w:r>
          </w:p>
          <w:p w14:paraId="51E2B3C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点击任意一张指标卡片</w:t>
            </w:r>
          </w:p>
          <w:p w14:paraId="70DE7C7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右侧滑出详情抽屉且宽度占屏 45%</w:t>
            </w:r>
          </w:p>
          <w:p w14:paraId="01A5DC4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抽屉内依次呈现指标物理定义、数学核算模型、数仓链路与点位、时序走势图、因子说明、底层仪表抄表台账</w:t>
            </w:r>
          </w:p>
          <w:p w14:paraId="35B0A02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Mode A 内容左移且不被抽屉遮挡</w:t>
            </w:r>
          </w:p>
          <w:p w14:paraId="4333B9C2">
            <w:pPr>
              <w:spacing w:before="0" w:after="20" w:line="264" w:lineRule="auto"/>
              <w:rPr>
                <w:rFonts w:hint="eastAsia" w:ascii="宋体" w:hAnsi="宋体" w:eastAsia="宋体" w:cs="宋体"/>
                <w:i w:val="0"/>
                <w:iCs w:val="0"/>
                <w:sz w:val="24"/>
                <w:szCs w:val="24"/>
              </w:rPr>
            </w:pPr>
          </w:p>
          <w:p w14:paraId="0C3F64B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因子说明按层级差异化展示</w:t>
            </w:r>
          </w:p>
          <w:p w14:paraId="0750D8A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当前组织树选中节点分别为一级节点与二级节点</w:t>
            </w:r>
          </w:p>
          <w:p w14:paraId="260C35C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分别打开同一指标的详情抽屉</w:t>
            </w:r>
          </w:p>
          <w:p w14:paraId="498C4AE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一级节点不显示单位因子具体数值</w:t>
            </w:r>
          </w:p>
          <w:p w14:paraId="4B00EBC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二级节点显示公司所在地排放因子参数</w:t>
            </w:r>
          </w:p>
          <w:p w14:paraId="76577FD4">
            <w:pPr>
              <w:spacing w:before="0" w:after="20" w:line="264" w:lineRule="auto"/>
              <w:rPr>
                <w:rFonts w:hint="eastAsia" w:ascii="宋体" w:hAnsi="宋体" w:eastAsia="宋体" w:cs="宋体"/>
                <w:i w:val="0"/>
                <w:iCs w:val="0"/>
                <w:sz w:val="24"/>
                <w:szCs w:val="24"/>
              </w:rPr>
            </w:pPr>
          </w:p>
          <w:p w14:paraId="5C550FF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趋势图断层不插值</w:t>
            </w:r>
          </w:p>
          <w:p w14:paraId="1C49D4D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某指标在近 12 个月中有 2 个月无上报数据</w:t>
            </w:r>
          </w:p>
          <w:p w14:paraId="12969BF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渲染时序走势图</w:t>
            </w:r>
          </w:p>
          <w:p w14:paraId="491270C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缺失月份保持真实断层</w:t>
            </w:r>
          </w:p>
          <w:p w14:paraId="2098163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不出现插值填充或 0 值替代</w:t>
            </w:r>
          </w:p>
        </w:tc>
      </w:tr>
    </w:tbl>
    <w:p w14:paraId="0BCD488F">
      <w:pPr>
        <w:spacing w:after="40"/>
        <w:rPr>
          <w:rFonts w:hint="eastAsia" w:ascii="宋体" w:hAnsi="宋体" w:eastAsia="宋体" w:cs="宋体"/>
          <w:i w:val="0"/>
          <w:iCs w:val="0"/>
          <w:sz w:val="24"/>
          <w:szCs w:val="24"/>
        </w:rPr>
      </w:pPr>
    </w:p>
    <w:p w14:paraId="00877BD5">
      <w:pPr>
        <w:pStyle w:val="5"/>
        <w:numPr>
          <w:ilvl w:val="0"/>
          <w:numId w:val="27"/>
        </w:numPr>
        <w:ind w:left="0" w:leftChars="0" w:firstLine="0" w:firstLineChars="0"/>
        <w:outlineLvl w:val="1"/>
        <w:rPr>
          <w:rFonts w:eastAsia="黑体"/>
          <w:b w:val="0"/>
          <w:bCs w:val="0"/>
          <w:sz w:val="30"/>
          <w:szCs w:val="24"/>
        </w:rPr>
      </w:pPr>
      <w:bookmarkStart w:id="17" w:name="_Toc13406"/>
      <w:r>
        <w:rPr>
          <w:rFonts w:ascii="Times New Roman" w:hAnsi="Times New Roman" w:eastAsia="黑体" w:cs="Times New Roman"/>
          <w:b w:val="0"/>
          <w:bCs w:val="0"/>
          <w:sz w:val="30"/>
          <w:szCs w:val="24"/>
        </w:rPr>
        <w:t>用能在线监测</w:t>
      </w:r>
      <w:bookmarkEnd w:id="17"/>
    </w:p>
    <w:p w14:paraId="633F4BE0">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9"/>
                    <a:stretch>
                      <a:fillRect/>
                    </a:stretch>
                  </pic:blipFill>
                  <pic:spPr>
                    <a:xfrm>
                      <a:off x="0" y="0"/>
                      <a:ext cx="6210300" cy="3079115"/>
                    </a:xfrm>
                    <a:prstGeom prst="rect">
                      <a:avLst/>
                    </a:prstGeom>
                    <a:noFill/>
                    <a:ln>
                      <a:noFill/>
                    </a:ln>
                  </pic:spPr>
                </pic:pic>
              </a:graphicData>
            </a:graphic>
          </wp:inline>
        </w:drawing>
      </w:r>
    </w:p>
    <w:p w14:paraId="2DFAB928">
      <w:pPr>
        <w:pStyle w:val="6"/>
        <w:numPr>
          <w:ilvl w:val="0"/>
          <w:numId w:val="4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7AB4B7A2">
      <w:pPr>
        <w:pStyle w:val="19"/>
        <w:widowControl/>
        <w:numPr>
          <w:ilvl w:val="0"/>
          <w:numId w:val="4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：全集团 8 大能源介质的实时用量、逐时负荷曲线与分时峰平谷结构监测底座，是指标管控、能耗能效分析与统计报表的原始数据源头。</w:t>
      </w:r>
    </w:p>
    <w:p w14:paraId="68C2F176">
      <w:pPr>
        <w:pStyle w:val="19"/>
        <w:widowControl/>
        <w:numPr>
          <w:ilvl w:val="0"/>
          <w:numId w:val="4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园区能碳专员（主视角）、P3 车间填报员（数据核对视角）。</w:t>
      </w:r>
    </w:p>
    <w:p w14:paraId="480D265A">
      <w:pPr>
        <w:pStyle w:val="19"/>
        <w:widowControl/>
        <w:numPr>
          <w:ilvl w:val="0"/>
          <w:numId w:val="4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/monitor/energy/online </w:t>
      </w:r>
      <w:r>
        <w:rPr>
          <w:rFonts w:ascii="Times New Roman" w:hAnsi="Times New Roman" w:eastAsia="宋体" w:cs="Times New Roman"/>
          <w:i w:val="0"/>
          <w:color w:val="1F2937"/>
          <w:sz w:val="24"/>
          <w:szCs w:val="24"/>
        </w:rPr>
        <w:t xml:space="preserve">；子 TAB 路由 </w:t>
      </w:r>
      <w:r>
        <w:rPr>
          <w:rFonts w:ascii="Times New Roman" w:hAnsi="Times New Roman" w:eastAsia="宋体" w:cs="Times New Roman"/>
          <w:b w:val="0"/>
          <w:i w:val="0"/>
          <w:color w:val="0284C7"/>
          <w:sz w:val="24"/>
          <w:szCs w:val="24"/>
        </w:rPr>
        <w:t xml:space="preserve"> /monitor/energy/online/:media </w:t>
      </w:r>
      <w:r>
        <w:rPr>
          <w:rFonts w:ascii="Times New Roman" w:hAnsi="Times New Roman" w:eastAsia="宋体" w:cs="Times New Roman"/>
          <w:i w:val="0"/>
          <w:color w:val="1F2937"/>
          <w:sz w:val="24"/>
          <w:szCs w:val="24"/>
        </w:rPr>
        <w:t>。</w:t>
      </w:r>
    </w:p>
    <w:p w14:paraId="5F831FCC">
      <w:pPr>
        <w:pStyle w:val="19"/>
        <w:widowControl/>
        <w:numPr>
          <w:ilvl w:val="0"/>
          <w:numId w:val="4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：IoT 采集网关、TOU 时段电表寄存器、介质配置字典、计量资产档案台账。</w:t>
      </w:r>
    </w:p>
    <w:p w14:paraId="75FC1665">
      <w:pPr>
        <w:pStyle w:val="19"/>
        <w:widowControl/>
        <w:numPr>
          <w:ilvl w:val="0"/>
          <w:numId w:val="4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：指标管控实测值、碳排监测排放源数据、能效分析的介质结构数据。</w:t>
      </w:r>
    </w:p>
    <w:p w14:paraId="2699BC4C">
      <w:pPr>
        <w:pStyle w:val="6"/>
        <w:numPr>
          <w:ilvl w:val="0"/>
          <w:numId w:val="4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03F0C990">
      <w:pPr>
        <w:pStyle w:val="19"/>
        <w:widowControl/>
        <w:numPr>
          <w:ilvl w:val="0"/>
          <w:numId w:val="4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：实时监测全集团 15 大园区及生产工厂在 8 大能源介质（总电、市电、绿电、水、气、汽、油、氮）上的实时用量、逐时负荷曲线及分时峰平谷结构。</w:t>
      </w:r>
    </w:p>
    <w:p w14:paraId="4F46345D">
      <w:pPr>
        <w:pStyle w:val="19"/>
        <w:widowControl/>
        <w:numPr>
          <w:ilvl w:val="0"/>
          <w:numId w:val="4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6C7C3E63">
      <w:pPr>
        <w:pStyle w:val="19"/>
        <w:widowControl/>
        <w:numPr>
          <w:ilvl w:val="0"/>
          <w:numId w:val="4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园区能碳专员 (Persona P2)</w:t>
      </w:r>
      <w:r>
        <w:rPr>
          <w:rFonts w:ascii="Times New Roman" w:hAnsi="Times New Roman" w:eastAsia="宋体" w:cs="Times New Roman"/>
          <w:i w:val="0"/>
          <w:color w:val="1F2937"/>
          <w:sz w:val="24"/>
          <w:szCs w:val="24"/>
        </w:rPr>
        <w:t>，</w:t>
      </w:r>
    </w:p>
    <w:p w14:paraId="1C6A5EC2">
      <w:pPr>
        <w:pStyle w:val="19"/>
        <w:widowControl/>
        <w:numPr>
          <w:ilvl w:val="0"/>
          <w:numId w:val="4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按能源介质切换查看当日/当月总体峰平谷构成、逐时连续采样走势与额定工艺基准对比，并支持跨月区间查询</w:t>
      </w:r>
      <w:r>
        <w:rPr>
          <w:rFonts w:ascii="Times New Roman" w:hAnsi="Times New Roman" w:eastAsia="宋体" w:cs="Times New Roman"/>
          <w:i w:val="0"/>
          <w:color w:val="1F2937"/>
          <w:sz w:val="24"/>
          <w:szCs w:val="24"/>
        </w:rPr>
        <w:t>，</w:t>
      </w:r>
    </w:p>
    <w:p w14:paraId="61263772">
      <w:pPr>
        <w:pStyle w:val="19"/>
        <w:widowControl/>
        <w:numPr>
          <w:ilvl w:val="0"/>
          <w:numId w:val="4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我能及时发现某介质的用能异常攀升并定位到具体工序或车间</w:t>
      </w:r>
      <w:r>
        <w:rPr>
          <w:rFonts w:ascii="Times New Roman" w:hAnsi="Times New Roman" w:eastAsia="宋体" w:cs="Times New Roman"/>
          <w:i w:val="0"/>
          <w:color w:val="1F2937"/>
          <w:sz w:val="24"/>
          <w:szCs w:val="24"/>
        </w:rPr>
        <w:t>。</w:t>
      </w:r>
    </w:p>
    <w:p w14:paraId="17028CB4">
      <w:pPr>
        <w:pStyle w:val="6"/>
        <w:numPr>
          <w:ilvl w:val="0"/>
          <w:numId w:val="4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42B2DCE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页面结构与联动规则：</w:t>
      </w:r>
    </w:p>
    <w:p w14:paraId="728AE0D4">
      <w:pPr>
        <w:pStyle w:val="19"/>
        <w:widowControl/>
        <w:numPr>
          <w:ilvl w:val="0"/>
          <w:numId w:val="4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拓扑树规范</w:t>
      </w:r>
      <w:r>
        <w:rPr>
          <w:rFonts w:ascii="Times New Roman" w:hAnsi="Times New Roman" w:eastAsia="宋体" w:cs="Times New Roman"/>
          <w:i w:val="0"/>
          <w:color w:val="1F2937"/>
          <w:sz w:val="24"/>
          <w:szCs w:val="24"/>
        </w:rPr>
        <w:t>：左侧固定采用【园区 和 企业】两种拓扑树，未接入单位纯字体置灰禁用。</w:t>
      </w:r>
    </w:p>
    <w:p w14:paraId="292D88BF">
      <w:pPr>
        <w:pStyle w:val="19"/>
        <w:widowControl/>
        <w:numPr>
          <w:ilvl w:val="0"/>
          <w:numId w:val="4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顶部全局控制</w:t>
      </w:r>
      <w:r>
        <w:rPr>
          <w:rFonts w:ascii="Times New Roman" w:hAnsi="Times New Roman" w:eastAsia="宋体" w:cs="Times New Roman"/>
          <w:i w:val="0"/>
          <w:color w:val="1F2937"/>
          <w:sz w:val="24"/>
          <w:szCs w:val="24"/>
        </w:rPr>
        <w:t>：支持"日监测"与"跨月区间选择器"（如 2026 年 01 月 至 2026 年 08 月），下方折线图 X 轴随之联动为各月份。</w:t>
      </w:r>
    </w:p>
    <w:p w14:paraId="37706361">
      <w:pPr>
        <w:pStyle w:val="19"/>
        <w:widowControl/>
        <w:numPr>
          <w:ilvl w:val="0"/>
          <w:numId w:val="46"/>
        </w:numPr>
        <w:ind w:left="0" w:leftChars="0" w:firstLine="482" w:firstLineChars="0"/>
        <w:outlineLvl w:val="3"/>
        <w:rPr>
          <w:rFonts w:eastAsia="宋体"/>
          <w:b/>
          <w:i w:val="0"/>
          <w:color w:val="0284C7"/>
          <w:sz w:val="24"/>
          <w:szCs w:val="24"/>
        </w:rPr>
      </w:pPr>
      <w:r>
        <w:rPr>
          <w:rFonts w:ascii="Times New Roman" w:hAnsi="Times New Roman" w:eastAsia="宋体" w:cs="Times New Roman"/>
          <w:b/>
          <w:i w:val="0"/>
          <w:color w:val="1E3A8A"/>
          <w:sz w:val="24"/>
          <w:szCs w:val="24"/>
        </w:rPr>
        <w:t>能源介质智能自适应与联动替换</w:t>
      </w:r>
      <w:r>
        <w:rPr>
          <w:rFonts w:ascii="Times New Roman" w:hAnsi="Times New Roman" w:eastAsia="宋体" w:cs="Times New Roman"/>
          <w:i w:val="0"/>
          <w:color w:val="1F2937"/>
          <w:sz w:val="24"/>
          <w:szCs w:val="24"/>
        </w:rPr>
        <w:t>：</w:t>
      </w:r>
    </w:p>
    <w:p w14:paraId="399F2D40">
      <w:pPr>
        <w:pStyle w:val="19"/>
        <w:widowControl/>
        <w:numPr>
          <w:ilvl w:val="0"/>
          <w:numId w:val="4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选中</w:t>
      </w:r>
      <w:r>
        <w:rPr>
          <w:rFonts w:ascii="Times New Roman" w:hAnsi="Times New Roman" w:eastAsia="宋体" w:cs="Times New Roman"/>
          <w:b/>
          <w:i w:val="0"/>
          <w:color w:val="1E3A8A"/>
          <w:sz w:val="24"/>
          <w:szCs w:val="24"/>
        </w:rPr>
        <w:t>电力介质</w:t>
      </w:r>
      <w:r>
        <w:rPr>
          <w:rFonts w:ascii="Times New Roman" w:hAnsi="Times New Roman" w:eastAsia="宋体" w:cs="Times New Roman"/>
          <w:i w:val="0"/>
          <w:color w:val="1F2937"/>
          <w:sz w:val="24"/>
          <w:szCs w:val="24"/>
        </w:rPr>
        <w:t>（总用电量、市电量、直供绿电）：展示【当日/当月总体峰平谷构成】（尖/峰/平/谷 2×2 微卡片 + 逐时/逐日连续堆叠柱状图）。</w:t>
      </w:r>
    </w:p>
    <w:p w14:paraId="64203740">
      <w:pPr>
        <w:pStyle w:val="19"/>
        <w:widowControl/>
        <w:numPr>
          <w:ilvl w:val="0"/>
          <w:numId w:val="4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选中</w:t>
      </w:r>
      <w:r>
        <w:rPr>
          <w:rFonts w:ascii="Times New Roman" w:hAnsi="Times New Roman" w:eastAsia="宋体" w:cs="Times New Roman"/>
          <w:b/>
          <w:i w:val="0"/>
          <w:color w:val="1E3A8A"/>
          <w:sz w:val="24"/>
          <w:szCs w:val="24"/>
        </w:rPr>
        <w:t>非电介质</w:t>
      </w:r>
      <w:r>
        <w:rPr>
          <w:rFonts w:ascii="Times New Roman" w:hAnsi="Times New Roman" w:eastAsia="宋体" w:cs="Times New Roman"/>
          <w:i w:val="0"/>
          <w:color w:val="1F2937"/>
          <w:sz w:val="24"/>
          <w:szCs w:val="24"/>
        </w:rPr>
        <w:t>（水资源、天然气、外购蒸汽、柴油、液氮）：彻底移除峰平谷字样与图表，100% 动态联动替换为【该介质重点工序/车间消耗结构与时段负荷分布】（左侧圆环图，右侧连续采样走势与额定基准对比）。</w:t>
      </w:r>
    </w:p>
    <w:p w14:paraId="13A9187D">
      <w:pPr>
        <w:pStyle w:val="19"/>
        <w:widowControl/>
        <w:ind w:firstLine="482" w:firstLineChars="200"/>
        <w:outlineLvl w:val="3"/>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8 大能源介质卡片组：</w:t>
      </w:r>
    </w:p>
    <w:tbl>
      <w:tblPr>
        <w:tblStyle w:val="38"/>
        <w:tblW w:w="9784" w:type="dxa"/>
        <w:jc w:val="center"/>
        <w:tblLayout w:type="autofit"/>
        <w:tblCellMar>
          <w:top w:w="0" w:type="dxa"/>
          <w:left w:w="108" w:type="dxa"/>
          <w:bottom w:w="0" w:type="dxa"/>
          <w:right w:w="108" w:type="dxa"/>
        </w:tblCellMar>
      </w:tblPr>
      <w:tblGrid>
        <w:gridCol w:w="1636"/>
        <w:gridCol w:w="1398"/>
        <w:gridCol w:w="6750"/>
      </w:tblGrid>
      <w:tr w14:paraId="174AF9F9">
        <w:tblPrEx>
          <w:tblCellMar>
            <w:top w:w="0" w:type="dxa"/>
            <w:left w:w="108" w:type="dxa"/>
            <w:bottom w:w="0" w:type="dxa"/>
            <w:right w:w="108" w:type="dxa"/>
          </w:tblCellMar>
        </w:tblPrEx>
        <w:trPr>
          <w:tblHeade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B382A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介质卡片</w:t>
            </w:r>
          </w:p>
        </w:tc>
        <w:tc>
          <w:tcPr>
            <w:tcW w:w="139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8EFDA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介质类型</w:t>
            </w:r>
          </w:p>
        </w:tc>
        <w:tc>
          <w:tcPr>
            <w:tcW w:w="67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236C2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联动图表形态</w:t>
            </w:r>
          </w:p>
        </w:tc>
      </w:tr>
      <w:tr w14:paraId="3E281DBE">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D7A8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总用电量</w:t>
            </w:r>
          </w:p>
        </w:tc>
        <w:tc>
          <w:tcPr>
            <w:tcW w:w="13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167D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67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5F03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TOU 尖/峰/平/谷分时电量圆环图 + 2×2 微卡片 + 逐时/逐日堆叠柱状图</w:t>
            </w:r>
          </w:p>
        </w:tc>
      </w:tr>
      <w:tr w14:paraId="3BA62411">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0ABE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市电量</w:t>
            </w:r>
          </w:p>
        </w:tc>
        <w:tc>
          <w:tcPr>
            <w:tcW w:w="13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E8FA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67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665F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同上</w:t>
            </w:r>
          </w:p>
        </w:tc>
      </w:tr>
      <w:tr w14:paraId="3C9A5DA9">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95F2E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直供绿电量</w:t>
            </w:r>
          </w:p>
        </w:tc>
        <w:tc>
          <w:tcPr>
            <w:tcW w:w="13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F45D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67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3009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同上，附加绿电占比标注</w:t>
            </w:r>
          </w:p>
        </w:tc>
      </w:tr>
      <w:tr w14:paraId="549C29E1">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A938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水资源</w:t>
            </w:r>
          </w:p>
        </w:tc>
        <w:tc>
          <w:tcPr>
            <w:tcW w:w="13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136C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w:t>
            </w:r>
          </w:p>
        </w:tc>
        <w:tc>
          <w:tcPr>
            <w:tcW w:w="67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6F87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工序用量占比环形图 + 逐时采样负荷走势与额定工艺基准线对比</w:t>
            </w:r>
          </w:p>
        </w:tc>
      </w:tr>
      <w:tr w14:paraId="4C1B54A7">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3318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天然气</w:t>
            </w:r>
          </w:p>
        </w:tc>
        <w:tc>
          <w:tcPr>
            <w:tcW w:w="13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7FE9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w:t>
            </w:r>
          </w:p>
        </w:tc>
        <w:tc>
          <w:tcPr>
            <w:tcW w:w="67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CCE0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同上</w:t>
            </w:r>
          </w:p>
        </w:tc>
      </w:tr>
      <w:tr w14:paraId="62127DEE">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E58D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外购蒸汽</w:t>
            </w:r>
          </w:p>
        </w:tc>
        <w:tc>
          <w:tcPr>
            <w:tcW w:w="13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3394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w:t>
            </w:r>
          </w:p>
        </w:tc>
        <w:tc>
          <w:tcPr>
            <w:tcW w:w="67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9042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同上（如展示高压干燥工序、互感器干燥工序占比）</w:t>
            </w:r>
          </w:p>
        </w:tc>
      </w:tr>
      <w:tr w14:paraId="363C4020">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A04D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油消耗</w:t>
            </w:r>
          </w:p>
        </w:tc>
        <w:tc>
          <w:tcPr>
            <w:tcW w:w="13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9C47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w:t>
            </w:r>
          </w:p>
        </w:tc>
        <w:tc>
          <w:tcPr>
            <w:tcW w:w="67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27A8F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同上</w:t>
            </w:r>
          </w:p>
        </w:tc>
      </w:tr>
      <w:tr w14:paraId="767D7A64">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76D6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液氮</w:t>
            </w:r>
          </w:p>
        </w:tc>
        <w:tc>
          <w:tcPr>
            <w:tcW w:w="13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A3C2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w:t>
            </w:r>
          </w:p>
        </w:tc>
        <w:tc>
          <w:tcPr>
            <w:tcW w:w="67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E658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同上</w:t>
            </w:r>
          </w:p>
        </w:tc>
      </w:tr>
    </w:tbl>
    <w:p w14:paraId="07AA418C">
      <w:pPr>
        <w:spacing w:after="60"/>
        <w:rPr>
          <w:rFonts w:hint="eastAsia" w:ascii="宋体" w:hAnsi="宋体" w:eastAsia="宋体" w:cs="宋体"/>
          <w:i w:val="0"/>
          <w:iCs w:val="0"/>
          <w:sz w:val="24"/>
          <w:szCs w:val="24"/>
        </w:rPr>
      </w:pPr>
    </w:p>
    <w:p w14:paraId="5EB1F94D">
      <w:pPr>
        <w:pStyle w:val="19"/>
        <w:widowControl/>
        <w:ind w:firstLine="482" w:firstLineChars="200"/>
        <w:outlineLvl w:val="3"/>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页面 TAB 结构与交互规则：</w:t>
      </w:r>
    </w:p>
    <w:p w14:paraId="1A5A7589">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顶部 TAB</w:t>
      </w:r>
      <w:r>
        <w:rPr>
          <w:rFonts w:ascii="Times New Roman" w:hAnsi="Times New Roman" w:eastAsia="宋体" w:cs="Times New Roman"/>
          <w:i w:val="0"/>
          <w:color w:val="1F2937"/>
          <w:sz w:val="24"/>
          <w:szCs w:val="24"/>
        </w:rPr>
        <w:t>：工序能耗监测 / 新能源资产监测；偏下点提供时间维度（日 / 月 / 年）、时间范围与采样频率（15 / 30 / 60 min）选择。</w:t>
      </w:r>
    </w:p>
    <w:p w14:paraId="6AB15593">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工序能耗监测 · 介质 TAB</w:t>
      </w:r>
      <w:r>
        <w:rPr>
          <w:rFonts w:ascii="Times New Roman" w:hAnsi="Times New Roman" w:eastAsia="宋体" w:cs="Times New Roman"/>
          <w:i w:val="0"/>
          <w:color w:val="1F2937"/>
          <w:sz w:val="24"/>
          <w:szCs w:val="24"/>
        </w:rPr>
        <w:t>：电 / 水 / 天然气。</w:t>
      </w:r>
    </w:p>
    <w:p w14:paraId="3B4F973D">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工序能耗监测 · 电 TAB 内三个子 TAB</w:t>
      </w:r>
      <w:r>
        <w:rPr>
          <w:rFonts w:ascii="Times New Roman" w:hAnsi="Times New Roman" w:eastAsia="宋体" w:cs="Times New Roman"/>
          <w:i w:val="0"/>
          <w:color w:val="1F2937"/>
          <w:sz w:val="24"/>
          <w:szCs w:val="24"/>
        </w:rPr>
        <w:t>：</w:t>
      </w:r>
    </w:p>
    <w:p w14:paraId="6B2E6EC4">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① </w:t>
      </w:r>
      <w:r>
        <w:rPr>
          <w:rFonts w:ascii="Times New Roman" w:hAnsi="Times New Roman" w:eastAsia="宋体" w:cs="Times New Roman"/>
          <w:b/>
          <w:i w:val="0"/>
          <w:color w:val="1E3A8A"/>
          <w:sz w:val="24"/>
          <w:szCs w:val="24"/>
        </w:rPr>
        <w:t>电量分析</w:t>
      </w:r>
      <w:r>
        <w:rPr>
          <w:rFonts w:ascii="Times New Roman" w:hAnsi="Times New Roman" w:eastAsia="宋体" w:cs="Times New Roman"/>
          <w:i w:val="0"/>
          <w:color w:val="1F2937"/>
          <w:sz w:val="24"/>
          <w:szCs w:val="24"/>
        </w:rPr>
        <w:t>：展示项目公司用电量曲线与负荷曲线。</w:t>
      </w:r>
    </w:p>
    <w:p w14:paraId="4967D27A">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② </w:t>
      </w:r>
      <w:r>
        <w:rPr>
          <w:rFonts w:ascii="Times New Roman" w:hAnsi="Times New Roman" w:eastAsia="宋体" w:cs="Times New Roman"/>
          <w:b/>
          <w:i w:val="0"/>
          <w:color w:val="1E3A8A"/>
          <w:sz w:val="24"/>
          <w:szCs w:val="24"/>
        </w:rPr>
        <w:t>峰谷分析</w:t>
      </w:r>
      <w:r>
        <w:rPr>
          <w:rFonts w:ascii="Times New Roman" w:hAnsi="Times New Roman" w:eastAsia="宋体" w:cs="Times New Roman"/>
          <w:i w:val="0"/>
          <w:color w:val="1F2937"/>
          <w:sz w:val="24"/>
          <w:szCs w:val="24"/>
        </w:rPr>
        <w:t>：上半区左侧环形图展示尖峰平谷占比（图右侧给出尖峰平谷用电量具体数值），上半区右侧柱状图描述每小时/天/月尖峰平谷占比，下半区展示每日小时/天/月的具体数值。</w:t>
      </w:r>
    </w:p>
    <w:p w14:paraId="5702E1C6">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③ </w:t>
      </w:r>
      <w:r>
        <w:rPr>
          <w:rFonts w:ascii="Times New Roman" w:hAnsi="Times New Roman" w:eastAsia="宋体" w:cs="Times New Roman"/>
          <w:b/>
          <w:i w:val="0"/>
          <w:color w:val="1E3A8A"/>
          <w:sz w:val="24"/>
          <w:szCs w:val="24"/>
        </w:rPr>
        <w:t>实时数据</w:t>
      </w:r>
      <w:r>
        <w:rPr>
          <w:rFonts w:ascii="Times New Roman" w:hAnsi="Times New Roman" w:eastAsia="宋体" w:cs="Times New Roman"/>
          <w:i w:val="0"/>
          <w:color w:val="1F2937"/>
          <w:sz w:val="24"/>
          <w:szCs w:val="24"/>
        </w:rPr>
        <w:t>：上半区展示经营单位上传的所有点位实时数据（电压、电流、总有功功率、功率因数、正向有功电能、反向有功电能、正向无功电能、反向无功电能），下半区展示正向有功电能曲线。</w:t>
      </w:r>
    </w:p>
    <w:p w14:paraId="4D2AA2DD">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工序能耗监测 · 水 TAB</w:t>
      </w:r>
      <w:r>
        <w:rPr>
          <w:rFonts w:ascii="Times New Roman" w:hAnsi="Times New Roman" w:eastAsia="宋体" w:cs="Times New Roman"/>
          <w:i w:val="0"/>
          <w:color w:val="1F2937"/>
          <w:sz w:val="24"/>
          <w:szCs w:val="24"/>
        </w:rPr>
        <w:t>：仅展示实时数据，包括水压、累计流量、瞬时流量。</w:t>
      </w:r>
    </w:p>
    <w:p w14:paraId="7F1F8021">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工序能耗监测 · 天然气 TAB</w:t>
      </w:r>
      <w:r>
        <w:rPr>
          <w:rFonts w:ascii="Times New Roman" w:hAnsi="Times New Roman" w:eastAsia="宋体" w:cs="Times New Roman"/>
          <w:i w:val="0"/>
          <w:color w:val="1F2937"/>
          <w:sz w:val="24"/>
          <w:szCs w:val="24"/>
        </w:rPr>
        <w:t>：仅展示实时数据，包括累计流量。</w:t>
      </w:r>
    </w:p>
    <w:p w14:paraId="4E07B042">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新能源资产监测</w:t>
      </w:r>
      <w:r>
        <w:rPr>
          <w:rFonts w:ascii="Times New Roman" w:hAnsi="Times New Roman" w:eastAsia="宋体" w:cs="Times New Roman"/>
          <w:i w:val="0"/>
          <w:color w:val="1F2937"/>
          <w:sz w:val="24"/>
          <w:szCs w:val="24"/>
        </w:rPr>
        <w:t>：指标参数展示在页面上方，勾选指标展示曲线；指标包括光伏发电功率、逆变器效率、光伏消纳率、储能充放电功率、储能 SOC 值、储能 SOH 值、储能直流电压、储能直流电流、市电负荷；默认展示光伏发电功率与储能充放电功率。</w:t>
      </w:r>
    </w:p>
    <w:p w14:paraId="739E685E">
      <w:pPr>
        <w:pStyle w:val="6"/>
        <w:numPr>
          <w:ilvl w:val="0"/>
          <w:numId w:val="4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923" w:type="dxa"/>
        <w:jc w:val="center"/>
        <w:tblLayout w:type="autofit"/>
        <w:tblCellMar>
          <w:top w:w="0" w:type="dxa"/>
          <w:left w:w="108" w:type="dxa"/>
          <w:bottom w:w="0" w:type="dxa"/>
          <w:right w:w="108" w:type="dxa"/>
        </w:tblCellMar>
      </w:tblPr>
      <w:tblGrid>
        <w:gridCol w:w="817"/>
        <w:gridCol w:w="1722"/>
        <w:gridCol w:w="1776"/>
        <w:gridCol w:w="2539"/>
        <w:gridCol w:w="3069"/>
      </w:tblGrid>
      <w:tr w14:paraId="28B8528C">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8C4D5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15795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77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866CE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CE652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采集来源</w:t>
            </w:r>
          </w:p>
        </w:tc>
        <w:tc>
          <w:tcPr>
            <w:tcW w:w="306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D7407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校验与防错规则</w:t>
            </w:r>
          </w:p>
        </w:tc>
      </w:tr>
      <w:tr w14:paraId="2613AA02">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FC38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133E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数据采集时间戳</w:t>
            </w:r>
          </w:p>
        </w:tc>
        <w:tc>
          <w:tcPr>
            <w:tcW w:w="17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5987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 HH:mm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BF79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IoT 采集网关时序同步</w:t>
            </w:r>
          </w:p>
        </w:tc>
        <w:tc>
          <w:tcPr>
            <w:tcW w:w="30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49C4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非空，不得晚于当前服务器时间</w:t>
            </w:r>
          </w:p>
        </w:tc>
      </w:tr>
      <w:tr w14:paraId="49D612E9">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F451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B16C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能源计量表计编码</w:t>
            </w:r>
          </w:p>
        </w:tc>
        <w:tc>
          <w:tcPr>
            <w:tcW w:w="17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4155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23A5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计量资产档案台账</w:t>
            </w:r>
          </w:p>
        </w:tc>
        <w:tc>
          <w:tcPr>
            <w:tcW w:w="30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5D15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字母数字下划线，唯一主键</w:t>
            </w:r>
          </w:p>
        </w:tc>
      </w:tr>
      <w:tr w14:paraId="731E8C8D">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6819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B005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能源介质类型</w:t>
            </w:r>
          </w:p>
        </w:tc>
        <w:tc>
          <w:tcPr>
            <w:tcW w:w="17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582D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电/水/气/汽/油/氮</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8BEA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介质配置字典</w:t>
            </w:r>
          </w:p>
        </w:tc>
        <w:tc>
          <w:tcPr>
            <w:tcW w:w="30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1838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必须在 6 类受控介质枚举内</w:t>
            </w:r>
          </w:p>
        </w:tc>
      </w:tr>
      <w:tr w14:paraId="5BEC2791">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A925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20DC12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尖峰时段用电量</w:t>
            </w:r>
          </w:p>
        </w:tc>
        <w:tc>
          <w:tcPr>
            <w:tcW w:w="17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AB46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2727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TOU 时段电表寄存器</w:t>
            </w:r>
          </w:p>
        </w:tc>
        <w:tc>
          <w:tcPr>
            <w:tcW w:w="30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1403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0.00（非电介质时置空）</w:t>
            </w:r>
          </w:p>
        </w:tc>
      </w:tr>
      <w:tr w14:paraId="67791D43">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CFB7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84CF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高峰时段用电量</w:t>
            </w:r>
          </w:p>
        </w:tc>
        <w:tc>
          <w:tcPr>
            <w:tcW w:w="17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541D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B2A7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TOU 时段电表寄存器</w:t>
            </w:r>
          </w:p>
        </w:tc>
        <w:tc>
          <w:tcPr>
            <w:tcW w:w="30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80C1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0.00（非电介质时置空）</w:t>
            </w:r>
          </w:p>
        </w:tc>
      </w:tr>
      <w:tr w14:paraId="4392F5DF">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3C19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A3F6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平时段用电量</w:t>
            </w:r>
          </w:p>
        </w:tc>
        <w:tc>
          <w:tcPr>
            <w:tcW w:w="17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4C47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4148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TOU 时段电表寄存器</w:t>
            </w:r>
          </w:p>
        </w:tc>
        <w:tc>
          <w:tcPr>
            <w:tcW w:w="30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A9AA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0.00（非电介质时置空）</w:t>
            </w:r>
          </w:p>
        </w:tc>
      </w:tr>
      <w:tr w14:paraId="136A0878">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D398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B9CE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低谷时段用电量</w:t>
            </w:r>
          </w:p>
        </w:tc>
        <w:tc>
          <w:tcPr>
            <w:tcW w:w="17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9DF3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A275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TOU 时段电表寄存器</w:t>
            </w:r>
          </w:p>
        </w:tc>
        <w:tc>
          <w:tcPr>
            <w:tcW w:w="30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ED41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0.00（非电介质时置空）</w:t>
            </w:r>
          </w:p>
        </w:tc>
      </w:tr>
      <w:tr w14:paraId="605CE6F3">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D864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497C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实物消耗量</w:t>
            </w:r>
          </w:p>
        </w:tc>
        <w:tc>
          <w:tcPr>
            <w:tcW w:w="17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668F1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 / m³ / 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B60C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止码 − 起码 × 倍率</w:t>
            </w:r>
          </w:p>
        </w:tc>
        <w:tc>
          <w:tcPr>
            <w:tcW w:w="30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341E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0.00，突增超 200% 触发告警</w:t>
            </w:r>
          </w:p>
        </w:tc>
      </w:tr>
      <w:tr w14:paraId="5853178B">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0D38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4933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折标准煤能源量</w:t>
            </w:r>
          </w:p>
        </w:tc>
        <w:tc>
          <w:tcPr>
            <w:tcW w:w="17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CABC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FD22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实物量 × GB/T 2589 系数</w:t>
            </w:r>
          </w:p>
        </w:tc>
        <w:tc>
          <w:tcPr>
            <w:tcW w:w="30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3B2C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0.0000</w:t>
            </w:r>
          </w:p>
        </w:tc>
      </w:tr>
      <w:tr w14:paraId="2DB2B70C">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0F83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7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0FDC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采样频率</w:t>
            </w:r>
          </w:p>
        </w:tc>
        <w:tc>
          <w:tcPr>
            <w:tcW w:w="17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FD60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min</w:t>
            </w:r>
          </w:p>
        </w:tc>
        <w:tc>
          <w:tcPr>
            <w:tcW w:w="25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4AE4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页面配置项</w:t>
            </w:r>
          </w:p>
        </w:tc>
        <w:tc>
          <w:tcPr>
            <w:tcW w:w="30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D764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仅允许 15 / 30 / 60 三档</w:t>
            </w:r>
          </w:p>
        </w:tc>
      </w:tr>
    </w:tbl>
    <w:p w14:paraId="4ECFF835">
      <w:pPr>
        <w:spacing w:after="60"/>
        <w:rPr>
          <w:rFonts w:hint="eastAsia" w:ascii="宋体" w:hAnsi="宋体" w:eastAsia="宋体" w:cs="宋体"/>
          <w:i w:val="0"/>
          <w:iCs w:val="0"/>
          <w:sz w:val="24"/>
          <w:szCs w:val="24"/>
        </w:rPr>
      </w:pPr>
    </w:p>
    <w:p w14:paraId="39622317">
      <w:pPr>
        <w:pStyle w:val="6"/>
        <w:numPr>
          <w:ilvl w:val="0"/>
          <w:numId w:val="4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3A14FF11">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4423D5AB">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Q_actual = ( Meter_end - Meter_start ) × Ratio        实物消耗量 =（止码 − 起码）× 倍率</w:t>
            </w:r>
          </w:p>
          <w:p w14:paraId="62E5402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E_tce = Q_actual × k_media                            折标煤量 = 实物量 × 介质折标系数</w:t>
            </w:r>
          </w:p>
          <w:p w14:paraId="79F0E084">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Q_peak_ratio = Q_peak / ( Q_tip + Q_peak + Q_flat + Q_valley ) × 100%</w:t>
            </w:r>
          </w:p>
          <w:p w14:paraId="68759BB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Rate_load = P_actual / P_rated × 100%                 负荷率</w:t>
            </w:r>
          </w:p>
          <w:p w14:paraId="036D8812">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Alert_200 = ( Q_t - Q_{t-1} ) / Q_{t-1} &gt; 200%        突增告警判定</w:t>
            </w:r>
          </w:p>
        </w:tc>
      </w:tr>
    </w:tbl>
    <w:p w14:paraId="65E62F6F">
      <w:pPr>
        <w:spacing w:after="40"/>
        <w:rPr>
          <w:rFonts w:hint="eastAsia" w:ascii="宋体" w:hAnsi="宋体" w:eastAsia="宋体" w:cs="宋体"/>
          <w:i w:val="0"/>
          <w:iCs w:val="0"/>
          <w:sz w:val="24"/>
          <w:szCs w:val="24"/>
        </w:rPr>
      </w:pPr>
    </w:p>
    <w:p w14:paraId="504BAE4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Meter_start / Meter_end </w:t>
      </w:r>
      <w:r>
        <w:rPr>
          <w:rFonts w:ascii="Times New Roman" w:hAnsi="Times New Roman" w:eastAsia="宋体" w:cs="Times New Roman"/>
          <w:i w:val="0"/>
          <w:color w:val="1F2937"/>
          <w:sz w:val="24"/>
          <w:szCs w:val="24"/>
        </w:rPr>
        <w:t xml:space="preserve"> 为周期起止表底数；</w:t>
      </w:r>
      <w:r>
        <w:rPr>
          <w:rFonts w:ascii="Times New Roman" w:hAnsi="Times New Roman" w:eastAsia="宋体" w:cs="Times New Roman"/>
          <w:b w:val="0"/>
          <w:i w:val="0"/>
          <w:color w:val="0284C7"/>
          <w:sz w:val="24"/>
          <w:szCs w:val="24"/>
        </w:rPr>
        <w:t xml:space="preserve"> Ratio </w:t>
      </w:r>
      <w:r>
        <w:rPr>
          <w:rFonts w:ascii="Times New Roman" w:hAnsi="Times New Roman" w:eastAsia="宋体" w:cs="Times New Roman"/>
          <w:i w:val="0"/>
          <w:color w:val="1F2937"/>
          <w:sz w:val="24"/>
          <w:szCs w:val="24"/>
        </w:rPr>
        <w:t xml:space="preserve"> 为互感器变比倍率；</w:t>
      </w:r>
      <w:r>
        <w:rPr>
          <w:rFonts w:ascii="Times New Roman" w:hAnsi="Times New Roman" w:eastAsia="宋体" w:cs="Times New Roman"/>
          <w:b w:val="0"/>
          <w:i w:val="0"/>
          <w:color w:val="0284C7"/>
          <w:sz w:val="24"/>
          <w:szCs w:val="24"/>
        </w:rPr>
        <w:t xml:space="preserve"> k_media </w:t>
      </w:r>
      <w:r>
        <w:rPr>
          <w:rFonts w:ascii="Times New Roman" w:hAnsi="Times New Roman" w:eastAsia="宋体" w:cs="Times New Roman"/>
          <w:i w:val="0"/>
          <w:color w:val="1F2937"/>
          <w:sz w:val="24"/>
          <w:szCs w:val="24"/>
        </w:rPr>
        <w:t xml:space="preserve"> 为该介质折标准煤系数；</w:t>
      </w:r>
      <w:r>
        <w:rPr>
          <w:rFonts w:ascii="Times New Roman" w:hAnsi="Times New Roman" w:eastAsia="宋体" w:cs="Times New Roman"/>
          <w:b w:val="0"/>
          <w:i w:val="0"/>
          <w:color w:val="0284C7"/>
          <w:sz w:val="24"/>
          <w:szCs w:val="24"/>
        </w:rPr>
        <w:t xml:space="preserve"> P_rated </w:t>
      </w:r>
      <w:r>
        <w:rPr>
          <w:rFonts w:ascii="Times New Roman" w:hAnsi="Times New Roman" w:eastAsia="宋体" w:cs="Times New Roman"/>
          <w:i w:val="0"/>
          <w:color w:val="1F2937"/>
          <w:sz w:val="24"/>
          <w:szCs w:val="24"/>
        </w:rPr>
        <w:t xml:space="preserve"> 为设备额定功率；突增告警阈值 200% 为固定业务铁律。</w:t>
      </w:r>
    </w:p>
    <w:p w14:paraId="6AA3B280">
      <w:pPr>
        <w:pStyle w:val="6"/>
        <w:numPr>
          <w:ilvl w:val="0"/>
          <w:numId w:val="4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4ECCF3D3">
      <w:pPr>
        <w:pStyle w:val="19"/>
        <w:widowControl/>
        <w:numPr>
          <w:ilvl w:val="0"/>
          <w:numId w:val="4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介质自适应铁律</w:t>
      </w:r>
      <w:r>
        <w:rPr>
          <w:rFonts w:ascii="Times New Roman" w:hAnsi="Times New Roman" w:eastAsia="宋体" w:cs="Times New Roman"/>
          <w:i w:val="0"/>
          <w:color w:val="1F2937"/>
          <w:sz w:val="24"/>
          <w:szCs w:val="24"/>
        </w:rPr>
        <w:t>：非电介质页面严禁出现任何峰平谷相关字样或图表元素。</w:t>
      </w:r>
    </w:p>
    <w:p w14:paraId="33242C89">
      <w:pPr>
        <w:pStyle w:val="19"/>
        <w:widowControl/>
        <w:numPr>
          <w:ilvl w:val="0"/>
          <w:numId w:val="4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：非电介质右侧走势图必须叠加额定工艺基准线，以偏差量呈现而非主观评语。</w:t>
      </w:r>
    </w:p>
    <w:p w14:paraId="7959E7AB">
      <w:pPr>
        <w:pStyle w:val="19"/>
        <w:widowControl/>
        <w:numPr>
          <w:ilvl w:val="0"/>
          <w:numId w:val="4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单位口径</w:t>
      </w:r>
      <w:r>
        <w:rPr>
          <w:rFonts w:ascii="Times New Roman" w:hAnsi="Times New Roman" w:eastAsia="宋体" w:cs="Times New Roman"/>
          <w:i w:val="0"/>
          <w:color w:val="1F2937"/>
          <w:sz w:val="24"/>
          <w:szCs w:val="24"/>
        </w:rPr>
        <w:t>：电力以 kWh、水以 m³、蒸汽以 t、天然气以 m³、油以 L、液氮以 m³ 为统一实物单位，折标统一为 tce。</w:t>
      </w:r>
    </w:p>
    <w:p w14:paraId="08EDD6BB">
      <w:pPr>
        <w:pStyle w:val="19"/>
        <w:widowControl/>
        <w:numPr>
          <w:ilvl w:val="0"/>
          <w:numId w:val="4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采样口径</w:t>
      </w:r>
      <w:r>
        <w:rPr>
          <w:rFonts w:ascii="Times New Roman" w:hAnsi="Times New Roman" w:eastAsia="宋体" w:cs="Times New Roman"/>
          <w:i w:val="0"/>
          <w:color w:val="1F2937"/>
          <w:sz w:val="24"/>
          <w:szCs w:val="24"/>
        </w:rPr>
        <w:t>：15 分钟为默认采样频率；历史区间查询走日结库，实时曲线走时序库。</w:t>
      </w:r>
    </w:p>
    <w:p w14:paraId="1EF5F03B">
      <w:pPr>
        <w:pStyle w:val="6"/>
        <w:numPr>
          <w:ilvl w:val="0"/>
          <w:numId w:val="4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28308BF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4136A55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遥测心跳超 5 秒未响应：触发 </w:t>
            </w:r>
            <w:r>
              <w:rPr>
                <w:rFonts w:hint="eastAsia" w:ascii="宋体" w:hAnsi="宋体" w:eastAsia="宋体" w:cs="宋体"/>
                <w:b w:val="0"/>
                <w:i w:val="0"/>
                <w:iCs w:val="0"/>
                <w:color w:val="0284C7"/>
                <w:sz w:val="24"/>
                <w:szCs w:val="24"/>
              </w:rPr>
              <w:t xml:space="preserve"> E_IO_MQTT_TIMEOUT </w:t>
            </w:r>
            <w:r>
              <w:rPr>
                <w:rFonts w:hint="eastAsia" w:ascii="宋体" w:hAnsi="宋体" w:eastAsia="宋体" w:cs="宋体"/>
                <w:i w:val="0"/>
                <w:iCs w:val="0"/>
                <w:color w:val="1F2937"/>
                <w:sz w:val="24"/>
                <w:szCs w:val="24"/>
              </w:rPr>
              <w:t>，图表展示最近一次缓存读数并打"数据延迟"微标签。</w:t>
            </w:r>
          </w:p>
          <w:p w14:paraId="0F11853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边缘一体机断网：触发 </w:t>
            </w:r>
            <w:r>
              <w:rPr>
                <w:rFonts w:hint="eastAsia" w:ascii="宋体" w:hAnsi="宋体" w:eastAsia="宋体" w:cs="宋体"/>
                <w:b w:val="0"/>
                <w:i w:val="0"/>
                <w:iCs w:val="0"/>
                <w:color w:val="0284C7"/>
                <w:sz w:val="24"/>
                <w:szCs w:val="24"/>
              </w:rPr>
              <w:t xml:space="preserve"> E_IO_GATEWAY_OFFLINE </w:t>
            </w:r>
            <w:r>
              <w:rPr>
                <w:rFonts w:hint="eastAsia" w:ascii="宋体" w:hAnsi="宋体" w:eastAsia="宋体" w:cs="宋体"/>
                <w:i w:val="0"/>
                <w:iCs w:val="0"/>
                <w:color w:val="1F2937"/>
                <w:sz w:val="24"/>
                <w:szCs w:val="24"/>
              </w:rPr>
              <w:t>，启动本地断点续传，恢复后自动补传，补传数据标注为"补传"。</w:t>
            </w:r>
          </w:p>
          <w:p w14:paraId="642E720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实物消耗量突增超 200%：触发告警中心事件并在卡片红框高亮，但</w:t>
            </w:r>
            <w:r>
              <w:rPr>
                <w:rFonts w:hint="eastAsia" w:ascii="宋体" w:hAnsi="宋体" w:eastAsia="宋体" w:cs="宋体"/>
                <w:b/>
                <w:i w:val="0"/>
                <w:iCs w:val="0"/>
                <w:color w:val="1E3A8A"/>
                <w:sz w:val="24"/>
                <w:szCs w:val="24"/>
              </w:rPr>
              <w:t>不得阻断数据入库</w:t>
            </w:r>
            <w:r>
              <w:rPr>
                <w:rFonts w:hint="eastAsia" w:ascii="宋体" w:hAnsi="宋体" w:eastAsia="宋体" w:cs="宋体"/>
                <w:i w:val="0"/>
                <w:iCs w:val="0"/>
                <w:color w:val="1F2937"/>
                <w:sz w:val="24"/>
                <w:szCs w:val="24"/>
              </w:rPr>
              <w:t>。</w:t>
            </w:r>
          </w:p>
          <w:p w14:paraId="3C23CE2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未接入单位：路径置灰禁用，点击无响应且不弹出任何解释文案。</w:t>
            </w:r>
          </w:p>
          <w:p w14:paraId="7ED04DB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除零兜底：占比类图表分母为 0 时显示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，严禁 NaN。</w:t>
            </w:r>
          </w:p>
        </w:tc>
      </w:tr>
    </w:tbl>
    <w:p w14:paraId="35E61FAB">
      <w:pPr>
        <w:spacing w:after="40"/>
        <w:rPr>
          <w:rFonts w:hint="eastAsia" w:ascii="宋体" w:hAnsi="宋体" w:eastAsia="宋体" w:cs="宋体"/>
          <w:i w:val="0"/>
          <w:iCs w:val="0"/>
          <w:sz w:val="24"/>
          <w:szCs w:val="24"/>
        </w:rPr>
      </w:pPr>
    </w:p>
    <w:p w14:paraId="1B63CB1C">
      <w:pPr>
        <w:pStyle w:val="6"/>
        <w:numPr>
          <w:ilvl w:val="0"/>
          <w:numId w:val="43"/>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395E5FAD">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29D1252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用能在线监测介质自适应联动</w:t>
            </w:r>
          </w:p>
          <w:p w14:paraId="16D99D8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非电介质的图表100%替换</w:t>
            </w:r>
          </w:p>
          <w:p w14:paraId="69CBD45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用户在顶部介质卡片组中选中"外购蒸汽"</w:t>
            </w:r>
          </w:p>
          <w:p w14:paraId="257707A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页面完成一次联动刷新</w:t>
            </w:r>
          </w:p>
          <w:p w14:paraId="5C95001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中部容器不再出现任何尖峰平谷字样与图表元素</w:t>
            </w:r>
          </w:p>
          <w:p w14:paraId="42DA87B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左侧呈现蒸汽介质工序用量占比环形图</w:t>
            </w:r>
          </w:p>
          <w:p w14:paraId="3FED95B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右侧呈现逐时采样负荷走势与额定工艺基准线对比</w:t>
            </w:r>
          </w:p>
          <w:p w14:paraId="4BBB5020">
            <w:pPr>
              <w:spacing w:before="0" w:after="20" w:line="264" w:lineRule="auto"/>
              <w:rPr>
                <w:rFonts w:hint="eastAsia" w:ascii="宋体" w:hAnsi="宋体" w:eastAsia="宋体" w:cs="宋体"/>
                <w:i w:val="0"/>
                <w:iCs w:val="0"/>
                <w:sz w:val="24"/>
                <w:szCs w:val="24"/>
              </w:rPr>
            </w:pPr>
          </w:p>
          <w:p w14:paraId="2F1642C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采集突增告警不阻断入库</w:t>
            </w:r>
          </w:p>
          <w:p w14:paraId="3BB55E1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某水表上一周期实物消耗量为 100 m³</w:t>
            </w:r>
          </w:p>
          <w:p w14:paraId="0A4AAD6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本周期上报实物消耗量为 350 m³（增幅 250%）</w:t>
            </w:r>
          </w:p>
          <w:p w14:paraId="6CC8177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系统触发突增 200% 告警并在卡片红框高亮</w:t>
            </w:r>
          </w:p>
          <w:p w14:paraId="526D612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该条数据正常写入时序库，未被阻断</w:t>
            </w:r>
          </w:p>
          <w:p w14:paraId="5AAB3C02">
            <w:pPr>
              <w:spacing w:before="0" w:after="20" w:line="264" w:lineRule="auto"/>
              <w:rPr>
                <w:rFonts w:hint="eastAsia" w:ascii="宋体" w:hAnsi="宋体" w:eastAsia="宋体" w:cs="宋体"/>
                <w:i w:val="0"/>
                <w:iCs w:val="0"/>
                <w:sz w:val="24"/>
                <w:szCs w:val="24"/>
              </w:rPr>
            </w:pPr>
          </w:p>
          <w:p w14:paraId="016C92A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未接入单位置灰禁用</w:t>
            </w:r>
          </w:p>
          <w:p w14:paraId="706E996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组织树中存在尚未接入平台的园区单位</w:t>
            </w:r>
          </w:p>
          <w:p w14:paraId="720AB81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用户尝试点击该单位节点</w:t>
            </w:r>
          </w:p>
          <w:p w14:paraId="530570E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节点保持置灰状态且点击无响应</w:t>
            </w:r>
          </w:p>
          <w:p w14:paraId="2357182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页面不弹出任何解释性或说教性文案</w:t>
            </w:r>
          </w:p>
        </w:tc>
      </w:tr>
    </w:tbl>
    <w:p w14:paraId="59FA2EC6">
      <w:pPr>
        <w:spacing w:after="40"/>
        <w:rPr>
          <w:rFonts w:hint="eastAsia" w:ascii="宋体" w:hAnsi="宋体" w:eastAsia="宋体" w:cs="宋体"/>
          <w:i w:val="0"/>
          <w:iCs w:val="0"/>
          <w:sz w:val="24"/>
          <w:szCs w:val="24"/>
        </w:rPr>
      </w:pPr>
    </w:p>
    <w:p w14:paraId="5F9EC696">
      <w:pPr>
        <w:pStyle w:val="5"/>
        <w:numPr>
          <w:ilvl w:val="0"/>
          <w:numId w:val="27"/>
        </w:numPr>
        <w:ind w:left="0" w:leftChars="0" w:firstLine="0" w:firstLineChars="0"/>
        <w:outlineLvl w:val="1"/>
        <w:rPr>
          <w:rFonts w:eastAsia="黑体"/>
          <w:b w:val="0"/>
          <w:bCs w:val="0"/>
          <w:sz w:val="30"/>
          <w:szCs w:val="24"/>
        </w:rPr>
      </w:pPr>
      <w:bookmarkStart w:id="18" w:name="_Toc18727"/>
      <w:r>
        <w:rPr>
          <w:rFonts w:ascii="Times New Roman" w:hAnsi="Times New Roman" w:eastAsia="黑体" w:cs="Times New Roman"/>
          <w:b w:val="0"/>
          <w:bCs w:val="0"/>
          <w:sz w:val="30"/>
          <w:szCs w:val="24"/>
        </w:rPr>
        <w:t>重点设备在线监测</w:t>
      </w:r>
      <w:bookmarkEnd w:id="18"/>
    </w:p>
    <w:p w14:paraId="6F910E0C">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kern w:val="2"/>
          <w:sz w:val="28"/>
          <w:szCs w:val="28"/>
          <w:lang w:bidi="ar-SA"/>
        </w:rPr>
      </w:pPr>
      <w:r>
        <w:rPr>
          <w:rFonts w:hint="eastAsia" w:ascii="宋体" w:hAnsi="宋体" w:eastAsia="宋体" w:cs="宋体"/>
          <w:bCs/>
          <w:kern w:val="2"/>
          <w:sz w:val="28"/>
          <w:szCs w:val="28"/>
          <w:lang w:bidi="ar-SA"/>
        </w:rPr>
        <w:drawing>
          <wp:inline distT="0" distB="0" distL="114300" distR="114300">
            <wp:extent cx="6210300" cy="3079115"/>
            <wp:effectExtent l="0" t="0" r="0" b="6985"/>
            <wp:docPr id="5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
                    <pic:cNvPicPr>
                      <a:picLocks noChangeAspect="1"/>
                    </pic:cNvPicPr>
                  </pic:nvPicPr>
                  <pic:blipFill>
                    <a:blip r:embed="rId20"/>
                    <a:stretch>
                      <a:fillRect/>
                    </a:stretch>
                  </pic:blipFill>
                  <pic:spPr>
                    <a:xfrm>
                      <a:off x="0" y="0"/>
                      <a:ext cx="6210300" cy="3079115"/>
                    </a:xfrm>
                    <a:prstGeom prst="rect">
                      <a:avLst/>
                    </a:prstGeom>
                    <a:noFill/>
                    <a:ln>
                      <a:noFill/>
                    </a:ln>
                  </pic:spPr>
                </pic:pic>
              </a:graphicData>
            </a:graphic>
          </wp:inline>
        </w:drawing>
      </w:r>
    </w:p>
    <w:p w14:paraId="06F2D5DE">
      <w:pPr>
        <w:pStyle w:val="6"/>
        <w:numPr>
          <w:ilvl w:val="0"/>
          <w:numId w:val="4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3ECE4B94">
      <w:pPr>
        <w:pStyle w:val="19"/>
        <w:widowControl/>
        <w:numPr>
          <w:ilvl w:val="0"/>
          <w:numId w:val="5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：对高耗能特种工艺设备的高频工况监控看板，按电力驱动与热力驱动两类介质自适应呈现核心指标，实现设备级能效最优。</w:t>
      </w:r>
    </w:p>
    <w:p w14:paraId="30F461F9">
      <w:pPr>
        <w:pStyle w:val="19"/>
        <w:widowControl/>
        <w:numPr>
          <w:ilvl w:val="0"/>
          <w:numId w:val="5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：设备保全工程师、P2 园区能碳专员。</w:t>
      </w:r>
    </w:p>
    <w:p w14:paraId="13098942">
      <w:pPr>
        <w:pStyle w:val="19"/>
        <w:widowControl/>
        <w:numPr>
          <w:ilvl w:val="0"/>
          <w:numId w:val="5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/monitor/energy/devices </w:t>
      </w:r>
      <w:r>
        <w:rPr>
          <w:rFonts w:ascii="Times New Roman" w:hAnsi="Times New Roman" w:eastAsia="宋体" w:cs="Times New Roman"/>
          <w:i w:val="0"/>
          <w:color w:val="1F2937"/>
          <w:sz w:val="24"/>
          <w:szCs w:val="24"/>
        </w:rPr>
        <w:t>。</w:t>
      </w:r>
    </w:p>
    <w:p w14:paraId="0ACDBCE3">
      <w:pPr>
        <w:pStyle w:val="19"/>
        <w:widowControl/>
        <w:numPr>
          <w:ilvl w:val="0"/>
          <w:numId w:val="5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：设备台账主数据、IoT 设备级遥测、工序白名单。</w:t>
      </w:r>
    </w:p>
    <w:p w14:paraId="291AB2E4">
      <w:pPr>
        <w:pStyle w:val="19"/>
        <w:widowControl/>
        <w:numPr>
          <w:ilvl w:val="0"/>
          <w:numId w:val="5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：设备越限告警事件、设备负荷率环比数据。</w:t>
      </w:r>
    </w:p>
    <w:p w14:paraId="2C44A468">
      <w:pPr>
        <w:pStyle w:val="6"/>
        <w:numPr>
          <w:ilvl w:val="0"/>
          <w:numId w:val="4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67079E51">
      <w:pPr>
        <w:pStyle w:val="19"/>
        <w:widowControl/>
        <w:numPr>
          <w:ilvl w:val="0"/>
          <w:numId w:val="5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：全集团首批纳管的 32 台特高压变压器气相干燥罐、耐压试验台、立塔交联挤出机组等高耗能特种工艺设备的高频工况监控。</w:t>
      </w:r>
    </w:p>
    <w:p w14:paraId="21DBB9A3">
      <w:pPr>
        <w:pStyle w:val="19"/>
        <w:widowControl/>
        <w:numPr>
          <w:ilvl w:val="0"/>
          <w:numId w:val="5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76673D1C">
      <w:pPr>
        <w:pStyle w:val="19"/>
        <w:widowControl/>
        <w:numPr>
          <w:ilvl w:val="0"/>
          <w:numId w:val="5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设备保全工程师</w:t>
      </w:r>
      <w:r>
        <w:rPr>
          <w:rFonts w:ascii="Times New Roman" w:hAnsi="Times New Roman" w:eastAsia="宋体" w:cs="Times New Roman"/>
          <w:i w:val="0"/>
          <w:color w:val="1F2937"/>
          <w:sz w:val="24"/>
          <w:szCs w:val="24"/>
        </w:rPr>
        <w:t>，</w:t>
      </w:r>
    </w:p>
    <w:p w14:paraId="0D189A98">
      <w:pPr>
        <w:pStyle w:val="19"/>
        <w:widowControl/>
        <w:numPr>
          <w:ilvl w:val="0"/>
          <w:numId w:val="5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在设备监控看板中按电力驱动或热力驱动分类查看 32 台重点设备的运行负荷、功率因数或蒸汽流量</w:t>
      </w:r>
      <w:r>
        <w:rPr>
          <w:rFonts w:ascii="Times New Roman" w:hAnsi="Times New Roman" w:eastAsia="宋体" w:cs="Times New Roman"/>
          <w:i w:val="0"/>
          <w:color w:val="1F2937"/>
          <w:sz w:val="24"/>
          <w:szCs w:val="24"/>
        </w:rPr>
        <w:t>，</w:t>
      </w:r>
    </w:p>
    <w:p w14:paraId="7950EACF">
      <w:pPr>
        <w:pStyle w:val="19"/>
        <w:widowControl/>
        <w:numPr>
          <w:ilvl w:val="0"/>
          <w:numId w:val="5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我能预防高耗能设备待机空载浪费，实现设备级能效最优</w:t>
      </w:r>
      <w:r>
        <w:rPr>
          <w:rFonts w:ascii="Times New Roman" w:hAnsi="Times New Roman" w:eastAsia="宋体" w:cs="Times New Roman"/>
          <w:i w:val="0"/>
          <w:color w:val="1F2937"/>
          <w:sz w:val="24"/>
          <w:szCs w:val="24"/>
        </w:rPr>
        <w:t>。</w:t>
      </w:r>
    </w:p>
    <w:p w14:paraId="4E95394B">
      <w:pPr>
        <w:pStyle w:val="6"/>
        <w:numPr>
          <w:ilvl w:val="0"/>
          <w:numId w:val="4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254A370D">
      <w:pPr>
        <w:pStyle w:val="19"/>
        <w:widowControl/>
        <w:numPr>
          <w:ilvl w:val="0"/>
          <w:numId w:val="5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左侧设备拓扑导航树</w:t>
      </w:r>
      <w:r>
        <w:rPr>
          <w:rFonts w:ascii="Times New Roman" w:hAnsi="Times New Roman" w:eastAsia="宋体" w:cs="Times New Roman"/>
          <w:i w:val="0"/>
          <w:color w:val="1F2937"/>
          <w:sz w:val="24"/>
          <w:szCs w:val="24"/>
        </w:rPr>
        <w:t xml:space="preserve">：集成 4 级组织树；9 家未联网单位置灰禁用，设备数标注为 </w:t>
      </w:r>
      <w:r>
        <w:rPr>
          <w:rFonts w:ascii="Times New Roman" w:hAnsi="Times New Roman" w:eastAsia="宋体" w:cs="Times New Roman"/>
          <w:b w:val="0"/>
          <w:i w:val="0"/>
          <w:color w:val="0284C7"/>
          <w:sz w:val="24"/>
          <w:szCs w:val="24"/>
        </w:rPr>
        <w:t xml:space="preserve"> (0) </w:t>
      </w:r>
      <w:r>
        <w:rPr>
          <w:rFonts w:ascii="Times New Roman" w:hAnsi="Times New Roman" w:eastAsia="宋体" w:cs="Times New Roman"/>
          <w:i w:val="0"/>
          <w:color w:val="1F2937"/>
          <w:sz w:val="24"/>
          <w:szCs w:val="24"/>
        </w:rPr>
        <w:t>；节点前置介质语义图标（电力设备前置闪电、热力设备前置火焰），剥离文字胶囊。</w:t>
      </w:r>
    </w:p>
    <w:p w14:paraId="68A634B4">
      <w:pPr>
        <w:pStyle w:val="19"/>
        <w:widowControl/>
        <w:numPr>
          <w:ilvl w:val="0"/>
          <w:numId w:val="5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顶部设置</w:t>
      </w:r>
      <w:r>
        <w:rPr>
          <w:rFonts w:ascii="Times New Roman" w:hAnsi="Times New Roman" w:eastAsia="宋体" w:cs="Times New Roman"/>
          <w:i w:val="0"/>
          <w:color w:val="1F2937"/>
          <w:sz w:val="24"/>
          <w:szCs w:val="24"/>
        </w:rPr>
        <w:t>：设备类型切片 Tab（全部 / 电力 23 台 / 热力 9 台）与搜索框。</w:t>
      </w:r>
    </w:p>
    <w:p w14:paraId="01C5202B">
      <w:pPr>
        <w:pStyle w:val="19"/>
        <w:widowControl/>
        <w:numPr>
          <w:ilvl w:val="0"/>
          <w:numId w:val="5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右侧工况看板（100% 智能自适应）</w:t>
      </w:r>
      <w:r>
        <w:rPr>
          <w:rFonts w:ascii="Times New Roman" w:hAnsi="Times New Roman" w:eastAsia="宋体" w:cs="Times New Roman"/>
          <w:i w:val="0"/>
          <w:color w:val="1F2937"/>
          <w:sz w:val="24"/>
          <w:szCs w:val="24"/>
        </w:rPr>
        <w:t>：</w:t>
      </w:r>
    </w:p>
    <w:p w14:paraId="372F03CA">
      <w:pPr>
        <w:pStyle w:val="19"/>
        <w:widowControl/>
        <w:numPr>
          <w:ilvl w:val="0"/>
          <w:numId w:val="5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主卡片标题纯粹去噪：仅保留前置图标与设备标准名称（如 </w:t>
      </w:r>
      <w:r>
        <w:rPr>
          <w:rFonts w:ascii="Times New Roman" w:hAnsi="Times New Roman" w:eastAsia="宋体" w:cs="Times New Roman"/>
          <w:b w:val="0"/>
          <w:i w:val="0"/>
          <w:color w:val="0284C7"/>
          <w:sz w:val="24"/>
          <w:szCs w:val="24"/>
        </w:rPr>
        <w:t xml:space="preserve"> 1# 1000kV 级气相真空干燥罐组 </w:t>
      </w:r>
      <w:r>
        <w:rPr>
          <w:rFonts w:ascii="Times New Roman" w:hAnsi="Times New Roman" w:eastAsia="宋体" w:cs="Times New Roman"/>
          <w:i w:val="0"/>
          <w:color w:val="1F2937"/>
          <w:sz w:val="24"/>
          <w:szCs w:val="24"/>
        </w:rPr>
        <w:t>），剥离编码与冗余路径。</w:t>
      </w:r>
    </w:p>
    <w:p w14:paraId="10161E68">
      <w:pPr>
        <w:pStyle w:val="19"/>
        <w:widowControl/>
        <w:numPr>
          <w:ilvl w:val="0"/>
          <w:numId w:val="5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电力设备自适应呈现</w:t>
      </w:r>
      <w:r>
        <w:rPr>
          <w:rFonts w:ascii="Times New Roman" w:hAnsi="Times New Roman" w:eastAsia="宋体" w:cs="Times New Roman"/>
          <w:i w:val="0"/>
          <w:color w:val="1F2937"/>
          <w:sz w:val="24"/>
          <w:szCs w:val="24"/>
        </w:rPr>
        <w:t>：核心指标为实时有功功率 (kW)、当月用电量 (kWh)、当日用电量 (kWh)、负荷率 (%)、功率因数；图表为 15 分钟连续负荷曲线与峰平谷占比环形图。</w:t>
      </w:r>
    </w:p>
    <w:p w14:paraId="62852FE2">
      <w:pPr>
        <w:pStyle w:val="19"/>
        <w:widowControl/>
        <w:numPr>
          <w:ilvl w:val="0"/>
          <w:numId w:val="5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热力设备自适应呈现</w:t>
      </w:r>
      <w:r>
        <w:rPr>
          <w:rFonts w:ascii="Times New Roman" w:hAnsi="Times New Roman" w:eastAsia="宋体" w:cs="Times New Roman"/>
          <w:i w:val="0"/>
          <w:color w:val="1F2937"/>
          <w:sz w:val="24"/>
          <w:szCs w:val="24"/>
        </w:rPr>
        <w:t>：核心指标为瞬时蒸汽流量 (t/h)、当月蒸汽消耗量 (t)、当日蒸汽消耗量 (t)、供汽管道压力 (MPa)、温度 (°C)；图表为瞬时流量走势与逐时蒸汽消耗柱状图。</w:t>
      </w:r>
    </w:p>
    <w:p w14:paraId="47417FB4">
      <w:pPr>
        <w:pStyle w:val="19"/>
        <w:widowControl/>
        <w:rPr>
          <w:rFonts w:ascii="Times New Roman" w:hAnsi="Times New Roman" w:eastAsia="宋体" w:cs="Times New Roman"/>
          <w:i w:val="0"/>
          <w:color w:val="1F2937"/>
          <w:sz w:val="24"/>
          <w:szCs w:val="24"/>
        </w:rPr>
      </w:pPr>
      <w:r>
        <w:rPr>
          <w:rFonts w:ascii="Times New Roman" w:hAnsi="Times New Roman" w:eastAsia="宋体" w:cs="Times New Roman"/>
          <w:b/>
          <w:i w:val="0"/>
          <w:color w:val="1E3A8A"/>
          <w:sz w:val="24"/>
          <w:szCs w:val="24"/>
        </w:rPr>
        <w:t>树结构规范</w:t>
      </w:r>
      <w:r>
        <w:rPr>
          <w:rFonts w:ascii="Times New Roman" w:hAnsi="Times New Roman" w:eastAsia="宋体" w:cs="Times New Roman"/>
          <w:i w:val="0"/>
          <w:color w:val="1F2937"/>
          <w:sz w:val="24"/>
          <w:szCs w:val="24"/>
        </w:rPr>
        <w:t>：设备监测左侧结构树按【企业 → 设备】两级展开（用能监测左侧结构树按【园区 → 企业】两级展开），设备节点前置语义图标，未接入单位字体置灰禁用。</w:t>
      </w:r>
    </w:p>
    <w:p w14:paraId="3C87FBEE">
      <w:pPr>
        <w:pStyle w:val="19"/>
        <w:widowControl/>
        <w:rPr>
          <w:rFonts w:ascii="Times New Roman" w:hAnsi="Times New Roman" w:eastAsia="宋体" w:cs="Times New Roman"/>
          <w:i w:val="0"/>
          <w:color w:val="1F2937"/>
          <w:sz w:val="24"/>
          <w:szCs w:val="24"/>
        </w:rPr>
      </w:pPr>
    </w:p>
    <w:p w14:paraId="6B8782D5">
      <w:pPr>
        <w:pStyle w:val="6"/>
        <w:numPr>
          <w:ilvl w:val="0"/>
          <w:numId w:val="4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10193" w:type="dxa"/>
        <w:jc w:val="center"/>
        <w:tblLayout w:type="autofit"/>
        <w:tblCellMar>
          <w:top w:w="0" w:type="dxa"/>
          <w:left w:w="108" w:type="dxa"/>
          <w:bottom w:w="0" w:type="dxa"/>
          <w:right w:w="108" w:type="dxa"/>
        </w:tblCellMar>
      </w:tblPr>
      <w:tblGrid>
        <w:gridCol w:w="817"/>
        <w:gridCol w:w="1781"/>
        <w:gridCol w:w="1299"/>
        <w:gridCol w:w="1299"/>
        <w:gridCol w:w="1781"/>
        <w:gridCol w:w="3216"/>
      </w:tblGrid>
      <w:tr w14:paraId="5076016A">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1C98A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78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2C157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2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E3C1D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2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91435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178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BF017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适用设备类型</w:t>
            </w:r>
          </w:p>
        </w:tc>
        <w:tc>
          <w:tcPr>
            <w:tcW w:w="321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8C203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说明</w:t>
            </w:r>
          </w:p>
        </w:tc>
      </w:tr>
      <w:tr w14:paraId="7383307A">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050C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A3BC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设备唯一编码</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56FF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F802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706C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电力/热力</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4C3C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唯一主键，设备台账下发</w:t>
            </w:r>
          </w:p>
        </w:tc>
      </w:tr>
      <w:tr w14:paraId="243A1E37">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C610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8EDD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设备标准名称</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5D35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8611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FB53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电力/热力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2B5E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非空，仅展示标准名称不含冗余路径</w:t>
            </w:r>
          </w:p>
        </w:tc>
      </w:tr>
      <w:tr w14:paraId="14BB3EF6">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920B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E690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电压</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C477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BF79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V</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7DB4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47311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三相电压（实时点位）</w:t>
            </w:r>
          </w:p>
        </w:tc>
      </w:tr>
      <w:tr w14:paraId="0DE17CC6">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528D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E3CF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电流</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2B4D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CED2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3255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35FD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三相电流</w:t>
            </w:r>
          </w:p>
        </w:tc>
      </w:tr>
      <w:tr w14:paraId="011417FD">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6784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AC8C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总有功功率</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DDA1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5B467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D47E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3B6A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实时有功功率</w:t>
            </w:r>
          </w:p>
        </w:tc>
      </w:tr>
      <w:tr w14:paraId="50C32043">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3463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AD19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功率因数</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7941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D10E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cosφ</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C6CC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333B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越限阈值 0.90，低于即告警</w:t>
            </w:r>
          </w:p>
        </w:tc>
      </w:tr>
      <w:tr w14:paraId="64F10A86">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C2E7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C3D2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正向有功电能</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490C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67F5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B819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CD4D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累计电能</w:t>
            </w:r>
          </w:p>
        </w:tc>
      </w:tr>
      <w:tr w14:paraId="059F8A08">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D6BE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64B2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反向有功电能</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89B5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3D602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8835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ACE2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反向累计</w:t>
            </w:r>
          </w:p>
        </w:tc>
      </w:tr>
      <w:tr w14:paraId="70B88BD6">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60F162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EE27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正向无功电能</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3382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5CD9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kvarh</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ACB1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A6EE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累计无功</w:t>
            </w:r>
          </w:p>
        </w:tc>
      </w:tr>
      <w:tr w14:paraId="7DD1D1B5">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C9D3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6E31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反向无功电能</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F575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62FE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kvarh</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9894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A757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反向累计</w:t>
            </w:r>
          </w:p>
        </w:tc>
      </w:tr>
      <w:tr w14:paraId="568593D4">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6E5E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3756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水压</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854E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A875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MPa</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9CBD4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水务</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1CDE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供水压力</w:t>
            </w:r>
          </w:p>
        </w:tc>
      </w:tr>
      <w:tr w14:paraId="66431E85">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93E9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D4E5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累计流量</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B741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4908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719C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水/天然气</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0407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累计水量或标况累计流量</w:t>
            </w:r>
          </w:p>
        </w:tc>
      </w:tr>
      <w:tr w14:paraId="4212A6AC">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0B1A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13</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2AD4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瞬时流量</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B06A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611D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m³/h</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9200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B446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瞬时流量</w:t>
            </w:r>
          </w:p>
        </w:tc>
      </w:tr>
      <w:tr w14:paraId="05651A8D">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48FA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14</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260A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瞬时蒸汽流量</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ECC9B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26B1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t/h</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C2EA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热力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35F0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涡街/孔板流量计温压补偿积算</w:t>
            </w:r>
          </w:p>
        </w:tc>
      </w:tr>
      <w:tr w14:paraId="33132696">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FB2B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3771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蒸汽消耗量</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70E0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387E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11A1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热力</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CBB3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瞬时流量时间积分累加量</w:t>
            </w:r>
          </w:p>
        </w:tc>
      </w:tr>
      <w:tr w14:paraId="1DCE16BB">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6D1E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16</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24F0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供汽管道工作压力</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16F7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45F6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MPa</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DA98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热力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CAB9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压力变送器 4-20mA 实时遥测</w:t>
            </w:r>
          </w:p>
        </w:tc>
      </w:tr>
    </w:tbl>
    <w:p w14:paraId="55E09C78">
      <w:pPr>
        <w:spacing w:after="60"/>
        <w:rPr>
          <w:rFonts w:hint="eastAsia" w:ascii="宋体" w:hAnsi="宋体" w:eastAsia="宋体" w:cs="宋体"/>
          <w:i w:val="0"/>
          <w:iCs w:val="0"/>
          <w:sz w:val="24"/>
          <w:szCs w:val="24"/>
        </w:rPr>
      </w:pPr>
    </w:p>
    <w:p w14:paraId="2B745ED3">
      <w:pPr>
        <w:pStyle w:val="6"/>
        <w:numPr>
          <w:ilvl w:val="0"/>
          <w:numId w:val="4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48E44FF2">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799319C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P_active = √3 × U × I × cosφ / 1s采样        实时有功功率</w:t>
            </w:r>
          </w:p>
          <w:p w14:paraId="3056EF55">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cosφ = P / S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功率因数 = 有功 / 视在功率</w:t>
            </w:r>
          </w:p>
          <w:p w14:paraId="765F6BB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Load = ( P_actual / P_rated ) × 100%              设备负荷率</w:t>
            </w:r>
          </w:p>
          <w:p w14:paraId="552C5F82">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Load_MoM = ( Load_t - Load_{t-1} ) / Load_{t-1}    负荷率环比变动</w:t>
            </w:r>
          </w:p>
          <w:p w14:paraId="283E321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Q_steam = ∫ F_instant dt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蒸汽消耗量 = 瞬时流量时间积分</w:t>
            </w:r>
          </w:p>
        </w:tc>
      </w:tr>
    </w:tbl>
    <w:p w14:paraId="582441A7">
      <w:pPr>
        <w:spacing w:after="40"/>
        <w:rPr>
          <w:rFonts w:hint="eastAsia" w:ascii="宋体" w:hAnsi="宋体" w:eastAsia="宋体" w:cs="宋体"/>
          <w:i w:val="0"/>
          <w:iCs w:val="0"/>
          <w:sz w:val="24"/>
          <w:szCs w:val="24"/>
        </w:rPr>
      </w:pPr>
    </w:p>
    <w:p w14:paraId="4F2BD0D7">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P_rated </w:t>
      </w:r>
      <w:r>
        <w:rPr>
          <w:rFonts w:ascii="Times New Roman" w:hAnsi="Times New Roman" w:eastAsia="宋体" w:cs="Times New Roman"/>
          <w:i w:val="0"/>
          <w:color w:val="1F2937"/>
          <w:sz w:val="24"/>
          <w:szCs w:val="24"/>
        </w:rPr>
        <w:t xml:space="preserve"> 为设备铭牌额定功率；</w:t>
      </w:r>
      <w:r>
        <w:rPr>
          <w:rFonts w:ascii="Times New Roman" w:hAnsi="Times New Roman" w:eastAsia="宋体" w:cs="Times New Roman"/>
          <w:b w:val="0"/>
          <w:i w:val="0"/>
          <w:color w:val="0284C7"/>
          <w:sz w:val="24"/>
          <w:szCs w:val="24"/>
        </w:rPr>
        <w:t xml:space="preserve"> F_instant </w:t>
      </w:r>
      <w:r>
        <w:rPr>
          <w:rFonts w:ascii="Times New Roman" w:hAnsi="Times New Roman" w:eastAsia="宋体" w:cs="Times New Roman"/>
          <w:i w:val="0"/>
          <w:color w:val="1F2937"/>
          <w:sz w:val="24"/>
          <w:szCs w:val="24"/>
        </w:rPr>
        <w:t xml:space="preserve"> 为瞬时蒸汽流量；告警阈值：负荷率超 120%、功率因数低于 0.90 触发越限。</w:t>
      </w:r>
    </w:p>
    <w:p w14:paraId="31F15CC0">
      <w:pPr>
        <w:pStyle w:val="6"/>
        <w:numPr>
          <w:ilvl w:val="0"/>
          <w:numId w:val="4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56E2173D">
      <w:pPr>
        <w:pStyle w:val="19"/>
        <w:widowControl/>
        <w:numPr>
          <w:ilvl w:val="0"/>
          <w:numId w:val="5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客观中立准则</w:t>
      </w:r>
      <w:r>
        <w:rPr>
          <w:rFonts w:ascii="Times New Roman" w:hAnsi="Times New Roman" w:eastAsia="宋体" w:cs="Times New Roman"/>
          <w:i w:val="0"/>
          <w:color w:val="1F2937"/>
          <w:sz w:val="24"/>
          <w:szCs w:val="24"/>
        </w:rPr>
        <w:t xml:space="preserve">：工况对比统一使用时序"环比"（如 </w:t>
      </w:r>
      <w:r>
        <w:rPr>
          <w:rFonts w:ascii="Times New Roman" w:hAnsi="Times New Roman" w:eastAsia="宋体" w:cs="Times New Roman"/>
          <w:b w:val="0"/>
          <w:i w:val="0"/>
          <w:color w:val="0284C7"/>
          <w:sz w:val="24"/>
          <w:szCs w:val="24"/>
        </w:rPr>
        <w:t xml:space="preserve"> 负荷率环比 +1.8% </w:t>
      </w:r>
      <w:r>
        <w:rPr>
          <w:rFonts w:ascii="Times New Roman" w:hAnsi="Times New Roman" w:eastAsia="宋体" w:cs="Times New Roman"/>
          <w:i w:val="0"/>
          <w:color w:val="1F2937"/>
          <w:sz w:val="24"/>
          <w:szCs w:val="24"/>
        </w:rPr>
        <w:t>），严禁出现主观评价文字（如"电能品质优良"等）。原"管道工作压力"统一标准化更名为【蒸汽消耗量】。</w:t>
      </w:r>
    </w:p>
    <w:p w14:paraId="4AF9E597">
      <w:pPr>
        <w:pStyle w:val="19"/>
        <w:widowControl/>
        <w:numPr>
          <w:ilvl w:val="0"/>
          <w:numId w:val="5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设备类型口径</w:t>
      </w:r>
      <w:r>
        <w:rPr>
          <w:rFonts w:ascii="Times New Roman" w:hAnsi="Times New Roman" w:eastAsia="宋体" w:cs="Times New Roman"/>
          <w:i w:val="0"/>
          <w:color w:val="1F2937"/>
          <w:sz w:val="24"/>
          <w:szCs w:val="24"/>
        </w:rPr>
        <w:t>：电力驱动 23 台、热力用能 9 台，合计 32 台，为固定纳管范围，未纳管设备不参与统计。</w:t>
      </w:r>
    </w:p>
    <w:p w14:paraId="7DA3BE4C">
      <w:pPr>
        <w:pStyle w:val="19"/>
        <w:widowControl/>
        <w:numPr>
          <w:ilvl w:val="0"/>
          <w:numId w:val="5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负荷率三色判定</w:t>
      </w:r>
      <w:r>
        <w:rPr>
          <w:rFonts w:ascii="Times New Roman" w:hAnsi="Times New Roman" w:eastAsia="宋体" w:cs="Times New Roman"/>
          <w:i w:val="0"/>
          <w:color w:val="1F2937"/>
          <w:sz w:val="24"/>
          <w:szCs w:val="24"/>
        </w:rPr>
        <w:t>：≤100% 正常，100%~120% 关注，&gt;120% 越限告警。</w:t>
      </w:r>
    </w:p>
    <w:p w14:paraId="0668E0CC">
      <w:pPr>
        <w:pStyle w:val="6"/>
        <w:numPr>
          <w:ilvl w:val="0"/>
          <w:numId w:val="4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3C4B3B2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04F3FDF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越限（负荷率超 120%、功率因数低于 0.90 等）触发告警中心事件并红框高亮对应设备卡片。</w:t>
            </w:r>
          </w:p>
          <w:p w14:paraId="372F1E9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- 9 家未联网单位设备数标注为 </w:t>
            </w:r>
            <w:r>
              <w:rPr>
                <w:rFonts w:hint="eastAsia" w:ascii="宋体" w:hAnsi="宋体" w:eastAsia="宋体" w:cs="宋体"/>
                <w:b w:val="0"/>
                <w:i w:val="0"/>
                <w:iCs w:val="0"/>
                <w:color w:val="0284C7"/>
                <w:sz w:val="24"/>
                <w:szCs w:val="24"/>
              </w:rPr>
              <w:t xml:space="preserve"> (0) </w:t>
            </w:r>
            <w:r>
              <w:rPr>
                <w:rFonts w:hint="eastAsia" w:ascii="宋体" w:hAnsi="宋体" w:eastAsia="宋体" w:cs="宋体"/>
                <w:i w:val="0"/>
                <w:iCs w:val="0"/>
                <w:color w:val="1F2937"/>
                <w:sz w:val="24"/>
                <w:szCs w:val="24"/>
              </w:rPr>
              <w:t>，节点置灰禁用。</w:t>
            </w:r>
          </w:p>
          <w:p w14:paraId="60CA7B3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实时刷新：实时点位按 1s~5s 轮询刷新【待确认】，历史区间查询走日结库。</w:t>
            </w:r>
          </w:p>
          <w:p w14:paraId="5C924A1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设备离线：卡片显示"设备离线"状态徽章并保留最后一次有效读数，不阻断页面其余设备渲染。</w:t>
            </w:r>
          </w:p>
        </w:tc>
      </w:tr>
    </w:tbl>
    <w:p w14:paraId="578AB922">
      <w:pPr>
        <w:spacing w:after="40"/>
        <w:rPr>
          <w:rFonts w:hint="eastAsia" w:ascii="宋体" w:hAnsi="宋体" w:eastAsia="宋体" w:cs="宋体"/>
          <w:i w:val="0"/>
          <w:iCs w:val="0"/>
          <w:sz w:val="24"/>
          <w:szCs w:val="24"/>
        </w:rPr>
      </w:pPr>
    </w:p>
    <w:p w14:paraId="593ED9EF">
      <w:pPr>
        <w:pStyle w:val="6"/>
        <w:numPr>
          <w:ilvl w:val="0"/>
          <w:numId w:val="49"/>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3E96CF68">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5BB77C7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重点设备在线监测介质自适应</w:t>
            </w:r>
          </w:p>
          <w:p w14:paraId="46FEAE0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电力与热力设备指标自适应</w:t>
            </w:r>
          </w:p>
          <w:p w14:paraId="4594113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设备树中同时存在电力驱动设备与热力用能设备</w:t>
            </w:r>
          </w:p>
          <w:p w14:paraId="5CC71D0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用户选中一台电力驱动设备</w:t>
            </w:r>
          </w:p>
          <w:p w14:paraId="4828575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核心指标区展示实时有功功率、当月用电量、当日用电量、负荷率与功率因数</w:t>
            </w:r>
          </w:p>
          <w:p w14:paraId="42516C1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图表区展示 15 分钟连续负荷曲线与峰平谷占比环形图</w:t>
            </w:r>
          </w:p>
          <w:p w14:paraId="5729443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用户改选一台热力用能设备</w:t>
            </w:r>
          </w:p>
          <w:p w14:paraId="70A76DD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核心指标区改为展示瞬时蒸汽流量、当月蒸汽消耗量、当日蒸汽消耗量、供汽管道压力与温度</w:t>
            </w:r>
          </w:p>
          <w:p w14:paraId="44FA4D2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不再出现峰平谷相关字样</w:t>
            </w:r>
          </w:p>
          <w:p w14:paraId="114E3524">
            <w:pPr>
              <w:spacing w:before="0" w:after="20" w:line="264" w:lineRule="auto"/>
              <w:rPr>
                <w:rFonts w:hint="eastAsia" w:ascii="宋体" w:hAnsi="宋体" w:eastAsia="宋体" w:cs="宋体"/>
                <w:i w:val="0"/>
                <w:iCs w:val="0"/>
                <w:sz w:val="24"/>
                <w:szCs w:val="24"/>
              </w:rPr>
            </w:pPr>
          </w:p>
          <w:p w14:paraId="0AF8EC4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设备越限告警联动</w:t>
            </w:r>
          </w:p>
          <w:p w14:paraId="5109624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某电力设备实时负荷率为 128%</w:t>
            </w:r>
          </w:p>
          <w:p w14:paraId="1A0BB05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系统完成一次 5 秒轮询刷新</w:t>
            </w:r>
          </w:p>
          <w:p w14:paraId="4C466D2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该设备卡片红框高亮</w:t>
            </w:r>
          </w:p>
          <w:p w14:paraId="591FEC3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告警中心新增一条设备越限事件</w:t>
            </w:r>
          </w:p>
          <w:p w14:paraId="22F4DB5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页面文案使用"负荷率环比 +X%"表达，不含主观评语</w:t>
            </w:r>
          </w:p>
        </w:tc>
      </w:tr>
    </w:tbl>
    <w:p w14:paraId="7C114C0E">
      <w:pPr>
        <w:spacing w:after="40"/>
        <w:rPr>
          <w:rFonts w:hint="eastAsia" w:ascii="宋体" w:hAnsi="宋体" w:eastAsia="宋体" w:cs="宋体"/>
          <w:i w:val="0"/>
          <w:iCs w:val="0"/>
          <w:sz w:val="24"/>
          <w:szCs w:val="24"/>
        </w:rPr>
      </w:pPr>
    </w:p>
    <w:p w14:paraId="7BEA52AE">
      <w:pPr>
        <w:pStyle w:val="5"/>
        <w:numPr>
          <w:ilvl w:val="0"/>
          <w:numId w:val="27"/>
        </w:numPr>
        <w:ind w:left="0" w:leftChars="0" w:firstLine="0" w:firstLineChars="0"/>
        <w:outlineLvl w:val="1"/>
        <w:rPr>
          <w:rFonts w:eastAsia="黑体"/>
          <w:b w:val="0"/>
          <w:bCs w:val="0"/>
          <w:sz w:val="30"/>
          <w:szCs w:val="24"/>
        </w:rPr>
      </w:pPr>
      <w:bookmarkStart w:id="19" w:name="_Toc879"/>
      <w:r>
        <w:rPr>
          <w:rFonts w:ascii="Times New Roman" w:hAnsi="Times New Roman" w:eastAsia="黑体" w:cs="Times New Roman"/>
          <w:b w:val="0"/>
          <w:bCs w:val="0"/>
          <w:sz w:val="30"/>
          <w:szCs w:val="24"/>
        </w:rPr>
        <w:t>工业微电网监测</w:t>
      </w:r>
      <w:bookmarkEnd w:id="19"/>
    </w:p>
    <w:p w14:paraId="21959495">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kern w:val="2"/>
          <w:sz w:val="28"/>
          <w:szCs w:val="28"/>
          <w:lang w:bidi="ar-SA"/>
        </w:rPr>
      </w:pPr>
      <w:r>
        <w:rPr>
          <w:rFonts w:hint="eastAsia" w:ascii="宋体" w:hAnsi="宋体" w:eastAsia="宋体" w:cs="宋体"/>
          <w:bCs/>
          <w:kern w:val="2"/>
          <w:sz w:val="28"/>
          <w:szCs w:val="28"/>
          <w:lang w:bidi="ar-SA"/>
        </w:rPr>
        <w:drawing>
          <wp:inline distT="0" distB="0" distL="114300" distR="114300">
            <wp:extent cx="6210300" cy="3079115"/>
            <wp:effectExtent l="0" t="0" r="0" b="6985"/>
            <wp:docPr id="7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0"/>
                    <pic:cNvPicPr>
                      <a:picLocks noChangeAspect="1"/>
                    </pic:cNvPicPr>
                  </pic:nvPicPr>
                  <pic:blipFill>
                    <a:blip r:embed="rId21"/>
                    <a:stretch>
                      <a:fillRect/>
                    </a:stretch>
                  </pic:blipFill>
                  <pic:spPr>
                    <a:xfrm>
                      <a:off x="0" y="0"/>
                      <a:ext cx="6210300" cy="3079115"/>
                    </a:xfrm>
                    <a:prstGeom prst="rect">
                      <a:avLst/>
                    </a:prstGeom>
                    <a:noFill/>
                    <a:ln>
                      <a:noFill/>
                    </a:ln>
                  </pic:spPr>
                </pic:pic>
              </a:graphicData>
            </a:graphic>
          </wp:inline>
        </w:drawing>
      </w:r>
    </w:p>
    <w:p w14:paraId="551D72A1">
      <w:pPr>
        <w:pStyle w:val="6"/>
        <w:numPr>
          <w:ilvl w:val="0"/>
          <w:numId w:val="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7E9C7003">
      <w:pPr>
        <w:pStyle w:val="19"/>
        <w:widowControl/>
        <w:numPr>
          <w:ilvl w:val="0"/>
          <w:numId w:val="5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：园区级源网荷储一体化运行的实时监测与工况分析模块，支撑微电网削峰填谷与绿电消纳优化。</w:t>
      </w:r>
    </w:p>
    <w:p w14:paraId="4F2434E9">
      <w:pPr>
        <w:pStyle w:val="19"/>
        <w:widowControl/>
        <w:numPr>
          <w:ilvl w:val="0"/>
          <w:numId w:val="5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园区能碳专员（微电网调度视角）、设备保全工程师。</w:t>
      </w:r>
    </w:p>
    <w:p w14:paraId="0718511F">
      <w:pPr>
        <w:pStyle w:val="19"/>
        <w:widowControl/>
        <w:numPr>
          <w:ilvl w:val="0"/>
          <w:numId w:val="5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/monitor/energy/microgrid </w:t>
      </w:r>
      <w:r>
        <w:rPr>
          <w:rFonts w:ascii="Times New Roman" w:hAnsi="Times New Roman" w:eastAsia="宋体" w:cs="Times New Roman"/>
          <w:i w:val="0"/>
          <w:color w:val="1F2937"/>
          <w:sz w:val="24"/>
          <w:szCs w:val="24"/>
        </w:rPr>
        <w:t xml:space="preserve">；子页 </w:t>
      </w:r>
      <w:r>
        <w:rPr>
          <w:rFonts w:ascii="Times New Roman" w:hAnsi="Times New Roman" w:eastAsia="宋体" w:cs="Times New Roman"/>
          <w:b w:val="0"/>
          <w:i w:val="0"/>
          <w:color w:val="0284C7"/>
          <w:sz w:val="24"/>
          <w:szCs w:val="24"/>
        </w:rPr>
        <w:t xml:space="preserve"> /power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/electricity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/green </w:t>
      </w:r>
      <w:r>
        <w:rPr>
          <w:rFonts w:ascii="Times New Roman" w:hAnsi="Times New Roman" w:eastAsia="宋体" w:cs="Times New Roman"/>
          <w:i w:val="0"/>
          <w:color w:val="1F2937"/>
          <w:sz w:val="24"/>
          <w:szCs w:val="24"/>
        </w:rPr>
        <w:t>。</w:t>
      </w:r>
    </w:p>
    <w:p w14:paraId="766CFFA5">
      <w:pPr>
        <w:pStyle w:val="19"/>
        <w:widowControl/>
        <w:numPr>
          <w:ilvl w:val="0"/>
          <w:numId w:val="5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：工业微电网监测设备遥测、储能 BMS、光伏逆变器、能源价格管理分时电价。</w:t>
      </w:r>
    </w:p>
    <w:p w14:paraId="42A60FE8">
      <w:pPr>
        <w:pStyle w:val="19"/>
        <w:widowControl/>
        <w:numPr>
          <w:ilvl w:val="0"/>
          <w:numId w:val="5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：移峰填谷调度依据、绿电消纳统计、碳排监测绿电抵扣数据。</w:t>
      </w:r>
    </w:p>
    <w:p w14:paraId="6F9C0D9B">
      <w:pPr>
        <w:pStyle w:val="6"/>
        <w:numPr>
          <w:ilvl w:val="0"/>
          <w:numId w:val="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538ABF38">
      <w:pPr>
        <w:pStyle w:val="19"/>
        <w:widowControl/>
        <w:numPr>
          <w:ilvl w:val="0"/>
          <w:numId w:val="5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：园区微电网运行工况的连续监视，覆盖光伏发电、储能充放、市电负荷与热力设备蒸汽消耗，支撑谷充峰放执行与绿电消纳率提升。</w:t>
      </w:r>
    </w:p>
    <w:p w14:paraId="6C614E77">
      <w:pPr>
        <w:pStyle w:val="19"/>
        <w:widowControl/>
        <w:numPr>
          <w:ilvl w:val="0"/>
          <w:numId w:val="5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140663D5">
      <w:pPr>
        <w:pStyle w:val="19"/>
        <w:widowControl/>
        <w:numPr>
          <w:ilvl w:val="0"/>
          <w:numId w:val="5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园区能碳专员 (Persona P2)</w:t>
      </w:r>
      <w:r>
        <w:rPr>
          <w:rFonts w:ascii="Times New Roman" w:hAnsi="Times New Roman" w:eastAsia="宋体" w:cs="Times New Roman"/>
          <w:i w:val="0"/>
          <w:color w:val="1F2937"/>
          <w:sz w:val="24"/>
          <w:szCs w:val="24"/>
        </w:rPr>
        <w:t>，</w:t>
      </w:r>
    </w:p>
    <w:p w14:paraId="5400D713">
      <w:pPr>
        <w:pStyle w:val="19"/>
        <w:widowControl/>
        <w:numPr>
          <w:ilvl w:val="0"/>
          <w:numId w:val="5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在微电网监测页按企业展开设备树，查看光伏发电功率、储能 SOC 与充放功率、市电负荷及热力设备蒸汽消耗的实时工况与环比</w:t>
      </w:r>
      <w:r>
        <w:rPr>
          <w:rFonts w:ascii="Times New Roman" w:hAnsi="Times New Roman" w:eastAsia="宋体" w:cs="Times New Roman"/>
          <w:i w:val="0"/>
          <w:color w:val="1F2937"/>
          <w:sz w:val="24"/>
          <w:szCs w:val="24"/>
        </w:rPr>
        <w:t>，</w:t>
      </w:r>
    </w:p>
    <w:p w14:paraId="780B5870">
      <w:pPr>
        <w:pStyle w:val="19"/>
        <w:widowControl/>
        <w:numPr>
          <w:ilvl w:val="0"/>
          <w:numId w:val="5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我能优化储能充放策略，提升绿电消纳率并降低尖峰电费</w:t>
      </w:r>
      <w:r>
        <w:rPr>
          <w:rFonts w:ascii="Times New Roman" w:hAnsi="Times New Roman" w:eastAsia="宋体" w:cs="Times New Roman"/>
          <w:i w:val="0"/>
          <w:color w:val="1F2937"/>
          <w:sz w:val="24"/>
          <w:szCs w:val="24"/>
        </w:rPr>
        <w:t>。</w:t>
      </w:r>
    </w:p>
    <w:p w14:paraId="1B2A2A59">
      <w:pPr>
        <w:pStyle w:val="6"/>
        <w:numPr>
          <w:ilvl w:val="0"/>
          <w:numId w:val="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6055400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功能交互规则：</w:t>
      </w:r>
    </w:p>
    <w:p w14:paraId="67995E59">
      <w:pPr>
        <w:pStyle w:val="19"/>
        <w:widowControl/>
        <w:numPr>
          <w:ilvl w:val="0"/>
          <w:numId w:val="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拓扑树规范</w:t>
      </w:r>
      <w:r>
        <w:rPr>
          <w:rFonts w:ascii="Times New Roman" w:hAnsi="Times New Roman" w:eastAsia="宋体" w:cs="Times New Roman"/>
          <w:i w:val="0"/>
          <w:color w:val="1F2937"/>
          <w:sz w:val="24"/>
          <w:szCs w:val="24"/>
        </w:rPr>
        <w:t>：左侧展示【企业 ➔ 设备】（全量纳入 23 台电力驱动设备与 9 台热力用能设备），设备节点前置语义图标，彻底剥离末尾冗余胶囊徽章；未接入单位字体置灰禁用。</w:t>
      </w:r>
    </w:p>
    <w:p w14:paraId="144AF3AE">
      <w:pPr>
        <w:pStyle w:val="19"/>
        <w:widowControl/>
        <w:numPr>
          <w:ilvl w:val="0"/>
          <w:numId w:val="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核心自适应机制</w:t>
      </w:r>
      <w:r>
        <w:rPr>
          <w:rFonts w:ascii="Times New Roman" w:hAnsi="Times New Roman" w:eastAsia="宋体" w:cs="Times New Roman"/>
          <w:i w:val="0"/>
          <w:color w:val="1F2937"/>
          <w:sz w:val="24"/>
          <w:szCs w:val="24"/>
        </w:rPr>
        <w:t>：选中电力设备自动呈现有功功率、累计电量、功率因数与负荷率（环比维度）；选中热力设备自动呈现瞬时蒸汽流量、蒸汽消耗量、供汽压力与供汽温度。</w:t>
      </w:r>
    </w:p>
    <w:p w14:paraId="2965723E">
      <w:pPr>
        <w:pStyle w:val="19"/>
        <w:widowControl/>
        <w:numPr>
          <w:ilvl w:val="0"/>
          <w:numId w:val="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客观中立准则</w:t>
      </w:r>
      <w:r>
        <w:rPr>
          <w:rFonts w:ascii="Times New Roman" w:hAnsi="Times New Roman" w:eastAsia="宋体" w:cs="Times New Roman"/>
          <w:i w:val="0"/>
          <w:color w:val="1F2937"/>
          <w:sz w:val="24"/>
          <w:szCs w:val="24"/>
        </w:rPr>
        <w:t>：工况对比统一使用时序"环比"（如负荷率环比 +1.8%），严禁出现主观评价文字（如"电能品质优良"等）。原"管道工作压力"统一标准化更名为【蒸汽消耗量】。</w:t>
      </w:r>
    </w:p>
    <w:p w14:paraId="3E3B6B32">
      <w:pPr>
        <w:pStyle w:val="19"/>
        <w:widowControl/>
        <w:numPr>
          <w:ilvl w:val="0"/>
          <w:numId w:val="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子模块划分</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4.1 功率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4.2 电量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4.3 绿电 </w:t>
      </w:r>
      <w:r>
        <w:rPr>
          <w:rFonts w:ascii="Times New Roman" w:hAnsi="Times New Roman" w:eastAsia="宋体" w:cs="Times New Roman"/>
          <w:i w:val="0"/>
          <w:color w:val="1F2937"/>
          <w:sz w:val="24"/>
          <w:szCs w:val="24"/>
        </w:rPr>
        <w:t xml:space="preserve"> 三个子页分别承载功率流、电量结算与绿电消纳专题视图。</w:t>
      </w:r>
    </w:p>
    <w:p w14:paraId="1DFDFAF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补充交互规则：</w:t>
      </w:r>
    </w:p>
    <w:p w14:paraId="450EA83C">
      <w:pPr>
        <w:pStyle w:val="19"/>
        <w:widowControl/>
        <w:numPr>
          <w:ilvl w:val="0"/>
          <w:numId w:val="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设备树</w:t>
      </w:r>
      <w:r>
        <w:rPr>
          <w:rFonts w:ascii="Times New Roman" w:hAnsi="Times New Roman" w:eastAsia="宋体" w:cs="Times New Roman"/>
          <w:i w:val="0"/>
          <w:color w:val="1F2937"/>
          <w:sz w:val="24"/>
          <w:szCs w:val="24"/>
        </w:rPr>
        <w:t>：支持按企业展开/收起、关键词搜索；设备节点前缀语义图标（电力设备 / 热力设备）。</w:t>
      </w:r>
    </w:p>
    <w:p w14:paraId="5A5005AB">
      <w:pPr>
        <w:pStyle w:val="19"/>
        <w:widowControl/>
        <w:numPr>
          <w:ilvl w:val="0"/>
          <w:numId w:val="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实时刷新</w:t>
      </w:r>
      <w:r>
        <w:rPr>
          <w:rFonts w:ascii="Times New Roman" w:hAnsi="Times New Roman" w:eastAsia="宋体" w:cs="Times New Roman"/>
          <w:i w:val="0"/>
          <w:color w:val="1F2937"/>
          <w:sz w:val="24"/>
          <w:szCs w:val="24"/>
        </w:rPr>
        <w:t>：边端一体机对水、电、汽、压力等核心点位保持 1s~5s 高频采集与本地滑动窗口计算，用于瞬时越限告警判定；云端常规表计统一采用 15 分钟等间隔打点汇聚上报。</w:t>
      </w:r>
    </w:p>
    <w:p w14:paraId="4F91D2DF">
      <w:pPr>
        <w:pStyle w:val="19"/>
        <w:widowControl/>
        <w:ind w:left="0" w:leftChars="0" w:firstLine="0" w:firstLineChars="0"/>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高频透传模式：仅对 32 台特种工艺设备（气相真空干燥罐、耐压试验台等），在其运行试验期间由系统动态开启 1s~5s 级高频透传；试验结束后自动恢复 15 分钟等间隔汇聚，透传时长与点数写入带宽占用流水。</w:t>
      </w:r>
    </w:p>
    <w:p w14:paraId="1F4229C4">
      <w:pPr>
        <w:pStyle w:val="19"/>
        <w:widowControl/>
        <w:numPr>
          <w:ilvl w:val="0"/>
          <w:numId w:val="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告警联动</w:t>
      </w:r>
      <w:r>
        <w:rPr>
          <w:rFonts w:ascii="Times New Roman" w:hAnsi="Times New Roman" w:eastAsia="宋体" w:cs="Times New Roman"/>
          <w:i w:val="0"/>
          <w:color w:val="1F2937"/>
          <w:sz w:val="24"/>
          <w:szCs w:val="24"/>
        </w:rPr>
        <w:t>：越限（负荷率超 120%、功率因数低于 0.90 等）触发告警中心事件并红框高亮对应设备卡片。</w:t>
      </w:r>
    </w:p>
    <w:p w14:paraId="62D2677F">
      <w:pPr>
        <w:pStyle w:val="19"/>
        <w:widowControl/>
        <w:numPr>
          <w:ilvl w:val="0"/>
          <w:numId w:val="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环比表达</w:t>
      </w:r>
      <w:r>
        <w:rPr>
          <w:rFonts w:ascii="Times New Roman" w:hAnsi="Times New Roman" w:eastAsia="宋体" w:cs="Times New Roman"/>
          <w:i w:val="0"/>
          <w:color w:val="1F2937"/>
          <w:sz w:val="24"/>
          <w:szCs w:val="24"/>
        </w:rPr>
        <w:t>：工况对比统一使用时序"环比"，严禁主观评价文字（客观中立原则）。</w:t>
      </w:r>
    </w:p>
    <w:p w14:paraId="0CDEFEC2">
      <w:pPr>
        <w:pStyle w:val="6"/>
        <w:numPr>
          <w:ilvl w:val="0"/>
          <w:numId w:val="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849" w:type="dxa"/>
        <w:jc w:val="center"/>
        <w:tblLayout w:type="autofit"/>
        <w:tblCellMar>
          <w:top w:w="0" w:type="dxa"/>
          <w:left w:w="108" w:type="dxa"/>
          <w:bottom w:w="0" w:type="dxa"/>
          <w:right w:w="108" w:type="dxa"/>
        </w:tblCellMar>
      </w:tblPr>
      <w:tblGrid>
        <w:gridCol w:w="817"/>
        <w:gridCol w:w="1896"/>
        <w:gridCol w:w="1299"/>
        <w:gridCol w:w="1299"/>
        <w:gridCol w:w="1322"/>
        <w:gridCol w:w="3216"/>
      </w:tblGrid>
      <w:tr w14:paraId="7E10F324">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2845C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B11FC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2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33519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2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8F7F2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39501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适用设备类型</w:t>
            </w:r>
          </w:p>
        </w:tc>
        <w:tc>
          <w:tcPr>
            <w:tcW w:w="321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E4774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计算模型/来源</w:t>
            </w:r>
          </w:p>
        </w:tc>
      </w:tr>
      <w:tr w14:paraId="0402E3FA">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EB21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DF6DB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实时有功功率</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DB05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7AC1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45F5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电力设备</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AA2D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P = √3 × U × I × cosφ</w:t>
            </w:r>
            <w:r>
              <w:rPr>
                <w:rFonts w:hint="eastAsia" w:ascii="宋体" w:hAnsi="宋体" w:eastAsia="宋体" w:cs="宋体"/>
                <w:i w:val="0"/>
                <w:iCs w:val="0"/>
                <w:color w:val="1F2937"/>
                <w:sz w:val="24"/>
                <w:szCs w:val="24"/>
              </w:rPr>
              <w:t>，1s 采集</w:t>
            </w:r>
          </w:p>
        </w:tc>
      </w:tr>
      <w:tr w14:paraId="22C6D43F">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5148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4790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累计用电量</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9BCE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8DD7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DFE1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电力设备</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BE56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电能表底数累加，每日 0 点清零日累计</w:t>
            </w:r>
          </w:p>
        </w:tc>
      </w:tr>
      <w:tr w14:paraId="4377B425">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E969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01C3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运行功率因数</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B7F9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5202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cosφ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9D11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电力设备</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9742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cosφ = P / S</w:t>
            </w:r>
            <w:r>
              <w:rPr>
                <w:rFonts w:hint="eastAsia" w:ascii="宋体" w:hAnsi="宋体" w:eastAsia="宋体" w:cs="宋体"/>
                <w:i w:val="0"/>
                <w:iCs w:val="0"/>
                <w:color w:val="1F2937"/>
                <w:sz w:val="24"/>
                <w:szCs w:val="24"/>
              </w:rPr>
              <w:t>（有功功率 / 视在功率）</w:t>
            </w:r>
          </w:p>
        </w:tc>
      </w:tr>
      <w:tr w14:paraId="3C2955A9">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D128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7F7A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设备负荷率</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D76A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E7CA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EDD3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电力/热力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5B0C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Load = (P_{actual} / P_{rated}) × 100%</w:t>
            </w:r>
          </w:p>
        </w:tc>
      </w:tr>
      <w:tr w14:paraId="231B36AD">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8398D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EDD5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负荷率环比变动</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1D67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497B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CEAE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电力/热力</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499F3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MoM = (Load_t - Load_{t-1}) / Load_{t-1}</w:t>
            </w:r>
          </w:p>
        </w:tc>
      </w:tr>
      <w:tr w14:paraId="0BBDC408">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524A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4CDC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瞬时蒸汽流量</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AD5E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BEDB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t/h</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E6E4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热力设备</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B67A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涡街/孔板流量计温度压力补偿积算</w:t>
            </w:r>
          </w:p>
        </w:tc>
      </w:tr>
      <w:tr w14:paraId="5008C7A8">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EA01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2712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蒸汽消耗量</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55226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9626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B149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热力设备</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D261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瞬时流量时间积分累加量</w:t>
            </w:r>
          </w:p>
        </w:tc>
      </w:tr>
      <w:tr w14:paraId="3577DB37">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40E2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FE71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供汽管道工作压力</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1029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C3CA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MPa</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1831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热力设备</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BC5B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压力变送器 4-20mA 实时遥测</w:t>
            </w:r>
          </w:p>
        </w:tc>
      </w:tr>
      <w:tr w14:paraId="221A5650">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0CE1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AA72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光伏发电功率</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217C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505F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084C4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0669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逆变器直流侧/交流侧遥测</w:t>
            </w:r>
          </w:p>
        </w:tc>
      </w:tr>
      <w:tr w14:paraId="3C5D600F">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990E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4E12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储能 SOC 值</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E014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BBD0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5D4B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储能</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4FCB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BMS 上送，取值 0~100</w:t>
            </w:r>
          </w:p>
        </w:tc>
      </w:tr>
      <w:tr w14:paraId="6B4D929E">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5439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BF30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储能充放电功率</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9321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8CB1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600D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储能</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9034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正值充电 / 负值放电</w:t>
            </w:r>
          </w:p>
        </w:tc>
      </w:tr>
      <w:tr w14:paraId="2B4989F0">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8049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18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256C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绿电消纳率</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C974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35EA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3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8F07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609E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自发自用量 / 光伏发电量 × 100%</w:t>
            </w:r>
          </w:p>
        </w:tc>
      </w:tr>
    </w:tbl>
    <w:p w14:paraId="171A8FB6">
      <w:pPr>
        <w:spacing w:after="60"/>
        <w:rPr>
          <w:rFonts w:hint="eastAsia" w:ascii="宋体" w:hAnsi="宋体" w:eastAsia="宋体" w:cs="宋体"/>
          <w:i w:val="0"/>
          <w:iCs w:val="0"/>
          <w:sz w:val="24"/>
          <w:szCs w:val="24"/>
        </w:rPr>
      </w:pPr>
    </w:p>
    <w:p w14:paraId="746E3419">
      <w:pPr>
        <w:pStyle w:val="6"/>
        <w:numPr>
          <w:ilvl w:val="0"/>
          <w:numId w:val="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642FDAF8">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17DA1CE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P_active = √3 × U × I × cosφ / 1s采集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 xml:space="preserve"> 实时有功功率</w:t>
            </w:r>
          </w:p>
          <w:p w14:paraId="6A4E263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Load = ( P_actual / P_rated ) × 100%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设备负荷率</w:t>
            </w:r>
          </w:p>
          <w:p w14:paraId="6D559125">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Load_MoM = ( Load_t - Load_{t-1} ) / Load_{t-1}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负荷率环比变动</w:t>
            </w:r>
          </w:p>
          <w:p w14:paraId="0A9FEA1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R_green = E_self_use / E_pv_gen × 100%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绿电消纳率</w:t>
            </w:r>
          </w:p>
          <w:p w14:paraId="08C0165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Q_steam = Σ ( F_instant × Δt )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蒸汽消耗量时间积分</w:t>
            </w:r>
          </w:p>
          <w:p w14:paraId="67D598D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SOC_t = SOC_0 + ∫ ( P_charge × η_c ) dt / Cap_rated  荷电状态积分模型</w:t>
            </w:r>
          </w:p>
        </w:tc>
      </w:tr>
    </w:tbl>
    <w:p w14:paraId="27A46782">
      <w:pPr>
        <w:spacing w:after="40"/>
        <w:rPr>
          <w:rFonts w:hint="eastAsia" w:ascii="宋体" w:hAnsi="宋体" w:eastAsia="宋体" w:cs="宋体"/>
          <w:i w:val="0"/>
          <w:iCs w:val="0"/>
          <w:sz w:val="24"/>
          <w:szCs w:val="24"/>
        </w:rPr>
      </w:pPr>
    </w:p>
    <w:p w14:paraId="229EB7F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E_self_use </w:t>
      </w:r>
      <w:r>
        <w:rPr>
          <w:rFonts w:ascii="Times New Roman" w:hAnsi="Times New Roman" w:eastAsia="宋体" w:cs="Times New Roman"/>
          <w:i w:val="0"/>
          <w:color w:val="1F2937"/>
          <w:sz w:val="24"/>
          <w:szCs w:val="24"/>
        </w:rPr>
        <w:t xml:space="preserve"> 为光伏自发自用电量；</w:t>
      </w:r>
      <w:r>
        <w:rPr>
          <w:rFonts w:ascii="Times New Roman" w:hAnsi="Times New Roman" w:eastAsia="宋体" w:cs="Times New Roman"/>
          <w:b w:val="0"/>
          <w:i w:val="0"/>
          <w:color w:val="0284C7"/>
          <w:sz w:val="24"/>
          <w:szCs w:val="24"/>
        </w:rPr>
        <w:t xml:space="preserve"> E_pv_gen </w:t>
      </w:r>
      <w:r>
        <w:rPr>
          <w:rFonts w:ascii="Times New Roman" w:hAnsi="Times New Roman" w:eastAsia="宋体" w:cs="Times New Roman"/>
          <w:i w:val="0"/>
          <w:color w:val="1F2937"/>
          <w:sz w:val="24"/>
          <w:szCs w:val="24"/>
        </w:rPr>
        <w:t xml:space="preserve"> 为光伏总发电量；</w:t>
      </w:r>
      <w:r>
        <w:rPr>
          <w:rFonts w:ascii="Times New Roman" w:hAnsi="Times New Roman" w:eastAsia="宋体" w:cs="Times New Roman"/>
          <w:b w:val="0"/>
          <w:i w:val="0"/>
          <w:color w:val="0284C7"/>
          <w:sz w:val="24"/>
          <w:szCs w:val="24"/>
        </w:rPr>
        <w:t xml:space="preserve"> η_c </w:t>
      </w:r>
      <w:r>
        <w:rPr>
          <w:rFonts w:ascii="Times New Roman" w:hAnsi="Times New Roman" w:eastAsia="宋体" w:cs="Times New Roman"/>
          <w:i w:val="0"/>
          <w:color w:val="1F2937"/>
          <w:sz w:val="24"/>
          <w:szCs w:val="24"/>
        </w:rPr>
        <w:t xml:space="preserve"> 为充电效率；</w:t>
      </w:r>
      <w:r>
        <w:rPr>
          <w:rFonts w:ascii="Times New Roman" w:hAnsi="Times New Roman" w:eastAsia="宋体" w:cs="Times New Roman"/>
          <w:b w:val="0"/>
          <w:i w:val="0"/>
          <w:color w:val="0284C7"/>
          <w:sz w:val="24"/>
          <w:szCs w:val="24"/>
        </w:rPr>
        <w:t xml:space="preserve"> Cap_rated </w:t>
      </w:r>
      <w:r>
        <w:rPr>
          <w:rFonts w:ascii="Times New Roman" w:hAnsi="Times New Roman" w:eastAsia="宋体" w:cs="Times New Roman"/>
          <w:i w:val="0"/>
          <w:color w:val="1F2937"/>
          <w:sz w:val="24"/>
          <w:szCs w:val="24"/>
        </w:rPr>
        <w:t xml:space="preserve"> 为储能额定容量。</w:t>
      </w:r>
    </w:p>
    <w:p w14:paraId="27B01361">
      <w:pPr>
        <w:pStyle w:val="6"/>
        <w:numPr>
          <w:ilvl w:val="0"/>
          <w:numId w:val="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12D5494F">
      <w:pPr>
        <w:pStyle w:val="19"/>
        <w:widowControl/>
        <w:numPr>
          <w:ilvl w:val="0"/>
          <w:numId w:val="5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：统一使用环比（MoM），不使用同比，避免季节性光照差异干扰判断。</w:t>
      </w:r>
    </w:p>
    <w:p w14:paraId="07A8708D">
      <w:pPr>
        <w:pStyle w:val="19"/>
        <w:widowControl/>
        <w:numPr>
          <w:ilvl w:val="0"/>
          <w:numId w:val="5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绿电消纳口径</w:t>
      </w:r>
      <w:r>
        <w:rPr>
          <w:rFonts w:ascii="Times New Roman" w:hAnsi="Times New Roman" w:eastAsia="宋体" w:cs="Times New Roman"/>
          <w:i w:val="0"/>
          <w:color w:val="1F2937"/>
          <w:sz w:val="24"/>
          <w:szCs w:val="24"/>
        </w:rPr>
        <w:t>：绿电消纳率仅统计物理可溯源的自发自用量，不含绿证核销的等效量。</w:t>
      </w:r>
    </w:p>
    <w:p w14:paraId="460D1B4A">
      <w:pPr>
        <w:pStyle w:val="19"/>
        <w:widowControl/>
        <w:numPr>
          <w:ilvl w:val="0"/>
          <w:numId w:val="5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时段口径</w:t>
      </w:r>
      <w:r>
        <w:rPr>
          <w:rFonts w:ascii="Times New Roman" w:hAnsi="Times New Roman" w:eastAsia="宋体" w:cs="Times New Roman"/>
          <w:i w:val="0"/>
          <w:color w:val="1F2937"/>
          <w:sz w:val="24"/>
          <w:szCs w:val="24"/>
        </w:rPr>
        <w:t>：谷充峰放执行时段严格对齐能源价格管理模块最新生效的分时电价版本。</w:t>
      </w:r>
    </w:p>
    <w:p w14:paraId="1FC19D80">
      <w:pPr>
        <w:pStyle w:val="6"/>
        <w:numPr>
          <w:ilvl w:val="0"/>
          <w:numId w:val="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4DBD8745">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3E0B018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储能 SOC 越界（&lt;5% 或 &gt;95%）触发告警并在卡片标注，不做自动干预控制。</w:t>
            </w:r>
          </w:p>
          <w:p w14:paraId="69787C5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光伏夜间无出力：曲线自然归零，不显示"设备异常"等误判文案。</w:t>
            </w:r>
          </w:p>
          <w:p w14:paraId="54B30E9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实时点位超时：触发 </w:t>
            </w:r>
            <w:r>
              <w:rPr>
                <w:rFonts w:hint="eastAsia" w:ascii="宋体" w:hAnsi="宋体" w:eastAsia="宋体" w:cs="宋体"/>
                <w:b w:val="0"/>
                <w:i w:val="0"/>
                <w:iCs w:val="0"/>
                <w:color w:val="0284C7"/>
                <w:sz w:val="24"/>
                <w:szCs w:val="24"/>
              </w:rPr>
              <w:t xml:space="preserve"> E_IO_MQTT_TIMEOUT </w:t>
            </w:r>
            <w:r>
              <w:rPr>
                <w:rFonts w:hint="eastAsia" w:ascii="宋体" w:hAnsi="宋体" w:eastAsia="宋体" w:cs="宋体"/>
                <w:i w:val="0"/>
                <w:iCs w:val="0"/>
                <w:color w:val="1F2937"/>
                <w:sz w:val="24"/>
                <w:szCs w:val="24"/>
              </w:rPr>
              <w:t>，展示缓存读数并打"数据延迟"微标签。</w:t>
            </w:r>
          </w:p>
          <w:p w14:paraId="5B057C5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设备未接入：节点置灰禁用，无解释性文案。</w:t>
            </w:r>
          </w:p>
        </w:tc>
      </w:tr>
    </w:tbl>
    <w:p w14:paraId="28D700BA">
      <w:pPr>
        <w:spacing w:after="40"/>
        <w:rPr>
          <w:rFonts w:hint="eastAsia" w:ascii="宋体" w:hAnsi="宋体" w:eastAsia="宋体" w:cs="宋体"/>
          <w:i w:val="0"/>
          <w:iCs w:val="0"/>
          <w:sz w:val="24"/>
          <w:szCs w:val="24"/>
        </w:rPr>
      </w:pPr>
    </w:p>
    <w:p w14:paraId="47E00139">
      <w:pPr>
        <w:pStyle w:val="6"/>
        <w:numPr>
          <w:ilvl w:val="0"/>
          <w:numId w:val="54"/>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648683F2">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0D48654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工业微电网监测自适应工况</w:t>
            </w:r>
          </w:p>
          <w:p w14:paraId="5CDBBAF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电力与热力设备自适应呈现</w:t>
            </w:r>
          </w:p>
          <w:p w14:paraId="2595069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微电网设备树已纳入 23 台电力驱动设备与 9 台热力用能设备</w:t>
            </w:r>
          </w:p>
          <w:p w14:paraId="7B8D0D6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用户选中一台电力驱动设备</w:t>
            </w:r>
          </w:p>
          <w:p w14:paraId="7EA4352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呈现有功功率、累计电量、功率因数与负荷率（环比维度）</w:t>
            </w:r>
          </w:p>
          <w:p w14:paraId="0192369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用户选中一台热力用能设备</w:t>
            </w:r>
          </w:p>
          <w:p w14:paraId="6863020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呈现瞬时蒸汽流量、蒸汽消耗量、供汽压力与供汽温度</w:t>
            </w:r>
          </w:p>
          <w:p w14:paraId="2EE9CB59">
            <w:pPr>
              <w:spacing w:before="0" w:after="20" w:line="264" w:lineRule="auto"/>
              <w:rPr>
                <w:rFonts w:hint="eastAsia" w:ascii="宋体" w:hAnsi="宋体" w:eastAsia="宋体" w:cs="宋体"/>
                <w:i w:val="0"/>
                <w:iCs w:val="0"/>
                <w:sz w:val="24"/>
                <w:szCs w:val="24"/>
              </w:rPr>
            </w:pPr>
          </w:p>
          <w:p w14:paraId="3D9CBCA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客观中立文案纯洁度</w:t>
            </w:r>
          </w:p>
          <w:p w14:paraId="099E82A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页面已完成一次设备工况刷新</w:t>
            </w:r>
          </w:p>
          <w:p w14:paraId="5EEB601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对页面全部文案执行主观定性词正则扫描</w:t>
            </w:r>
          </w:p>
          <w:p w14:paraId="20BEECD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不出现"电能品质优良""运行欠佳""表现优异"等定性词汇</w:t>
            </w:r>
          </w:p>
          <w:p w14:paraId="53BAB58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工况对比统一以"环比 +X%"形式表达</w:t>
            </w:r>
          </w:p>
        </w:tc>
      </w:tr>
    </w:tbl>
    <w:p w14:paraId="636ED84F">
      <w:pPr>
        <w:pStyle w:val="5"/>
        <w:numPr>
          <w:ilvl w:val="0"/>
          <w:numId w:val="27"/>
        </w:numPr>
        <w:ind w:left="0" w:leftChars="0" w:firstLine="0" w:firstLineChars="0"/>
        <w:outlineLvl w:val="1"/>
        <w:rPr>
          <w:rFonts w:eastAsia="黑体"/>
          <w:b w:val="0"/>
          <w:bCs w:val="0"/>
          <w:sz w:val="30"/>
          <w:szCs w:val="24"/>
        </w:rPr>
      </w:pPr>
      <w:bookmarkStart w:id="20" w:name="_Toc2652"/>
      <w:r>
        <w:rPr>
          <w:rFonts w:ascii="Times New Roman" w:hAnsi="Times New Roman" w:eastAsia="黑体" w:cs="Times New Roman"/>
          <w:b w:val="0"/>
          <w:bCs w:val="0"/>
          <w:sz w:val="30"/>
          <w:szCs w:val="24"/>
        </w:rPr>
        <w:t>能源碳排放监测</w:t>
      </w:r>
      <w:bookmarkEnd w:id="20"/>
    </w:p>
    <w:p w14:paraId="2AA65307">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7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6"/>
                    <pic:cNvPicPr>
                      <a:picLocks noChangeAspect="1"/>
                    </pic:cNvPicPr>
                  </pic:nvPicPr>
                  <pic:blipFill>
                    <a:blip r:embed="rId22"/>
                    <a:stretch>
                      <a:fillRect/>
                    </a:stretch>
                  </pic:blipFill>
                  <pic:spPr>
                    <a:xfrm>
                      <a:off x="0" y="0"/>
                      <a:ext cx="6210300" cy="3079115"/>
                    </a:xfrm>
                    <a:prstGeom prst="rect">
                      <a:avLst/>
                    </a:prstGeom>
                    <a:noFill/>
                    <a:ln>
                      <a:noFill/>
                    </a:ln>
                  </pic:spPr>
                </pic:pic>
              </a:graphicData>
            </a:graphic>
          </wp:inline>
        </w:drawing>
      </w:r>
    </w:p>
    <w:p w14:paraId="27DA98D9">
      <w:pPr>
        <w:pStyle w:val="6"/>
        <w:numPr>
          <w:ilvl w:val="0"/>
          <w:numId w:val="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53817FA7">
      <w:pPr>
        <w:pStyle w:val="19"/>
        <w:widowControl/>
        <w:numPr>
          <w:ilvl w:val="0"/>
          <w:numId w:val="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：依据温室气体核算体系标准，按日/按月核算全厂化石能源直接燃烧与外购电力热力的二氧化碳排放量与强度走势，是碳排报表与 CBAM 申报的底数来源。</w:t>
      </w:r>
    </w:p>
    <w:p w14:paraId="10E3A966">
      <w:pPr>
        <w:pStyle w:val="19"/>
        <w:widowControl/>
        <w:numPr>
          <w:ilvl w:val="0"/>
          <w:numId w:val="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：园区碳资产核算员 (P4)、P2 园区能碳专员。</w:t>
      </w:r>
    </w:p>
    <w:p w14:paraId="070B4A13">
      <w:pPr>
        <w:pStyle w:val="19"/>
        <w:widowControl/>
        <w:numPr>
          <w:ilvl w:val="0"/>
          <w:numId w:val="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/monitor/carbon/emission </w:t>
      </w:r>
      <w:r>
        <w:rPr>
          <w:rFonts w:ascii="Times New Roman" w:hAnsi="Times New Roman" w:eastAsia="宋体" w:cs="Times New Roman"/>
          <w:i w:val="0"/>
          <w:color w:val="1F2937"/>
          <w:sz w:val="24"/>
          <w:szCs w:val="24"/>
        </w:rPr>
        <w:t>。</w:t>
      </w:r>
    </w:p>
    <w:p w14:paraId="2EB3620E">
      <w:pPr>
        <w:pStyle w:val="19"/>
        <w:widowControl/>
        <w:numPr>
          <w:ilvl w:val="0"/>
          <w:numId w:val="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：用能在线监测介质消耗量、碳排放因子库（电网因子、燃料因子）、绿电交易凭证。</w:t>
      </w:r>
    </w:p>
    <w:p w14:paraId="460E8E9C">
      <w:pPr>
        <w:pStyle w:val="19"/>
        <w:widowControl/>
        <w:numPr>
          <w:ilvl w:val="0"/>
          <w:numId w:val="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：碳排报表、CBAM 申报底数、零碳工厂自评估温室气体维度数据。</w:t>
      </w:r>
    </w:p>
    <w:p w14:paraId="76043CE3">
      <w:pPr>
        <w:pStyle w:val="6"/>
        <w:numPr>
          <w:ilvl w:val="0"/>
          <w:numId w:val="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51E3671F">
      <w:pPr>
        <w:pStyle w:val="19"/>
        <w:widowControl/>
        <w:numPr>
          <w:ilvl w:val="0"/>
          <w:numId w:val="6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：依据温室气体核算体系标准，按日/按月核算全厂化石能源直接燃烧与外购电力热力的二氧化碳排放量与强度走势。</w:t>
      </w:r>
    </w:p>
    <w:p w14:paraId="12A2A051">
      <w:pPr>
        <w:pStyle w:val="19"/>
        <w:widowControl/>
        <w:numPr>
          <w:ilvl w:val="0"/>
          <w:numId w:val="6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36816BF9">
      <w:pPr>
        <w:pStyle w:val="19"/>
        <w:widowControl/>
        <w:numPr>
          <w:ilvl w:val="0"/>
          <w:numId w:val="6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园区碳资产核算员 (Persona P4)</w:t>
      </w:r>
      <w:r>
        <w:rPr>
          <w:rFonts w:ascii="Times New Roman" w:hAnsi="Times New Roman" w:eastAsia="宋体" w:cs="Times New Roman"/>
          <w:i w:val="0"/>
          <w:color w:val="1F2937"/>
          <w:sz w:val="24"/>
          <w:szCs w:val="24"/>
        </w:rPr>
        <w:t>，</w:t>
      </w:r>
    </w:p>
    <w:p w14:paraId="0C27063C">
      <w:pPr>
        <w:pStyle w:val="19"/>
        <w:widowControl/>
        <w:numPr>
          <w:ilvl w:val="0"/>
          <w:numId w:val="6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实时掌握企业范围一与范围二碳排放量、万元产值碳排强度</w:t>
      </w:r>
      <w:r>
        <w:rPr>
          <w:rFonts w:ascii="Times New Roman" w:hAnsi="Times New Roman" w:eastAsia="宋体" w:cs="Times New Roman"/>
          <w:i w:val="0"/>
          <w:color w:val="1F2937"/>
          <w:sz w:val="24"/>
          <w:szCs w:val="24"/>
        </w:rPr>
        <w:t>，</w:t>
      </w:r>
    </w:p>
    <w:p w14:paraId="015230EE">
      <w:pPr>
        <w:pStyle w:val="19"/>
        <w:widowControl/>
        <w:numPr>
          <w:ilvl w:val="0"/>
          <w:numId w:val="6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我能为集团减排规划与应对地方发改委碳履约提供合规依据</w:t>
      </w:r>
      <w:r>
        <w:rPr>
          <w:rFonts w:ascii="Times New Roman" w:hAnsi="Times New Roman" w:eastAsia="宋体" w:cs="Times New Roman"/>
          <w:i w:val="0"/>
          <w:color w:val="1F2937"/>
          <w:sz w:val="24"/>
          <w:szCs w:val="24"/>
        </w:rPr>
        <w:t>。</w:t>
      </w:r>
    </w:p>
    <w:p w14:paraId="0762454D">
      <w:pPr>
        <w:pStyle w:val="6"/>
        <w:numPr>
          <w:ilvl w:val="0"/>
          <w:numId w:val="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37B3494B">
      <w:pPr>
        <w:pStyle w:val="19"/>
        <w:widowControl/>
        <w:numPr>
          <w:ilvl w:val="0"/>
          <w:numId w:val="6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范围一与范围二双轴堆叠面积图</w:t>
      </w:r>
      <w:r>
        <w:rPr>
          <w:rFonts w:ascii="Times New Roman" w:hAnsi="Times New Roman" w:eastAsia="宋体" w:cs="Times New Roman"/>
          <w:i w:val="0"/>
          <w:color w:val="1F2937"/>
          <w:sz w:val="24"/>
          <w:szCs w:val="24"/>
        </w:rPr>
        <w:t>：Scope 1（直接排放：天然气、柴油、汽油燃烧）；Scope 2（间接排放：网购电力、外购蒸汽）。两范围以堆叠面积呈现，游标同步读取两层数值。</w:t>
      </w:r>
    </w:p>
    <w:p w14:paraId="469CBE10">
      <w:pPr>
        <w:pStyle w:val="19"/>
        <w:widowControl/>
        <w:numPr>
          <w:ilvl w:val="0"/>
          <w:numId w:val="6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碳排放强度 KPI 卡片</w:t>
      </w:r>
      <w:r>
        <w:rPr>
          <w:rFonts w:ascii="Times New Roman" w:hAnsi="Times New Roman" w:eastAsia="宋体" w:cs="Times New Roman"/>
          <w:i w:val="0"/>
          <w:color w:val="1F2937"/>
          <w:sz w:val="24"/>
          <w:szCs w:val="24"/>
        </w:rPr>
        <w:t>：万元产值碳排放强度 (tCO2/万元)、单位产品碳排放强度 (tCO2/单位产品)。</w:t>
      </w:r>
    </w:p>
    <w:p w14:paraId="59618508">
      <w:pPr>
        <w:pStyle w:val="19"/>
        <w:widowControl/>
        <w:numPr>
          <w:ilvl w:val="0"/>
          <w:numId w:val="6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绿电抵扣对比区</w:t>
      </w:r>
      <w:r>
        <w:rPr>
          <w:rFonts w:ascii="Times New Roman" w:hAnsi="Times New Roman" w:eastAsia="宋体" w:cs="Times New Roman"/>
          <w:i w:val="0"/>
          <w:color w:val="1F2937"/>
          <w:sz w:val="24"/>
          <w:szCs w:val="24"/>
        </w:rPr>
        <w:t>：输出抵扣前 / 抵扣后双柱对比，明确展示绿电占比与抵扣量。</w:t>
      </w:r>
    </w:p>
    <w:p w14:paraId="098C1235">
      <w:pPr>
        <w:pStyle w:val="19"/>
        <w:widowControl/>
        <w:numPr>
          <w:ilvl w:val="0"/>
          <w:numId w:val="6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因子版本标注</w:t>
      </w:r>
      <w:r>
        <w:rPr>
          <w:rFonts w:ascii="Times New Roman" w:hAnsi="Times New Roman" w:eastAsia="宋体" w:cs="Times New Roman"/>
          <w:i w:val="0"/>
          <w:color w:val="1F2937"/>
          <w:sz w:val="24"/>
          <w:szCs w:val="24"/>
        </w:rPr>
        <w:t>：图表底部常驻显示本次核算所用排放因子版本号与生效日期，支持点击查看因子来源。</w:t>
      </w:r>
    </w:p>
    <w:p w14:paraId="26FE2DAA">
      <w:pPr>
        <w:pStyle w:val="6"/>
        <w:numPr>
          <w:ilvl w:val="0"/>
          <w:numId w:val="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p w14:paraId="7167DE0F">
      <w:pPr>
        <w:rPr>
          <w:rFonts w:hint="eastAsia"/>
        </w:rPr>
      </w:pPr>
    </w:p>
    <w:tbl>
      <w:tblPr>
        <w:tblStyle w:val="38"/>
        <w:tblW w:w="9784" w:type="dxa"/>
        <w:jc w:val="center"/>
        <w:tblLayout w:type="autofit"/>
        <w:tblCellMar>
          <w:top w:w="0" w:type="dxa"/>
          <w:left w:w="108" w:type="dxa"/>
          <w:bottom w:w="0" w:type="dxa"/>
          <w:right w:w="108" w:type="dxa"/>
        </w:tblCellMar>
      </w:tblPr>
      <w:tblGrid>
        <w:gridCol w:w="899"/>
        <w:gridCol w:w="1641"/>
        <w:gridCol w:w="1381"/>
        <w:gridCol w:w="1204"/>
        <w:gridCol w:w="4659"/>
      </w:tblGrid>
      <w:tr w14:paraId="3C7DB924">
        <w:tblPrEx>
          <w:tblCellMar>
            <w:top w:w="0" w:type="dxa"/>
            <w:left w:w="108" w:type="dxa"/>
            <w:bottom w:w="0" w:type="dxa"/>
            <w:right w:w="108" w:type="dxa"/>
          </w:tblCellMar>
        </w:tblPrEx>
        <w:trPr>
          <w:tblHeade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27002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B1D81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8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342F1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EA56C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65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2AD39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核算来源与约束规则</w:t>
            </w:r>
          </w:p>
        </w:tc>
      </w:tr>
      <w:tr w14:paraId="2368FA4E">
        <w:tblPrEx>
          <w:tblCellMar>
            <w:top w:w="0" w:type="dxa"/>
            <w:left w:w="108" w:type="dxa"/>
            <w:bottom w:w="0" w:type="dxa"/>
            <w:right w:w="108" w:type="dxa"/>
          </w:tblCellMar>
        </w:tblPrEx>
        <w:trPr>
          <w:tblHeade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4C9F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524C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化石燃料燃烧排放</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B43E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4CFD9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46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C18C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Σ(燃料消耗量 × 低位热值 × 碳含量 × 氧化率 × 44/12)</w:t>
            </w:r>
          </w:p>
        </w:tc>
      </w:tr>
      <w:tr w14:paraId="3CF401BD">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688F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2665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购入电力间接排放</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81C0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DE23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46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B834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外购电量 × 区域电网排放因子</w:t>
            </w:r>
          </w:p>
        </w:tc>
      </w:tr>
      <w:tr w14:paraId="2ED62BB4">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B2D4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C046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购入热力间接排放</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46A8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1A00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46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1D89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外购蒸汽量 × 热力排放因子</w:t>
            </w:r>
          </w:p>
        </w:tc>
      </w:tr>
      <w:tr w14:paraId="26E08507">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2081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4703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总碳排放量</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2094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6FD7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46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034F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Scope 1 + Scope 2，≥ 0</w:t>
            </w:r>
          </w:p>
        </w:tc>
      </w:tr>
      <w:tr w14:paraId="2FE5342E">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0599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A583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万元产值碳排强度</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EA10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D957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tCO2e/万元</w:t>
            </w:r>
          </w:p>
        </w:tc>
        <w:tc>
          <w:tcPr>
            <w:tcW w:w="46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C863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分母产值为 0 时显示 </w:t>
            </w:r>
            <w:r>
              <w:rPr>
                <w:rFonts w:hint="eastAsia" w:ascii="宋体" w:hAnsi="宋体" w:eastAsia="宋体" w:cs="宋体"/>
                <w:b w:val="0"/>
                <w:i w:val="0"/>
                <w:iCs w:val="0"/>
                <w:color w:val="0284C7"/>
                <w:sz w:val="24"/>
                <w:szCs w:val="24"/>
              </w:rPr>
              <w:t xml:space="preserve"> -- </w:t>
            </w:r>
          </w:p>
        </w:tc>
      </w:tr>
      <w:tr w14:paraId="3437E060">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D4FC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4BFA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单位产品碳排强度</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D3E4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E5CA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tCO2e/单位</w:t>
            </w:r>
          </w:p>
        </w:tc>
        <w:tc>
          <w:tcPr>
            <w:tcW w:w="46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8811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分母产量为 0 时显示 </w:t>
            </w:r>
            <w:r>
              <w:rPr>
                <w:rFonts w:hint="eastAsia" w:ascii="宋体" w:hAnsi="宋体" w:eastAsia="宋体" w:cs="宋体"/>
                <w:b w:val="0"/>
                <w:i w:val="0"/>
                <w:iCs w:val="0"/>
                <w:color w:val="0284C7"/>
                <w:sz w:val="24"/>
                <w:szCs w:val="24"/>
              </w:rPr>
              <w:t xml:space="preserve"> -- </w:t>
            </w:r>
          </w:p>
        </w:tc>
      </w:tr>
      <w:tr w14:paraId="1324352E">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3A7F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57E1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绿电抵扣量</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CD3F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DAC5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46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B240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绿电消纳量 × 电网排放因子</w:t>
            </w:r>
          </w:p>
        </w:tc>
      </w:tr>
      <w:tr w14:paraId="028C71F6">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C560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AA3C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抵扣后净排放量</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ECE6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EB09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46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B9EA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总排放量 − 绿电抵扣量</w:t>
            </w:r>
          </w:p>
        </w:tc>
      </w:tr>
      <w:tr w14:paraId="0969F234">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2322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69A1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排放因子版本号</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215E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ADD5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5304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因子库当前生效版本，过期因子拦截</w:t>
            </w:r>
          </w:p>
        </w:tc>
      </w:tr>
      <w:tr w14:paraId="3CA055D7">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001B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6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258F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核算口径标识</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8C76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2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8F87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07E0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取值 </w:t>
            </w:r>
            <w:r>
              <w:rPr>
                <w:rFonts w:hint="eastAsia" w:ascii="宋体" w:hAnsi="宋体" w:eastAsia="宋体" w:cs="宋体"/>
                <w:b w:val="0"/>
                <w:i w:val="0"/>
                <w:iCs w:val="0"/>
                <w:color w:val="0284C7"/>
                <w:sz w:val="24"/>
                <w:szCs w:val="24"/>
              </w:rPr>
              <w:t xml:space="preserve"> Scope 1 </w:t>
            </w:r>
            <w:r>
              <w:rPr>
                <w:rFonts w:hint="eastAsia" w:ascii="宋体" w:hAnsi="宋体" w:eastAsia="宋体" w:cs="宋体"/>
                <w:i w:val="0"/>
                <w:iCs w:val="0"/>
                <w:color w:val="1F2937"/>
                <w:sz w:val="24"/>
                <w:szCs w:val="24"/>
              </w:rPr>
              <w:t xml:space="preserve"> / </w:t>
            </w:r>
            <w:r>
              <w:rPr>
                <w:rFonts w:hint="eastAsia" w:ascii="宋体" w:hAnsi="宋体" w:eastAsia="宋体" w:cs="宋体"/>
                <w:b w:val="0"/>
                <w:i w:val="0"/>
                <w:iCs w:val="0"/>
                <w:color w:val="0284C7"/>
                <w:sz w:val="24"/>
                <w:szCs w:val="24"/>
              </w:rPr>
              <w:t xml:space="preserve"> Scope 2 </w:t>
            </w:r>
            <w:r>
              <w:rPr>
                <w:rFonts w:hint="eastAsia" w:ascii="宋体" w:hAnsi="宋体" w:eastAsia="宋体" w:cs="宋体"/>
                <w:i w:val="0"/>
                <w:iCs w:val="0"/>
                <w:color w:val="1F2937"/>
                <w:sz w:val="24"/>
                <w:szCs w:val="24"/>
              </w:rPr>
              <w:t xml:space="preserve"> / </w:t>
            </w:r>
            <w:r>
              <w:rPr>
                <w:rFonts w:hint="eastAsia" w:ascii="宋体" w:hAnsi="宋体" w:eastAsia="宋体" w:cs="宋体"/>
                <w:b w:val="0"/>
                <w:i w:val="0"/>
                <w:iCs w:val="0"/>
                <w:color w:val="0284C7"/>
                <w:sz w:val="24"/>
                <w:szCs w:val="24"/>
              </w:rPr>
              <w:t xml:space="preserve"> 合计 </w:t>
            </w:r>
          </w:p>
        </w:tc>
      </w:tr>
    </w:tbl>
    <w:p w14:paraId="371B16A6">
      <w:pPr>
        <w:spacing w:after="60"/>
        <w:rPr>
          <w:rFonts w:hint="eastAsia" w:ascii="宋体" w:hAnsi="宋体" w:eastAsia="宋体" w:cs="宋体"/>
          <w:i w:val="0"/>
          <w:iCs w:val="0"/>
          <w:sz w:val="24"/>
          <w:szCs w:val="24"/>
        </w:rPr>
      </w:pPr>
    </w:p>
    <w:p w14:paraId="1EABC41D">
      <w:pPr>
        <w:pStyle w:val="6"/>
        <w:numPr>
          <w:ilvl w:val="0"/>
          <w:numId w:val="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721E42BA">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078C77E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C_scope1 = Σ ( FC_i × NCV_i × CC_i × OF_i × 44/12 ) 化石燃料燃烧直接排放</w:t>
            </w:r>
          </w:p>
          <w:p w14:paraId="6698068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C_scope2 = Q_grid × EF_grid + Q_heat × EF_heat         外购电力与热力间接排放</w:t>
            </w:r>
          </w:p>
          <w:p w14:paraId="489E7E0A">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C_total = C_scope1 + C_scope2                            总碳排放量</w:t>
            </w:r>
          </w:p>
          <w:p w14:paraId="58340A3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I_output = C_total / G_output × 10000                   万元产值碳排强度</w:t>
            </w:r>
          </w:p>
          <w:p w14:paraId="341B654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C_net = C_total - E_green × EF_grid                     绿电抵扣后净排放量</w:t>
            </w:r>
          </w:p>
        </w:tc>
      </w:tr>
    </w:tbl>
    <w:p w14:paraId="3E0620D6">
      <w:pPr>
        <w:spacing w:after="40"/>
        <w:rPr>
          <w:rFonts w:hint="eastAsia" w:ascii="宋体" w:hAnsi="宋体" w:eastAsia="宋体" w:cs="宋体"/>
          <w:i w:val="0"/>
          <w:iCs w:val="0"/>
          <w:sz w:val="24"/>
          <w:szCs w:val="24"/>
        </w:rPr>
      </w:pPr>
    </w:p>
    <w:p w14:paraId="786DFD44">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FC_i </w:t>
      </w:r>
      <w:r>
        <w:rPr>
          <w:rFonts w:ascii="Times New Roman" w:hAnsi="Times New Roman" w:eastAsia="宋体" w:cs="Times New Roman"/>
          <w:i w:val="0"/>
          <w:color w:val="1F2937"/>
          <w:sz w:val="24"/>
          <w:szCs w:val="24"/>
        </w:rPr>
        <w:t xml:space="preserve"> 为第 i 种燃料消耗量；</w:t>
      </w:r>
      <w:r>
        <w:rPr>
          <w:rFonts w:ascii="Times New Roman" w:hAnsi="Times New Roman" w:eastAsia="宋体" w:cs="Times New Roman"/>
          <w:b w:val="0"/>
          <w:i w:val="0"/>
          <w:color w:val="0284C7"/>
          <w:sz w:val="24"/>
          <w:szCs w:val="24"/>
        </w:rPr>
        <w:t xml:space="preserve"> NCV_i </w:t>
      </w:r>
      <w:r>
        <w:rPr>
          <w:rFonts w:ascii="Times New Roman" w:hAnsi="Times New Roman" w:eastAsia="宋体" w:cs="Times New Roman"/>
          <w:i w:val="0"/>
          <w:color w:val="1F2937"/>
          <w:sz w:val="24"/>
          <w:szCs w:val="24"/>
        </w:rPr>
        <w:t xml:space="preserve"> 为低位热值；</w:t>
      </w:r>
      <w:r>
        <w:rPr>
          <w:rFonts w:ascii="Times New Roman" w:hAnsi="Times New Roman" w:eastAsia="宋体" w:cs="Times New Roman"/>
          <w:b w:val="0"/>
          <w:i w:val="0"/>
          <w:color w:val="0284C7"/>
          <w:sz w:val="24"/>
          <w:szCs w:val="24"/>
        </w:rPr>
        <w:t xml:space="preserve"> CC_i </w:t>
      </w:r>
      <w:r>
        <w:rPr>
          <w:rFonts w:ascii="Times New Roman" w:hAnsi="Times New Roman" w:eastAsia="宋体" w:cs="Times New Roman"/>
          <w:i w:val="0"/>
          <w:color w:val="1F2937"/>
          <w:sz w:val="24"/>
          <w:szCs w:val="24"/>
        </w:rPr>
        <w:t xml:space="preserve"> 为单位热值含碳量；</w:t>
      </w:r>
      <w:r>
        <w:rPr>
          <w:rFonts w:ascii="Times New Roman" w:hAnsi="Times New Roman" w:eastAsia="宋体" w:cs="Times New Roman"/>
          <w:b w:val="0"/>
          <w:i w:val="0"/>
          <w:color w:val="0284C7"/>
          <w:sz w:val="24"/>
          <w:szCs w:val="24"/>
        </w:rPr>
        <w:t xml:space="preserve"> OF_i </w:t>
      </w:r>
      <w:r>
        <w:rPr>
          <w:rFonts w:ascii="Times New Roman" w:hAnsi="Times New Roman" w:eastAsia="宋体" w:cs="Times New Roman"/>
          <w:i w:val="0"/>
          <w:color w:val="1F2937"/>
          <w:sz w:val="24"/>
          <w:szCs w:val="24"/>
        </w:rPr>
        <w:t xml:space="preserve"> 为碳氧化率；</w:t>
      </w:r>
      <w:r>
        <w:rPr>
          <w:rFonts w:ascii="Times New Roman" w:hAnsi="Times New Roman" w:eastAsia="宋体" w:cs="Times New Roman"/>
          <w:b w:val="0"/>
          <w:i w:val="0"/>
          <w:color w:val="0284C7"/>
          <w:sz w:val="24"/>
          <w:szCs w:val="24"/>
        </w:rPr>
        <w:t xml:space="preserve"> EF_grid </w:t>
      </w:r>
      <w:r>
        <w:rPr>
          <w:rFonts w:ascii="Times New Roman" w:hAnsi="Times New Roman" w:eastAsia="宋体" w:cs="Times New Roman"/>
          <w:i w:val="0"/>
          <w:color w:val="1F2937"/>
          <w:sz w:val="24"/>
          <w:szCs w:val="24"/>
        </w:rPr>
        <w:t xml:space="preserve"> 为区域电网排放因子（tCO2/MWh）；</w:t>
      </w:r>
      <w:r>
        <w:rPr>
          <w:rFonts w:ascii="Times New Roman" w:hAnsi="Times New Roman" w:eastAsia="宋体" w:cs="Times New Roman"/>
          <w:b w:val="0"/>
          <w:i w:val="0"/>
          <w:color w:val="0284C7"/>
          <w:sz w:val="24"/>
          <w:szCs w:val="24"/>
        </w:rPr>
        <w:t xml:space="preserve"> EF_heat </w:t>
      </w:r>
      <w:r>
        <w:rPr>
          <w:rFonts w:ascii="Times New Roman" w:hAnsi="Times New Roman" w:eastAsia="宋体" w:cs="Times New Roman"/>
          <w:i w:val="0"/>
          <w:color w:val="1F2937"/>
          <w:sz w:val="24"/>
          <w:szCs w:val="24"/>
        </w:rPr>
        <w:t xml:space="preserve"> 为外购热力排放因子；</w:t>
      </w:r>
      <w:r>
        <w:rPr>
          <w:rFonts w:ascii="Times New Roman" w:hAnsi="Times New Roman" w:eastAsia="宋体" w:cs="Times New Roman"/>
          <w:b w:val="0"/>
          <w:i w:val="0"/>
          <w:color w:val="0284C7"/>
          <w:sz w:val="24"/>
          <w:szCs w:val="24"/>
        </w:rPr>
        <w:t xml:space="preserve"> E_green </w:t>
      </w:r>
      <w:r>
        <w:rPr>
          <w:rFonts w:ascii="Times New Roman" w:hAnsi="Times New Roman" w:eastAsia="宋体" w:cs="Times New Roman"/>
          <w:i w:val="0"/>
          <w:color w:val="1F2937"/>
          <w:sz w:val="24"/>
          <w:szCs w:val="24"/>
        </w:rPr>
        <w:t xml:space="preserve"> 为绿电消纳量。</w:t>
      </w:r>
    </w:p>
    <w:p w14:paraId="734264CE">
      <w:pPr>
        <w:pStyle w:val="6"/>
        <w:numPr>
          <w:ilvl w:val="0"/>
          <w:numId w:val="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0E548576">
      <w:pPr>
        <w:pStyle w:val="19"/>
        <w:widowControl/>
        <w:numPr>
          <w:ilvl w:val="0"/>
          <w:numId w:val="6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核算口径</w:t>
      </w:r>
      <w:r>
        <w:rPr>
          <w:rFonts w:ascii="Times New Roman" w:hAnsi="Times New Roman" w:eastAsia="宋体" w:cs="Times New Roman"/>
          <w:i w:val="0"/>
          <w:color w:val="1F2937"/>
          <w:sz w:val="24"/>
          <w:szCs w:val="24"/>
        </w:rPr>
        <w:t>：严格区分 Scope 1 与 Scope 2，不得合并为单一数值对外发布。</w:t>
      </w:r>
    </w:p>
    <w:p w14:paraId="4562F279">
      <w:pPr>
        <w:pStyle w:val="19"/>
        <w:widowControl/>
        <w:numPr>
          <w:ilvl w:val="0"/>
          <w:numId w:val="6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因子口径</w:t>
      </w:r>
      <w:r>
        <w:rPr>
          <w:rFonts w:ascii="Times New Roman" w:hAnsi="Times New Roman" w:eastAsia="宋体" w:cs="Times New Roman"/>
          <w:i w:val="0"/>
          <w:color w:val="1F2937"/>
          <w:sz w:val="24"/>
          <w:szCs w:val="24"/>
        </w:rPr>
        <w:t>：排放因子取因子库当前生效版本，过期因子触发拦截。</w:t>
      </w:r>
    </w:p>
    <w:p w14:paraId="65F62A33">
      <w:pPr>
        <w:pStyle w:val="19"/>
        <w:widowControl/>
        <w:numPr>
          <w:ilvl w:val="0"/>
          <w:numId w:val="6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抵扣口径</w:t>
      </w:r>
      <w:r>
        <w:rPr>
          <w:rFonts w:ascii="Times New Roman" w:hAnsi="Times New Roman" w:eastAsia="宋体" w:cs="Times New Roman"/>
          <w:i w:val="0"/>
          <w:color w:val="1F2937"/>
          <w:sz w:val="24"/>
          <w:szCs w:val="24"/>
        </w:rPr>
        <w:t>：绿电抵扣按具备物理可溯源条件的消纳量核算，绿证核销的等效量单独列示不混入。</w:t>
      </w:r>
    </w:p>
    <w:p w14:paraId="5F8A04E6">
      <w:pPr>
        <w:pStyle w:val="19"/>
        <w:widowControl/>
        <w:numPr>
          <w:ilvl w:val="0"/>
          <w:numId w:val="6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强度口径</w:t>
      </w:r>
      <w:r>
        <w:rPr>
          <w:rFonts w:ascii="Times New Roman" w:hAnsi="Times New Roman" w:eastAsia="宋体" w:cs="Times New Roman"/>
          <w:i w:val="0"/>
          <w:color w:val="1F2937"/>
          <w:sz w:val="24"/>
          <w:szCs w:val="24"/>
        </w:rPr>
        <w:t>：万元产值碳排强度分母为当期产品产值（万元），与单位产值能耗口径保持一致。</w:t>
      </w:r>
    </w:p>
    <w:p w14:paraId="4F94CC59">
      <w:pPr>
        <w:pStyle w:val="6"/>
        <w:numPr>
          <w:ilvl w:val="0"/>
          <w:numId w:val="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660B089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10DCE15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排放因子过期：触发 </w:t>
            </w:r>
            <w:r>
              <w:rPr>
                <w:rFonts w:hint="eastAsia" w:ascii="宋体" w:hAnsi="宋体" w:eastAsia="宋体" w:cs="宋体"/>
                <w:b w:val="0"/>
                <w:i w:val="0"/>
                <w:iCs w:val="0"/>
                <w:color w:val="0284C7"/>
                <w:sz w:val="24"/>
                <w:szCs w:val="24"/>
              </w:rPr>
              <w:t xml:space="preserve"> E_VAL_FACTOR_EXPIRED </w:t>
            </w:r>
            <w:r>
              <w:rPr>
                <w:rFonts w:hint="eastAsia" w:ascii="宋体" w:hAnsi="宋体" w:eastAsia="宋体" w:cs="宋体"/>
                <w:i w:val="0"/>
                <w:iCs w:val="0"/>
                <w:color w:val="1F2937"/>
                <w:sz w:val="24"/>
                <w:szCs w:val="24"/>
              </w:rPr>
              <w:t>，图表底部标注"因子待升级"并保留历史版本可查。</w:t>
            </w:r>
          </w:p>
          <w:p w14:paraId="5D4A3F9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分母产值为 0：强度指标显示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，严禁 NaN 或白屏。</w:t>
            </w:r>
          </w:p>
          <w:p w14:paraId="2D776CE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绿电抵扣量大于总排放量：按 0 兜底并标注"抵扣量异常，待核对凭证"。</w:t>
            </w:r>
          </w:p>
          <w:p w14:paraId="2BB921F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数据修复：已关账月度的碳排放数据禁止直接修改，须走特批反冲流程。</w:t>
            </w:r>
          </w:p>
        </w:tc>
      </w:tr>
    </w:tbl>
    <w:p w14:paraId="4C989CBB">
      <w:pPr>
        <w:spacing w:after="40"/>
        <w:rPr>
          <w:rFonts w:hint="eastAsia" w:ascii="宋体" w:hAnsi="宋体" w:eastAsia="宋体" w:cs="宋体"/>
          <w:i w:val="0"/>
          <w:iCs w:val="0"/>
          <w:sz w:val="24"/>
          <w:szCs w:val="24"/>
        </w:rPr>
      </w:pPr>
    </w:p>
    <w:p w14:paraId="4B0C393A">
      <w:pPr>
        <w:pStyle w:val="6"/>
        <w:numPr>
          <w:ilvl w:val="0"/>
          <w:numId w:val="59"/>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138CC20C">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7C91E6B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能源碳排放监测双范围核算</w:t>
            </w:r>
          </w:p>
          <w:p w14:paraId="3FF8150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范围一与范围二独立核算</w:t>
            </w:r>
          </w:p>
          <w:p w14:paraId="60C618C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园区当月已录入天然气、柴油消耗量及外购电量、外购蒸汽量</w:t>
            </w:r>
          </w:p>
          <w:p w14:paraId="55BE7AA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系统渲染碳排放双轴堆叠面积图</w:t>
            </w:r>
          </w:p>
          <w:p w14:paraId="405E4C0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Scope 1 与 Scope 2 分别独立成层展示</w:t>
            </w:r>
          </w:p>
          <w:p w14:paraId="12C8115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总碳排放量等于两者之和</w:t>
            </w:r>
          </w:p>
          <w:p w14:paraId="1246B16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页面不将两范围合并为单一数值对外发布</w:t>
            </w:r>
          </w:p>
          <w:p w14:paraId="362B4266">
            <w:pPr>
              <w:spacing w:before="0" w:after="20" w:line="264" w:lineRule="auto"/>
              <w:rPr>
                <w:rFonts w:hint="eastAsia" w:ascii="宋体" w:hAnsi="宋体" w:eastAsia="宋体" w:cs="宋体"/>
                <w:i w:val="0"/>
                <w:iCs w:val="0"/>
                <w:sz w:val="24"/>
                <w:szCs w:val="24"/>
              </w:rPr>
            </w:pPr>
          </w:p>
          <w:p w14:paraId="1A0D94C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绿电抵扣核算</w:t>
            </w:r>
          </w:p>
          <w:p w14:paraId="57DAE4A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园区当月绿电消纳量具备物理可溯源凭证</w:t>
            </w:r>
          </w:p>
          <w:p w14:paraId="2F5E598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系统测算抵扣后净排放量</w:t>
            </w:r>
          </w:p>
          <w:p w14:paraId="01F1479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抵扣后净排放量 = 总排放量 − 绿电消纳量 × 电网排放因子</w:t>
            </w:r>
          </w:p>
          <w:p w14:paraId="55B9781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当抵扣量大于总排放量时按 0 兜底并标注待核对凭证</w:t>
            </w:r>
          </w:p>
          <w:p w14:paraId="7AE69FD4">
            <w:pPr>
              <w:spacing w:before="0" w:after="20" w:line="264" w:lineRule="auto"/>
              <w:rPr>
                <w:rFonts w:hint="eastAsia" w:ascii="宋体" w:hAnsi="宋体" w:eastAsia="宋体" w:cs="宋体"/>
                <w:i w:val="0"/>
                <w:iCs w:val="0"/>
                <w:sz w:val="24"/>
                <w:szCs w:val="24"/>
              </w:rPr>
            </w:pPr>
          </w:p>
          <w:p w14:paraId="6609BBF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因子过期拦截</w:t>
            </w:r>
          </w:p>
          <w:p w14:paraId="722D2D2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某排放因子条目已超出 effective_to 有效期</w:t>
            </w:r>
          </w:p>
          <w:p w14:paraId="7AE65B9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系统尝试使用该因子完成碳排核算</w:t>
            </w:r>
          </w:p>
          <w:p w14:paraId="334E13C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拦截核算并返回 E_VAL_FACTOR_EXPIRED</w:t>
            </w:r>
          </w:p>
          <w:p w14:paraId="7A67FCF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图表底部标注"因子待升级"，历史版本仍可查询</w:t>
            </w:r>
          </w:p>
        </w:tc>
      </w:tr>
    </w:tbl>
    <w:p w14:paraId="15BA5586">
      <w:pPr>
        <w:spacing w:after="40"/>
        <w:rPr>
          <w:rFonts w:hint="eastAsia" w:ascii="宋体" w:hAnsi="宋体" w:eastAsia="宋体" w:cs="宋体"/>
          <w:i w:val="0"/>
          <w:iCs w:val="0"/>
          <w:sz w:val="24"/>
          <w:szCs w:val="24"/>
        </w:rPr>
      </w:pPr>
    </w:p>
    <w:p w14:paraId="6C7DCA8E">
      <w:pPr>
        <w:pStyle w:val="4"/>
        <w:numPr>
          <w:ilvl w:val="0"/>
          <w:numId w:val="15"/>
        </w:numPr>
        <w:topLinePunct w:val="0"/>
        <w:ind w:left="0" w:leftChars="0" w:firstLine="0" w:firstLineChars="0"/>
        <w:outlineLvl w:val="0"/>
        <w:rPr>
          <w:rFonts w:hint="eastAsia" w:eastAsia="黑体"/>
          <w:b w:val="0"/>
          <w:bCs w:val="0"/>
          <w:sz w:val="30"/>
          <w:szCs w:val="32"/>
        </w:rPr>
      </w:pPr>
      <w:bookmarkStart w:id="21" w:name="_Toc13625"/>
      <w:r>
        <w:rPr>
          <w:rFonts w:ascii="Times New Roman" w:hAnsi="Times New Roman" w:eastAsia="黑体" w:cs="Times New Roman"/>
          <w:b w:val="0"/>
          <w:bCs w:val="0"/>
          <w:sz w:val="30"/>
          <w:szCs w:val="32"/>
        </w:rPr>
        <w:t>能耗能效分析</w:t>
      </w:r>
      <w:bookmarkEnd w:id="21"/>
    </w:p>
    <w:p w14:paraId="55286C6D">
      <w:pPr>
        <w:pStyle w:val="5"/>
        <w:numPr>
          <w:ilvl w:val="0"/>
          <w:numId w:val="64"/>
        </w:numPr>
        <w:ind w:left="0" w:leftChars="0" w:firstLine="0" w:firstLineChars="0"/>
        <w:outlineLvl w:val="1"/>
        <w:rPr>
          <w:rFonts w:eastAsia="黑体"/>
          <w:b w:val="0"/>
          <w:bCs w:val="0"/>
          <w:sz w:val="30"/>
          <w:szCs w:val="24"/>
        </w:rPr>
      </w:pPr>
      <w:bookmarkStart w:id="22" w:name="_Toc4835"/>
      <w:r>
        <w:rPr>
          <w:rFonts w:ascii="Times New Roman" w:hAnsi="Times New Roman" w:eastAsia="黑体" w:cs="Times New Roman"/>
          <w:b w:val="0"/>
          <w:bCs w:val="0"/>
          <w:sz w:val="30"/>
          <w:szCs w:val="24"/>
        </w:rPr>
        <w:t>用能结构分析</w:t>
      </w:r>
      <w:bookmarkEnd w:id="22"/>
    </w:p>
    <w:p w14:paraId="1862A81A">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23"/>
                    <a:stretch>
                      <a:fillRect/>
                    </a:stretch>
                  </pic:blipFill>
                  <pic:spPr>
                    <a:xfrm>
                      <a:off x="0" y="0"/>
                      <a:ext cx="6210300" cy="3079115"/>
                    </a:xfrm>
                    <a:prstGeom prst="rect">
                      <a:avLst/>
                    </a:prstGeom>
                    <a:noFill/>
                    <a:ln>
                      <a:noFill/>
                    </a:ln>
                  </pic:spPr>
                </pic:pic>
              </a:graphicData>
            </a:graphic>
          </wp:inline>
        </w:drawing>
      </w:r>
    </w:p>
    <w:p w14:paraId="6C837094">
      <w:pPr>
        <w:pStyle w:val="6"/>
        <w:numPr>
          <w:ilvl w:val="0"/>
          <w:numId w:val="6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67968715">
      <w:pPr>
        <w:pStyle w:val="19"/>
        <w:widowControl/>
        <w:numPr>
          <w:ilvl w:val="0"/>
          <w:numId w:val="6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：全集团能源消费介质结构占比与历史推移结构分析，支撑"以电代气、以绿代灰"的能源清洁化替代决策。</w:t>
      </w:r>
    </w:p>
    <w:p w14:paraId="05704EBB">
      <w:pPr>
        <w:pStyle w:val="19"/>
        <w:widowControl/>
        <w:numPr>
          <w:ilvl w:val="0"/>
          <w:numId w:val="6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园区能碳专员、能耗分析专家。</w:t>
      </w:r>
    </w:p>
    <w:p w14:paraId="15957C48">
      <w:pPr>
        <w:pStyle w:val="19"/>
        <w:widowControl/>
        <w:numPr>
          <w:ilvl w:val="0"/>
          <w:numId w:val="6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/monitor/analysis/structure </w:t>
      </w:r>
      <w:r>
        <w:rPr>
          <w:rFonts w:ascii="Times New Roman" w:hAnsi="Times New Roman" w:eastAsia="宋体" w:cs="Times New Roman"/>
          <w:i w:val="0"/>
          <w:color w:val="1F2937"/>
          <w:sz w:val="24"/>
          <w:szCs w:val="24"/>
        </w:rPr>
        <w:t>。</w:t>
      </w:r>
    </w:p>
    <w:p w14:paraId="0AE8F536">
      <w:pPr>
        <w:pStyle w:val="19"/>
        <w:widowControl/>
        <w:numPr>
          <w:ilvl w:val="0"/>
          <w:numId w:val="6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：用能在线监测介质消耗数据、折标系数版本库、组织架构四级维度。</w:t>
      </w:r>
    </w:p>
    <w:p w14:paraId="190D7EA9">
      <w:pPr>
        <w:pStyle w:val="19"/>
        <w:widowControl/>
        <w:numPr>
          <w:ilvl w:val="0"/>
          <w:numId w:val="6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：能源替代方案依据、零碳工厂自评估能源利用维度数据。</w:t>
      </w:r>
    </w:p>
    <w:p w14:paraId="658118AF">
      <w:pPr>
        <w:pStyle w:val="6"/>
        <w:numPr>
          <w:ilvl w:val="0"/>
          <w:numId w:val="6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63A0C89E">
      <w:pPr>
        <w:pStyle w:val="19"/>
        <w:widowControl/>
        <w:numPr>
          <w:ilvl w:val="0"/>
          <w:numId w:val="6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：全集团各园区在电力、天然气、工业蒸汽、柴油等不同能源介质上的当量消费占比与推移结构分析。</w:t>
      </w:r>
    </w:p>
    <w:p w14:paraId="29A0E4FC">
      <w:pPr>
        <w:pStyle w:val="19"/>
        <w:widowControl/>
        <w:numPr>
          <w:ilvl w:val="0"/>
          <w:numId w:val="6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69696428">
      <w:pPr>
        <w:pStyle w:val="19"/>
        <w:widowControl/>
        <w:numPr>
          <w:ilvl w:val="0"/>
          <w:numId w:val="6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能耗分析专家</w:t>
      </w:r>
      <w:r>
        <w:rPr>
          <w:rFonts w:ascii="Times New Roman" w:hAnsi="Times New Roman" w:eastAsia="宋体" w:cs="Times New Roman"/>
          <w:i w:val="0"/>
          <w:color w:val="1F2937"/>
          <w:sz w:val="24"/>
          <w:szCs w:val="24"/>
        </w:rPr>
        <w:t>，</w:t>
      </w:r>
    </w:p>
    <w:p w14:paraId="6CDDD331">
      <w:pPr>
        <w:pStyle w:val="19"/>
        <w:widowControl/>
        <w:numPr>
          <w:ilvl w:val="0"/>
          <w:numId w:val="6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穿透分析各生产基地的能源消费结构占比与历史月度推移</w:t>
      </w:r>
      <w:r>
        <w:rPr>
          <w:rFonts w:ascii="Times New Roman" w:hAnsi="Times New Roman" w:eastAsia="宋体" w:cs="Times New Roman"/>
          <w:i w:val="0"/>
          <w:color w:val="1F2937"/>
          <w:sz w:val="24"/>
          <w:szCs w:val="24"/>
        </w:rPr>
        <w:t>，</w:t>
      </w:r>
    </w:p>
    <w:p w14:paraId="02EDF80B">
      <w:pPr>
        <w:pStyle w:val="19"/>
        <w:widowControl/>
        <w:numPr>
          <w:ilvl w:val="0"/>
          <w:numId w:val="6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我能制定以电代气、以绿代灰的能源清洁化替代方案</w:t>
      </w:r>
      <w:r>
        <w:rPr>
          <w:rFonts w:ascii="Times New Roman" w:hAnsi="Times New Roman" w:eastAsia="宋体" w:cs="Times New Roman"/>
          <w:i w:val="0"/>
          <w:color w:val="1F2937"/>
          <w:sz w:val="24"/>
          <w:szCs w:val="24"/>
        </w:rPr>
        <w:t>。</w:t>
      </w:r>
    </w:p>
    <w:p w14:paraId="53D919EC">
      <w:pPr>
        <w:pStyle w:val="6"/>
        <w:numPr>
          <w:ilvl w:val="0"/>
          <w:numId w:val="6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1F298B5C">
      <w:pPr>
        <w:pStyle w:val="19"/>
        <w:widowControl/>
        <w:numPr>
          <w:ilvl w:val="0"/>
          <w:numId w:val="6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全域能源消费圆环图</w:t>
      </w:r>
      <w:r>
        <w:rPr>
          <w:rFonts w:ascii="Times New Roman" w:hAnsi="Times New Roman" w:eastAsia="宋体" w:cs="Times New Roman"/>
          <w:i w:val="0"/>
          <w:color w:val="1F2937"/>
          <w:sz w:val="24"/>
          <w:szCs w:val="24"/>
        </w:rPr>
        <w:t>：展示电力、蒸汽、天然气等按折标煤当量的占比分布。</w:t>
      </w:r>
    </w:p>
    <w:p w14:paraId="4E592145">
      <w:pPr>
        <w:pStyle w:val="19"/>
        <w:widowControl/>
        <w:numPr>
          <w:ilvl w:val="0"/>
          <w:numId w:val="6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月度用能结构推移堆叠柱状图</w:t>
      </w:r>
      <w:r>
        <w:rPr>
          <w:rFonts w:ascii="Times New Roman" w:hAnsi="Times New Roman" w:eastAsia="宋体" w:cs="Times New Roman"/>
          <w:i w:val="0"/>
          <w:color w:val="1F2937"/>
          <w:sz w:val="24"/>
          <w:szCs w:val="24"/>
        </w:rPr>
        <w:t>：按月份展示各介质消费推移，鼠标悬停展示各分项 tce。</w:t>
      </w:r>
    </w:p>
    <w:p w14:paraId="2F8E8FD1">
      <w:pPr>
        <w:pStyle w:val="19"/>
        <w:widowControl/>
        <w:numPr>
          <w:ilvl w:val="0"/>
          <w:numId w:val="6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车间能耗横向对比柱状图</w:t>
      </w:r>
      <w:r>
        <w:rPr>
          <w:rFonts w:ascii="Times New Roman" w:hAnsi="Times New Roman" w:eastAsia="宋体" w:cs="Times New Roman"/>
          <w:i w:val="0"/>
          <w:color w:val="1F2937"/>
          <w:sz w:val="24"/>
          <w:szCs w:val="24"/>
        </w:rPr>
        <w:t>：客观呈现各生产车间综合能耗排序。</w:t>
      </w:r>
    </w:p>
    <w:p w14:paraId="3F20F602">
      <w:pPr>
        <w:pStyle w:val="19"/>
        <w:widowControl/>
        <w:numPr>
          <w:ilvl w:val="0"/>
          <w:numId w:val="6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维度选择器</w:t>
      </w:r>
      <w:r>
        <w:rPr>
          <w:rFonts w:ascii="Times New Roman" w:hAnsi="Times New Roman" w:eastAsia="宋体" w:cs="Times New Roman"/>
          <w:i w:val="0"/>
          <w:color w:val="1F2937"/>
          <w:sz w:val="24"/>
          <w:szCs w:val="24"/>
        </w:rPr>
        <w:t>：组织（集团 / 产业 / 二级公司 / 车间）+ 时间（月 / 年 / 区间）；上级变更逐级重置下级到首项。</w:t>
      </w:r>
    </w:p>
    <w:p w14:paraId="2A971163">
      <w:pPr>
        <w:pStyle w:val="19"/>
        <w:widowControl/>
        <w:numPr>
          <w:ilvl w:val="0"/>
          <w:numId w:val="6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口径切换</w:t>
      </w:r>
      <w:r>
        <w:rPr>
          <w:rFonts w:ascii="Times New Roman" w:hAnsi="Times New Roman" w:eastAsia="宋体" w:cs="Times New Roman"/>
          <w:i w:val="0"/>
          <w:color w:val="1F2937"/>
          <w:sz w:val="24"/>
          <w:szCs w:val="24"/>
        </w:rPr>
        <w:t>：支持"当量值 / 等价值"折标口径切换，切换后全页图表同步重算并标注当前口径。</w:t>
      </w:r>
    </w:p>
    <w:p w14:paraId="38D7F602">
      <w:pPr>
        <w:pStyle w:val="6"/>
        <w:numPr>
          <w:ilvl w:val="0"/>
          <w:numId w:val="6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654"/>
        <w:gridCol w:w="2150"/>
        <w:gridCol w:w="1163"/>
        <w:gridCol w:w="1643"/>
        <w:gridCol w:w="4174"/>
      </w:tblGrid>
      <w:tr w14:paraId="1F7C694C">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F6F88E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F5541D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82D9DB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DD513B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17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4D9DA0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计算模型/来源</w:t>
            </w:r>
          </w:p>
        </w:tc>
      </w:tr>
      <w:tr w14:paraId="2D5B4A6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D7EB8D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DBAE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介质实物消费量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83984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F0D14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 / m³ / t</w:t>
            </w:r>
          </w:p>
        </w:tc>
        <w:tc>
          <w:tcPr>
            <w:tcW w:w="41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A2B9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用能在线监测按介质汇总</w:t>
            </w:r>
          </w:p>
        </w:tc>
      </w:tr>
      <w:tr w14:paraId="678E3D5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42AE66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F12B9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折标准煤当量值</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DA6AE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B5B7D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1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D884A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实物量 × GB/T 2589 当量折标系数</w:t>
            </w:r>
          </w:p>
        </w:tc>
      </w:tr>
      <w:tr w14:paraId="5943D3A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2A156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373F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折标准煤等价值</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7B465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0C22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1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EEF65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实物量 × GB/T 2589 等价折标系数</w:t>
            </w:r>
          </w:p>
        </w:tc>
      </w:tr>
      <w:tr w14:paraId="537F348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E1B74D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8AE21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介质折标占比</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531DF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D8CB2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D71CC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该介质折标量 / 折标总量 × 100%</w:t>
            </w:r>
          </w:p>
        </w:tc>
      </w:tr>
      <w:tr w14:paraId="24CB820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F1246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66F6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结构推移量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2FB6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D91F6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1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BCED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按月份分组的各介质折标量</w:t>
            </w:r>
          </w:p>
        </w:tc>
      </w:tr>
      <w:tr w14:paraId="284C37B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2AFF89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7532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车间综合能耗排序</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C5B1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Integer</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DF61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名次</w:t>
            </w:r>
          </w:p>
        </w:tc>
        <w:tc>
          <w:tcPr>
            <w:tcW w:w="41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77C3D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按折标总量降序，同值并列</w:t>
            </w:r>
          </w:p>
        </w:tc>
      </w:tr>
      <w:tr w14:paraId="24FEDB62">
        <w:tblPrEx>
          <w:tblCellMar>
            <w:top w:w="0" w:type="dxa"/>
            <w:left w:w="108" w:type="dxa"/>
            <w:bottom w:w="0" w:type="dxa"/>
            <w:right w:w="108" w:type="dxa"/>
          </w:tblCellMar>
        </w:tblPrEx>
        <w:trPr>
          <w:jc w:val="center"/>
        </w:trPr>
        <w:tc>
          <w:tcPr>
            <w:tcW w:w="65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A9720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21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9309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折标口径标识</w:t>
            </w:r>
          </w:p>
        </w:tc>
        <w:tc>
          <w:tcPr>
            <w:tcW w:w="11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1E937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64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386C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5B861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当量值 / 等价值</w:t>
            </w:r>
          </w:p>
        </w:tc>
      </w:tr>
    </w:tbl>
    <w:p w14:paraId="1237DE00">
      <w:pPr>
        <w:spacing w:after="60"/>
        <w:rPr>
          <w:rFonts w:hint="eastAsia" w:ascii="宋体" w:hAnsi="宋体" w:eastAsia="宋体" w:cs="宋体"/>
          <w:i w:val="0"/>
          <w:iCs w:val="0"/>
          <w:sz w:val="24"/>
          <w:szCs w:val="24"/>
        </w:rPr>
      </w:pPr>
    </w:p>
    <w:p w14:paraId="31760A1A">
      <w:pPr>
        <w:pStyle w:val="6"/>
        <w:numPr>
          <w:ilvl w:val="0"/>
          <w:numId w:val="6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04576758">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556E4D3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E_tce_j = Q_j × k_j                            介质折标煤量（当量或等价口径）</w:t>
            </w:r>
          </w:p>
          <w:p w14:paraId="7335F1D5">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R_j = E_tce_j / Σ ( E_tce_n ) × 100%          介质折标占比</w:t>
            </w:r>
          </w:p>
          <w:p w14:paraId="162E03EA">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E_shift_m = Σ_j ( E_tce_j,m )                  第 m 月结构推移总量</w:t>
            </w:r>
          </w:p>
          <w:p w14:paraId="3D505F1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Rank_ws = RANK_DESC( E_tce_ws )                 车间能耗排名（降序）</w:t>
            </w:r>
          </w:p>
        </w:tc>
      </w:tr>
    </w:tbl>
    <w:p w14:paraId="446B5B06">
      <w:pPr>
        <w:spacing w:after="40"/>
        <w:rPr>
          <w:rFonts w:hint="eastAsia" w:ascii="宋体" w:hAnsi="宋体" w:eastAsia="宋体" w:cs="宋体"/>
          <w:i w:val="0"/>
          <w:iCs w:val="0"/>
          <w:sz w:val="24"/>
          <w:szCs w:val="24"/>
        </w:rPr>
      </w:pPr>
    </w:p>
    <w:p w14:paraId="3A6901CB">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k_j </w:t>
      </w:r>
      <w:r>
        <w:rPr>
          <w:rFonts w:ascii="Times New Roman" w:hAnsi="Times New Roman" w:eastAsia="宋体" w:cs="Times New Roman"/>
          <w:i w:val="0"/>
          <w:color w:val="1F2937"/>
          <w:sz w:val="24"/>
          <w:szCs w:val="24"/>
        </w:rPr>
        <w:t xml:space="preserve"> 为该介质折标系数（当量值 / 等价值两套，取自折标系数管理模块当前生效版本）；占比之和须配平至 100.0%。</w:t>
      </w:r>
    </w:p>
    <w:p w14:paraId="202B0EAB">
      <w:pPr>
        <w:pStyle w:val="6"/>
        <w:numPr>
          <w:ilvl w:val="0"/>
          <w:numId w:val="6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5B8F184D">
      <w:pPr>
        <w:pStyle w:val="19"/>
        <w:widowControl/>
        <w:numPr>
          <w:ilvl w:val="0"/>
          <w:numId w:val="6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占比口径</w:t>
      </w:r>
      <w:r>
        <w:rPr>
          <w:rFonts w:ascii="Times New Roman" w:hAnsi="Times New Roman" w:eastAsia="宋体" w:cs="Times New Roman"/>
          <w:i w:val="0"/>
          <w:color w:val="1F2937"/>
          <w:sz w:val="24"/>
          <w:szCs w:val="24"/>
        </w:rPr>
        <w:t>：圆环图与堆叠图占比之和强制配平至 100.0%，浮动超过 ±0.1% 触发自检提示。</w:t>
      </w:r>
    </w:p>
    <w:p w14:paraId="70FC9F6E">
      <w:pPr>
        <w:pStyle w:val="19"/>
        <w:widowControl/>
        <w:numPr>
          <w:ilvl w:val="0"/>
          <w:numId w:val="6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口径一致性</w:t>
      </w:r>
      <w:r>
        <w:rPr>
          <w:rFonts w:ascii="Times New Roman" w:hAnsi="Times New Roman" w:eastAsia="宋体" w:cs="Times New Roman"/>
          <w:i w:val="0"/>
          <w:color w:val="1F2937"/>
          <w:sz w:val="24"/>
          <w:szCs w:val="24"/>
        </w:rPr>
        <w:t>：同一页面内所有图表必须使用同一折标口径，禁止混用当量值与等价值。</w:t>
      </w:r>
    </w:p>
    <w:p w14:paraId="253CBF85">
      <w:pPr>
        <w:pStyle w:val="19"/>
        <w:widowControl/>
        <w:numPr>
          <w:ilvl w:val="0"/>
          <w:numId w:val="6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排序口径</w:t>
      </w:r>
      <w:r>
        <w:rPr>
          <w:rFonts w:ascii="Times New Roman" w:hAnsi="Times New Roman" w:eastAsia="宋体" w:cs="Times New Roman"/>
          <w:i w:val="0"/>
          <w:color w:val="1F2937"/>
          <w:sz w:val="24"/>
          <w:szCs w:val="24"/>
        </w:rPr>
        <w:t>：车间能耗横向对比仅展示客观排序，不标注"先进""落后"等定性标签。</w:t>
      </w:r>
    </w:p>
    <w:p w14:paraId="3BADE003">
      <w:pPr>
        <w:pStyle w:val="6"/>
        <w:numPr>
          <w:ilvl w:val="0"/>
          <w:numId w:val="6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356BA80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4F775D8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折标口径标识缺失：页面禁止渲染，强制先选定口径。</w:t>
            </w:r>
          </w:p>
          <w:p w14:paraId="786CF04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某介质无消耗数据：该切片置为 0 并保留图例，不隐藏图例以免误导结构占比。</w:t>
            </w:r>
          </w:p>
          <w:p w14:paraId="0479275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折标系数版本过期：触发 </w:t>
            </w:r>
            <w:r>
              <w:rPr>
                <w:rFonts w:hint="eastAsia" w:ascii="宋体" w:hAnsi="宋体" w:eastAsia="宋体" w:cs="宋体"/>
                <w:b w:val="0"/>
                <w:i w:val="0"/>
                <w:iCs w:val="0"/>
                <w:color w:val="0284C7"/>
                <w:sz w:val="24"/>
                <w:szCs w:val="24"/>
              </w:rPr>
              <w:t xml:space="preserve"> E_VAL_FACTOR_EXPIRED </w:t>
            </w:r>
            <w:r>
              <w:rPr>
                <w:rFonts w:hint="eastAsia" w:ascii="宋体" w:hAnsi="宋体" w:eastAsia="宋体" w:cs="宋体"/>
                <w:i w:val="0"/>
                <w:iCs w:val="0"/>
                <w:color w:val="1F2937"/>
                <w:sz w:val="24"/>
                <w:szCs w:val="24"/>
              </w:rPr>
              <w:t>，图表顶部标注"系数待升级"。</w:t>
            </w:r>
          </w:p>
          <w:p w14:paraId="3870553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除零兜底：折标总量为 0 时全部占比显示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tc>
      </w:tr>
    </w:tbl>
    <w:p w14:paraId="48F83008">
      <w:pPr>
        <w:spacing w:after="40"/>
        <w:rPr>
          <w:rFonts w:hint="eastAsia" w:ascii="宋体" w:hAnsi="宋体" w:eastAsia="宋体" w:cs="宋体"/>
          <w:i w:val="0"/>
          <w:iCs w:val="0"/>
          <w:sz w:val="24"/>
          <w:szCs w:val="24"/>
        </w:rPr>
      </w:pPr>
    </w:p>
    <w:p w14:paraId="017883D7">
      <w:pPr>
        <w:pStyle w:val="6"/>
        <w:numPr>
          <w:ilvl w:val="0"/>
          <w:numId w:val="65"/>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24D03422">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5DC9E88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用能结构分析口径一致性</w:t>
            </w:r>
          </w:p>
          <w:p w14:paraId="7BD1A25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占比配平自检</w:t>
            </w:r>
          </w:p>
          <w:p w14:paraId="6B612F6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园区当月已录入电力、蒸汽、天然气、水等介质实物量</w:t>
            </w:r>
          </w:p>
          <w:p w14:paraId="32C7F44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系统渲染全域能源消费圆环图</w:t>
            </w:r>
          </w:p>
          <w:p w14:paraId="02F1E69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各介质折标占比之和等于 100.0%</w:t>
            </w:r>
          </w:p>
          <w:p w14:paraId="16929A4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偏差超过 ±0.1% 时触发配平自检提示</w:t>
            </w:r>
          </w:p>
          <w:p w14:paraId="4E5E8B9C">
            <w:pPr>
              <w:spacing w:before="0" w:after="20" w:line="264" w:lineRule="auto"/>
              <w:rPr>
                <w:rFonts w:hint="eastAsia" w:ascii="宋体" w:hAnsi="宋体" w:eastAsia="宋体" w:cs="宋体"/>
                <w:i w:val="0"/>
                <w:iCs w:val="0"/>
                <w:sz w:val="24"/>
                <w:szCs w:val="24"/>
              </w:rPr>
            </w:pPr>
          </w:p>
          <w:p w14:paraId="40E3B97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折标口径切换全页联动</w:t>
            </w:r>
          </w:p>
          <w:p w14:paraId="490A3FB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页面当前折标口径为"当量值"</w:t>
            </w:r>
          </w:p>
          <w:p w14:paraId="3DE1439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用户切换口径为"等价值"</w:t>
            </w:r>
          </w:p>
          <w:p w14:paraId="4592CC5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圆环图、推移堆叠图与车间对比图同步重算</w:t>
            </w:r>
          </w:p>
          <w:p w14:paraId="15513E2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页面统一标注当前口径为"等价值"</w:t>
            </w:r>
          </w:p>
          <w:p w14:paraId="345532D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同一页面内不同图表不出现口径混用</w:t>
            </w:r>
          </w:p>
        </w:tc>
      </w:tr>
    </w:tbl>
    <w:p w14:paraId="2C2E6F75">
      <w:pPr>
        <w:spacing w:after="40"/>
        <w:rPr>
          <w:rFonts w:hint="eastAsia" w:ascii="宋体" w:hAnsi="宋体" w:eastAsia="宋体" w:cs="宋体"/>
          <w:i w:val="0"/>
          <w:iCs w:val="0"/>
          <w:sz w:val="24"/>
          <w:szCs w:val="24"/>
        </w:rPr>
      </w:pPr>
    </w:p>
    <w:p w14:paraId="0A5CE855">
      <w:pPr>
        <w:pStyle w:val="5"/>
        <w:numPr>
          <w:ilvl w:val="0"/>
          <w:numId w:val="64"/>
        </w:numPr>
        <w:ind w:left="0" w:leftChars="0" w:firstLine="0" w:firstLineChars="0"/>
        <w:outlineLvl w:val="1"/>
        <w:rPr>
          <w:rFonts w:eastAsia="黑体"/>
          <w:b w:val="0"/>
          <w:bCs w:val="0"/>
          <w:sz w:val="30"/>
          <w:szCs w:val="24"/>
        </w:rPr>
      </w:pPr>
      <w:bookmarkStart w:id="23" w:name="_Toc18327"/>
      <w:r>
        <w:rPr>
          <w:rFonts w:ascii="Times New Roman" w:hAnsi="Times New Roman" w:eastAsia="黑体" w:cs="Times New Roman"/>
          <w:b w:val="0"/>
          <w:bCs w:val="0"/>
          <w:sz w:val="30"/>
          <w:szCs w:val="24"/>
        </w:rPr>
        <w:t>能源成本分析</w:t>
      </w:r>
      <w:bookmarkEnd w:id="23"/>
    </w:p>
    <w:p w14:paraId="18500786">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kern w:val="2"/>
          <w:sz w:val="28"/>
          <w:szCs w:val="28"/>
          <w:lang w:bidi="ar-SA"/>
        </w:rPr>
      </w:pPr>
      <w:r>
        <w:rPr>
          <w:rFonts w:hint="eastAsia" w:ascii="宋体" w:hAnsi="宋体" w:eastAsia="宋体" w:cs="宋体"/>
          <w:bCs/>
          <w:kern w:val="2"/>
          <w:sz w:val="28"/>
          <w:szCs w:val="28"/>
          <w:lang w:bidi="ar-SA"/>
        </w:rPr>
        <w:drawing>
          <wp:inline distT="0" distB="0" distL="114300" distR="114300">
            <wp:extent cx="6210300" cy="3079115"/>
            <wp:effectExtent l="0" t="0" r="0" b="6985"/>
            <wp:docPr id="7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29"/>
                    <pic:cNvPicPr>
                      <a:picLocks noChangeAspect="1"/>
                    </pic:cNvPicPr>
                  </pic:nvPicPr>
                  <pic:blipFill>
                    <a:blip r:embed="rId24"/>
                    <a:stretch>
                      <a:fillRect/>
                    </a:stretch>
                  </pic:blipFill>
                  <pic:spPr>
                    <a:xfrm>
                      <a:off x="0" y="0"/>
                      <a:ext cx="6210300" cy="3079115"/>
                    </a:xfrm>
                    <a:prstGeom prst="rect">
                      <a:avLst/>
                    </a:prstGeom>
                    <a:noFill/>
                    <a:ln>
                      <a:noFill/>
                    </a:ln>
                  </pic:spPr>
                </pic:pic>
              </a:graphicData>
            </a:graphic>
          </wp:inline>
        </w:drawing>
      </w:r>
    </w:p>
    <w:p w14:paraId="54828F37">
      <w:pPr>
        <w:pStyle w:val="6"/>
        <w:numPr>
          <w:ilvl w:val="0"/>
          <w:numId w:val="7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20981E65">
      <w:pPr>
        <w:pStyle w:val="19"/>
        <w:widowControl/>
        <w:numPr>
          <w:ilvl w:val="0"/>
          <w:numId w:val="7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：电度电费、基本电费、力调电费、天然气费、蒸汽采购费的构成分析与移峰填谷效益模拟，支撑用能成本压降。</w:t>
      </w:r>
    </w:p>
    <w:p w14:paraId="1E96082B">
      <w:pPr>
        <w:pStyle w:val="19"/>
        <w:widowControl/>
        <w:numPr>
          <w:ilvl w:val="0"/>
          <w:numId w:val="7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园区能碳专员、园区财务兼能碳核算专员。</w:t>
      </w:r>
    </w:p>
    <w:p w14:paraId="61761A8E">
      <w:pPr>
        <w:pStyle w:val="19"/>
        <w:widowControl/>
        <w:numPr>
          <w:ilvl w:val="0"/>
          <w:numId w:val="7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/monitor/analysis/cost </w:t>
      </w:r>
      <w:r>
        <w:rPr>
          <w:rFonts w:ascii="Times New Roman" w:hAnsi="Times New Roman" w:eastAsia="宋体" w:cs="Times New Roman"/>
          <w:i w:val="0"/>
          <w:color w:val="1F2937"/>
          <w:sz w:val="24"/>
          <w:szCs w:val="24"/>
        </w:rPr>
        <w:t>。</w:t>
      </w:r>
    </w:p>
    <w:p w14:paraId="789DD542">
      <w:pPr>
        <w:pStyle w:val="19"/>
        <w:widowControl/>
        <w:numPr>
          <w:ilvl w:val="0"/>
          <w:numId w:val="7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：能源价格管理分时电价版本、用能在线监测分时电量、基本电费计费方式配置。</w:t>
      </w:r>
    </w:p>
    <w:p w14:paraId="3185BE62">
      <w:pPr>
        <w:pStyle w:val="19"/>
        <w:widowControl/>
        <w:numPr>
          <w:ilvl w:val="0"/>
          <w:numId w:val="7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：成本报表、移峰填谷调度建议、储能充放策略依据。</w:t>
      </w:r>
    </w:p>
    <w:p w14:paraId="56CE71F4">
      <w:pPr>
        <w:pStyle w:val="6"/>
        <w:numPr>
          <w:ilvl w:val="0"/>
          <w:numId w:val="7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3B02CA37">
      <w:pPr>
        <w:pStyle w:val="19"/>
        <w:widowControl/>
        <w:numPr>
          <w:ilvl w:val="0"/>
          <w:numId w:val="7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：分析电度电费、基本电费、力调电费、天然气费、蒸汽采购费支出，评估分时峰谷价差套利成效与移峰填谷节约潜力。</w:t>
      </w:r>
    </w:p>
    <w:p w14:paraId="61DD8DD2">
      <w:pPr>
        <w:pStyle w:val="19"/>
        <w:widowControl/>
        <w:numPr>
          <w:ilvl w:val="0"/>
          <w:numId w:val="7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35890FCA">
      <w:pPr>
        <w:pStyle w:val="19"/>
        <w:widowControl/>
        <w:numPr>
          <w:ilvl w:val="0"/>
          <w:numId w:val="7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园区财务兼能碳核算专员</w:t>
      </w:r>
      <w:r>
        <w:rPr>
          <w:rFonts w:ascii="Times New Roman" w:hAnsi="Times New Roman" w:eastAsia="宋体" w:cs="Times New Roman"/>
          <w:i w:val="0"/>
          <w:color w:val="1F2937"/>
          <w:sz w:val="24"/>
          <w:szCs w:val="24"/>
        </w:rPr>
        <w:t>，</w:t>
      </w:r>
    </w:p>
    <w:p w14:paraId="12F178B9">
      <w:pPr>
        <w:pStyle w:val="19"/>
        <w:widowControl/>
        <w:numPr>
          <w:ilvl w:val="0"/>
          <w:numId w:val="7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测算各生产车间分时尖峰平谷电费支出与力调电费奖惩</w:t>
      </w:r>
      <w:r>
        <w:rPr>
          <w:rFonts w:ascii="Times New Roman" w:hAnsi="Times New Roman" w:eastAsia="宋体" w:cs="Times New Roman"/>
          <w:i w:val="0"/>
          <w:color w:val="1F2937"/>
          <w:sz w:val="24"/>
          <w:szCs w:val="24"/>
        </w:rPr>
        <w:t>，</w:t>
      </w:r>
    </w:p>
    <w:p w14:paraId="5985A534">
      <w:pPr>
        <w:pStyle w:val="19"/>
        <w:widowControl/>
        <w:numPr>
          <w:ilvl w:val="0"/>
          <w:numId w:val="7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优化生产排班与储能充放策略，压降综合用能成本</w:t>
      </w:r>
      <w:r>
        <w:rPr>
          <w:rFonts w:ascii="Times New Roman" w:hAnsi="Times New Roman" w:eastAsia="宋体" w:cs="Times New Roman"/>
          <w:i w:val="0"/>
          <w:color w:val="1F2937"/>
          <w:sz w:val="24"/>
          <w:szCs w:val="24"/>
        </w:rPr>
        <w:t>。</w:t>
      </w:r>
    </w:p>
    <w:p w14:paraId="2F81B0D1">
      <w:pPr>
        <w:pStyle w:val="6"/>
        <w:numPr>
          <w:ilvl w:val="0"/>
          <w:numId w:val="7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646CEE24">
      <w:pPr>
        <w:pStyle w:val="19"/>
        <w:widowControl/>
        <w:numPr>
          <w:ilvl w:val="0"/>
          <w:numId w:val="7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成本总览卡片</w:t>
      </w:r>
      <w:r>
        <w:rPr>
          <w:rFonts w:ascii="Times New Roman" w:hAnsi="Times New Roman" w:eastAsia="宋体" w:cs="Times New Roman"/>
          <w:i w:val="0"/>
          <w:color w:val="1F2937"/>
          <w:sz w:val="24"/>
          <w:szCs w:val="24"/>
        </w:rPr>
        <w:t>：综合能源总费用 (万元)、度电平均成本 (元/kWh)、尖峰电费占比 (%)</w:t>
      </w:r>
    </w:p>
    <w:p w14:paraId="72D72286">
      <w:pPr>
        <w:pStyle w:val="19"/>
        <w:widowControl/>
        <w:numPr>
          <w:ilvl w:val="0"/>
          <w:numId w:val="7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分时费用对比柱状图</w:t>
      </w:r>
      <w:r>
        <w:rPr>
          <w:rFonts w:ascii="Times New Roman" w:hAnsi="Times New Roman" w:eastAsia="宋体" w:cs="Times New Roman"/>
          <w:i w:val="0"/>
          <w:color w:val="1F2937"/>
          <w:sz w:val="24"/>
          <w:szCs w:val="24"/>
        </w:rPr>
        <w:t>：直观展示尖、峰、平、谷各时段费用。</w:t>
      </w:r>
    </w:p>
    <w:p w14:paraId="7F276A25">
      <w:pPr>
        <w:pStyle w:val="19"/>
        <w:widowControl/>
        <w:numPr>
          <w:ilvl w:val="0"/>
          <w:numId w:val="7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移峰填谷效益模拟器</w:t>
      </w:r>
      <w:r>
        <w:rPr>
          <w:rFonts w:ascii="Times New Roman" w:hAnsi="Times New Roman" w:eastAsia="宋体" w:cs="Times New Roman"/>
          <w:i w:val="0"/>
          <w:color w:val="1F2937"/>
          <w:sz w:val="24"/>
          <w:szCs w:val="24"/>
        </w:rPr>
        <w:t>：用户输入预计转移负荷比例，系统自动测算年化电费节约额。</w:t>
      </w:r>
    </w:p>
    <w:p w14:paraId="282E5B20">
      <w:pPr>
        <w:pStyle w:val="19"/>
        <w:widowControl/>
        <w:numPr>
          <w:ilvl w:val="0"/>
          <w:numId w:val="7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力调电费预警</w:t>
      </w:r>
      <w:r>
        <w:rPr>
          <w:rFonts w:ascii="Times New Roman" w:hAnsi="Times New Roman" w:eastAsia="宋体" w:cs="Times New Roman"/>
          <w:i w:val="0"/>
          <w:color w:val="1F2937"/>
          <w:sz w:val="24"/>
          <w:szCs w:val="24"/>
        </w:rPr>
        <w:t>：功率因数低于考核值 0.90 时预警提示。</w:t>
      </w:r>
    </w:p>
    <w:p w14:paraId="62E69450">
      <w:pPr>
        <w:pStyle w:val="19"/>
        <w:widowControl/>
        <w:numPr>
          <w:ilvl w:val="0"/>
          <w:numId w:val="7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单价版本提示</w:t>
      </w:r>
      <w:r>
        <w:rPr>
          <w:rFonts w:ascii="Times New Roman" w:hAnsi="Times New Roman" w:eastAsia="宋体" w:cs="Times New Roman"/>
          <w:i w:val="0"/>
          <w:color w:val="1F2937"/>
          <w:sz w:val="24"/>
          <w:szCs w:val="24"/>
        </w:rPr>
        <w:t>：页面右上角常驻显示当前生效的能源价格版本与生效日期。</w:t>
      </w:r>
    </w:p>
    <w:p w14:paraId="1A68996B">
      <w:pPr>
        <w:pStyle w:val="6"/>
        <w:numPr>
          <w:ilvl w:val="0"/>
          <w:numId w:val="7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3"/>
        <w:gridCol w:w="1871"/>
        <w:gridCol w:w="1365"/>
        <w:gridCol w:w="1365"/>
        <w:gridCol w:w="4300"/>
      </w:tblGrid>
      <w:tr w14:paraId="3EB985ED">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6093B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7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53FE0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6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CC4C1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6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C65AF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30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87014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计算模型/来源</w:t>
            </w:r>
          </w:p>
        </w:tc>
      </w:tr>
      <w:tr w14:paraId="7CDA2DB7">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5B4A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7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2F162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尖峰时段电费</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EBD1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8E7D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3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5814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Q_尖 × P_尖</w:t>
            </w:r>
            <w:r>
              <w:rPr>
                <w:rFonts w:hint="eastAsia" w:ascii="宋体" w:hAnsi="宋体" w:eastAsia="宋体" w:cs="宋体"/>
                <w:i w:val="0"/>
                <w:iCs w:val="0"/>
                <w:color w:val="1F2937"/>
                <w:sz w:val="24"/>
                <w:szCs w:val="24"/>
              </w:rPr>
              <w:t>（高电价时段）</w:t>
            </w:r>
          </w:p>
        </w:tc>
      </w:tr>
      <w:tr w14:paraId="4ECE863F">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973C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D01D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高峰时段电费</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72FF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B521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3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7C77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Q_峰 × P_峰</w:t>
            </w:r>
          </w:p>
        </w:tc>
      </w:tr>
      <w:tr w14:paraId="5DB7B2A5">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7646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7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002AE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平时段电费</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E63F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ED0F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3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1F08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Q_平 × P_平</w:t>
            </w:r>
          </w:p>
        </w:tc>
      </w:tr>
      <w:tr w14:paraId="2A0C45D8">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5BEF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02E3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低谷时段电费</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7FD8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5DB2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3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E5F8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Q_谷 × P_谷</w:t>
            </w:r>
            <w:r>
              <w:rPr>
                <w:rFonts w:hint="eastAsia" w:ascii="宋体" w:hAnsi="宋体" w:eastAsia="宋体" w:cs="宋体"/>
                <w:i w:val="0"/>
                <w:iCs w:val="0"/>
                <w:color w:val="1F2937"/>
                <w:sz w:val="24"/>
                <w:szCs w:val="24"/>
              </w:rPr>
              <w:t>（低电价谷段）</w:t>
            </w:r>
          </w:p>
        </w:tc>
      </w:tr>
      <w:tr w14:paraId="1E27BA3C">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D30D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7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66EB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基本电费</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8A5F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B9CA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3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2585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按变压器容量（元/kVA·月）或最大需量（元/kW·月）</w:t>
            </w:r>
          </w:p>
        </w:tc>
      </w:tr>
      <w:tr w14:paraId="2E6AE608">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CDCB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8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EFEFC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功率因数调整电费</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1233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175C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3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9DD5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依据国家电力力率调整系数表计算奖惩金额</w:t>
            </w:r>
          </w:p>
        </w:tc>
      </w:tr>
      <w:tr w14:paraId="46549F17">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2C00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87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6E038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总用电成本</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5361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2EB3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3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BD02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Σ 分时电费 + 基本电费 ± 力调电费</w:t>
            </w:r>
          </w:p>
        </w:tc>
      </w:tr>
      <w:tr w14:paraId="42FA4241">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42CEC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8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FA1E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综合度电综合单价</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58E2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9757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元/kWh</w:t>
            </w:r>
          </w:p>
        </w:tc>
        <w:tc>
          <w:tcPr>
            <w:tcW w:w="43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89A5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总用能费用 / 总用能实物量</w:t>
            </w:r>
          </w:p>
        </w:tc>
      </w:tr>
      <w:tr w14:paraId="5087C581">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7E5B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87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4927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非电介质成本</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F731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705F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3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5848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各介质用量 × 现行生效单价</w:t>
            </w:r>
          </w:p>
        </w:tc>
      </w:tr>
      <w:tr w14:paraId="169C9BE3">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EC5A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8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948B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移峰填谷年化节约额</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7875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9193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3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7222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模拟器按转移比例测算</w:t>
            </w:r>
          </w:p>
        </w:tc>
      </w:tr>
    </w:tbl>
    <w:p w14:paraId="7E542139">
      <w:pPr>
        <w:spacing w:after="60"/>
        <w:rPr>
          <w:rFonts w:hint="eastAsia" w:ascii="宋体" w:hAnsi="宋体" w:eastAsia="宋体" w:cs="宋体"/>
          <w:i w:val="0"/>
          <w:iCs w:val="0"/>
          <w:sz w:val="24"/>
          <w:szCs w:val="24"/>
        </w:rPr>
      </w:pPr>
    </w:p>
    <w:p w14:paraId="04B45253">
      <w:pPr>
        <w:pStyle w:val="6"/>
        <w:numPr>
          <w:ilvl w:val="0"/>
          <w:numId w:val="7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606BED7C">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5B452DD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Cost_tou = Σ ( Q_seg × P_seg )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分时电度电费</w:t>
            </w:r>
          </w:p>
          <w:p w14:paraId="4C3949A5">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Cost_basic = C_capacity × P_cap   或  MD × P_md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基本电费（容量法制或需量法制）</w:t>
            </w:r>
          </w:p>
          <w:p w14:paraId="2B274D74">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Cost_total = Cost_tou + Cost_basic ± Cost_pf + Σ Cost_media</w:t>
            </w:r>
          </w:p>
          <w:p w14:paraId="5808C1EA">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Cost_pf = f( cosφ ) × Cost_tou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功率因数调整电费（奖惩）</w:t>
            </w:r>
          </w:p>
          <w:p w14:paraId="5FD90A7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Unit_price = Cost_total / Σ Q_media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综合度电综合单价</w:t>
            </w:r>
          </w:p>
          <w:p w14:paraId="6148D8BD">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Save_annual = Q_shift × ( P_peak - P_valley ) × 12  移峰填谷年化节约额</w:t>
            </w:r>
          </w:p>
        </w:tc>
      </w:tr>
    </w:tbl>
    <w:p w14:paraId="1A73C288">
      <w:pPr>
        <w:spacing w:after="40"/>
        <w:rPr>
          <w:rFonts w:hint="eastAsia" w:ascii="宋体" w:hAnsi="宋体" w:eastAsia="宋体" w:cs="宋体"/>
          <w:i w:val="0"/>
          <w:iCs w:val="0"/>
          <w:sz w:val="24"/>
          <w:szCs w:val="24"/>
        </w:rPr>
      </w:pPr>
    </w:p>
    <w:p w14:paraId="1C38A932">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Q_seg </w:t>
      </w:r>
      <w:r>
        <w:rPr>
          <w:rFonts w:ascii="Times New Roman" w:hAnsi="Times New Roman" w:eastAsia="宋体" w:cs="Times New Roman"/>
          <w:i w:val="0"/>
          <w:color w:val="1F2937"/>
          <w:sz w:val="24"/>
          <w:szCs w:val="24"/>
        </w:rPr>
        <w:t xml:space="preserve"> 与 </w:t>
      </w:r>
      <w:r>
        <w:rPr>
          <w:rFonts w:ascii="Times New Roman" w:hAnsi="Times New Roman" w:eastAsia="宋体" w:cs="Times New Roman"/>
          <w:b w:val="0"/>
          <w:i w:val="0"/>
          <w:color w:val="0284C7"/>
          <w:sz w:val="24"/>
          <w:szCs w:val="24"/>
        </w:rPr>
        <w:t xml:space="preserve"> P_seg </w:t>
      </w:r>
      <w:r>
        <w:rPr>
          <w:rFonts w:ascii="Times New Roman" w:hAnsi="Times New Roman" w:eastAsia="宋体" w:cs="Times New Roman"/>
          <w:i w:val="0"/>
          <w:color w:val="1F2937"/>
          <w:sz w:val="24"/>
          <w:szCs w:val="24"/>
        </w:rPr>
        <w:t xml:space="preserve"> 分别为各时段电量与对应电价；</w:t>
      </w:r>
      <w:r>
        <w:rPr>
          <w:rFonts w:ascii="Times New Roman" w:hAnsi="Times New Roman" w:eastAsia="宋体" w:cs="Times New Roman"/>
          <w:b w:val="0"/>
          <w:i w:val="0"/>
          <w:color w:val="0284C7"/>
          <w:sz w:val="24"/>
          <w:szCs w:val="24"/>
        </w:rPr>
        <w:t xml:space="preserve"> C_capacity </w:t>
      </w:r>
      <w:r>
        <w:rPr>
          <w:rFonts w:ascii="Times New Roman" w:hAnsi="Times New Roman" w:eastAsia="宋体" w:cs="Times New Roman"/>
          <w:i w:val="0"/>
          <w:color w:val="1F2937"/>
          <w:sz w:val="24"/>
          <w:szCs w:val="24"/>
        </w:rPr>
        <w:t xml:space="preserve"> 为变压器容量；</w:t>
      </w:r>
      <w:r>
        <w:rPr>
          <w:rFonts w:ascii="Times New Roman" w:hAnsi="Times New Roman" w:eastAsia="宋体" w:cs="Times New Roman"/>
          <w:b w:val="0"/>
          <w:i w:val="0"/>
          <w:color w:val="0284C7"/>
          <w:sz w:val="24"/>
          <w:szCs w:val="24"/>
        </w:rPr>
        <w:t xml:space="preserve"> MD </w:t>
      </w:r>
      <w:r>
        <w:rPr>
          <w:rFonts w:ascii="Times New Roman" w:hAnsi="Times New Roman" w:eastAsia="宋体" w:cs="Times New Roman"/>
          <w:i w:val="0"/>
          <w:color w:val="1F2937"/>
          <w:sz w:val="24"/>
          <w:szCs w:val="24"/>
        </w:rPr>
        <w:t xml:space="preserve"> 为最大需量；</w:t>
      </w:r>
      <w:r>
        <w:rPr>
          <w:rFonts w:ascii="Times New Roman" w:hAnsi="Times New Roman" w:eastAsia="宋体" w:cs="Times New Roman"/>
          <w:b w:val="0"/>
          <w:i w:val="0"/>
          <w:color w:val="0284C7"/>
          <w:sz w:val="24"/>
          <w:szCs w:val="24"/>
        </w:rPr>
        <w:t xml:space="preserve"> Cost_pf </w:t>
      </w:r>
      <w:r>
        <w:rPr>
          <w:rFonts w:ascii="Times New Roman" w:hAnsi="Times New Roman" w:eastAsia="宋体" w:cs="Times New Roman"/>
          <w:i w:val="0"/>
          <w:color w:val="1F2937"/>
          <w:sz w:val="24"/>
          <w:szCs w:val="24"/>
        </w:rPr>
        <w:t xml:space="preserve"> 依据国家电力力率调整系数表，功率因数 0.90 为不奖不罚考核点；</w:t>
      </w:r>
      <w:r>
        <w:rPr>
          <w:rFonts w:ascii="Times New Roman" w:hAnsi="Times New Roman" w:eastAsia="宋体" w:cs="Times New Roman"/>
          <w:b w:val="0"/>
          <w:i w:val="0"/>
          <w:color w:val="0284C7"/>
          <w:sz w:val="24"/>
          <w:szCs w:val="24"/>
        </w:rPr>
        <w:t xml:space="preserve"> Q_shift </w:t>
      </w:r>
      <w:r>
        <w:rPr>
          <w:rFonts w:ascii="Times New Roman" w:hAnsi="Times New Roman" w:eastAsia="宋体" w:cs="Times New Roman"/>
          <w:i w:val="0"/>
          <w:color w:val="1F2937"/>
          <w:sz w:val="24"/>
          <w:szCs w:val="24"/>
        </w:rPr>
        <w:t xml:space="preserve"> 为模拟转移负荷量。</w:t>
      </w:r>
    </w:p>
    <w:p w14:paraId="00BFD27B">
      <w:pPr>
        <w:pStyle w:val="6"/>
        <w:numPr>
          <w:ilvl w:val="0"/>
          <w:numId w:val="7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7B6FBF92">
      <w:pPr>
        <w:pStyle w:val="19"/>
        <w:widowControl/>
        <w:numPr>
          <w:ilvl w:val="0"/>
          <w:numId w:val="7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单价口径</w:t>
      </w:r>
      <w:r>
        <w:rPr>
          <w:rFonts w:ascii="Times New Roman" w:hAnsi="Times New Roman" w:eastAsia="宋体" w:cs="Times New Roman"/>
          <w:i w:val="0"/>
          <w:color w:val="1F2937"/>
          <w:sz w:val="24"/>
          <w:szCs w:val="24"/>
        </w:rPr>
        <w:t>：所有单价严格取自与业务发生月份相匹配的能源价格生效版本（ effective_from ≤ 业务日期 ≤ effective_to ），严禁使用当前版本倒推历史；跨期价差按「追溯补差调整」机制处理，统一在调整当期新增一条「电费跨期调整项」，严禁倒改历史报表月份。</w:t>
      </w:r>
    </w:p>
    <w:p w14:paraId="09B0B4F7">
      <w:pPr>
        <w:pStyle w:val="19"/>
        <w:widowControl/>
        <w:numPr>
          <w:ilvl w:val="0"/>
          <w:numId w:val="7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基本电费口径</w:t>
      </w:r>
      <w:r>
        <w:rPr>
          <w:rFonts w:ascii="Times New Roman" w:hAnsi="Times New Roman" w:eastAsia="宋体" w:cs="Times New Roman"/>
          <w:i w:val="0"/>
          <w:color w:val="1F2937"/>
          <w:sz w:val="24"/>
          <w:szCs w:val="24"/>
        </w:rPr>
        <w:t>：计费方式（按容量 or 按最大需量）由配置决定，模拟器须沿用同一口径。</w:t>
      </w:r>
    </w:p>
    <w:p w14:paraId="6678D176">
      <w:pPr>
        <w:pStyle w:val="19"/>
        <w:widowControl/>
        <w:numPr>
          <w:ilvl w:val="0"/>
          <w:numId w:val="7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力调口径</w:t>
      </w:r>
      <w:r>
        <w:rPr>
          <w:rFonts w:ascii="Times New Roman" w:hAnsi="Times New Roman" w:eastAsia="宋体" w:cs="Times New Roman"/>
          <w:i w:val="0"/>
          <w:color w:val="1F2937"/>
          <w:sz w:val="24"/>
          <w:szCs w:val="24"/>
        </w:rPr>
        <w:t>：功率因数考核基准为 0.90；高于 0.90 为奖励（负值费用），低于为罚金。</w:t>
      </w:r>
    </w:p>
    <w:p w14:paraId="4774D17A">
      <w:pPr>
        <w:pStyle w:val="19"/>
        <w:widowControl/>
        <w:numPr>
          <w:ilvl w:val="0"/>
          <w:numId w:val="7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口径留痕</w:t>
      </w:r>
      <w:r>
        <w:rPr>
          <w:rFonts w:ascii="Times New Roman" w:hAnsi="Times New Roman" w:eastAsia="宋体" w:cs="Times New Roman"/>
          <w:i w:val="0"/>
          <w:color w:val="1F2937"/>
          <w:sz w:val="24"/>
          <w:szCs w:val="24"/>
        </w:rPr>
        <w:t>：费用测算结果可下钻查看所用电价版本与时段划分。</w:t>
      </w:r>
    </w:p>
    <w:p w14:paraId="6D8E3FF1">
      <w:pPr>
        <w:pStyle w:val="6"/>
        <w:numPr>
          <w:ilvl w:val="0"/>
          <w:numId w:val="7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29F46EB9">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44D5401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电价为 0 或未配置：禁止测算，页面提示"待配置当期能源价格"，不输出 0 元结果。</w:t>
            </w:r>
          </w:p>
          <w:p w14:paraId="26F0262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分时电量与总电量不匹配：按总电量为准，分时按比例归一并标注"分时数据待核对"。</w:t>
            </w:r>
          </w:p>
          <w:p w14:paraId="2CA26AB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除零兜底：总用能实物量为 0 时综合度电单价显示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p w14:paraId="1ABB627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模拟器输入非法：转移比例超出 0~100% 时输入框即时拦截并阻断测算。</w:t>
            </w:r>
          </w:p>
        </w:tc>
      </w:tr>
    </w:tbl>
    <w:p w14:paraId="47DECFFE">
      <w:pPr>
        <w:spacing w:after="40"/>
        <w:rPr>
          <w:rFonts w:hint="eastAsia" w:ascii="宋体" w:hAnsi="宋体" w:eastAsia="宋体" w:cs="宋体"/>
          <w:i w:val="0"/>
          <w:iCs w:val="0"/>
          <w:sz w:val="24"/>
          <w:szCs w:val="24"/>
        </w:rPr>
      </w:pPr>
    </w:p>
    <w:p w14:paraId="00D7EFC6">
      <w:pPr>
        <w:pStyle w:val="6"/>
        <w:numPr>
          <w:ilvl w:val="0"/>
          <w:numId w:val="70"/>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35F97649">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78145B1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能源成本分析与移峰填谷模拟</w:t>
            </w:r>
          </w:p>
          <w:p w14:paraId="666B0C2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电费构成完整核算</w:t>
            </w:r>
          </w:p>
          <w:p w14:paraId="153BC42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园区已配置当期生效的尖峰平谷电价与基本电费计费方式</w:t>
            </w:r>
          </w:p>
          <w:p w14:paraId="38D63C9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系统核算当月能源成本</w:t>
            </w:r>
          </w:p>
          <w:p w14:paraId="00C9E43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总用电成本 = 尖峰电费 + 高峰电费 + 平时段电费 + 低谷电费 + 基本电费 ± 功率因数调整电费</w:t>
            </w:r>
          </w:p>
          <w:p w14:paraId="42D1BD3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综合度电综合单价 = 总用能费用 / 总用能实物量</w:t>
            </w:r>
          </w:p>
          <w:p w14:paraId="37E964A7">
            <w:pPr>
              <w:spacing w:before="0" w:after="20" w:line="264" w:lineRule="auto"/>
              <w:rPr>
                <w:rFonts w:hint="eastAsia" w:ascii="宋体" w:hAnsi="宋体" w:eastAsia="宋体" w:cs="宋体"/>
                <w:i w:val="0"/>
                <w:iCs w:val="0"/>
                <w:sz w:val="24"/>
                <w:szCs w:val="24"/>
              </w:rPr>
            </w:pPr>
          </w:p>
          <w:p w14:paraId="78BB443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移峰填谷模拟器输入校验</w:t>
            </w:r>
          </w:p>
          <w:p w14:paraId="343E820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用户打开移峰填谷效益模拟器</w:t>
            </w:r>
          </w:p>
          <w:p w14:paraId="39200E5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输入预计转移负荷比例为 130%</w:t>
            </w:r>
          </w:p>
          <w:p w14:paraId="157A0EB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输入框即时拦截并阻断测算</w:t>
            </w:r>
          </w:p>
          <w:p w14:paraId="6F02AC9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页面提示转移比例须在 0% 至 100% 之间</w:t>
            </w:r>
          </w:p>
          <w:p w14:paraId="1F2845E0">
            <w:pPr>
              <w:spacing w:before="0" w:after="20" w:line="264" w:lineRule="auto"/>
              <w:rPr>
                <w:rFonts w:hint="eastAsia" w:ascii="宋体" w:hAnsi="宋体" w:eastAsia="宋体" w:cs="宋体"/>
                <w:i w:val="0"/>
                <w:iCs w:val="0"/>
                <w:sz w:val="24"/>
                <w:szCs w:val="24"/>
              </w:rPr>
            </w:pPr>
          </w:p>
          <w:p w14:paraId="1C3D7CB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力调电费预警</w:t>
            </w:r>
          </w:p>
          <w:p w14:paraId="24B7E36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园区当月平均功率因数为 0.86</w:t>
            </w:r>
          </w:p>
          <w:p w14:paraId="7B564D8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系统核算功率因数调整电费</w:t>
            </w:r>
          </w:p>
          <w:p w14:paraId="39C1CC9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页面以预警标识提示力调电费罚金</w:t>
            </w:r>
          </w:p>
          <w:p w14:paraId="4BBBC60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测算结果沿用国家电力力率调整系数表</w:t>
            </w:r>
          </w:p>
        </w:tc>
      </w:tr>
    </w:tbl>
    <w:p w14:paraId="17651FC7">
      <w:pPr>
        <w:spacing w:after="40"/>
        <w:rPr>
          <w:rFonts w:hint="eastAsia" w:ascii="宋体" w:hAnsi="宋体" w:eastAsia="宋体" w:cs="宋体"/>
          <w:i w:val="0"/>
          <w:iCs w:val="0"/>
          <w:sz w:val="24"/>
          <w:szCs w:val="24"/>
        </w:rPr>
      </w:pPr>
    </w:p>
    <w:p w14:paraId="3F042077">
      <w:pPr>
        <w:pStyle w:val="5"/>
        <w:numPr>
          <w:ilvl w:val="0"/>
          <w:numId w:val="64"/>
        </w:numPr>
        <w:ind w:left="0" w:leftChars="0" w:firstLine="0" w:firstLineChars="0"/>
        <w:outlineLvl w:val="1"/>
        <w:rPr>
          <w:rFonts w:eastAsia="黑体"/>
          <w:b w:val="0"/>
          <w:bCs w:val="0"/>
          <w:sz w:val="30"/>
          <w:szCs w:val="24"/>
        </w:rPr>
      </w:pPr>
      <w:bookmarkStart w:id="24" w:name="_Toc18198"/>
      <w:r>
        <w:rPr>
          <w:rFonts w:ascii="Times New Roman" w:hAnsi="Times New Roman" w:eastAsia="黑体" w:cs="Times New Roman"/>
          <w:b w:val="0"/>
          <w:bCs w:val="0"/>
          <w:sz w:val="30"/>
          <w:szCs w:val="24"/>
        </w:rPr>
        <w:t>单位产品能耗</w:t>
      </w:r>
      <w:bookmarkEnd w:id="24"/>
    </w:p>
    <w:p w14:paraId="31C6FF75">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25"/>
                    <a:stretch>
                      <a:fillRect/>
                    </a:stretch>
                  </pic:blipFill>
                  <pic:spPr>
                    <a:xfrm>
                      <a:off x="0" y="0"/>
                      <a:ext cx="6210300" cy="3079115"/>
                    </a:xfrm>
                    <a:prstGeom prst="rect">
                      <a:avLst/>
                    </a:prstGeom>
                    <a:noFill/>
                    <a:ln>
                      <a:noFill/>
                    </a:ln>
                  </pic:spPr>
                </pic:pic>
              </a:graphicData>
            </a:graphic>
          </wp:inline>
        </w:drawing>
      </w:r>
    </w:p>
    <w:p w14:paraId="631D6A94">
      <w:pPr>
        <w:pStyle w:val="6"/>
        <w:numPr>
          <w:ilvl w:val="0"/>
          <w:numId w:val="7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1472AA69">
      <w:pPr>
        <w:pStyle w:val="19"/>
        <w:widowControl/>
        <w:numPr>
          <w:ilvl w:val="0"/>
          <w:numId w:val="7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：变压器、电线电缆两大核心制造主业的单位产品综合能耗与单位电耗核算与权威基准对标。</w:t>
      </w:r>
    </w:p>
    <w:p w14:paraId="68844F4C">
      <w:pPr>
        <w:pStyle w:val="19"/>
        <w:widowControl/>
        <w:numPr>
          <w:ilvl w:val="0"/>
          <w:numId w:val="7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：制造车间主任、P2 园区能碳专员。</w:t>
      </w:r>
    </w:p>
    <w:p w14:paraId="0DE511DA">
      <w:pPr>
        <w:pStyle w:val="19"/>
        <w:widowControl/>
        <w:numPr>
          <w:ilvl w:val="0"/>
          <w:numId w:val="7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/monitor/analysis/unit-product </w:t>
      </w:r>
      <w:r>
        <w:rPr>
          <w:rFonts w:ascii="Times New Roman" w:hAnsi="Times New Roman" w:eastAsia="宋体" w:cs="Times New Roman"/>
          <w:i w:val="0"/>
          <w:color w:val="1F2937"/>
          <w:sz w:val="24"/>
          <w:szCs w:val="24"/>
        </w:rPr>
        <w:t>。</w:t>
      </w:r>
    </w:p>
    <w:p w14:paraId="2DFAD8E9">
      <w:pPr>
        <w:pStyle w:val="19"/>
        <w:widowControl/>
        <w:numPr>
          <w:ilvl w:val="0"/>
          <w:numId w:val="7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：ERP 物料主数据、MES 报工质检入库数据、车间能源分摊台账、基准管理国家准入先进值。</w:t>
      </w:r>
    </w:p>
    <w:p w14:paraId="7F0DCA74">
      <w:pPr>
        <w:pStyle w:val="19"/>
        <w:widowControl/>
        <w:numPr>
          <w:ilvl w:val="0"/>
          <w:numId w:val="7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：单耗报表、对标管理排名、零碳工厂自评估产品生态维度数据。</w:t>
      </w:r>
    </w:p>
    <w:p w14:paraId="31E4B3C6">
      <w:pPr>
        <w:pStyle w:val="6"/>
        <w:numPr>
          <w:ilvl w:val="0"/>
          <w:numId w:val="7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28DE765A">
      <w:pPr>
        <w:pStyle w:val="19"/>
        <w:widowControl/>
        <w:numPr>
          <w:ilvl w:val="0"/>
          <w:numId w:val="7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：变压器、电线电缆两大核心制造主业的单位产品综合能耗与单位电耗核算与权威基准对标。</w:t>
      </w:r>
    </w:p>
    <w:p w14:paraId="0012E66C">
      <w:pPr>
        <w:pStyle w:val="19"/>
        <w:widowControl/>
        <w:numPr>
          <w:ilvl w:val="0"/>
          <w:numId w:val="7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0BADAE09">
      <w:pPr>
        <w:pStyle w:val="19"/>
        <w:widowControl/>
        <w:numPr>
          <w:ilvl w:val="0"/>
          <w:numId w:val="7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制造车间主任</w:t>
      </w:r>
      <w:r>
        <w:rPr>
          <w:rFonts w:ascii="Times New Roman" w:hAnsi="Times New Roman" w:eastAsia="宋体" w:cs="Times New Roman"/>
          <w:i w:val="0"/>
          <w:color w:val="1F2937"/>
          <w:sz w:val="24"/>
          <w:szCs w:val="24"/>
        </w:rPr>
        <w:t>，</w:t>
      </w:r>
    </w:p>
    <w:p w14:paraId="5C458BD6">
      <w:pPr>
        <w:pStyle w:val="19"/>
        <w:widowControl/>
        <w:numPr>
          <w:ilvl w:val="0"/>
          <w:numId w:val="7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依据本车间变压器额定容量（万 kVA）或线缆长度（km）核算单台产品单耗，与行业先进基准对比</w:t>
      </w:r>
      <w:r>
        <w:rPr>
          <w:rFonts w:ascii="Times New Roman" w:hAnsi="Times New Roman" w:eastAsia="宋体" w:cs="Times New Roman"/>
          <w:i w:val="0"/>
          <w:color w:val="1F2937"/>
          <w:sz w:val="24"/>
          <w:szCs w:val="24"/>
        </w:rPr>
        <w:t>，</w:t>
      </w:r>
    </w:p>
    <w:p w14:paraId="6FC5E403">
      <w:pPr>
        <w:pStyle w:val="19"/>
        <w:widowControl/>
        <w:numPr>
          <w:ilvl w:val="0"/>
          <w:numId w:val="7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我能掌握生产工艺能效水平，推进技改升级</w:t>
      </w:r>
      <w:r>
        <w:rPr>
          <w:rFonts w:ascii="Times New Roman" w:hAnsi="Times New Roman" w:eastAsia="宋体" w:cs="Times New Roman"/>
          <w:i w:val="0"/>
          <w:color w:val="1F2937"/>
          <w:sz w:val="24"/>
          <w:szCs w:val="24"/>
        </w:rPr>
        <w:t>。</w:t>
      </w:r>
    </w:p>
    <w:p w14:paraId="309B6EF1">
      <w:pPr>
        <w:pStyle w:val="6"/>
        <w:numPr>
          <w:ilvl w:val="0"/>
          <w:numId w:val="7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79F3404F">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核心硬红线 1：分产业单耗物理量绝对隔离模型</w:t>
      </w:r>
    </w:p>
    <w:p w14:paraId="58A4723A">
      <w:pPr>
        <w:pStyle w:val="19"/>
        <w:widowControl/>
        <w:numPr>
          <w:ilvl w:val="0"/>
          <w:numId w:val="7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变压器产业（沈变、衡变、新变）：分母统一采用额定容量 </w:t>
      </w:r>
      <w:r>
        <w:rPr>
          <w:rFonts w:ascii="Times New Roman" w:hAnsi="Times New Roman" w:eastAsia="宋体" w:cs="Times New Roman"/>
          <w:b w:val="0"/>
          <w:i w:val="0"/>
          <w:color w:val="0284C7"/>
          <w:sz w:val="24"/>
          <w:szCs w:val="24"/>
        </w:rPr>
        <w:t xml:space="preserve"> 万kVA </w:t>
      </w:r>
      <w:r>
        <w:rPr>
          <w:rFonts w:ascii="Times New Roman" w:hAnsi="Times New Roman" w:eastAsia="宋体" w:cs="Times New Roman"/>
          <w:i w:val="0"/>
          <w:color w:val="1F2937"/>
          <w:sz w:val="24"/>
          <w:szCs w:val="24"/>
        </w:rPr>
        <w:t>（超特高压可折为 MVA），核算指标为</w:t>
      </w:r>
      <w:r>
        <w:rPr>
          <w:rFonts w:ascii="Times New Roman" w:hAnsi="Times New Roman" w:eastAsia="宋体" w:cs="Times New Roman"/>
          <w:b/>
          <w:i w:val="0"/>
          <w:color w:val="1E3A8A"/>
          <w:sz w:val="24"/>
          <w:szCs w:val="24"/>
        </w:rPr>
        <w:t>单位产品综合能耗 (tce/万kVA)</w:t>
      </w:r>
      <w:r>
        <w:rPr>
          <w:rFonts w:ascii="Times New Roman" w:hAnsi="Times New Roman" w:eastAsia="宋体" w:cs="Times New Roman"/>
          <w:i w:val="0"/>
          <w:color w:val="1F2937"/>
          <w:sz w:val="24"/>
          <w:szCs w:val="24"/>
        </w:rPr>
        <w:t>、</w:t>
      </w:r>
      <w:r>
        <w:rPr>
          <w:rFonts w:ascii="Times New Roman" w:hAnsi="Times New Roman" w:eastAsia="宋体" w:cs="Times New Roman"/>
          <w:b/>
          <w:i w:val="0"/>
          <w:color w:val="1E3A8A"/>
          <w:sz w:val="24"/>
          <w:szCs w:val="24"/>
        </w:rPr>
        <w:t>单位产品电耗 (kWh/万kVA)</w:t>
      </w:r>
      <w:r>
        <w:rPr>
          <w:rFonts w:ascii="Times New Roman" w:hAnsi="Times New Roman" w:eastAsia="宋体" w:cs="Times New Roman"/>
          <w:i w:val="0"/>
          <w:color w:val="1F2937"/>
          <w:sz w:val="24"/>
          <w:szCs w:val="24"/>
        </w:rPr>
        <w:t>、</w:t>
      </w:r>
      <w:r>
        <w:rPr>
          <w:rFonts w:ascii="Times New Roman" w:hAnsi="Times New Roman" w:eastAsia="宋体" w:cs="Times New Roman"/>
          <w:b/>
          <w:i w:val="0"/>
          <w:color w:val="1E3A8A"/>
          <w:sz w:val="24"/>
          <w:szCs w:val="24"/>
        </w:rPr>
        <w:t>单位产品蒸汽消耗 (t/万kVA)</w:t>
      </w:r>
      <w:r>
        <w:rPr>
          <w:rFonts w:ascii="Times New Roman" w:hAnsi="Times New Roman" w:eastAsia="宋体" w:cs="Times New Roman"/>
          <w:i w:val="0"/>
          <w:color w:val="1F2937"/>
          <w:sz w:val="24"/>
          <w:szCs w:val="24"/>
        </w:rPr>
        <w:t>。</w:t>
      </w:r>
    </w:p>
    <w:p w14:paraId="22AAE6AE">
      <w:pPr>
        <w:pStyle w:val="19"/>
        <w:widowControl/>
        <w:numPr>
          <w:ilvl w:val="0"/>
          <w:numId w:val="7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电线电缆产业（鲁缆、新缆、德缆）：分母统一采用产品长度 </w:t>
      </w:r>
      <w:r>
        <w:rPr>
          <w:rFonts w:ascii="Times New Roman" w:hAnsi="Times New Roman" w:eastAsia="宋体" w:cs="Times New Roman"/>
          <w:b w:val="0"/>
          <w:i w:val="0"/>
          <w:color w:val="0284C7"/>
          <w:sz w:val="24"/>
          <w:szCs w:val="24"/>
        </w:rPr>
        <w:t xml:space="preserve"> km </w:t>
      </w:r>
      <w:r>
        <w:rPr>
          <w:rFonts w:ascii="Times New Roman" w:hAnsi="Times New Roman" w:eastAsia="宋体" w:cs="Times New Roman"/>
          <w:i w:val="0"/>
          <w:color w:val="1F2937"/>
          <w:sz w:val="24"/>
          <w:szCs w:val="24"/>
        </w:rPr>
        <w:t xml:space="preserve">（或截面标称 </w:t>
      </w:r>
      <w:r>
        <w:rPr>
          <w:rFonts w:ascii="Times New Roman" w:hAnsi="Times New Roman" w:eastAsia="宋体" w:cs="Times New Roman"/>
          <w:b w:val="0"/>
          <w:i w:val="0"/>
          <w:color w:val="0284C7"/>
          <w:sz w:val="24"/>
          <w:szCs w:val="24"/>
        </w:rPr>
        <w:t xml:space="preserve"> 万km·mm² </w:t>
      </w:r>
      <w:r>
        <w:rPr>
          <w:rFonts w:ascii="Times New Roman" w:hAnsi="Times New Roman" w:eastAsia="宋体" w:cs="Times New Roman"/>
          <w:i w:val="0"/>
          <w:color w:val="1F2937"/>
          <w:sz w:val="24"/>
          <w:szCs w:val="24"/>
        </w:rPr>
        <w:t>），核算指标为</w:t>
      </w:r>
      <w:r>
        <w:rPr>
          <w:rFonts w:ascii="Times New Roman" w:hAnsi="Times New Roman" w:eastAsia="宋体" w:cs="Times New Roman"/>
          <w:b/>
          <w:i w:val="0"/>
          <w:color w:val="1E3A8A"/>
          <w:sz w:val="24"/>
          <w:szCs w:val="24"/>
        </w:rPr>
        <w:t>单位产品综合能耗 (tce/km)</w:t>
      </w:r>
      <w:r>
        <w:rPr>
          <w:rFonts w:ascii="Times New Roman" w:hAnsi="Times New Roman" w:eastAsia="宋体" w:cs="Times New Roman"/>
          <w:i w:val="0"/>
          <w:color w:val="1F2937"/>
          <w:sz w:val="24"/>
          <w:szCs w:val="24"/>
        </w:rPr>
        <w:t>、</w:t>
      </w:r>
      <w:r>
        <w:rPr>
          <w:rFonts w:ascii="Times New Roman" w:hAnsi="Times New Roman" w:eastAsia="宋体" w:cs="Times New Roman"/>
          <w:b/>
          <w:i w:val="0"/>
          <w:color w:val="1E3A8A"/>
          <w:sz w:val="24"/>
          <w:szCs w:val="24"/>
        </w:rPr>
        <w:t>单位产品电耗 (kWh/km)</w:t>
      </w:r>
      <w:r>
        <w:rPr>
          <w:rFonts w:ascii="Times New Roman" w:hAnsi="Times New Roman" w:eastAsia="宋体" w:cs="Times New Roman"/>
          <w:i w:val="0"/>
          <w:color w:val="1F2937"/>
          <w:sz w:val="24"/>
          <w:szCs w:val="24"/>
        </w:rPr>
        <w:t>。</w:t>
      </w:r>
    </w:p>
    <w:p w14:paraId="1EA941F8">
      <w:pPr>
        <w:pStyle w:val="19"/>
        <w:widowControl/>
        <w:numPr>
          <w:ilvl w:val="0"/>
          <w:numId w:val="7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隔离铁律</w:t>
      </w:r>
      <w:r>
        <w:rPr>
          <w:rFonts w:ascii="Times New Roman" w:hAnsi="Times New Roman" w:eastAsia="宋体" w:cs="Times New Roman"/>
          <w:i w:val="0"/>
          <w:color w:val="1F2937"/>
          <w:sz w:val="24"/>
          <w:szCs w:val="24"/>
        </w:rPr>
        <w:t>：两类产业单耗在数据库结构、底层 API 响应、页面表格及导出文件中绝对禁止混编在同一统计列中，禁止跨产业直接对比。</w:t>
      </w:r>
    </w:p>
    <w:p w14:paraId="41F63D06">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核心硬红线 2：除零安全防御机制</w:t>
      </w:r>
      <w:r>
        <w:rPr>
          <w:rFonts w:ascii="Times New Roman" w:hAnsi="Times New Roman" w:eastAsia="宋体" w:cs="Times New Roman"/>
          <w:i w:val="0"/>
          <w:color w:val="1F2937"/>
          <w:sz w:val="24"/>
          <w:szCs w:val="24"/>
        </w:rPr>
        <w:t xml:space="preserve">：当统计周期内产量 = 0 时，前端与后端单耗统一安全兜底显示为 </w:t>
      </w:r>
      <w:r>
        <w:rPr>
          <w:rFonts w:ascii="Times New Roman" w:hAnsi="Times New Roman" w:eastAsia="宋体" w:cs="Times New Roman"/>
          <w:b w:val="0"/>
          <w:i w:val="0"/>
          <w:color w:val="0284C7"/>
          <w:sz w:val="24"/>
          <w:szCs w:val="24"/>
        </w:rPr>
        <w:t xml:space="preserve"> -- </w:t>
      </w:r>
      <w:r>
        <w:rPr>
          <w:rFonts w:ascii="Times New Roman" w:hAnsi="Times New Roman" w:eastAsia="宋体" w:cs="Times New Roman"/>
          <w:i w:val="0"/>
          <w:color w:val="1F2937"/>
          <w:sz w:val="24"/>
          <w:szCs w:val="24"/>
        </w:rPr>
        <w:t xml:space="preserve">，严禁抛出 </w:t>
      </w:r>
      <w:r>
        <w:rPr>
          <w:rFonts w:ascii="Times New Roman" w:hAnsi="Times New Roman" w:eastAsia="宋体" w:cs="Times New Roman"/>
          <w:b w:val="0"/>
          <w:i w:val="0"/>
          <w:color w:val="0284C7"/>
          <w:sz w:val="24"/>
          <w:szCs w:val="24"/>
        </w:rPr>
        <w:t xml:space="preserve"> NaN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Infinity </w:t>
      </w:r>
      <w:r>
        <w:rPr>
          <w:rFonts w:ascii="Times New Roman" w:hAnsi="Times New Roman" w:eastAsia="宋体" w:cs="Times New Roman"/>
          <w:i w:val="0"/>
          <w:color w:val="1F2937"/>
          <w:sz w:val="24"/>
          <w:szCs w:val="24"/>
        </w:rPr>
        <w:t xml:space="preserve"> 或空指针异常。</w:t>
      </w:r>
    </w:p>
    <w:p w14:paraId="77F61F3F">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核心硬红线 3：10 家无工序单位精准判空</w:t>
      </w:r>
      <w:r>
        <w:rPr>
          <w:rFonts w:ascii="Times New Roman" w:hAnsi="Times New Roman" w:eastAsia="宋体" w:cs="Times New Roman"/>
          <w:i w:val="0"/>
          <w:color w:val="1F2937"/>
          <w:sz w:val="24"/>
          <w:szCs w:val="24"/>
        </w:rPr>
        <w:t>：当切换至沈变智慧能源、印能公司、衡变南京电研、衡变上开、衡变柯贝尔、新变智慧能源、新变银利电气、鲁缆智缆、鲁缆昭和、鲁缆曙光等 10 家无工序直属单位时，单耗工序业务区整行单行干练输出：</w:t>
      </w:r>
      <w:r>
        <w:rPr>
          <w:rFonts w:ascii="Times New Roman" w:hAnsi="Times New Roman" w:eastAsia="宋体" w:cs="Times New Roman"/>
          <w:b w:val="0"/>
          <w:i w:val="0"/>
          <w:color w:val="0284C7"/>
          <w:sz w:val="24"/>
          <w:szCs w:val="24"/>
        </w:rPr>
        <w:t xml:space="preserve"> 暂无相关工序！ </w:t>
      </w:r>
    </w:p>
    <w:p w14:paraId="72FB4434">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展示与交互规则：</w:t>
      </w:r>
    </w:p>
    <w:p w14:paraId="22957710">
      <w:pPr>
        <w:pStyle w:val="19"/>
        <w:widowControl/>
        <w:numPr>
          <w:ilvl w:val="0"/>
          <w:numId w:val="7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维度选择</w:t>
      </w:r>
      <w:r>
        <w:rPr>
          <w:rFonts w:ascii="Times New Roman" w:hAnsi="Times New Roman" w:eastAsia="宋体" w:cs="Times New Roman"/>
          <w:i w:val="0"/>
          <w:color w:val="1F2937"/>
          <w:sz w:val="24"/>
          <w:szCs w:val="24"/>
        </w:rPr>
        <w:t>：组织（集团 / 产业 / 二级公司 / 车间）+ 产品型号 + 统计周期。</w:t>
      </w:r>
    </w:p>
    <w:p w14:paraId="3E50E3C9">
      <w:pPr>
        <w:pStyle w:val="19"/>
        <w:widowControl/>
        <w:numPr>
          <w:ilvl w:val="0"/>
          <w:numId w:val="7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展示内容</w:t>
      </w:r>
      <w:r>
        <w:rPr>
          <w:rFonts w:ascii="Times New Roman" w:hAnsi="Times New Roman" w:eastAsia="宋体" w:cs="Times New Roman"/>
          <w:i w:val="0"/>
          <w:color w:val="1F2937"/>
          <w:sz w:val="24"/>
          <w:szCs w:val="24"/>
        </w:rPr>
        <w:t>：单位产品综合能耗趋势曲线、同比/环比变动率、与准入基准偏差。</w:t>
      </w:r>
    </w:p>
    <w:p w14:paraId="18EFD906">
      <w:pPr>
        <w:pStyle w:val="19"/>
        <w:widowControl/>
        <w:numPr>
          <w:ilvl w:val="0"/>
          <w:numId w:val="7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纵向对比原则</w:t>
      </w:r>
      <w:r>
        <w:rPr>
          <w:rFonts w:ascii="Times New Roman" w:hAnsi="Times New Roman" w:eastAsia="宋体" w:cs="Times New Roman"/>
          <w:i w:val="0"/>
          <w:color w:val="1F2937"/>
          <w:sz w:val="24"/>
          <w:szCs w:val="24"/>
        </w:rPr>
        <w:t>：各基地与车间仅与自身历史对比，严禁跨产业/跨厂横向拉踩。</w:t>
      </w:r>
    </w:p>
    <w:p w14:paraId="4E9C22B5">
      <w:pPr>
        <w:pStyle w:val="19"/>
        <w:widowControl/>
        <w:numPr>
          <w:ilvl w:val="0"/>
          <w:numId w:val="0"/>
        </w:numPr>
        <w:adjustRightInd w:val="0"/>
        <w:spacing w:before="100" w:after="100" w:afterLines="0" w:afterAutospacing="0" w:line="300" w:lineRule="auto"/>
        <w:jc w:val="both"/>
        <w:rPr>
          <w:rFonts w:ascii="Times New Roman" w:hAnsi="Times New Roman" w:eastAsia="宋体" w:cs="Times New Roman"/>
          <w:i w:val="0"/>
          <w:color w:val="1F2937"/>
          <w:sz w:val="24"/>
          <w:szCs w:val="24"/>
        </w:rPr>
      </w:pPr>
    </w:p>
    <w:p w14:paraId="06DEF6A0">
      <w:pPr>
        <w:pStyle w:val="19"/>
        <w:widowControl/>
        <w:numPr>
          <w:ilvl w:val="0"/>
          <w:numId w:val="0"/>
        </w:numPr>
        <w:adjustRightInd w:val="0"/>
        <w:spacing w:before="100" w:after="100" w:afterLines="0" w:afterAutospacing="0" w:line="300" w:lineRule="auto"/>
        <w:jc w:val="both"/>
        <w:rPr>
          <w:rFonts w:ascii="Times New Roman" w:hAnsi="Times New Roman" w:eastAsia="宋体" w:cs="Times New Roman"/>
          <w:i w:val="0"/>
          <w:color w:val="1F2937"/>
          <w:sz w:val="24"/>
          <w:szCs w:val="24"/>
        </w:rPr>
      </w:pPr>
    </w:p>
    <w:p w14:paraId="4B6AE647">
      <w:pPr>
        <w:pStyle w:val="6"/>
        <w:numPr>
          <w:ilvl w:val="0"/>
          <w:numId w:val="7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56"/>
        <w:gridCol w:w="1900"/>
        <w:gridCol w:w="1339"/>
        <w:gridCol w:w="2139"/>
        <w:gridCol w:w="3550"/>
      </w:tblGrid>
      <w:tr w14:paraId="40B1999F">
        <w:tblPrEx>
          <w:tblCellMar>
            <w:top w:w="0" w:type="dxa"/>
            <w:left w:w="108" w:type="dxa"/>
            <w:bottom w:w="0" w:type="dxa"/>
            <w:right w:w="108" w:type="dxa"/>
          </w:tblCellMar>
        </w:tblPrEx>
        <w:trPr>
          <w:tblHeade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DA06F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D0096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2A594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21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C98DD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5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ABE8E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计算规则与防错逻辑</w:t>
            </w:r>
          </w:p>
        </w:tc>
      </w:tr>
      <w:tr w14:paraId="736044A5">
        <w:tblPrEx>
          <w:tblCellMar>
            <w:top w:w="0" w:type="dxa"/>
            <w:left w:w="108" w:type="dxa"/>
            <w:bottom w:w="0" w:type="dxa"/>
            <w:right w:w="108" w:type="dxa"/>
          </w:tblCellMar>
        </w:tblPrEx>
        <w:trPr>
          <w:tblHeade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8097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1284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产品型号编码</w:t>
            </w:r>
          </w:p>
        </w:tc>
        <w:tc>
          <w:tcPr>
            <w:tcW w:w="1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948D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21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2978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2689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 物料主数据唯一编码</w:t>
            </w:r>
          </w:p>
        </w:tc>
      </w:tr>
      <w:tr w14:paraId="09F65791">
        <w:tblPrEx>
          <w:tblCellMar>
            <w:top w:w="0" w:type="dxa"/>
            <w:left w:w="108" w:type="dxa"/>
            <w:bottom w:w="0" w:type="dxa"/>
            <w:right w:w="108" w:type="dxa"/>
          </w:tblCellMar>
        </w:tblPrEx>
        <w:trP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B1F9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79AC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所属产业分类</w:t>
            </w:r>
          </w:p>
        </w:tc>
        <w:tc>
          <w:tcPr>
            <w:tcW w:w="1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4EE7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21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8CB1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变压器/线缆</w:t>
            </w:r>
          </w:p>
        </w:tc>
        <w:tc>
          <w:tcPr>
            <w:tcW w:w="35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EE48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严格决定分母物理量量纲</w:t>
            </w:r>
          </w:p>
        </w:tc>
      </w:tr>
      <w:tr w14:paraId="33CE9147">
        <w:tblPrEx>
          <w:tblCellMar>
            <w:top w:w="0" w:type="dxa"/>
            <w:left w:w="108" w:type="dxa"/>
            <w:bottom w:w="0" w:type="dxa"/>
            <w:right w:w="108" w:type="dxa"/>
          </w:tblCellMar>
        </w:tblPrEx>
        <w:trP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BEF6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ADB6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当期合格品产量</w:t>
            </w:r>
          </w:p>
        </w:tc>
        <w:tc>
          <w:tcPr>
            <w:tcW w:w="1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7320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21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7CC3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 或 km·mm²</w:t>
            </w:r>
          </w:p>
        </w:tc>
        <w:tc>
          <w:tcPr>
            <w:tcW w:w="35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C434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MES 报工质检入库总量，若为 0 单耗置 </w:t>
            </w:r>
            <w:r>
              <w:rPr>
                <w:rFonts w:hint="eastAsia" w:ascii="宋体" w:hAnsi="宋体" w:eastAsia="宋体" w:cs="宋体"/>
                <w:b w:val="0"/>
                <w:i w:val="0"/>
                <w:iCs w:val="0"/>
                <w:color w:val="0284C7"/>
                <w:sz w:val="24"/>
                <w:szCs w:val="24"/>
              </w:rPr>
              <w:t xml:space="preserve"> -- </w:t>
            </w:r>
          </w:p>
        </w:tc>
      </w:tr>
      <w:tr w14:paraId="37C6DAE6">
        <w:tblPrEx>
          <w:tblCellMar>
            <w:top w:w="0" w:type="dxa"/>
            <w:left w:w="108" w:type="dxa"/>
            <w:bottom w:w="0" w:type="dxa"/>
            <w:right w:w="108" w:type="dxa"/>
          </w:tblCellMar>
        </w:tblPrEx>
        <w:trP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DC1F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76F0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当期消耗总标煤量</w:t>
            </w:r>
          </w:p>
        </w:tc>
        <w:tc>
          <w:tcPr>
            <w:tcW w:w="1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E35C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21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75189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35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26E7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车间各能源介质按工序分摊折标煤累加</w:t>
            </w:r>
          </w:p>
        </w:tc>
      </w:tr>
      <w:tr w14:paraId="46557018">
        <w:tblPrEx>
          <w:tblCellMar>
            <w:top w:w="0" w:type="dxa"/>
            <w:left w:w="108" w:type="dxa"/>
            <w:bottom w:w="0" w:type="dxa"/>
            <w:right w:w="108" w:type="dxa"/>
          </w:tblCellMar>
        </w:tblPrEx>
        <w:trP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D6D8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35AC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单位产品综合能耗</w:t>
            </w:r>
          </w:p>
        </w:tc>
        <w:tc>
          <w:tcPr>
            <w:tcW w:w="1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C47B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21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DC95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tce/kVA 或 tce/km·mm²</w:t>
            </w:r>
          </w:p>
        </w:tc>
        <w:tc>
          <w:tcPr>
            <w:tcW w:w="35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0828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period\_energy\_tce / period\_output</w:t>
            </w:r>
          </w:p>
        </w:tc>
      </w:tr>
      <w:tr w14:paraId="25713AD9">
        <w:tblPrEx>
          <w:tblCellMar>
            <w:top w:w="0" w:type="dxa"/>
            <w:left w:w="108" w:type="dxa"/>
            <w:bottom w:w="0" w:type="dxa"/>
            <w:right w:w="108" w:type="dxa"/>
          </w:tblCellMar>
        </w:tblPrEx>
        <w:trP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0BFD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5DEC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同比变动率</w:t>
            </w:r>
          </w:p>
        </w:tc>
        <w:tc>
          <w:tcPr>
            <w:tcW w:w="1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8B1FF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21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0AD5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ADFE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(本期单耗 − 去年同期) / 去年同期 × 100%</w:t>
            </w:r>
          </w:p>
        </w:tc>
      </w:tr>
      <w:tr w14:paraId="52166B94">
        <w:tblPrEx>
          <w:tblCellMar>
            <w:top w:w="0" w:type="dxa"/>
            <w:left w:w="108" w:type="dxa"/>
            <w:bottom w:w="0" w:type="dxa"/>
            <w:right w:w="108" w:type="dxa"/>
          </w:tblCellMar>
        </w:tblPrEx>
        <w:trP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7B96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A693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环比变动率</w:t>
            </w:r>
          </w:p>
        </w:tc>
        <w:tc>
          <w:tcPr>
            <w:tcW w:w="1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B41A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21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6535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82FA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(本期单耗 − 上月单耗) / 上月单耗 × 100%</w:t>
            </w:r>
          </w:p>
        </w:tc>
      </w:tr>
      <w:tr w14:paraId="78598039">
        <w:tblPrEx>
          <w:tblCellMar>
            <w:top w:w="0" w:type="dxa"/>
            <w:left w:w="108" w:type="dxa"/>
            <w:bottom w:w="0" w:type="dxa"/>
            <w:right w:w="108" w:type="dxa"/>
          </w:tblCellMar>
        </w:tblPrEx>
        <w:trP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2D18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9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FAAA4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与准入基准偏差</w:t>
            </w:r>
          </w:p>
        </w:tc>
        <w:tc>
          <w:tcPr>
            <w:tcW w:w="1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4B6D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21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33E9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tce/单位</w:t>
            </w:r>
          </w:p>
        </w:tc>
        <w:tc>
          <w:tcPr>
            <w:tcW w:w="35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EB2B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本期单耗 − 国家准入先进值</w:t>
            </w:r>
          </w:p>
        </w:tc>
      </w:tr>
    </w:tbl>
    <w:p w14:paraId="111B33A5">
      <w:pPr>
        <w:spacing w:after="60"/>
        <w:rPr>
          <w:rFonts w:hint="eastAsia" w:ascii="宋体" w:hAnsi="宋体" w:eastAsia="宋体" w:cs="宋体"/>
          <w:i w:val="0"/>
          <w:iCs w:val="0"/>
          <w:sz w:val="24"/>
          <w:szCs w:val="24"/>
        </w:rPr>
      </w:pPr>
    </w:p>
    <w:p w14:paraId="744FEE8F">
      <w:pPr>
        <w:pStyle w:val="6"/>
        <w:numPr>
          <w:ilvl w:val="0"/>
          <w:numId w:val="7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7E032409">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643FDA3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e_unit = E_period / M_period                        单位产品综合能耗</w:t>
            </w:r>
          </w:p>
          <w:p w14:paraId="14EC3F3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q_unit = Q_period / M_period                        单位产品电耗</w:t>
            </w:r>
          </w:p>
          <w:p w14:paraId="53E660D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MoM = ( e_t - e_{t-1} ) / e_{t-1} × 100%            环比变动率</w:t>
            </w:r>
          </w:p>
          <w:p w14:paraId="5DA2A17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YoY = ( e_t - e_{t-12} ) / e_{t-12} × 100%          同比变动率</w:t>
            </w:r>
          </w:p>
          <w:p w14:paraId="7A3A8F1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Gap = e_unit - Benchmark_admission                  与准入基准偏差</w:t>
            </w:r>
          </w:p>
          <w:p w14:paraId="05EB98F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Guard: M_period = 0 → display "--"                  除零安全兜底</w:t>
            </w:r>
          </w:p>
        </w:tc>
      </w:tr>
    </w:tbl>
    <w:p w14:paraId="15157736">
      <w:pPr>
        <w:spacing w:after="40"/>
        <w:rPr>
          <w:rFonts w:hint="eastAsia" w:ascii="宋体" w:hAnsi="宋体" w:eastAsia="宋体" w:cs="宋体"/>
          <w:i w:val="0"/>
          <w:iCs w:val="0"/>
          <w:sz w:val="24"/>
          <w:szCs w:val="24"/>
        </w:rPr>
      </w:pPr>
    </w:p>
    <w:p w14:paraId="5D91DF20">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E_period </w:t>
      </w:r>
      <w:r>
        <w:rPr>
          <w:rFonts w:ascii="Times New Roman" w:hAnsi="Times New Roman" w:eastAsia="宋体" w:cs="Times New Roman"/>
          <w:i w:val="0"/>
          <w:color w:val="1F2937"/>
          <w:sz w:val="24"/>
          <w:szCs w:val="24"/>
        </w:rPr>
        <w:t xml:space="preserve"> 为统计周期内该产品分摊的折标煤总量（tce）；</w:t>
      </w:r>
      <w:r>
        <w:rPr>
          <w:rFonts w:ascii="Times New Roman" w:hAnsi="Times New Roman" w:eastAsia="宋体" w:cs="Times New Roman"/>
          <w:b w:val="0"/>
          <w:i w:val="0"/>
          <w:color w:val="0284C7"/>
          <w:sz w:val="24"/>
          <w:szCs w:val="24"/>
        </w:rPr>
        <w:t xml:space="preserve"> M_period </w:t>
      </w:r>
      <w:r>
        <w:rPr>
          <w:rFonts w:ascii="Times New Roman" w:hAnsi="Times New Roman" w:eastAsia="宋体" w:cs="Times New Roman"/>
          <w:i w:val="0"/>
          <w:color w:val="1F2937"/>
          <w:sz w:val="24"/>
          <w:szCs w:val="24"/>
        </w:rPr>
        <w:t xml:space="preserve"> 为当期合格品产量（变压器：kVA 或万 kVA；线缆：km 或 km·mm²）；</w:t>
      </w:r>
      <w:r>
        <w:rPr>
          <w:rFonts w:ascii="Times New Roman" w:hAnsi="Times New Roman" w:eastAsia="宋体" w:cs="Times New Roman"/>
          <w:b w:val="0"/>
          <w:i w:val="0"/>
          <w:color w:val="0284C7"/>
          <w:sz w:val="24"/>
          <w:szCs w:val="24"/>
        </w:rPr>
        <w:t xml:space="preserve"> Benchmark_admission </w:t>
      </w:r>
      <w:r>
        <w:rPr>
          <w:rFonts w:ascii="Times New Roman" w:hAnsi="Times New Roman" w:eastAsia="宋体" w:cs="Times New Roman"/>
          <w:i w:val="0"/>
          <w:color w:val="1F2937"/>
          <w:sz w:val="24"/>
          <w:szCs w:val="24"/>
        </w:rPr>
        <w:t xml:space="preserve"> 为国家准入先进值。</w:t>
      </w:r>
    </w:p>
    <w:p w14:paraId="77D46BD3">
      <w:pPr>
        <w:pStyle w:val="6"/>
        <w:numPr>
          <w:ilvl w:val="0"/>
          <w:numId w:val="7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0170F122">
      <w:pPr>
        <w:pStyle w:val="19"/>
        <w:widowControl/>
        <w:numPr>
          <w:ilvl w:val="0"/>
          <w:numId w:val="7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分母口径</w:t>
      </w:r>
      <w:r>
        <w:rPr>
          <w:rFonts w:ascii="Times New Roman" w:hAnsi="Times New Roman" w:eastAsia="宋体" w:cs="Times New Roman"/>
          <w:i w:val="0"/>
          <w:color w:val="1F2937"/>
          <w:sz w:val="24"/>
          <w:szCs w:val="24"/>
        </w:rPr>
        <w:t>：分母量纲由产业分类严格决定，变压器为 kVA 系，线缆为 km·mm² 系。</w:t>
      </w:r>
    </w:p>
    <w:p w14:paraId="0FC0FEC8">
      <w:pPr>
        <w:pStyle w:val="19"/>
        <w:widowControl/>
        <w:numPr>
          <w:ilvl w:val="0"/>
          <w:numId w:val="7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：各基地与车间仅与自身历史对比，不跨产业、不跨厂横向拉踩。</w:t>
      </w:r>
    </w:p>
    <w:p w14:paraId="26301818">
      <w:pPr>
        <w:pStyle w:val="19"/>
        <w:widowControl/>
        <w:numPr>
          <w:ilvl w:val="0"/>
          <w:numId w:val="7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基准口径</w:t>
      </w:r>
      <w:r>
        <w:rPr>
          <w:rFonts w:ascii="Times New Roman" w:hAnsi="Times New Roman" w:eastAsia="宋体" w:cs="Times New Roman"/>
          <w:i w:val="0"/>
          <w:color w:val="1F2937"/>
          <w:sz w:val="24"/>
          <w:szCs w:val="24"/>
        </w:rPr>
        <w:t>：叠加国家限额先进值与准入值参考线；距基准偏差以数值呈现。</w:t>
      </w:r>
    </w:p>
    <w:p w14:paraId="70F806B2">
      <w:pPr>
        <w:pStyle w:val="19"/>
        <w:widowControl/>
        <w:numPr>
          <w:ilvl w:val="0"/>
          <w:numId w:val="7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状态判定</w:t>
      </w:r>
      <w:r>
        <w:rPr>
          <w:rFonts w:ascii="Times New Roman" w:hAnsi="Times New Roman" w:eastAsia="宋体" w:cs="Times New Roman"/>
          <w:i w:val="0"/>
          <w:color w:val="1F2937"/>
          <w:sz w:val="24"/>
          <w:szCs w:val="24"/>
        </w:rPr>
        <w:t>：按标杆值/基准值三色判定，点击指标进入二级详情。</w:t>
      </w:r>
    </w:p>
    <w:p w14:paraId="7190A570">
      <w:pPr>
        <w:pStyle w:val="6"/>
        <w:numPr>
          <w:ilvl w:val="0"/>
          <w:numId w:val="7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7B67973C">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5D41986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月度产量为 0：单耗显示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 xml:space="preserve">，触发 </w:t>
            </w:r>
            <w:r>
              <w:rPr>
                <w:rFonts w:hint="eastAsia" w:ascii="宋体" w:hAnsi="宋体" w:eastAsia="宋体" w:cs="宋体"/>
                <w:b w:val="0"/>
                <w:i w:val="0"/>
                <w:iCs w:val="0"/>
                <w:color w:val="0284C7"/>
                <w:sz w:val="24"/>
                <w:szCs w:val="24"/>
              </w:rPr>
              <w:t xml:space="preserve"> E_CALC_UNIT_DIV_ZERO_SOFT </w:t>
            </w:r>
            <w:r>
              <w:rPr>
                <w:rFonts w:hint="eastAsia" w:ascii="宋体" w:hAnsi="宋体" w:eastAsia="宋体" w:cs="宋体"/>
                <w:i w:val="0"/>
                <w:iCs w:val="0"/>
                <w:color w:val="1F2937"/>
                <w:sz w:val="24"/>
                <w:szCs w:val="24"/>
              </w:rPr>
              <w:t>；严禁 NaN 或白屏。</w:t>
            </w:r>
          </w:p>
          <w:p w14:paraId="75BAF4F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产量录入负数：触发 </w:t>
            </w:r>
            <w:r>
              <w:rPr>
                <w:rFonts w:hint="eastAsia" w:ascii="宋体" w:hAnsi="宋体" w:eastAsia="宋体" w:cs="宋体"/>
                <w:b w:val="0"/>
                <w:i w:val="0"/>
                <w:iCs w:val="0"/>
                <w:color w:val="0284C7"/>
                <w:sz w:val="24"/>
                <w:szCs w:val="24"/>
              </w:rPr>
              <w:t xml:space="preserve"> E_VAL_PROD_QTY_NEGATIVE </w:t>
            </w:r>
            <w:r>
              <w:rPr>
                <w:rFonts w:hint="eastAsia" w:ascii="宋体" w:hAnsi="宋体" w:eastAsia="宋体" w:cs="宋体"/>
                <w:i w:val="0"/>
                <w:iCs w:val="0"/>
                <w:color w:val="1F2937"/>
                <w:sz w:val="24"/>
                <w:szCs w:val="24"/>
              </w:rPr>
              <w:t>，前端红框拦截阻断提交。</w:t>
            </w:r>
          </w:p>
          <w:p w14:paraId="7CD7F0F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无工序单位：触发 </w:t>
            </w:r>
            <w:r>
              <w:rPr>
                <w:rFonts w:hint="eastAsia" w:ascii="宋体" w:hAnsi="宋体" w:eastAsia="宋体" w:cs="宋体"/>
                <w:b w:val="0"/>
                <w:i w:val="0"/>
                <w:iCs w:val="0"/>
                <w:color w:val="0284C7"/>
                <w:sz w:val="24"/>
                <w:szCs w:val="24"/>
              </w:rPr>
              <w:t xml:space="preserve"> E_QM_WHITE_LIST_MISS </w:t>
            </w:r>
            <w:r>
              <w:rPr>
                <w:rFonts w:hint="eastAsia" w:ascii="宋体" w:hAnsi="宋体" w:eastAsia="宋体" w:cs="宋体"/>
                <w:i w:val="0"/>
                <w:iCs w:val="0"/>
                <w:color w:val="1F2937"/>
                <w:sz w:val="24"/>
                <w:szCs w:val="24"/>
              </w:rPr>
              <w:t>，整行输出"暂无相关工序！"。</w:t>
            </w:r>
          </w:p>
          <w:p w14:paraId="3CEC447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跨产业混算：数据库与 API 层面通过量纲字段强约束，禁止跨产业同列。</w:t>
            </w:r>
          </w:p>
          <w:p w14:paraId="7D7D5C5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锁账拦截：已关账月度的产量数据禁止修改，触发 </w:t>
            </w:r>
            <w:r>
              <w:rPr>
                <w:rFonts w:hint="eastAsia" w:ascii="宋体" w:hAnsi="宋体" w:eastAsia="宋体" w:cs="宋体"/>
                <w:b w:val="0"/>
                <w:i w:val="0"/>
                <w:iCs w:val="0"/>
                <w:color w:val="0284C7"/>
                <w:sz w:val="24"/>
                <w:szCs w:val="24"/>
              </w:rPr>
              <w:t xml:space="preserve"> E_SYS_ENTRY_ALREADY_LOCKED </w:t>
            </w:r>
            <w:r>
              <w:rPr>
                <w:rFonts w:hint="eastAsia" w:ascii="宋体" w:hAnsi="宋体" w:eastAsia="宋体" w:cs="宋体"/>
                <w:i w:val="0"/>
                <w:iCs w:val="0"/>
                <w:color w:val="1F2937"/>
                <w:sz w:val="24"/>
                <w:szCs w:val="24"/>
              </w:rPr>
              <w:t>。</w:t>
            </w:r>
          </w:p>
        </w:tc>
      </w:tr>
    </w:tbl>
    <w:p w14:paraId="3CCEE185">
      <w:pPr>
        <w:spacing w:after="40"/>
        <w:rPr>
          <w:rFonts w:hint="eastAsia" w:ascii="宋体" w:hAnsi="宋体" w:eastAsia="宋体" w:cs="宋体"/>
          <w:i w:val="0"/>
          <w:iCs w:val="0"/>
          <w:sz w:val="24"/>
          <w:szCs w:val="24"/>
        </w:rPr>
      </w:pPr>
    </w:p>
    <w:p w14:paraId="6E6783CB">
      <w:pPr>
        <w:pStyle w:val="6"/>
        <w:numPr>
          <w:ilvl w:val="0"/>
          <w:numId w:val="75"/>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1494CF27">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436E219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单位产品能耗分产业隔离核算</w:t>
            </w:r>
          </w:p>
          <w:p w14:paraId="5130C25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极限除零边界防御</w:t>
            </w:r>
          </w:p>
          <w:p w14:paraId="50D0117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某车间当月变压器合格品产量录入为 0</w:t>
            </w:r>
          </w:p>
          <w:p w14:paraId="41984C9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系统渲染单位产品综合能耗与单位产品电耗</w:t>
            </w:r>
          </w:p>
          <w:p w14:paraId="26E77F7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两项单耗均安全显示为 "--"</w:t>
            </w:r>
          </w:p>
          <w:p w14:paraId="2AF89EB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后台记录 E_CALC_UNIT_DIV_ZERO_SOFT</w:t>
            </w:r>
          </w:p>
          <w:p w14:paraId="65B376E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页面不出现 NaN、Infinity 或白屏</w:t>
            </w:r>
          </w:p>
          <w:p w14:paraId="6D4B4D7F">
            <w:pPr>
              <w:spacing w:before="0" w:after="20" w:line="264" w:lineRule="auto"/>
              <w:rPr>
                <w:rFonts w:hint="eastAsia" w:ascii="宋体" w:hAnsi="宋体" w:eastAsia="宋体" w:cs="宋体"/>
                <w:i w:val="0"/>
                <w:iCs w:val="0"/>
                <w:sz w:val="24"/>
                <w:szCs w:val="24"/>
              </w:rPr>
            </w:pPr>
          </w:p>
          <w:p w14:paraId="378B182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产量负数拦截</w:t>
            </w:r>
          </w:p>
          <w:p w14:paraId="6E4F19D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车间填报员在数据录入工作台录入产量</w:t>
            </w:r>
          </w:p>
          <w:p w14:paraId="1928243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输入数值为 -500 kVA</w:t>
            </w:r>
          </w:p>
          <w:p w14:paraId="0C7A237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前端即时红框高亮并阻断提交</w:t>
            </w:r>
          </w:p>
          <w:p w14:paraId="113A40E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返回 E_VAL_PROD_QTY_NEGATIVE</w:t>
            </w:r>
          </w:p>
          <w:p w14:paraId="42E921E2">
            <w:pPr>
              <w:spacing w:before="0" w:after="20" w:line="264" w:lineRule="auto"/>
              <w:rPr>
                <w:rFonts w:hint="eastAsia" w:ascii="宋体" w:hAnsi="宋体" w:eastAsia="宋体" w:cs="宋体"/>
                <w:i w:val="0"/>
                <w:iCs w:val="0"/>
                <w:sz w:val="24"/>
                <w:szCs w:val="24"/>
              </w:rPr>
            </w:pPr>
          </w:p>
          <w:p w14:paraId="7EA65BF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无工序单位单行判空</w:t>
            </w:r>
          </w:p>
          <w:p w14:paraId="0ACF670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组织树选中"鲁缆昭和"等 10 家无工序直属单位之一</w:t>
            </w:r>
          </w:p>
          <w:p w14:paraId="49F1768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页面渲染单耗工序业务区</w:t>
            </w:r>
          </w:p>
          <w:p w14:paraId="5D8FC2E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整行仅输出单行文本 "暂无相关工序！"</w:t>
            </w:r>
          </w:p>
          <w:p w14:paraId="67A2434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不出现任何解释性长文案</w:t>
            </w:r>
          </w:p>
          <w:p w14:paraId="183F0EF8">
            <w:pPr>
              <w:spacing w:before="0" w:after="20" w:line="264" w:lineRule="auto"/>
              <w:rPr>
                <w:rFonts w:hint="eastAsia" w:ascii="宋体" w:hAnsi="宋体" w:eastAsia="宋体" w:cs="宋体"/>
                <w:i w:val="0"/>
                <w:iCs w:val="0"/>
                <w:sz w:val="24"/>
                <w:szCs w:val="24"/>
              </w:rPr>
            </w:pPr>
          </w:p>
          <w:p w14:paraId="514786E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跨产业混算阻断</w:t>
            </w:r>
          </w:p>
          <w:p w14:paraId="389B3BB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数据集中同时存在变压器产业与线缆产业单耗记录</w:t>
            </w:r>
          </w:p>
          <w:p w14:paraId="562D4E7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系统生成页面表格与 Excel 导出文件</w:t>
            </w:r>
          </w:p>
          <w:p w14:paraId="7B54A3E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两类产业单耗分列独立呈现</w:t>
            </w:r>
          </w:p>
          <w:p w14:paraId="4B0103E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不存在跨产业同一统计列或跨产业排名</w:t>
            </w:r>
          </w:p>
        </w:tc>
      </w:tr>
    </w:tbl>
    <w:p w14:paraId="27735735">
      <w:pPr>
        <w:spacing w:after="40"/>
        <w:rPr>
          <w:rFonts w:hint="eastAsia" w:ascii="宋体" w:hAnsi="宋体" w:eastAsia="宋体" w:cs="宋体"/>
          <w:i w:val="0"/>
          <w:iCs w:val="0"/>
          <w:sz w:val="24"/>
          <w:szCs w:val="24"/>
        </w:rPr>
      </w:pPr>
    </w:p>
    <w:p w14:paraId="489E0456">
      <w:pPr>
        <w:pStyle w:val="5"/>
        <w:numPr>
          <w:ilvl w:val="0"/>
          <w:numId w:val="64"/>
        </w:numPr>
        <w:ind w:left="0" w:leftChars="0" w:firstLine="0" w:firstLineChars="0"/>
        <w:outlineLvl w:val="1"/>
        <w:rPr>
          <w:rFonts w:eastAsia="黑体"/>
          <w:b w:val="0"/>
          <w:bCs w:val="0"/>
          <w:sz w:val="30"/>
          <w:szCs w:val="24"/>
        </w:rPr>
      </w:pPr>
      <w:bookmarkStart w:id="25" w:name="_Toc7098"/>
      <w:r>
        <w:rPr>
          <w:rFonts w:ascii="Times New Roman" w:hAnsi="Times New Roman" w:eastAsia="黑体" w:cs="Times New Roman"/>
          <w:b w:val="0"/>
          <w:bCs w:val="0"/>
          <w:sz w:val="30"/>
          <w:szCs w:val="24"/>
        </w:rPr>
        <w:t>单位产值能耗</w:t>
      </w:r>
      <w:bookmarkEnd w:id="25"/>
    </w:p>
    <w:p w14:paraId="3B1BEEAB">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26"/>
                    <a:stretch>
                      <a:fillRect/>
                    </a:stretch>
                  </pic:blipFill>
                  <pic:spPr>
                    <a:xfrm>
                      <a:off x="0" y="0"/>
                      <a:ext cx="6210300" cy="3079115"/>
                    </a:xfrm>
                    <a:prstGeom prst="rect">
                      <a:avLst/>
                    </a:prstGeom>
                    <a:noFill/>
                    <a:ln>
                      <a:noFill/>
                    </a:ln>
                  </pic:spPr>
                </pic:pic>
              </a:graphicData>
            </a:graphic>
          </wp:inline>
        </w:drawing>
      </w:r>
    </w:p>
    <w:p w14:paraId="6C533739">
      <w:pPr>
        <w:pStyle w:val="6"/>
        <w:numPr>
          <w:ilvl w:val="0"/>
          <w:numId w:val="8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023ACFF7">
      <w:pPr>
        <w:pStyle w:val="19"/>
        <w:widowControl/>
        <w:numPr>
          <w:ilvl w:val="0"/>
          <w:numId w:val="8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：核算全集团及直属经营单位的"万元产值综合能耗（tce/万元）"与"万元产值电耗（kWh/万元）"，支撑发改委能耗双控考核。</w:t>
      </w:r>
    </w:p>
    <w:p w14:paraId="31045316">
      <w:pPr>
        <w:pStyle w:val="19"/>
        <w:widowControl/>
        <w:numPr>
          <w:ilvl w:val="0"/>
          <w:numId w:val="8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：集团能碳战略规划员、P2 园区能碳专员。</w:t>
      </w:r>
    </w:p>
    <w:p w14:paraId="6F9DD949">
      <w:pPr>
        <w:pStyle w:val="19"/>
        <w:widowControl/>
        <w:numPr>
          <w:ilvl w:val="0"/>
          <w:numId w:val="8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/monitor/analysis/unit-output </w:t>
      </w:r>
      <w:r>
        <w:rPr>
          <w:rFonts w:ascii="Times New Roman" w:hAnsi="Times New Roman" w:eastAsia="宋体" w:cs="Times New Roman"/>
          <w:i w:val="0"/>
          <w:color w:val="1F2937"/>
          <w:sz w:val="24"/>
          <w:szCs w:val="24"/>
        </w:rPr>
        <w:t>。</w:t>
      </w:r>
    </w:p>
    <w:p w14:paraId="6D0173ED">
      <w:pPr>
        <w:pStyle w:val="19"/>
        <w:widowControl/>
        <w:numPr>
          <w:ilvl w:val="0"/>
          <w:numId w:val="8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：用能在线监测综合能耗、ERP 产值数据、国家限额先进值与准入值字典。</w:t>
      </w:r>
    </w:p>
    <w:p w14:paraId="4E9545B7">
      <w:pPr>
        <w:pStyle w:val="19"/>
        <w:widowControl/>
        <w:numPr>
          <w:ilvl w:val="0"/>
          <w:numId w:val="8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：北极星指标"万元产值综合能耗下降率"、零碳工厂自评估、集团能耗双控上报数据。</w:t>
      </w:r>
    </w:p>
    <w:p w14:paraId="487CA8E6">
      <w:pPr>
        <w:pStyle w:val="6"/>
        <w:numPr>
          <w:ilvl w:val="0"/>
          <w:numId w:val="8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738D01E6">
      <w:pPr>
        <w:pStyle w:val="19"/>
        <w:widowControl/>
        <w:numPr>
          <w:ilvl w:val="0"/>
          <w:numId w:val="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：核算全集团及直属经营单位的万元产值综合能耗与万元产值电耗，支撑发改委能耗双控考核。</w:t>
      </w:r>
    </w:p>
    <w:p w14:paraId="0C53BEF0">
      <w:pPr>
        <w:pStyle w:val="19"/>
        <w:widowControl/>
        <w:numPr>
          <w:ilvl w:val="0"/>
          <w:numId w:val="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3E047480">
      <w:pPr>
        <w:pStyle w:val="19"/>
        <w:widowControl/>
        <w:numPr>
          <w:ilvl w:val="0"/>
          <w:numId w:val="8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集团能碳战略规划员</w:t>
      </w:r>
      <w:r>
        <w:rPr>
          <w:rFonts w:ascii="Times New Roman" w:hAnsi="Times New Roman" w:eastAsia="宋体" w:cs="Times New Roman"/>
          <w:i w:val="0"/>
          <w:color w:val="1F2937"/>
          <w:sz w:val="24"/>
          <w:szCs w:val="24"/>
        </w:rPr>
        <w:t>，</w:t>
      </w:r>
    </w:p>
    <w:p w14:paraId="29AF6817">
      <w:pPr>
        <w:pStyle w:val="19"/>
        <w:widowControl/>
        <w:numPr>
          <w:ilvl w:val="0"/>
          <w:numId w:val="8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分析历年各分子公司万元产值能耗推移与行业标杆基准偏差</w:t>
      </w:r>
      <w:r>
        <w:rPr>
          <w:rFonts w:ascii="Times New Roman" w:hAnsi="Times New Roman" w:eastAsia="宋体" w:cs="Times New Roman"/>
          <w:i w:val="0"/>
          <w:color w:val="1F2937"/>
          <w:sz w:val="24"/>
          <w:szCs w:val="24"/>
        </w:rPr>
        <w:t>，</w:t>
      </w:r>
    </w:p>
    <w:p w14:paraId="77D0B5A3">
      <w:pPr>
        <w:pStyle w:val="19"/>
        <w:widowControl/>
        <w:numPr>
          <w:ilvl w:val="0"/>
          <w:numId w:val="8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识别高产低耗标杆实体，推进节能降耗考核</w:t>
      </w:r>
      <w:r>
        <w:rPr>
          <w:rFonts w:ascii="Times New Roman" w:hAnsi="Times New Roman" w:eastAsia="宋体" w:cs="Times New Roman"/>
          <w:i w:val="0"/>
          <w:color w:val="1F2937"/>
          <w:sz w:val="24"/>
          <w:szCs w:val="24"/>
        </w:rPr>
        <w:t>。</w:t>
      </w:r>
    </w:p>
    <w:p w14:paraId="41F4AA29">
      <w:pPr>
        <w:pStyle w:val="6"/>
        <w:numPr>
          <w:ilvl w:val="0"/>
          <w:numId w:val="8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139CBB30">
      <w:pPr>
        <w:pStyle w:val="19"/>
        <w:widowControl/>
        <w:numPr>
          <w:ilvl w:val="0"/>
          <w:numId w:val="8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万元产值能耗推移折线图</w:t>
      </w:r>
      <w:r>
        <w:rPr>
          <w:rFonts w:ascii="Times New Roman" w:hAnsi="Times New Roman" w:eastAsia="宋体" w:cs="Times New Roman"/>
          <w:i w:val="0"/>
          <w:color w:val="1F2937"/>
          <w:sz w:val="24"/>
          <w:szCs w:val="24"/>
        </w:rPr>
        <w:t>：展示近 36 个月连续走势，叠加国家限额先进值与准入值参考线。</w:t>
      </w:r>
    </w:p>
    <w:p w14:paraId="023E20D3">
      <w:pPr>
        <w:pStyle w:val="19"/>
        <w:widowControl/>
        <w:numPr>
          <w:ilvl w:val="0"/>
          <w:numId w:val="83"/>
        </w:numPr>
        <w:ind w:left="0" w:leftChars="0" w:firstLine="482" w:firstLineChars="0"/>
        <w:outlineLvl w:val="3"/>
        <w:rPr>
          <w:rFonts w:eastAsia="宋体"/>
          <w:b/>
          <w:i w:val="0"/>
          <w:color w:val="0284C7"/>
          <w:sz w:val="24"/>
          <w:szCs w:val="24"/>
        </w:rPr>
      </w:pPr>
      <w:r>
        <w:rPr>
          <w:rFonts w:ascii="Times New Roman" w:hAnsi="Times New Roman" w:eastAsia="宋体" w:cs="Times New Roman"/>
          <w:b/>
          <w:i w:val="0"/>
          <w:color w:val="1E3A8A"/>
          <w:sz w:val="24"/>
          <w:szCs w:val="24"/>
        </w:rPr>
        <w:t>6 大经营单位万元产值单耗柱状图</w:t>
      </w:r>
      <w:r>
        <w:rPr>
          <w:rFonts w:ascii="Times New Roman" w:hAnsi="Times New Roman" w:eastAsia="宋体" w:cs="Times New Roman"/>
          <w:i w:val="0"/>
          <w:color w:val="1F2937"/>
          <w:sz w:val="24"/>
          <w:szCs w:val="24"/>
        </w:rPr>
        <w:t>：客观展示各单位当期数值与行业基准偏差量。</w:t>
      </w:r>
    </w:p>
    <w:p w14:paraId="76D99D63">
      <w:pPr>
        <w:pStyle w:val="19"/>
        <w:widowControl/>
        <w:numPr>
          <w:ilvl w:val="0"/>
          <w:numId w:val="8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单位切换</w:t>
      </w:r>
      <w:r>
        <w:rPr>
          <w:rFonts w:ascii="Times New Roman" w:hAnsi="Times New Roman" w:eastAsia="宋体" w:cs="Times New Roman"/>
          <w:i w:val="0"/>
          <w:color w:val="1F2937"/>
          <w:sz w:val="24"/>
          <w:szCs w:val="24"/>
        </w:rPr>
        <w:t>：支持 tce/万元 与 kgce/万元 单位切换，切换后全部图表与表格同步换算。</w:t>
      </w:r>
    </w:p>
    <w:p w14:paraId="4715C280">
      <w:pPr>
        <w:pStyle w:val="19"/>
        <w:widowControl/>
        <w:numPr>
          <w:ilvl w:val="0"/>
          <w:numId w:val="8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分产业视图</w:t>
      </w:r>
      <w:r>
        <w:rPr>
          <w:rFonts w:ascii="Times New Roman" w:hAnsi="Times New Roman" w:eastAsia="宋体" w:cs="Times New Roman"/>
          <w:i w:val="0"/>
          <w:color w:val="1F2937"/>
          <w:sz w:val="24"/>
          <w:szCs w:val="24"/>
        </w:rPr>
        <w:t>：支持按变压器产业、线缆产业分别查看产值能耗推移，避免产业差异干扰。</w:t>
      </w:r>
    </w:p>
    <w:p w14:paraId="1D0D17FD">
      <w:pPr>
        <w:pStyle w:val="6"/>
        <w:numPr>
          <w:ilvl w:val="0"/>
          <w:numId w:val="8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644"/>
        <w:gridCol w:w="2365"/>
        <w:gridCol w:w="1145"/>
        <w:gridCol w:w="1393"/>
        <w:gridCol w:w="4237"/>
      </w:tblGrid>
      <w:tr w14:paraId="09842B1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D1A7B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FC0E6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6AA4B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9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339B0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2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02583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计算规则与防错逻辑</w:t>
            </w:r>
          </w:p>
        </w:tc>
      </w:tr>
      <w:tr w14:paraId="6DF4CE4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AD09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2A0B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综合能源消费量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6A4E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49E9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2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4897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组织层级汇总，≥ 0</w:t>
            </w:r>
          </w:p>
        </w:tc>
      </w:tr>
      <w:tr w14:paraId="5DDF630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6464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F30E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工业总产值</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08F7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51BC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2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42E1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 财务口径，含税/不含税口径须标注</w:t>
            </w:r>
          </w:p>
        </w:tc>
      </w:tr>
      <w:tr w14:paraId="10E03DA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BEBA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427C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工业增加值</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71EB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25CE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2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C6A3B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 财务口径</w:t>
            </w:r>
          </w:p>
        </w:tc>
      </w:tr>
      <w:tr w14:paraId="62A0674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42D0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1175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万元产值综合能耗</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8D0C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A4D8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42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BA35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G</w:t>
            </w:r>
            <w:r>
              <w:rPr>
                <w:rFonts w:hint="eastAsia" w:ascii="宋体" w:hAnsi="宋体" w:eastAsia="宋体" w:cs="宋体"/>
                <w:i w:val="0"/>
                <w:iCs w:val="0"/>
                <w:color w:val="1F2937"/>
                <w:sz w:val="24"/>
                <w:szCs w:val="24"/>
              </w:rPr>
              <w:t xml:space="preserve">，分母为 0 显示 </w:t>
            </w:r>
            <w:r>
              <w:rPr>
                <w:rFonts w:hint="eastAsia" w:ascii="宋体" w:hAnsi="宋体" w:eastAsia="宋体" w:cs="宋体"/>
                <w:b w:val="0"/>
                <w:i w:val="0"/>
                <w:iCs w:val="0"/>
                <w:color w:val="0284C7"/>
                <w:sz w:val="24"/>
                <w:szCs w:val="24"/>
              </w:rPr>
              <w:t xml:space="preserve"> -- </w:t>
            </w:r>
          </w:p>
        </w:tc>
      </w:tr>
      <w:tr w14:paraId="4E8EF5C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155B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25CA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万元产值电耗</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DF02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882E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42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374C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Q_电 / G</w:t>
            </w:r>
            <w:r>
              <w:rPr>
                <w:rFonts w:hint="eastAsia" w:ascii="宋体" w:hAnsi="宋体" w:eastAsia="宋体" w:cs="宋体"/>
                <w:i w:val="0"/>
                <w:iCs w:val="0"/>
                <w:color w:val="1F2937"/>
                <w:sz w:val="24"/>
                <w:szCs w:val="24"/>
              </w:rPr>
              <w:t xml:space="preserve">，分母为 0 显示 </w:t>
            </w:r>
            <w:r>
              <w:rPr>
                <w:rFonts w:hint="eastAsia" w:ascii="宋体" w:hAnsi="宋体" w:eastAsia="宋体" w:cs="宋体"/>
                <w:b w:val="0"/>
                <w:i w:val="0"/>
                <w:iCs w:val="0"/>
                <w:color w:val="0284C7"/>
                <w:sz w:val="24"/>
                <w:szCs w:val="24"/>
              </w:rPr>
              <w:t xml:space="preserve"> -- </w:t>
            </w:r>
          </w:p>
        </w:tc>
      </w:tr>
      <w:tr w14:paraId="756EE14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B403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2CA2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单位工业增加值能耗</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AE2A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4002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42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5D9E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G_{nva}</w:t>
            </w:r>
          </w:p>
        </w:tc>
      </w:tr>
      <w:tr w14:paraId="54A645A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029C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C8A3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与先进值偏差</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F22D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C5E2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42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988A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实测值 − 国家限额先进值</w:t>
            </w:r>
          </w:p>
        </w:tc>
      </w:tr>
      <w:tr w14:paraId="15EA5CE1">
        <w:tblPrEx>
          <w:tblCellMar>
            <w:top w:w="0" w:type="dxa"/>
            <w:left w:w="108" w:type="dxa"/>
            <w:bottom w:w="0" w:type="dxa"/>
            <w:right w:w="108" w:type="dxa"/>
          </w:tblCellMar>
        </w:tblPrEx>
        <w:trPr>
          <w:jc w:val="center"/>
        </w:trPr>
        <w:tc>
          <w:tcPr>
            <w:tcW w:w="6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6DA2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EB13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与准入值偏差</w:t>
            </w:r>
          </w:p>
        </w:tc>
        <w:tc>
          <w:tcPr>
            <w:tcW w:w="11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0E06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6D3D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42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BCE2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实测值 − 国家限额准入值</w:t>
            </w:r>
          </w:p>
        </w:tc>
      </w:tr>
    </w:tbl>
    <w:p w14:paraId="42187B40">
      <w:pPr>
        <w:pStyle w:val="6"/>
        <w:numPr>
          <w:ilvl w:val="0"/>
          <w:numId w:val="8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7C8A7634">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68B2AEB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 = E / G                                           万元产值综合能耗</w:t>
            </w:r>
          </w:p>
          <w:p w14:paraId="24B784C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g_e = Q_elec / G                                    万元产值电耗</w:t>
            </w:r>
          </w:p>
          <w:p w14:paraId="663F4F3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g_nva = E / G_nva                                   单位工业增加值能耗</w:t>
            </w:r>
          </w:p>
          <w:p w14:paraId="5E11F1A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Gap_adv = g - Limit_advanced                        与先进值偏差</w:t>
            </w:r>
          </w:p>
          <w:p w14:paraId="0737ABB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Gap_adm = g - Limit_admission                       与准入值偏差</w:t>
            </w:r>
          </w:p>
          <w:p w14:paraId="001A388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Decline_rate = ( g_current - g_base ) / g_base × 100%   万元产值综合能耗下降率</w:t>
            </w:r>
          </w:p>
        </w:tc>
      </w:tr>
    </w:tbl>
    <w:p w14:paraId="606683BB">
      <w:pPr>
        <w:spacing w:after="40"/>
        <w:rPr>
          <w:rFonts w:hint="eastAsia" w:ascii="宋体" w:hAnsi="宋体" w:eastAsia="宋体" w:cs="宋体"/>
          <w:i w:val="0"/>
          <w:iCs w:val="0"/>
          <w:sz w:val="24"/>
          <w:szCs w:val="24"/>
        </w:rPr>
      </w:pPr>
    </w:p>
    <w:p w14:paraId="22DCEB1A">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G </w:t>
      </w:r>
      <w:r>
        <w:rPr>
          <w:rFonts w:ascii="Times New Roman" w:hAnsi="Times New Roman" w:eastAsia="宋体" w:cs="Times New Roman"/>
          <w:i w:val="0"/>
          <w:color w:val="1F2937"/>
          <w:sz w:val="24"/>
          <w:szCs w:val="24"/>
        </w:rPr>
        <w:t xml:space="preserve"> 为当期工业总产值（万元）；</w:t>
      </w:r>
      <w:r>
        <w:rPr>
          <w:rFonts w:ascii="Times New Roman" w:hAnsi="Times New Roman" w:eastAsia="宋体" w:cs="Times New Roman"/>
          <w:b w:val="0"/>
          <w:i w:val="0"/>
          <w:color w:val="0284C7"/>
          <w:sz w:val="24"/>
          <w:szCs w:val="24"/>
        </w:rPr>
        <w:t xml:space="preserve"> G_nva </w:t>
      </w:r>
      <w:r>
        <w:rPr>
          <w:rFonts w:ascii="Times New Roman" w:hAnsi="Times New Roman" w:eastAsia="宋体" w:cs="Times New Roman"/>
          <w:i w:val="0"/>
          <w:color w:val="1F2937"/>
          <w:sz w:val="24"/>
          <w:szCs w:val="24"/>
        </w:rPr>
        <w:t xml:space="preserve"> 为工业增加值（万元）；</w:t>
      </w:r>
      <w:r>
        <w:rPr>
          <w:rFonts w:ascii="Times New Roman" w:hAnsi="Times New Roman" w:eastAsia="宋体" w:cs="Times New Roman"/>
          <w:b w:val="0"/>
          <w:i w:val="0"/>
          <w:color w:val="0284C7"/>
          <w:sz w:val="24"/>
          <w:szCs w:val="24"/>
        </w:rPr>
        <w:t xml:space="preserve"> Limit_advanced </w:t>
      </w:r>
      <w:r>
        <w:rPr>
          <w:rFonts w:ascii="Times New Roman" w:hAnsi="Times New Roman" w:eastAsia="宋体" w:cs="Times New Roman"/>
          <w:i w:val="0"/>
          <w:color w:val="1F2937"/>
          <w:sz w:val="24"/>
          <w:szCs w:val="24"/>
        </w:rPr>
        <w:t xml:space="preserve"> 与 </w:t>
      </w:r>
      <w:r>
        <w:rPr>
          <w:rFonts w:ascii="Times New Roman" w:hAnsi="Times New Roman" w:eastAsia="宋体" w:cs="Times New Roman"/>
          <w:b w:val="0"/>
          <w:i w:val="0"/>
          <w:color w:val="0284C7"/>
          <w:sz w:val="24"/>
          <w:szCs w:val="24"/>
        </w:rPr>
        <w:t xml:space="preserve"> Limit_admission </w:t>
      </w:r>
      <w:r>
        <w:rPr>
          <w:rFonts w:ascii="Times New Roman" w:hAnsi="Times New Roman" w:eastAsia="宋体" w:cs="Times New Roman"/>
          <w:i w:val="0"/>
          <w:color w:val="1F2937"/>
          <w:sz w:val="24"/>
          <w:szCs w:val="24"/>
        </w:rPr>
        <w:t xml:space="preserve"> 为国家限额先进值与准入值，取自基准管理模块；</w:t>
      </w:r>
      <w:r>
        <w:rPr>
          <w:rFonts w:ascii="Times New Roman" w:hAnsi="Times New Roman" w:eastAsia="宋体" w:cs="Times New Roman"/>
          <w:b w:val="0"/>
          <w:i w:val="0"/>
          <w:color w:val="0284C7"/>
          <w:sz w:val="24"/>
          <w:szCs w:val="24"/>
        </w:rPr>
        <w:t xml:space="preserve"> g_base </w:t>
      </w:r>
      <w:r>
        <w:rPr>
          <w:rFonts w:ascii="Times New Roman" w:hAnsi="Times New Roman" w:eastAsia="宋体" w:cs="Times New Roman"/>
          <w:i w:val="0"/>
          <w:color w:val="1F2937"/>
          <w:sz w:val="24"/>
          <w:szCs w:val="24"/>
        </w:rPr>
        <w:t xml:space="preserve"> 为基准年取值。</w:t>
      </w:r>
    </w:p>
    <w:p w14:paraId="70904D49">
      <w:pPr>
        <w:pStyle w:val="6"/>
        <w:numPr>
          <w:ilvl w:val="0"/>
          <w:numId w:val="8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35569D78">
      <w:pPr>
        <w:pStyle w:val="19"/>
        <w:widowControl/>
        <w:numPr>
          <w:ilvl w:val="0"/>
          <w:numId w:val="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产值口径</w:t>
      </w:r>
      <w:r>
        <w:rPr>
          <w:rFonts w:ascii="Times New Roman" w:hAnsi="Times New Roman" w:eastAsia="宋体" w:cs="Times New Roman"/>
          <w:i w:val="0"/>
          <w:color w:val="1F2937"/>
          <w:sz w:val="24"/>
          <w:szCs w:val="24"/>
        </w:rPr>
        <w:t>：明确标注含税/不含税与现价/可比价口径，同一视图内口径不可混用。</w:t>
      </w:r>
    </w:p>
    <w:p w14:paraId="1A4B5CEF">
      <w:pPr>
        <w:pStyle w:val="19"/>
        <w:widowControl/>
        <w:numPr>
          <w:ilvl w:val="0"/>
          <w:numId w:val="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基准口径</w:t>
      </w:r>
      <w:r>
        <w:rPr>
          <w:rFonts w:ascii="Times New Roman" w:hAnsi="Times New Roman" w:eastAsia="宋体" w:cs="Times New Roman"/>
          <w:i w:val="0"/>
          <w:color w:val="1F2937"/>
          <w:sz w:val="24"/>
          <w:szCs w:val="24"/>
        </w:rPr>
        <w:t>：叠加国家限额先进值与准入值双参考线；达标判定以先进值为首选基准。</w:t>
      </w:r>
    </w:p>
    <w:p w14:paraId="0073D08B">
      <w:pPr>
        <w:pStyle w:val="19"/>
        <w:widowControl/>
        <w:numPr>
          <w:ilvl w:val="0"/>
          <w:numId w:val="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纵向对比原则</w:t>
      </w:r>
      <w:r>
        <w:rPr>
          <w:rFonts w:ascii="Times New Roman" w:hAnsi="Times New Roman" w:eastAsia="宋体" w:cs="Times New Roman"/>
          <w:i w:val="0"/>
          <w:color w:val="1F2937"/>
          <w:sz w:val="24"/>
          <w:szCs w:val="24"/>
        </w:rPr>
        <w:t>：各单位仅与自身历史对比及与国家级基准对比，不进行跨单位拉踩式排名表述。</w:t>
      </w:r>
    </w:p>
    <w:p w14:paraId="0CA73B1C">
      <w:pPr>
        <w:pStyle w:val="19"/>
        <w:widowControl/>
        <w:numPr>
          <w:ilvl w:val="0"/>
          <w:numId w:val="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推移口径</w:t>
      </w:r>
      <w:r>
        <w:rPr>
          <w:rFonts w:ascii="Times New Roman" w:hAnsi="Times New Roman" w:eastAsia="宋体" w:cs="Times New Roman"/>
          <w:i w:val="0"/>
          <w:color w:val="1F2937"/>
          <w:sz w:val="24"/>
          <w:szCs w:val="24"/>
        </w:rPr>
        <w:t>：36 个月推移中缺失月份保持断层，不插值。</w:t>
      </w:r>
    </w:p>
    <w:p w14:paraId="614875AB">
      <w:pPr>
        <w:pStyle w:val="6"/>
        <w:numPr>
          <w:ilvl w:val="0"/>
          <w:numId w:val="8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61A349FB">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49159B1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产值为 0 或未上报：单耗显示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，卡片标注"产值数据待上报"。</w:t>
            </w:r>
          </w:p>
          <w:p w14:paraId="21E5C7F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产值口径未标注：页面禁止渲染，强制先选定口径。</w:t>
            </w:r>
          </w:p>
          <w:p w14:paraId="1A62650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国家限额值缺失：基准线不绘制，不以 0 代替。</w:t>
            </w:r>
          </w:p>
          <w:p w14:paraId="3D575B9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除零兜底：任意分母为 0 的场景统一安全显示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tc>
      </w:tr>
    </w:tbl>
    <w:p w14:paraId="342B6177">
      <w:pPr>
        <w:spacing w:after="40"/>
        <w:rPr>
          <w:rFonts w:hint="eastAsia" w:ascii="宋体" w:hAnsi="宋体" w:eastAsia="宋体" w:cs="宋体"/>
          <w:i w:val="0"/>
          <w:iCs w:val="0"/>
          <w:sz w:val="24"/>
          <w:szCs w:val="24"/>
        </w:rPr>
      </w:pPr>
    </w:p>
    <w:p w14:paraId="6F4D0FBB">
      <w:pPr>
        <w:pStyle w:val="6"/>
        <w:numPr>
          <w:ilvl w:val="0"/>
          <w:numId w:val="80"/>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706A1F12">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5D712DE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单位产值能耗核算与双控对标</w:t>
            </w:r>
          </w:p>
          <w:p w14:paraId="6FCDE9E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万元产值能耗核算</w:t>
            </w:r>
          </w:p>
          <w:p w14:paraId="4C6A21C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集团已上报当期综合能源消费量与工业总产值</w:t>
            </w:r>
          </w:p>
          <w:p w14:paraId="4DF5FED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系统核算万元产值综合能耗</w:t>
            </w:r>
          </w:p>
          <w:p w14:paraId="043CAB8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计算结果等于 综合能源消费量 ÷ 工业总产值</w:t>
            </w:r>
          </w:p>
          <w:p w14:paraId="40CB89A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结果单位标注为 tce/万元</w:t>
            </w:r>
          </w:p>
          <w:p w14:paraId="69E3CD39">
            <w:pPr>
              <w:spacing w:before="0" w:after="20" w:line="264" w:lineRule="auto"/>
              <w:rPr>
                <w:rFonts w:hint="eastAsia" w:ascii="宋体" w:hAnsi="宋体" w:eastAsia="宋体" w:cs="宋体"/>
                <w:i w:val="0"/>
                <w:iCs w:val="0"/>
                <w:sz w:val="24"/>
                <w:szCs w:val="24"/>
              </w:rPr>
            </w:pPr>
          </w:p>
          <w:p w14:paraId="2FD36C2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产值缺失安全兜底</w:t>
            </w:r>
          </w:p>
          <w:p w14:paraId="08749A6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某经营单位当期工业总产值尚未上报</w:t>
            </w:r>
          </w:p>
          <w:p w14:paraId="63DA08E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页面渲染该单位的万元产值能耗卡片</w:t>
            </w:r>
          </w:p>
          <w:p w14:paraId="66FE5B9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指标值显示为 "--" 并标注"产值数据待上报"</w:t>
            </w:r>
          </w:p>
          <w:p w14:paraId="705AAB1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页面不出现 NaN 或 0 值冒充</w:t>
            </w:r>
          </w:p>
          <w:p w14:paraId="76FC7C97">
            <w:pPr>
              <w:spacing w:before="0" w:after="20" w:line="264" w:lineRule="auto"/>
              <w:rPr>
                <w:rFonts w:hint="eastAsia" w:ascii="宋体" w:hAnsi="宋体" w:eastAsia="宋体" w:cs="宋体"/>
                <w:i w:val="0"/>
                <w:iCs w:val="0"/>
                <w:sz w:val="24"/>
                <w:szCs w:val="24"/>
              </w:rPr>
            </w:pPr>
          </w:p>
          <w:p w14:paraId="467A48E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基准线绘制</w:t>
            </w:r>
          </w:p>
          <w:p w14:paraId="04DABCE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国家限额先进值与准入值已配置</w:t>
            </w:r>
          </w:p>
          <w:p w14:paraId="7B37F72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渲染 36 个月万元产值能耗推移折线图</w:t>
            </w:r>
          </w:p>
          <w:p w14:paraId="5001301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折线图叠加先进值与准入值两条参考线</w:t>
            </w:r>
          </w:p>
          <w:p w14:paraId="39E9F7E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缺失月份保持断层不插值</w:t>
            </w:r>
          </w:p>
        </w:tc>
      </w:tr>
    </w:tbl>
    <w:p w14:paraId="5B063A01">
      <w:pPr>
        <w:spacing w:after="40"/>
        <w:rPr>
          <w:rFonts w:hint="eastAsia" w:ascii="宋体" w:hAnsi="宋体" w:eastAsia="宋体" w:cs="宋体"/>
          <w:i w:val="0"/>
          <w:iCs w:val="0"/>
          <w:sz w:val="24"/>
          <w:szCs w:val="24"/>
        </w:rPr>
      </w:pPr>
    </w:p>
    <w:p w14:paraId="027CB06C">
      <w:pPr>
        <w:pStyle w:val="5"/>
        <w:numPr>
          <w:ilvl w:val="0"/>
          <w:numId w:val="64"/>
        </w:numPr>
        <w:ind w:left="0" w:leftChars="0" w:firstLine="0" w:firstLineChars="0"/>
        <w:outlineLvl w:val="1"/>
        <w:rPr>
          <w:rFonts w:eastAsia="黑体"/>
          <w:b w:val="0"/>
          <w:bCs w:val="0"/>
          <w:sz w:val="30"/>
          <w:szCs w:val="24"/>
        </w:rPr>
      </w:pPr>
      <w:bookmarkStart w:id="26" w:name="_Toc24728"/>
      <w:r>
        <w:rPr>
          <w:rFonts w:ascii="Times New Roman" w:hAnsi="Times New Roman" w:eastAsia="黑体" w:cs="Times New Roman"/>
          <w:b w:val="0"/>
          <w:bCs w:val="0"/>
          <w:sz w:val="30"/>
          <w:szCs w:val="24"/>
        </w:rPr>
        <w:t>对标管理</w:t>
      </w:r>
      <w:bookmarkEnd w:id="26"/>
    </w:p>
    <w:p w14:paraId="52C18483">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27"/>
                    <a:stretch>
                      <a:fillRect/>
                    </a:stretch>
                  </pic:blipFill>
                  <pic:spPr>
                    <a:xfrm>
                      <a:off x="0" y="0"/>
                      <a:ext cx="6210300" cy="3079115"/>
                    </a:xfrm>
                    <a:prstGeom prst="rect">
                      <a:avLst/>
                    </a:prstGeom>
                    <a:noFill/>
                    <a:ln>
                      <a:noFill/>
                    </a:ln>
                  </pic:spPr>
                </pic:pic>
              </a:graphicData>
            </a:graphic>
          </wp:inline>
        </w:drawing>
      </w:r>
    </w:p>
    <w:p w14:paraId="35BA35FA">
      <w:pPr>
        <w:pStyle w:val="6"/>
        <w:numPr>
          <w:ilvl w:val="0"/>
          <w:numId w:val="8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32980834">
      <w:pPr>
        <w:pStyle w:val="19"/>
        <w:widowControl/>
        <w:numPr>
          <w:ilvl w:val="0"/>
          <w:numId w:val="8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：引入【国家先进值】【国家准入值】【特变电工领跑线】三线对标体系，实现工厂、产线、产品、型号、生产计划 5 维度、6 指标的全景对标与红黑榜排名。</w:t>
      </w:r>
    </w:p>
    <w:p w14:paraId="13A29E88">
      <w:pPr>
        <w:pStyle w:val="19"/>
        <w:widowControl/>
        <w:numPr>
          <w:ilvl w:val="0"/>
          <w:numId w:val="8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：P1 集团决策层、P2 园区能碳专员。</w:t>
      </w:r>
    </w:p>
    <w:p w14:paraId="6DE38911">
      <w:pPr>
        <w:pStyle w:val="19"/>
        <w:widowControl/>
        <w:numPr>
          <w:ilvl w:val="0"/>
          <w:numId w:val="8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/monitor/analysis/benchmark </w:t>
      </w:r>
      <w:r>
        <w:rPr>
          <w:rFonts w:ascii="Times New Roman" w:hAnsi="Times New Roman" w:eastAsia="宋体" w:cs="Times New Roman"/>
          <w:i w:val="0"/>
          <w:color w:val="1F2937"/>
          <w:sz w:val="24"/>
          <w:szCs w:val="24"/>
        </w:rPr>
        <w:t xml:space="preserve">；子页 </w:t>
      </w:r>
      <w:r>
        <w:rPr>
          <w:rFonts w:ascii="Times New Roman" w:hAnsi="Times New Roman" w:eastAsia="宋体" w:cs="Times New Roman"/>
          <w:b w:val="0"/>
          <w:i w:val="0"/>
          <w:color w:val="0284C7"/>
          <w:sz w:val="24"/>
          <w:szCs w:val="24"/>
        </w:rPr>
        <w:t xml:space="preserve"> /indicator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/horizontal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/vertical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/process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/baseline </w:t>
      </w:r>
      <w:r>
        <w:rPr>
          <w:rFonts w:ascii="Times New Roman" w:hAnsi="Times New Roman" w:eastAsia="宋体" w:cs="Times New Roman"/>
          <w:i w:val="0"/>
          <w:color w:val="1F2937"/>
          <w:sz w:val="24"/>
          <w:szCs w:val="24"/>
        </w:rPr>
        <w:t>。</w:t>
      </w:r>
    </w:p>
    <w:p w14:paraId="139C990B">
      <w:pPr>
        <w:pStyle w:val="19"/>
        <w:widowControl/>
        <w:numPr>
          <w:ilvl w:val="0"/>
          <w:numId w:val="8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：指标管控核算结果、单位产品/产值能耗、零碳工厂自评估得分、基准管理模块。</w:t>
      </w:r>
    </w:p>
    <w:p w14:paraId="6F22D1EE">
      <w:pPr>
        <w:pStyle w:val="19"/>
        <w:widowControl/>
        <w:numPr>
          <w:ilvl w:val="0"/>
          <w:numId w:val="8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：管理抓手清单、整改督办派单、零碳工厂星级评定输入。</w:t>
      </w:r>
    </w:p>
    <w:p w14:paraId="2ED72086">
      <w:pPr>
        <w:pStyle w:val="6"/>
        <w:numPr>
          <w:ilvl w:val="0"/>
          <w:numId w:val="8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5CB34F49">
      <w:pPr>
        <w:pStyle w:val="19"/>
        <w:widowControl/>
        <w:numPr>
          <w:ilvl w:val="0"/>
          <w:numId w:val="8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：集团季度对标分析场景，需在统一口径下横向比较各工厂与产线，识别达标情况并锁定最需改进的对象与指标。</w:t>
      </w:r>
    </w:p>
    <w:p w14:paraId="365133C7">
      <w:pPr>
        <w:pStyle w:val="19"/>
        <w:widowControl/>
        <w:numPr>
          <w:ilvl w:val="0"/>
          <w:numId w:val="8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34BAF34A">
      <w:pPr>
        <w:pStyle w:val="19"/>
        <w:widowControl/>
        <w:numPr>
          <w:ilvl w:val="0"/>
          <w:numId w:val="8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P2 园区能碳专员</w:t>
      </w:r>
      <w:r>
        <w:rPr>
          <w:rFonts w:ascii="Times New Roman" w:hAnsi="Times New Roman" w:eastAsia="宋体" w:cs="Times New Roman"/>
          <w:i w:val="0"/>
          <w:color w:val="1F2937"/>
          <w:sz w:val="24"/>
          <w:szCs w:val="24"/>
        </w:rPr>
        <w:t>，</w:t>
      </w:r>
    </w:p>
    <w:p w14:paraId="2ABAA6C5">
      <w:pPr>
        <w:pStyle w:val="19"/>
        <w:widowControl/>
        <w:numPr>
          <w:ilvl w:val="0"/>
          <w:numId w:val="8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 5 个对标维度间切换并查看 6 项指标的达标状态、红黑榜排名与多指标明细表</w:t>
      </w:r>
      <w:r>
        <w:rPr>
          <w:rFonts w:ascii="Times New Roman" w:hAnsi="Times New Roman" w:eastAsia="宋体" w:cs="Times New Roman"/>
          <w:i w:val="0"/>
          <w:color w:val="1F2937"/>
          <w:sz w:val="24"/>
          <w:szCs w:val="24"/>
        </w:rPr>
        <w:t>，</w:t>
      </w:r>
    </w:p>
    <w:p w14:paraId="37B58412">
      <w:pPr>
        <w:pStyle w:val="19"/>
        <w:widowControl/>
        <w:numPr>
          <w:ilvl w:val="0"/>
          <w:numId w:val="8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我能直接定位"抓哪个单位、抓哪个指标"，形成可执行的整改抓手</w:t>
      </w:r>
      <w:r>
        <w:rPr>
          <w:rFonts w:ascii="Times New Roman" w:hAnsi="Times New Roman" w:eastAsia="宋体" w:cs="Times New Roman"/>
          <w:i w:val="0"/>
          <w:color w:val="1F2937"/>
          <w:sz w:val="24"/>
          <w:szCs w:val="24"/>
        </w:rPr>
        <w:t>。</w:t>
      </w:r>
    </w:p>
    <w:p w14:paraId="3CF43139">
      <w:pPr>
        <w:pStyle w:val="6"/>
        <w:numPr>
          <w:ilvl w:val="0"/>
          <w:numId w:val="8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4E9996A4">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对标维度与指标：</w:t>
      </w:r>
    </w:p>
    <w:p w14:paraId="7BE0C61B">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5 个对标维度</w:t>
      </w:r>
      <w:r>
        <w:rPr>
          <w:rFonts w:ascii="Times New Roman" w:hAnsi="Times New Roman" w:eastAsia="宋体" w:cs="Times New Roman"/>
          <w:i w:val="0"/>
          <w:color w:val="1F2937"/>
          <w:sz w:val="24"/>
          <w:szCs w:val="24"/>
        </w:rPr>
        <w:t>：工厂（不同工厂横向对标）、产线（同/跨工厂产线对标）、产品种类、产品型号、生产计划（相同产品·不同时间批次对标，右侧切换为减碳趋势折线并锁定示例产品）；项目公司/在建单位置灰、不参与排名与达标统计。</w:t>
      </w:r>
    </w:p>
    <w:p w14:paraId="4BBB416E">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6 项对标指标</w:t>
      </w:r>
      <w:r>
        <w:rPr>
          <w:rFonts w:ascii="Times New Roman" w:hAnsi="Times New Roman" w:eastAsia="宋体" w:cs="Times New Roman"/>
          <w:i w:val="0"/>
          <w:color w:val="1F2937"/>
          <w:sz w:val="24"/>
          <w:szCs w:val="24"/>
        </w:rPr>
        <w:t>：零碳综合得分 + 5 项关键指标（单位产品综合能耗、单位产值能耗、单位产品碳排放、绿电占比、单位产品碳足迹）。</w:t>
      </w:r>
    </w:p>
    <w:p w14:paraId="6E587D4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零碳关键对标指标基准（V1.4）：</w:t>
      </w:r>
    </w:p>
    <w:tbl>
      <w:tblPr>
        <w:tblStyle w:val="38"/>
        <w:tblW w:w="4998" w:type="pct"/>
        <w:jc w:val="center"/>
        <w:tblLayout w:type="autofit"/>
        <w:tblCellMar>
          <w:top w:w="0" w:type="dxa"/>
          <w:left w:w="108" w:type="dxa"/>
          <w:bottom w:w="0" w:type="dxa"/>
          <w:right w:w="108" w:type="dxa"/>
        </w:tblCellMar>
      </w:tblPr>
      <w:tblGrid>
        <w:gridCol w:w="3150"/>
        <w:gridCol w:w="3150"/>
        <w:gridCol w:w="3150"/>
      </w:tblGrid>
      <w:tr w14:paraId="0967DD86">
        <w:tblPrEx>
          <w:tblCellMar>
            <w:top w:w="0" w:type="dxa"/>
            <w:left w:w="108" w:type="dxa"/>
            <w:bottom w:w="0" w:type="dxa"/>
            <w:right w:w="108" w:type="dxa"/>
          </w:tblCellMar>
        </w:tblPrEx>
        <w:trPr>
          <w:tblHeader/>
          <w:jc w:val="center"/>
        </w:trPr>
        <w:tc>
          <w:tcPr>
            <w:tcW w:w="1666" w:type="pct"/>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32FF6CC">
            <w:pPr>
              <w:spacing w:before="0" w:after="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指标</w:t>
            </w:r>
          </w:p>
        </w:tc>
        <w:tc>
          <w:tcPr>
            <w:tcW w:w="1666" w:type="pct"/>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8518811">
            <w:pPr>
              <w:spacing w:before="0" w:after="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零碳标杆</w:t>
            </w:r>
          </w:p>
        </w:tc>
        <w:tc>
          <w:tcPr>
            <w:tcW w:w="1666" w:type="pct"/>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37B0FA3">
            <w:pPr>
              <w:spacing w:before="0" w:after="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生成基准</w:t>
            </w:r>
          </w:p>
        </w:tc>
      </w:tr>
      <w:tr w14:paraId="78D36515">
        <w:tblPrEx>
          <w:tblCellMar>
            <w:top w:w="0" w:type="dxa"/>
            <w:left w:w="108" w:type="dxa"/>
            <w:bottom w:w="0" w:type="dxa"/>
            <w:right w:w="108" w:type="dxa"/>
          </w:tblCellMar>
        </w:tblPrEx>
        <w:trPr>
          <w:jc w:val="center"/>
        </w:trPr>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83C37FC">
            <w:pPr>
              <w:spacing w:before="0" w:after="0" w:line="264" w:lineRule="auto"/>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单位产品综合能耗</w:t>
            </w:r>
          </w:p>
        </w:tc>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4098775">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 kgce/台</w:t>
            </w:r>
          </w:p>
        </w:tc>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04B05FC">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430</w:t>
            </w:r>
          </w:p>
        </w:tc>
      </w:tr>
      <w:tr w14:paraId="3998696A">
        <w:tblPrEx>
          <w:tblCellMar>
            <w:top w:w="0" w:type="dxa"/>
            <w:left w:w="108" w:type="dxa"/>
            <w:bottom w:w="0" w:type="dxa"/>
            <w:right w:w="108" w:type="dxa"/>
          </w:tblCellMar>
        </w:tblPrEx>
        <w:trPr>
          <w:jc w:val="center"/>
        </w:trPr>
        <w:tc>
          <w:tcPr>
            <w:tcW w:w="1666" w:type="pct"/>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76E63B0">
            <w:pPr>
              <w:spacing w:before="0" w:after="0" w:line="264" w:lineRule="auto"/>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单位产值能耗</w:t>
            </w:r>
          </w:p>
        </w:tc>
        <w:tc>
          <w:tcPr>
            <w:tcW w:w="1666" w:type="pct"/>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7812658">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0.30 tce/万元</w:t>
            </w:r>
          </w:p>
        </w:tc>
        <w:tc>
          <w:tcPr>
            <w:tcW w:w="1666" w:type="pct"/>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BA9791D">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0.34</w:t>
            </w:r>
          </w:p>
        </w:tc>
      </w:tr>
      <w:tr w14:paraId="0F2AFD86">
        <w:tblPrEx>
          <w:tblCellMar>
            <w:top w:w="0" w:type="dxa"/>
            <w:left w:w="108" w:type="dxa"/>
            <w:bottom w:w="0" w:type="dxa"/>
            <w:right w:w="108" w:type="dxa"/>
          </w:tblCellMar>
        </w:tblPrEx>
        <w:trPr>
          <w:jc w:val="center"/>
        </w:trPr>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D947BCB">
            <w:pPr>
              <w:spacing w:before="0" w:after="0" w:line="264" w:lineRule="auto"/>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单位产品碳排放</w:t>
            </w:r>
          </w:p>
        </w:tc>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258CEC8">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900 kgCO2/台</w:t>
            </w:r>
          </w:p>
        </w:tc>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14D5DB2">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980</w:t>
            </w:r>
          </w:p>
        </w:tc>
      </w:tr>
      <w:tr w14:paraId="401EBF27">
        <w:tblPrEx>
          <w:tblCellMar>
            <w:top w:w="0" w:type="dxa"/>
            <w:left w:w="108" w:type="dxa"/>
            <w:bottom w:w="0" w:type="dxa"/>
            <w:right w:w="108" w:type="dxa"/>
          </w:tblCellMar>
        </w:tblPrEx>
        <w:trPr>
          <w:jc w:val="center"/>
        </w:trPr>
        <w:tc>
          <w:tcPr>
            <w:tcW w:w="1666" w:type="pct"/>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2E7E7F">
            <w:pPr>
              <w:spacing w:before="0" w:after="0" w:line="264" w:lineRule="auto"/>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绿电占比</w:t>
            </w:r>
          </w:p>
        </w:tc>
        <w:tc>
          <w:tcPr>
            <w:tcW w:w="1666" w:type="pct"/>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144EE21">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60 %（越高越好）</w:t>
            </w:r>
          </w:p>
        </w:tc>
        <w:tc>
          <w:tcPr>
            <w:tcW w:w="1666" w:type="pct"/>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C80CA8">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52</w:t>
            </w:r>
          </w:p>
        </w:tc>
      </w:tr>
      <w:tr w14:paraId="7F73BECD">
        <w:tblPrEx>
          <w:tblCellMar>
            <w:top w:w="0" w:type="dxa"/>
            <w:left w:w="108" w:type="dxa"/>
            <w:bottom w:w="0" w:type="dxa"/>
            <w:right w:w="108" w:type="dxa"/>
          </w:tblCellMar>
        </w:tblPrEx>
        <w:trPr>
          <w:jc w:val="center"/>
        </w:trPr>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F67EC79">
            <w:pPr>
              <w:spacing w:before="0" w:after="0" w:line="264" w:lineRule="auto"/>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单位产品碳足迹</w:t>
            </w:r>
          </w:p>
        </w:tc>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5C941E1">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1000 kgCO2e/台</w:t>
            </w:r>
          </w:p>
        </w:tc>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2145AD">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1080</w:t>
            </w:r>
          </w:p>
        </w:tc>
      </w:tr>
    </w:tbl>
    <w:p w14:paraId="0E11ED42">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计算口径（`lib/benchmark.ts` 实现，供研发核对）：</w:t>
      </w:r>
    </w:p>
    <w:p w14:paraId="717DEE7C">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达标系数 achievement</w:t>
      </w:r>
      <w:r>
        <w:rPr>
          <w:rFonts w:ascii="Times New Roman" w:hAnsi="Times New Roman" w:eastAsia="宋体" w:cs="Times New Roman"/>
          <w:i w:val="0"/>
          <w:color w:val="1F2937"/>
          <w:sz w:val="24"/>
          <w:szCs w:val="24"/>
        </w:rPr>
        <w:t>：越低越好 = 标杆/实测；越高越好 = 实测/标杆；≥1 即达到或优于标杆。</w:t>
      </w:r>
    </w:p>
    <w:p w14:paraId="6EB7BA75">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距标杆差距 gapPct</w:t>
      </w:r>
      <w:r>
        <w:rPr>
          <w:rFonts w:ascii="Times New Roman" w:hAnsi="Times New Roman" w:eastAsia="宋体" w:cs="Times New Roman"/>
          <w:i w:val="0"/>
          <w:color w:val="1F2937"/>
          <w:sz w:val="24"/>
          <w:szCs w:val="24"/>
        </w:rPr>
        <w:t>：越低越好 = (实测−标杆)/标杆×100%；越高越好 = (标杆−实测)/标杆×100%。</w:t>
      </w:r>
    </w:p>
    <w:p w14:paraId="05B8953A">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单指标状态</w:t>
      </w:r>
      <w:r>
        <w:rPr>
          <w:rFonts w:ascii="Times New Roman" w:hAnsi="Times New Roman" w:eastAsia="宋体" w:cs="Times New Roman"/>
          <w:i w:val="0"/>
          <w:color w:val="1F2937"/>
          <w:sz w:val="24"/>
          <w:szCs w:val="24"/>
        </w:rPr>
        <w:t>：达标系数 ≥1.00 优秀；0.85~1.00 正常；&lt;0.85 异常。</w:t>
      </w:r>
    </w:p>
    <w:p w14:paraId="2CA130CA">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零碳综合得分（0~100）</w:t>
      </w:r>
      <w:r>
        <w:rPr>
          <w:rFonts w:ascii="Times New Roman" w:hAnsi="Times New Roman" w:eastAsia="宋体" w:cs="Times New Roman"/>
          <w:i w:val="0"/>
          <w:color w:val="1F2937"/>
          <w:sz w:val="24"/>
          <w:szCs w:val="24"/>
        </w:rPr>
        <w:t xml:space="preserve">：对 5 项指标各取 </w:t>
      </w:r>
      <w:r>
        <w:rPr>
          <w:rFonts w:ascii="Times New Roman" w:hAnsi="Times New Roman" w:eastAsia="宋体" w:cs="Times New Roman"/>
          <w:i w:val="0"/>
          <w:color w:val="15803D"/>
          <w:sz w:val="24"/>
          <w:szCs w:val="24"/>
        </w:rPr>
        <w:t>min(1.15, 达标系数)</w:t>
      </w:r>
      <w:r>
        <w:rPr>
          <w:rFonts w:ascii="Times New Roman" w:hAnsi="Times New Roman" w:eastAsia="宋体" w:cs="Times New Roman"/>
          <w:i w:val="0"/>
          <w:color w:val="1F2937"/>
          <w:sz w:val="24"/>
          <w:szCs w:val="24"/>
        </w:rPr>
        <w:t xml:space="preserve"> 后求平均，再 ×86，夹逼到 [45, 99]。</w:t>
      </w:r>
    </w:p>
    <w:p w14:paraId="604F3384">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综合得分三色阈值</w:t>
      </w:r>
      <w:r>
        <w:rPr>
          <w:rFonts w:ascii="Times New Roman" w:hAnsi="Times New Roman" w:eastAsia="宋体" w:cs="Times New Roman"/>
          <w:i w:val="0"/>
          <w:color w:val="1F2937"/>
          <w:sz w:val="24"/>
          <w:szCs w:val="24"/>
        </w:rPr>
        <w:t>：≥90 优秀（绿）；78~89 正常（黄）；&lt;78 异常（红）。</w:t>
      </w:r>
    </w:p>
    <w:p w14:paraId="4DD0F436">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页面区块与联动：</w:t>
      </w:r>
    </w:p>
    <w:p w14:paraId="1679EF71">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总览 5 卡</w:t>
      </w:r>
      <w:r>
        <w:rPr>
          <w:rFonts w:ascii="Times New Roman" w:hAnsi="Times New Roman" w:eastAsia="宋体" w:cs="Times New Roman"/>
          <w:i w:val="0"/>
          <w:color w:val="1F2937"/>
          <w:sz w:val="24"/>
          <w:szCs w:val="24"/>
        </w:rPr>
        <w:t>：恒定展示全部 5 项指标（不随所选指标变化），每卡含状态徽章、超大数值、标杆值、"已达标 / 差 N%"与达标度进度条（标杆刻度竖线固定 83.3% 处）。</w:t>
      </w:r>
    </w:p>
    <w:p w14:paraId="25314B9A">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宏观概要 4 卡</w:t>
      </w:r>
      <w:r>
        <w:rPr>
          <w:rFonts w:ascii="Times New Roman" w:hAnsi="Times New Roman" w:eastAsia="宋体" w:cs="Times New Roman"/>
          <w:i w:val="0"/>
          <w:color w:val="1F2937"/>
          <w:sz w:val="24"/>
          <w:szCs w:val="24"/>
        </w:rPr>
        <w:t>：平均零碳得分、达到零碳标杆（达标 = 综合得分 ≥90）实体数/总数、标杆对象（得分最高实体）、管理抓手（得分最低实体 + 其 gapPct 最大的指标，直接点名"抓什么"）。</w:t>
      </w:r>
    </w:p>
    <w:p w14:paraId="69FE1491">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对标红黑榜</w:t>
      </w:r>
      <w:r>
        <w:rPr>
          <w:rFonts w:ascii="Times New Roman" w:hAnsi="Times New Roman" w:eastAsia="宋体" w:cs="Times New Roman"/>
          <w:i w:val="0"/>
          <w:color w:val="1F2937"/>
          <w:sz w:val="24"/>
          <w:szCs w:val="24"/>
        </w:rPr>
        <w:t xml:space="preserve">：横向条形排名，score 降序、越低越好升序、越高越好降序；前 3 名序号徽章金/银/铜，其余中性灰；条形比例尺 = </w:t>
      </w:r>
      <w:r>
        <w:rPr>
          <w:rFonts w:ascii="Times New Roman" w:hAnsi="Times New Roman" w:eastAsia="宋体" w:cs="Times New Roman"/>
          <w:i w:val="0"/>
          <w:color w:val="15803D"/>
          <w:sz w:val="24"/>
          <w:szCs w:val="24"/>
        </w:rPr>
        <w:t>min(100, achievement/1.2×100)%</w:t>
      </w:r>
      <w:r>
        <w:rPr>
          <w:rFonts w:ascii="Times New Roman" w:hAnsi="Times New Roman" w:eastAsia="宋体" w:cs="Times New Roman"/>
          <w:i w:val="0"/>
          <w:color w:val="1F2937"/>
          <w:sz w:val="24"/>
          <w:szCs w:val="24"/>
        </w:rPr>
        <w:t>，标杆竖线固定 1/1.2 处。</w:t>
      </w:r>
    </w:p>
    <w:p w14:paraId="577FE3F0">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趋势/结构</w:t>
      </w:r>
      <w:r>
        <w:rPr>
          <w:rFonts w:ascii="Times New Roman" w:hAnsi="Times New Roman" w:eastAsia="宋体" w:cs="Times New Roman"/>
          <w:i w:val="0"/>
          <w:color w:val="1F2937"/>
          <w:sz w:val="24"/>
          <w:szCs w:val="24"/>
        </w:rPr>
        <w:t>：生产计划维度（temporal）且非 score 时显示"相同产品·减碳趋势"折线（实测 + 零碳标杆恒定线）；其他情况显示"综合得分分布"折线（实测 + 标杆线 90）。</w:t>
      </w:r>
    </w:p>
    <w:p w14:paraId="10C9BD2B">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多指标对标明细表</w:t>
      </w:r>
      <w:r>
        <w:rPr>
          <w:rFonts w:ascii="Times New Roman" w:hAnsi="Times New Roman" w:eastAsia="宋体" w:cs="Times New Roman"/>
          <w:i w:val="0"/>
          <w:color w:val="1F2937"/>
          <w:sz w:val="24"/>
          <w:szCs w:val="24"/>
        </w:rPr>
        <w:t>：行 = 当前维度全部实体（固定按综合得分降序，与红黑榜指标排序解耦）；列 = 排名、实体、综合得分、5 项关键指标；每行 gapPct 最大的指标单元格红底高亮（管理抓手）。</w:t>
      </w:r>
    </w:p>
    <w:p w14:paraId="241D1278">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联动</w:t>
      </w:r>
      <w:r>
        <w:rPr>
          <w:rFonts w:ascii="Times New Roman" w:hAnsi="Times New Roman" w:eastAsia="宋体" w:cs="Times New Roman"/>
          <w:i w:val="0"/>
          <w:color w:val="1F2937"/>
          <w:sz w:val="24"/>
          <w:szCs w:val="24"/>
        </w:rPr>
        <w:t>：维度/指标切换即时刷新全部区块，无需刷新按钮；顶部工厂筛选器在本视图隐藏（语义冲突）。</w:t>
      </w:r>
    </w:p>
    <w:p w14:paraId="30C3897B">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子模块划分</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5.1 核心指标对比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5.2 产品单耗对比（横向）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5.3 产品单耗对比（纵向）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5.4 关键工序单耗对比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5.5 基准管理 </w:t>
      </w:r>
      <w:r>
        <w:rPr>
          <w:rFonts w:ascii="Times New Roman" w:hAnsi="Times New Roman" w:eastAsia="宋体" w:cs="Times New Roman"/>
          <w:i w:val="0"/>
          <w:color w:val="1F2937"/>
          <w:sz w:val="24"/>
          <w:szCs w:val="24"/>
        </w:rPr>
        <w:t>。</w:t>
      </w:r>
    </w:p>
    <w:p w14:paraId="2725AA47">
      <w:pPr>
        <w:pStyle w:val="6"/>
        <w:numPr>
          <w:ilvl w:val="0"/>
          <w:numId w:val="8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2"/>
        <w:gridCol w:w="1896"/>
        <w:gridCol w:w="1364"/>
        <w:gridCol w:w="1364"/>
        <w:gridCol w:w="4278"/>
      </w:tblGrid>
      <w:tr w14:paraId="4B6C73DF">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8A3D0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4391A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6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D62C9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6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C5855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27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635FB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计算规则与防错逻辑</w:t>
            </w:r>
          </w:p>
        </w:tc>
      </w:tr>
      <w:tr w14:paraId="03D831BA">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E2DA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4135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对标实体名称</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0CB0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B642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31C8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工厂/产线/产品/型号/生产计划层级名称</w:t>
            </w:r>
          </w:p>
        </w:tc>
      </w:tr>
      <w:tr w14:paraId="4A3DF025">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D85A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30A8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对标维度标识</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38A1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841B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E50F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factory / line / category / model / plan</w:t>
            </w:r>
          </w:p>
        </w:tc>
      </w:tr>
      <w:tr w14:paraId="393458E0">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B814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F762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单项达标系数</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4FDE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AD3D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4AA7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越低越好 = 标杆/实测；越高越好 = 实测/标杆</w:t>
            </w:r>
          </w:p>
        </w:tc>
      </w:tr>
      <w:tr w14:paraId="28D4078B">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B4C9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116A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单项距标杆差距</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6E3F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18B5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EDF3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按越低越好/越高越好两种口径分别计算</w:t>
            </w:r>
          </w:p>
        </w:tc>
      </w:tr>
      <w:tr w14:paraId="64C015FE">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917E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6784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单项状态</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197D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A3FF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A9BE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优秀 ≥1.00 / 正常 0.85~1.00 / 异常 &lt;0.85</w:t>
            </w:r>
          </w:p>
        </w:tc>
      </w:tr>
      <w:tr w14:paraId="7C477FB7">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4476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A75B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零碳综合得分</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95E8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0F3E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w:t>
            </w:r>
          </w:p>
        </w:tc>
        <w:tc>
          <w:tcPr>
            <w:tcW w:w="42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6E2B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clamp(AVG(min(1.15, Ach)) × 86, 45, 99)</w:t>
            </w:r>
          </w:p>
        </w:tc>
      </w:tr>
      <w:tr w14:paraId="1B9044A4">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D07D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F9FB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综合得分状态</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6F86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7BB5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9C60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优秀 ≥90 / 正常 78~89 / 异常 &lt;78</w:t>
            </w:r>
          </w:p>
        </w:tc>
      </w:tr>
      <w:tr w14:paraId="28F9FDD1">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94C5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88153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管理抓手指标</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A391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B1DB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DF11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该实体 gapPct 最大的指标名称</w:t>
            </w:r>
          </w:p>
        </w:tc>
      </w:tr>
      <w:tr w14:paraId="33E6A22D">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16B7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D7A8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排名序号</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9EF9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Integer</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ABCD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2189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前 3 名金/银/铜徽章，其余中性灰</w:t>
            </w:r>
          </w:p>
        </w:tc>
      </w:tr>
      <w:tr w14:paraId="112512E6">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F7973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8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FCD5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条形比例尺</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3702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550B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B0A1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min(100, achievement/1.2×100)</w:t>
            </w:r>
          </w:p>
        </w:tc>
      </w:tr>
    </w:tbl>
    <w:p w14:paraId="0F6D8659">
      <w:pPr>
        <w:spacing w:after="60"/>
        <w:rPr>
          <w:rFonts w:hint="eastAsia" w:ascii="宋体" w:hAnsi="宋体" w:eastAsia="宋体" w:cs="宋体"/>
          <w:i w:val="0"/>
          <w:iCs w:val="0"/>
          <w:sz w:val="24"/>
          <w:szCs w:val="24"/>
        </w:rPr>
      </w:pPr>
    </w:p>
    <w:p w14:paraId="01075BE5">
      <w:pPr>
        <w:spacing w:after="60"/>
        <w:rPr>
          <w:rFonts w:hint="eastAsia" w:ascii="宋体" w:hAnsi="宋体" w:eastAsia="宋体" w:cs="宋体"/>
          <w:i w:val="0"/>
          <w:iCs w:val="0"/>
          <w:sz w:val="24"/>
          <w:szCs w:val="24"/>
        </w:rPr>
      </w:pPr>
    </w:p>
    <w:p w14:paraId="4CB6690A">
      <w:pPr>
        <w:spacing w:after="60"/>
        <w:rPr>
          <w:rFonts w:hint="eastAsia" w:ascii="宋体" w:hAnsi="宋体" w:eastAsia="宋体" w:cs="宋体"/>
          <w:i w:val="0"/>
          <w:iCs w:val="0"/>
          <w:sz w:val="24"/>
          <w:szCs w:val="24"/>
        </w:rPr>
      </w:pPr>
    </w:p>
    <w:p w14:paraId="5FCDA8D7">
      <w:pPr>
        <w:pStyle w:val="6"/>
        <w:numPr>
          <w:ilvl w:val="0"/>
          <w:numId w:val="8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7AF825CA">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315B918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Ach = 越低越好 ? ( Benchmark / Actual ) : ( Actual / Benchmark )</w:t>
            </w:r>
          </w:p>
          <w:p w14:paraId="2FEFFD2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gapPct = 越低越好 ? ( (Actual - Benchmark)/Benchmark×100% ) : ( (Benchmark - Actual)/Benchmark×100% )</w:t>
            </w:r>
          </w:p>
          <w:p w14:paraId="1E45100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Status_item = Ach &gt;= 1.00 ? 优秀 : ( Ach &gt;= 0.85 ? 正常 : 异常 )</w:t>
            </w:r>
          </w:p>
          <w:p w14:paraId="32FB5EC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Score_total = CLAMP( AVG_i ( MIN(1.15, Ach_i) ) × 86, 45, 99 )</w:t>
            </w:r>
          </w:p>
          <w:p w14:paraId="3DF7134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Status_total = Score_total &gt;= 90 ? 优秀 : ( Score_total &gt;= 78 ? 正常 : 异常 )</w:t>
            </w:r>
          </w:p>
          <w:p w14:paraId="088430C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Bar_ratio = MIN( 100, Ach / 1.2 × 100% )</w:t>
            </w:r>
          </w:p>
        </w:tc>
      </w:tr>
    </w:tbl>
    <w:p w14:paraId="70F342DE">
      <w:pPr>
        <w:spacing w:after="40"/>
        <w:rPr>
          <w:rFonts w:hint="eastAsia" w:ascii="宋体" w:hAnsi="宋体" w:eastAsia="宋体" w:cs="宋体"/>
          <w:i w:val="0"/>
          <w:iCs w:val="0"/>
          <w:sz w:val="24"/>
          <w:szCs w:val="24"/>
        </w:rPr>
      </w:pPr>
    </w:p>
    <w:p w14:paraId="1CA0BCD1">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5 项关键指标分别为单位产品综合能耗、单位产值能耗、单位产品碳排放、绿电占比、单位产品碳足迹；</w:t>
      </w:r>
      <w:r>
        <w:rPr>
          <w:rFonts w:ascii="Times New Roman" w:hAnsi="Times New Roman" w:eastAsia="宋体" w:cs="Times New Roman"/>
          <w:b w:val="0"/>
          <w:i w:val="0"/>
          <w:color w:val="0284C7"/>
          <w:sz w:val="24"/>
          <w:szCs w:val="24"/>
        </w:rPr>
        <w:t xml:space="preserve"> min </w:t>
      </w:r>
      <w:r>
        <w:rPr>
          <w:rFonts w:ascii="Times New Roman" w:hAnsi="Times New Roman" w:eastAsia="宋体" w:cs="Times New Roman"/>
          <w:i w:val="0"/>
          <w:color w:val="1F2937"/>
          <w:sz w:val="24"/>
          <w:szCs w:val="24"/>
        </w:rPr>
        <w:t xml:space="preserve"> 上限 1.15 用于限制单项过度领先；</w:t>
      </w:r>
      <w:r>
        <w:rPr>
          <w:rFonts w:ascii="Times New Roman" w:hAnsi="Times New Roman" w:eastAsia="宋体" w:cs="Times New Roman"/>
          <w:b w:val="0"/>
          <w:i w:val="0"/>
          <w:color w:val="0284C7"/>
          <w:sz w:val="24"/>
          <w:szCs w:val="24"/>
        </w:rPr>
        <w:t xml:space="preserve"> ×86 </w:t>
      </w:r>
      <w:r>
        <w:rPr>
          <w:rFonts w:ascii="Times New Roman" w:hAnsi="Times New Roman" w:eastAsia="宋体" w:cs="Times New Roman"/>
          <w:i w:val="0"/>
          <w:color w:val="1F2937"/>
          <w:sz w:val="24"/>
          <w:szCs w:val="24"/>
        </w:rPr>
        <w:t xml:space="preserve"> 为得分放大系数；夹逼区间 [45, 99] 保证得分可视性。</w:t>
      </w:r>
    </w:p>
    <w:p w14:paraId="57E71D72">
      <w:pPr>
        <w:pStyle w:val="6"/>
        <w:numPr>
          <w:ilvl w:val="0"/>
          <w:numId w:val="8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221D9D02">
      <w:pPr>
        <w:pStyle w:val="19"/>
        <w:widowControl/>
        <w:numPr>
          <w:ilvl w:val="0"/>
          <w:numId w:val="8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基准口径</w:t>
      </w:r>
      <w:r>
        <w:rPr>
          <w:rFonts w:ascii="Times New Roman" w:hAnsi="Times New Roman" w:eastAsia="宋体" w:cs="Times New Roman"/>
          <w:i w:val="0"/>
          <w:color w:val="1F2937"/>
          <w:sz w:val="24"/>
          <w:szCs w:val="24"/>
        </w:rPr>
        <w:t>：三线对标体系固定为【国家先进值】【国家准入值】【特变电工领跑线】。</w:t>
      </w:r>
    </w:p>
    <w:p w14:paraId="64ED00D7">
      <w:pPr>
        <w:pStyle w:val="19"/>
        <w:widowControl/>
        <w:numPr>
          <w:ilvl w:val="0"/>
          <w:numId w:val="8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排名口径</w:t>
      </w:r>
      <w:r>
        <w:rPr>
          <w:rFonts w:ascii="Times New Roman" w:hAnsi="Times New Roman" w:eastAsia="宋体" w:cs="Times New Roman"/>
          <w:i w:val="0"/>
          <w:color w:val="1F2937"/>
          <w:sz w:val="24"/>
          <w:szCs w:val="24"/>
        </w:rPr>
        <w:t>：红黑榜排序随所选指标动态切换（score 降序、越低越好升序、越高越好降序），明细表固定按综合得分降序，二者解耦。</w:t>
      </w:r>
    </w:p>
    <w:p w14:paraId="64AB57BB">
      <w:pPr>
        <w:pStyle w:val="19"/>
        <w:widowControl/>
        <w:numPr>
          <w:ilvl w:val="0"/>
          <w:numId w:val="8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排除口径</w:t>
      </w:r>
      <w:r>
        <w:rPr>
          <w:rFonts w:ascii="Times New Roman" w:hAnsi="Times New Roman" w:eastAsia="宋体" w:cs="Times New Roman"/>
          <w:i w:val="0"/>
          <w:color w:val="1F2937"/>
          <w:sz w:val="24"/>
          <w:szCs w:val="24"/>
        </w:rPr>
        <w:t>：项目公司/在建单位置灰、不参与排名与达标统计。</w:t>
      </w:r>
    </w:p>
    <w:p w14:paraId="7DEB48F3">
      <w:pPr>
        <w:pStyle w:val="19"/>
        <w:widowControl/>
        <w:numPr>
          <w:ilvl w:val="0"/>
          <w:numId w:val="8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高亮口径</w:t>
      </w:r>
      <w:r>
        <w:rPr>
          <w:rFonts w:ascii="Times New Roman" w:hAnsi="Times New Roman" w:eastAsia="宋体" w:cs="Times New Roman"/>
          <w:i w:val="0"/>
          <w:color w:val="1F2937"/>
          <w:sz w:val="24"/>
          <w:szCs w:val="24"/>
        </w:rPr>
        <w:t>：每行 gapPct 最大的指标单元格红底高亮，作为该行的管理抓手。</w:t>
      </w:r>
    </w:p>
    <w:p w14:paraId="0B73AA31">
      <w:pPr>
        <w:pStyle w:val="6"/>
        <w:numPr>
          <w:ilvl w:val="0"/>
          <w:numId w:val="8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2E467956">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2EC3965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标杆值为 0：达标系数与差距率均显示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，不参与排名与平均分计算。</w:t>
            </w:r>
          </w:p>
          <w:p w14:paraId="0963C4C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某实体指标数据缺失：该实体在明细表中该项留空并整体降权，不参与达标统计。</w:t>
            </w:r>
          </w:p>
          <w:p w14:paraId="24AF257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项目公司/在建单位：强制置灰并排除出排名与达标统计，不允许手工纳入。</w:t>
            </w:r>
          </w:p>
          <w:p w14:paraId="0635D59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除零兜底：所有比值类字段分母为 0 时统一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tc>
      </w:tr>
    </w:tbl>
    <w:p w14:paraId="1C75D349">
      <w:pPr>
        <w:spacing w:after="40"/>
        <w:rPr>
          <w:rFonts w:hint="eastAsia" w:ascii="宋体" w:hAnsi="宋体" w:eastAsia="宋体" w:cs="宋体"/>
          <w:i w:val="0"/>
          <w:iCs w:val="0"/>
          <w:sz w:val="24"/>
          <w:szCs w:val="24"/>
        </w:rPr>
      </w:pPr>
    </w:p>
    <w:p w14:paraId="2F0AF7E6">
      <w:pPr>
        <w:pStyle w:val="6"/>
        <w:numPr>
          <w:ilvl w:val="0"/>
          <w:numId w:val="85"/>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04B1AF95">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0258ED6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对标管理三线体系与红黑榜</w:t>
            </w:r>
          </w:p>
          <w:p w14:paraId="5B65C05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综合得分计算与夹逼</w:t>
            </w:r>
          </w:p>
          <w:p w14:paraId="31A6219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某实体 5 项关键指标的达标系数分别为 1.02、0.92、1.20、0.78、1.05</w:t>
            </w:r>
          </w:p>
          <w:p w14:paraId="58A595B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系统计算零碳综合得分</w:t>
            </w:r>
          </w:p>
          <w:p w14:paraId="38AE833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各项先取 min(1.15, 达标系数)，即 1.02、0.92、1.15、0.78、1.05</w:t>
            </w:r>
          </w:p>
          <w:p w14:paraId="0C6F22C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求平均后乘以 86 并夹逼至 [45, 99] 区间</w:t>
            </w:r>
          </w:p>
          <w:p w14:paraId="113C31C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得分状态按 ≥90 优秀 / 78~89 正常 / &lt;78 异常 判定</w:t>
            </w:r>
          </w:p>
          <w:p w14:paraId="4D679A9B">
            <w:pPr>
              <w:spacing w:before="0" w:after="20" w:line="264" w:lineRule="auto"/>
              <w:rPr>
                <w:rFonts w:hint="eastAsia" w:ascii="宋体" w:hAnsi="宋体" w:eastAsia="宋体" w:cs="宋体"/>
                <w:i w:val="0"/>
                <w:iCs w:val="0"/>
                <w:sz w:val="24"/>
                <w:szCs w:val="24"/>
              </w:rPr>
            </w:pPr>
          </w:p>
          <w:p w14:paraId="743EE71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管理抓手自动点名</w:t>
            </w:r>
          </w:p>
          <w:p w14:paraId="4E0716C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某实体 5 项指标的 gapPct 分别为 2%、5%、18%、1%、3%</w:t>
            </w:r>
          </w:p>
          <w:p w14:paraId="2D4FCEC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页面渲染宏观概要区的"管理抓手"卡片</w:t>
            </w:r>
          </w:p>
          <w:p w14:paraId="7392257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卡片直接点名 gapPct 最大的指标（本例为 gapPct = 18% 的指标）</w:t>
            </w:r>
          </w:p>
          <w:p w14:paraId="3CB4659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明细表中该指标单元格红底高亮</w:t>
            </w:r>
          </w:p>
          <w:p w14:paraId="670C5B0A">
            <w:pPr>
              <w:spacing w:before="0" w:after="20" w:line="264" w:lineRule="auto"/>
              <w:rPr>
                <w:rFonts w:hint="eastAsia" w:ascii="宋体" w:hAnsi="宋体" w:eastAsia="宋体" w:cs="宋体"/>
                <w:i w:val="0"/>
                <w:iCs w:val="0"/>
                <w:sz w:val="24"/>
                <w:szCs w:val="24"/>
              </w:rPr>
            </w:pPr>
          </w:p>
          <w:p w14:paraId="0162E2B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项目公司排除排名</w:t>
            </w:r>
          </w:p>
          <w:p w14:paraId="2888625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对标维度中存在项目公司与在建单位</w:t>
            </w:r>
          </w:p>
          <w:p w14:paraId="7B2546A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系统生成对标红黑榜排名</w:t>
            </w:r>
          </w:p>
          <w:p w14:paraId="65DBFCF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项目公司与在建单位置灰且不计入排名序号</w:t>
            </w:r>
          </w:p>
          <w:p w14:paraId="52C0E99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不参与达标统计与平均得分计算</w:t>
            </w:r>
          </w:p>
          <w:p w14:paraId="1B00F114">
            <w:pPr>
              <w:spacing w:before="0" w:after="20" w:line="264" w:lineRule="auto"/>
              <w:rPr>
                <w:rFonts w:hint="eastAsia" w:ascii="宋体" w:hAnsi="宋体" w:eastAsia="宋体" w:cs="宋体"/>
                <w:i w:val="0"/>
                <w:iCs w:val="0"/>
                <w:sz w:val="24"/>
                <w:szCs w:val="24"/>
              </w:rPr>
            </w:pPr>
          </w:p>
          <w:p w14:paraId="78A4CEC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维度切换即时刷新</w:t>
            </w:r>
          </w:p>
          <w:p w14:paraId="3286A40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用户当前位于"工厂"维度</w:t>
            </w:r>
          </w:p>
          <w:p w14:paraId="776A3F2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用户切换维度至"生产计划"</w:t>
            </w:r>
          </w:p>
          <w:p w14:paraId="7B2201E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全部区块即时刷新且无需点击刷新按钮</w:t>
            </w:r>
          </w:p>
          <w:p w14:paraId="1E90259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右侧趋势区切换为"相同产品·减碳趋势"折线并锁定示例产品</w:t>
            </w:r>
          </w:p>
          <w:p w14:paraId="6729957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顶部工厂筛选器在本视图隐藏</w:t>
            </w:r>
          </w:p>
        </w:tc>
      </w:tr>
    </w:tbl>
    <w:p w14:paraId="2C9987CC">
      <w:pPr>
        <w:spacing w:after="40"/>
        <w:rPr>
          <w:rFonts w:hint="eastAsia" w:ascii="宋体" w:hAnsi="宋体" w:eastAsia="宋体" w:cs="宋体"/>
          <w:i w:val="0"/>
          <w:iCs w:val="0"/>
          <w:sz w:val="24"/>
          <w:szCs w:val="24"/>
        </w:rPr>
      </w:pPr>
    </w:p>
    <w:p w14:paraId="2CADF01A">
      <w:pPr>
        <w:pStyle w:val="5"/>
        <w:numPr>
          <w:ilvl w:val="0"/>
          <w:numId w:val="64"/>
        </w:numPr>
        <w:ind w:left="0" w:leftChars="0" w:firstLine="0" w:firstLineChars="0"/>
        <w:outlineLvl w:val="1"/>
        <w:rPr>
          <w:rFonts w:eastAsia="黑体"/>
          <w:b w:val="0"/>
          <w:bCs w:val="0"/>
          <w:sz w:val="30"/>
          <w:szCs w:val="24"/>
        </w:rPr>
      </w:pPr>
      <w:bookmarkStart w:id="27" w:name="_Toc21770"/>
      <w:r>
        <w:rPr>
          <w:rFonts w:ascii="Times New Roman" w:hAnsi="Times New Roman" w:eastAsia="黑体" w:cs="Times New Roman"/>
          <w:b w:val="0"/>
          <w:bCs w:val="0"/>
          <w:sz w:val="30"/>
          <w:szCs w:val="24"/>
        </w:rPr>
        <w:t>综合能耗平衡与能效自评估</w:t>
      </w:r>
      <w:bookmarkEnd w:id="27"/>
    </w:p>
    <w:p w14:paraId="59BDB3FB">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6210300" cy="3079115"/>
            <wp:effectExtent l="0" t="0" r="0" b="698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pic:cNvPicPr>
                      <a:picLocks noChangeAspect="1"/>
                    </pic:cNvPicPr>
                  </pic:nvPicPr>
                  <pic:blipFill>
                    <a:blip r:embed="rId28"/>
                    <a:stretch>
                      <a:fillRect/>
                    </a:stretch>
                  </pic:blipFill>
                  <pic:spPr>
                    <a:xfrm>
                      <a:off x="0" y="0"/>
                      <a:ext cx="6210300" cy="3079165"/>
                    </a:xfrm>
                    <a:prstGeom prst="rect">
                      <a:avLst/>
                    </a:prstGeom>
                  </pic:spPr>
                </pic:pic>
              </a:graphicData>
            </a:graphic>
          </wp:inline>
        </w:drawing>
      </w:r>
    </w:p>
    <w:p w14:paraId="04F3AA56">
      <w:pPr>
        <w:pStyle w:val="6"/>
        <w:numPr>
          <w:ilvl w:val="0"/>
          <w:numId w:val="9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6F859654">
      <w:pPr>
        <w:pStyle w:val="19"/>
        <w:widowControl/>
        <w:numPr>
          <w:ilvl w:val="0"/>
          <w:numId w:val="9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：以能量平衡表形式校核全厂购入、转换、输送、终端消费各环节能耗守恒关系，识别输配损耗，并输出能效自评估结论。</w:t>
      </w:r>
    </w:p>
    <w:p w14:paraId="77A0D056">
      <w:pPr>
        <w:pStyle w:val="19"/>
        <w:widowControl/>
        <w:numPr>
          <w:ilvl w:val="0"/>
          <w:numId w:val="9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园区能碳专员、能源管理体系内审员。</w:t>
      </w:r>
    </w:p>
    <w:p w14:paraId="0CFDEB0E">
      <w:pPr>
        <w:pStyle w:val="19"/>
        <w:widowControl/>
        <w:numPr>
          <w:ilvl w:val="0"/>
          <w:numId w:val="9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/monitor/analysis/balance </w:t>
      </w:r>
      <w:r>
        <w:rPr>
          <w:rFonts w:ascii="Times New Roman" w:hAnsi="Times New Roman" w:eastAsia="宋体" w:cs="Times New Roman"/>
          <w:i w:val="0"/>
          <w:color w:val="1F2937"/>
          <w:sz w:val="24"/>
          <w:szCs w:val="24"/>
        </w:rPr>
        <w:t>。</w:t>
      </w:r>
    </w:p>
    <w:p w14:paraId="089C4FE7">
      <w:pPr>
        <w:pStyle w:val="19"/>
        <w:widowControl/>
        <w:numPr>
          <w:ilvl w:val="0"/>
          <w:numId w:val="9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：用能在线监测介质数据、变配电损耗遥测、蒸汽管网流量计、ISO 50001 体系文件。</w:t>
      </w:r>
    </w:p>
    <w:p w14:paraId="4BA1B4B3">
      <w:pPr>
        <w:pStyle w:val="19"/>
        <w:widowControl/>
        <w:numPr>
          <w:ilvl w:val="0"/>
          <w:numId w:val="9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：输配损耗诊断结论、零碳工厂自评估运营管理维度佐证材料。</w:t>
      </w:r>
    </w:p>
    <w:p w14:paraId="3BC3C91F">
      <w:pPr>
        <w:pStyle w:val="6"/>
        <w:numPr>
          <w:ilvl w:val="0"/>
          <w:numId w:val="9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3B457389">
      <w:pPr>
        <w:pStyle w:val="19"/>
        <w:widowControl/>
        <w:numPr>
          <w:ilvl w:val="0"/>
          <w:numId w:val="9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：园区年度能源管理体系内审与节能诊断场景，需验证全厂能量平衡表是否闭合，并定位蒸汽管网与配电线路的输配损耗异常。</w:t>
      </w:r>
    </w:p>
    <w:p w14:paraId="7A065AFE">
      <w:pPr>
        <w:pStyle w:val="19"/>
        <w:widowControl/>
        <w:numPr>
          <w:ilvl w:val="0"/>
          <w:numId w:val="9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07611B98">
      <w:pPr>
        <w:pStyle w:val="19"/>
        <w:widowControl/>
        <w:numPr>
          <w:ilvl w:val="0"/>
          <w:numId w:val="9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园区能碳专员 (Persona P2)</w:t>
      </w:r>
      <w:r>
        <w:rPr>
          <w:rFonts w:ascii="Times New Roman" w:hAnsi="Times New Roman" w:eastAsia="宋体" w:cs="Times New Roman"/>
          <w:i w:val="0"/>
          <w:color w:val="1F2937"/>
          <w:sz w:val="24"/>
          <w:szCs w:val="24"/>
        </w:rPr>
        <w:t>，</w:t>
      </w:r>
    </w:p>
    <w:p w14:paraId="4061E653">
      <w:pPr>
        <w:pStyle w:val="19"/>
        <w:widowControl/>
        <w:numPr>
          <w:ilvl w:val="0"/>
          <w:numId w:val="9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查看全厂能量平衡表与购入—转换—输送—消费四环节损耗分解，自动校核平衡偏差</w:t>
      </w:r>
      <w:r>
        <w:rPr>
          <w:rFonts w:ascii="Times New Roman" w:hAnsi="Times New Roman" w:eastAsia="宋体" w:cs="Times New Roman"/>
          <w:i w:val="0"/>
          <w:color w:val="1F2937"/>
          <w:sz w:val="24"/>
          <w:szCs w:val="24"/>
        </w:rPr>
        <w:t>，</w:t>
      </w:r>
    </w:p>
    <w:p w14:paraId="1977DE6F">
      <w:pPr>
        <w:pStyle w:val="19"/>
        <w:widowControl/>
        <w:numPr>
          <w:ilvl w:val="0"/>
          <w:numId w:val="9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我能定位输配损耗热点并形成管网保温与变压器更换技改依据</w:t>
      </w:r>
      <w:r>
        <w:rPr>
          <w:rFonts w:ascii="Times New Roman" w:hAnsi="Times New Roman" w:eastAsia="宋体" w:cs="Times New Roman"/>
          <w:i w:val="0"/>
          <w:color w:val="1F2937"/>
          <w:sz w:val="24"/>
          <w:szCs w:val="24"/>
        </w:rPr>
        <w:t>。</w:t>
      </w:r>
    </w:p>
    <w:p w14:paraId="598F23AB">
      <w:pPr>
        <w:pStyle w:val="6"/>
        <w:numPr>
          <w:ilvl w:val="0"/>
          <w:numId w:val="9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66699A50">
      <w:pPr>
        <w:pStyle w:val="19"/>
        <w:widowControl/>
        <w:numPr>
          <w:ilvl w:val="0"/>
          <w:numId w:val="9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能量平衡表</w:t>
      </w:r>
      <w:r>
        <w:rPr>
          <w:rFonts w:ascii="Times New Roman" w:hAnsi="Times New Roman" w:eastAsia="宋体" w:cs="Times New Roman"/>
          <w:i w:val="0"/>
          <w:color w:val="1F2937"/>
          <w:sz w:val="24"/>
          <w:szCs w:val="24"/>
        </w:rPr>
        <w:t>：按行呈现购入、转换、输送、终端消费各环节的实物量与折标煤量，按列呈现电力、蒸汽、天然气、水等介质，交叉单元格自动计算，末行/末列封闭校验。</w:t>
      </w:r>
    </w:p>
    <w:p w14:paraId="58F7FD45">
      <w:pPr>
        <w:pStyle w:val="19"/>
        <w:widowControl/>
        <w:numPr>
          <w:ilvl w:val="0"/>
          <w:numId w:val="9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损耗分解桑基图</w:t>
      </w:r>
      <w:r>
        <w:rPr>
          <w:rFonts w:ascii="Times New Roman" w:hAnsi="Times New Roman" w:eastAsia="宋体" w:cs="Times New Roman"/>
          <w:i w:val="0"/>
          <w:color w:val="1F2937"/>
          <w:sz w:val="24"/>
          <w:szCs w:val="24"/>
        </w:rPr>
        <w:t>：展示电能在变配电环节、蒸汽在管网输送环节的损耗流向与占比。</w:t>
      </w:r>
    </w:p>
    <w:p w14:paraId="211CAB28">
      <w:pPr>
        <w:pStyle w:val="19"/>
        <w:widowControl/>
        <w:numPr>
          <w:ilvl w:val="0"/>
          <w:numId w:val="9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平衡偏差自检</w:t>
      </w:r>
      <w:r>
        <w:rPr>
          <w:rFonts w:ascii="Times New Roman" w:hAnsi="Times New Roman" w:eastAsia="宋体" w:cs="Times New Roman"/>
          <w:i w:val="0"/>
          <w:color w:val="1F2937"/>
          <w:sz w:val="24"/>
          <w:szCs w:val="24"/>
        </w:rPr>
        <w:t>：输入侧折标总量与输出侧折标总量偏差超过 ±2% 时页面自动标注"平衡偏差待核查"并列出偏差最大介质。</w:t>
      </w:r>
    </w:p>
    <w:p w14:paraId="1D8CCDB9">
      <w:pPr>
        <w:pStyle w:val="19"/>
        <w:widowControl/>
        <w:numPr>
          <w:ilvl w:val="0"/>
          <w:numId w:val="9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能效自评估结论区</w:t>
      </w:r>
      <w:r>
        <w:rPr>
          <w:rFonts w:ascii="Times New Roman" w:hAnsi="Times New Roman" w:eastAsia="宋体" w:cs="Times New Roman"/>
          <w:i w:val="0"/>
          <w:color w:val="1F2937"/>
          <w:sz w:val="24"/>
          <w:szCs w:val="24"/>
        </w:rPr>
        <w:t>：按 ISO 50001 体系要求输出能效基线、主要用能设备能效等级分布与改进建议清单。</w:t>
      </w:r>
    </w:p>
    <w:p w14:paraId="1D42908E">
      <w:pPr>
        <w:pStyle w:val="6"/>
        <w:numPr>
          <w:ilvl w:val="0"/>
          <w:numId w:val="9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90"/>
        <w:gridCol w:w="2044"/>
        <w:gridCol w:w="1372"/>
        <w:gridCol w:w="1637"/>
        <w:gridCol w:w="3841"/>
      </w:tblGrid>
      <w:tr w14:paraId="0119AC48">
        <w:tblPrEx>
          <w:tblCellMar>
            <w:top w:w="0" w:type="dxa"/>
            <w:left w:w="108" w:type="dxa"/>
            <w:bottom w:w="0" w:type="dxa"/>
            <w:right w:w="108" w:type="dxa"/>
          </w:tblCellMar>
        </w:tblPrEx>
        <w:trPr>
          <w:tblHeade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C03B3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204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B1AC9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CA5FE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6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3F625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84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AA193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计算规则与防错逻辑</w:t>
            </w:r>
          </w:p>
        </w:tc>
      </w:tr>
      <w:tr w14:paraId="1456C53B">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0C226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20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57F1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购入侧能耗量</w:t>
            </w:r>
          </w:p>
        </w:tc>
        <w:tc>
          <w:tcPr>
            <w:tcW w:w="13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94F9C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1974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3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71C1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外购电、外购蒸汽、天然气等折标合计</w:t>
            </w:r>
          </w:p>
        </w:tc>
      </w:tr>
      <w:tr w14:paraId="19A7DAA2">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3DE7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C8A4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转换环节能耗量</w:t>
            </w:r>
          </w:p>
        </w:tc>
        <w:tc>
          <w:tcPr>
            <w:tcW w:w="13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5A4C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93ED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3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5932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锅炉、空压机等转换设备投入与产出差</w:t>
            </w:r>
          </w:p>
        </w:tc>
      </w:tr>
      <w:tr w14:paraId="5C852B76">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3774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20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0E0BC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输送环节损耗量</w:t>
            </w:r>
          </w:p>
        </w:tc>
        <w:tc>
          <w:tcPr>
            <w:tcW w:w="13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493C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E593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3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9E319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管网与线路损失，≥ 0</w:t>
            </w:r>
          </w:p>
        </w:tc>
      </w:tr>
      <w:tr w14:paraId="26C3D5CE">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88B8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FA7B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终端消费量</w:t>
            </w:r>
          </w:p>
        </w:tc>
        <w:tc>
          <w:tcPr>
            <w:tcW w:w="13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B4B3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5EEE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3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A95D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各车间与公辅设施实耗合计</w:t>
            </w:r>
          </w:p>
        </w:tc>
      </w:tr>
      <w:tr w14:paraId="6DD49A12">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61B3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20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7B4A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平衡偏差率</w:t>
            </w:r>
          </w:p>
        </w:tc>
        <w:tc>
          <w:tcPr>
            <w:tcW w:w="13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BF19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FCF3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7F55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(购入 − 转换 − 输送 − 终端) / 购入 × 100%</w:t>
            </w:r>
          </w:p>
        </w:tc>
      </w:tr>
      <w:tr w14:paraId="45C4E35F">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982C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A07B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输配损耗占比</w:t>
            </w:r>
          </w:p>
        </w:tc>
        <w:tc>
          <w:tcPr>
            <w:tcW w:w="13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8EF6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61C6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E068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输送环节损耗量 / 购入侧能耗量 × 100%</w:t>
            </w:r>
          </w:p>
        </w:tc>
      </w:tr>
      <w:tr w14:paraId="1C0F4EE3">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2591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20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EA98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主要用能设备能效等级</w:t>
            </w:r>
          </w:p>
        </w:tc>
        <w:tc>
          <w:tcPr>
            <w:tcW w:w="13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1876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1B66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1级/2级/3级/达标</w:t>
            </w:r>
          </w:p>
        </w:tc>
        <w:tc>
          <w:tcPr>
            <w:tcW w:w="3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BB4B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依据能效国标判定</w:t>
            </w:r>
          </w:p>
        </w:tc>
      </w:tr>
      <w:tr w14:paraId="634C9588">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D3350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213E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自评估结论</w:t>
            </w:r>
          </w:p>
        </w:tc>
        <w:tc>
          <w:tcPr>
            <w:tcW w:w="13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7367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Text</w:t>
            </w:r>
          </w:p>
        </w:tc>
        <w:tc>
          <w:tcPr>
            <w:tcW w:w="1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9144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949F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非空，须给出改进建议清单</w:t>
            </w:r>
          </w:p>
        </w:tc>
      </w:tr>
    </w:tbl>
    <w:p w14:paraId="70AA03E5">
      <w:pPr>
        <w:spacing w:after="60"/>
        <w:rPr>
          <w:rFonts w:hint="eastAsia" w:ascii="宋体" w:hAnsi="宋体" w:eastAsia="宋体" w:cs="宋体"/>
          <w:i w:val="0"/>
          <w:iCs w:val="0"/>
          <w:sz w:val="24"/>
          <w:szCs w:val="24"/>
        </w:rPr>
      </w:pPr>
    </w:p>
    <w:p w14:paraId="39E15832">
      <w:pPr>
        <w:pStyle w:val="6"/>
        <w:numPr>
          <w:ilvl w:val="0"/>
          <w:numId w:val="9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2254CD12">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0ED84D32">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E_purchase = E_convert + E_transmit_loss + E_end_use ± Deviation</w:t>
            </w:r>
          </w:p>
          <w:p w14:paraId="6786E7B2">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Deviation_rate = ( E_purchase - E_convert - E_transmit_loss - E_end_use ) / E_purchase × 100%</w:t>
            </w:r>
          </w:p>
          <w:p w14:paraId="6EFAC2F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Loss_ratio = E_transmit_loss / E_purchase × 100%</w:t>
            </w:r>
          </w:p>
          <w:p w14:paraId="6D12F914">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η_trans = E_out / E_in × 100%                        转换设备效率</w:t>
            </w:r>
          </w:p>
          <w:p w14:paraId="1B6B37A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Check: ABS( Deviation_rate ) &gt; 2% → 标注"平衡偏差待核查"</w:t>
            </w:r>
          </w:p>
        </w:tc>
      </w:tr>
    </w:tbl>
    <w:p w14:paraId="337C3D39">
      <w:pPr>
        <w:spacing w:after="40"/>
        <w:rPr>
          <w:rFonts w:hint="eastAsia" w:ascii="宋体" w:hAnsi="宋体" w:eastAsia="宋体" w:cs="宋体"/>
          <w:i w:val="0"/>
          <w:iCs w:val="0"/>
          <w:sz w:val="24"/>
          <w:szCs w:val="24"/>
        </w:rPr>
      </w:pPr>
    </w:p>
    <w:p w14:paraId="10B77FDF">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各环节能耗量均以折标准煤量（tce）为统一量纲；</w:t>
      </w:r>
      <w:r>
        <w:rPr>
          <w:rFonts w:ascii="Times New Roman" w:hAnsi="Times New Roman" w:eastAsia="宋体" w:cs="Times New Roman"/>
          <w:b w:val="0"/>
          <w:i w:val="0"/>
          <w:color w:val="0284C7"/>
          <w:sz w:val="24"/>
          <w:szCs w:val="24"/>
        </w:rPr>
        <w:t xml:space="preserve"> η_trans </w:t>
      </w:r>
      <w:r>
        <w:rPr>
          <w:rFonts w:ascii="Times New Roman" w:hAnsi="Times New Roman" w:eastAsia="宋体" w:cs="Times New Roman"/>
          <w:i w:val="0"/>
          <w:color w:val="1F2937"/>
          <w:sz w:val="24"/>
          <w:szCs w:val="24"/>
        </w:rPr>
        <w:t xml:space="preserve"> 为锅炉、空压机等转换设备综合效率；平衡偏差率阈值 ±2% 为固定业务铁律。</w:t>
      </w:r>
    </w:p>
    <w:p w14:paraId="5848C69D">
      <w:pPr>
        <w:pStyle w:val="6"/>
        <w:numPr>
          <w:ilvl w:val="0"/>
          <w:numId w:val="9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4DDDA217">
      <w:pPr>
        <w:pStyle w:val="19"/>
        <w:widowControl/>
        <w:numPr>
          <w:ilvl w:val="0"/>
          <w:numId w:val="9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量纲口径</w:t>
      </w:r>
      <w:r>
        <w:rPr>
          <w:rFonts w:ascii="Times New Roman" w:hAnsi="Times New Roman" w:eastAsia="宋体" w:cs="Times New Roman"/>
          <w:i w:val="0"/>
          <w:color w:val="1F2937"/>
          <w:sz w:val="24"/>
          <w:szCs w:val="24"/>
        </w:rPr>
        <w:t>：平衡表内部统一折算为 tce，实物量作为辅助列呈现。</w:t>
      </w:r>
    </w:p>
    <w:p w14:paraId="433B1342">
      <w:pPr>
        <w:pStyle w:val="19"/>
        <w:widowControl/>
        <w:numPr>
          <w:ilvl w:val="0"/>
          <w:numId w:val="9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损耗口径</w:t>
      </w:r>
      <w:r>
        <w:rPr>
          <w:rFonts w:ascii="Times New Roman" w:hAnsi="Times New Roman" w:eastAsia="宋体" w:cs="Times New Roman"/>
          <w:i w:val="0"/>
          <w:color w:val="1F2937"/>
          <w:sz w:val="24"/>
          <w:szCs w:val="24"/>
        </w:rPr>
        <w:t>：输配损耗仅统计计量点之间的差额，不包含未计量区域的估算量。</w:t>
      </w:r>
    </w:p>
    <w:p w14:paraId="786FA39D">
      <w:pPr>
        <w:pStyle w:val="19"/>
        <w:widowControl/>
        <w:numPr>
          <w:ilvl w:val="0"/>
          <w:numId w:val="9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能效等级口径</w:t>
      </w:r>
      <w:r>
        <w:rPr>
          <w:rFonts w:ascii="Times New Roman" w:hAnsi="Times New Roman" w:eastAsia="宋体" w:cs="Times New Roman"/>
          <w:i w:val="0"/>
          <w:color w:val="1F2937"/>
          <w:sz w:val="24"/>
          <w:szCs w:val="24"/>
        </w:rPr>
        <w:t>：主要用能设备能效等级依据现行能效国家标准判定，节能装备应用占比的分子口径与之保持一致。</w:t>
      </w:r>
    </w:p>
    <w:p w14:paraId="7C56B45E">
      <w:pPr>
        <w:pStyle w:val="19"/>
        <w:widowControl/>
        <w:numPr>
          <w:ilvl w:val="0"/>
          <w:numId w:val="9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偏差口径</w:t>
      </w:r>
      <w:r>
        <w:rPr>
          <w:rFonts w:ascii="Times New Roman" w:hAnsi="Times New Roman" w:eastAsia="宋体" w:cs="Times New Roman"/>
          <w:i w:val="0"/>
          <w:color w:val="1F2937"/>
          <w:sz w:val="24"/>
          <w:szCs w:val="24"/>
        </w:rPr>
        <w:t>：偏差率绝对值 ≤2% 判定平衡，2%~5% 标注待核查，&gt;5% 强制进入核查流程。</w:t>
      </w:r>
    </w:p>
    <w:p w14:paraId="03BEBFAF">
      <w:pPr>
        <w:pStyle w:val="6"/>
        <w:numPr>
          <w:ilvl w:val="0"/>
          <w:numId w:val="9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03B41198">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14B74D9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平衡偏差率超 ±2%：页面自动标注"平衡偏差待核查"并列出偏差最大介质，不抛出技术错误。</w:t>
            </w:r>
          </w:p>
          <w:p w14:paraId="027ADE4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某计量点缺失：平衡表该单元格留空并整体标注数据不全，不以 0 代替。</w:t>
            </w:r>
          </w:p>
          <w:p w14:paraId="6E41972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除零兜底：购入侧能耗量为 0 时偏差率与损耗占比显示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p w14:paraId="10D03D0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自评估结论区为空：禁止提交内审，强制填写改进建议清单。</w:t>
            </w:r>
          </w:p>
        </w:tc>
      </w:tr>
    </w:tbl>
    <w:p w14:paraId="2F9A3C9C">
      <w:pPr>
        <w:spacing w:after="40"/>
        <w:rPr>
          <w:rFonts w:hint="eastAsia" w:ascii="宋体" w:hAnsi="宋体" w:eastAsia="宋体" w:cs="宋体"/>
          <w:i w:val="0"/>
          <w:iCs w:val="0"/>
          <w:sz w:val="24"/>
          <w:szCs w:val="24"/>
        </w:rPr>
      </w:pPr>
    </w:p>
    <w:p w14:paraId="0C4D9B59">
      <w:pPr>
        <w:pStyle w:val="6"/>
        <w:numPr>
          <w:ilvl w:val="0"/>
          <w:numId w:val="90"/>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47DEE0EB">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422C5E7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综合能耗平衡与能效自评估</w:t>
            </w:r>
          </w:p>
          <w:p w14:paraId="11E10BA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能量平衡表封闭校验</w:t>
            </w:r>
          </w:p>
          <w:p w14:paraId="5DD2AEC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园区已录入手电汽水各介质的购入、转换、输送与终端消费量</w:t>
            </w:r>
          </w:p>
          <w:p w14:paraId="39EC909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系统生成全厂能量平衡表</w:t>
            </w:r>
          </w:p>
          <w:p w14:paraId="4CC5D88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末行与末列折标总量自动封闭</w:t>
            </w:r>
          </w:p>
          <w:p w14:paraId="4FC6642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平衡偏差率 =（购入 − 转换 − 输送 − 终端）÷ 购入 × 100%</w:t>
            </w:r>
          </w:p>
          <w:p w14:paraId="0E82427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偏差率绝对值超过 2% 时标注"平衡偏差待核查"并列出偏差最大介质</w:t>
            </w:r>
          </w:p>
          <w:p w14:paraId="73155562">
            <w:pPr>
              <w:spacing w:before="0" w:after="20" w:line="264" w:lineRule="auto"/>
              <w:rPr>
                <w:rFonts w:hint="eastAsia" w:ascii="宋体" w:hAnsi="宋体" w:eastAsia="宋体" w:cs="宋体"/>
                <w:i w:val="0"/>
                <w:iCs w:val="0"/>
                <w:sz w:val="24"/>
                <w:szCs w:val="24"/>
              </w:rPr>
            </w:pPr>
          </w:p>
          <w:p w14:paraId="3D1A474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输配损耗热点识别</w:t>
            </w:r>
          </w:p>
          <w:p w14:paraId="62748AD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蒸汽管网输送环节损耗占购入侧能耗的 6.5%</w:t>
            </w:r>
          </w:p>
          <w:p w14:paraId="2EDDAB0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系统渲染损耗分解桑基图</w:t>
            </w:r>
          </w:p>
          <w:p w14:paraId="6FB58D1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桑基图按介质呈现损耗流向与占比</w:t>
            </w:r>
          </w:p>
          <w:p w14:paraId="66D7248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损耗最高介质节点被突出显示</w:t>
            </w:r>
          </w:p>
        </w:tc>
      </w:tr>
    </w:tbl>
    <w:p w14:paraId="55665B93">
      <w:pPr>
        <w:spacing w:after="40"/>
        <w:rPr>
          <w:rFonts w:hint="eastAsia" w:ascii="宋体" w:hAnsi="宋体" w:eastAsia="宋体" w:cs="宋体"/>
          <w:i w:val="0"/>
          <w:iCs w:val="0"/>
          <w:sz w:val="24"/>
          <w:szCs w:val="24"/>
        </w:rPr>
      </w:pPr>
    </w:p>
    <w:p w14:paraId="6809D421">
      <w:pPr>
        <w:pStyle w:val="4"/>
        <w:numPr>
          <w:ilvl w:val="0"/>
          <w:numId w:val="15"/>
        </w:numPr>
        <w:topLinePunct w:val="0"/>
        <w:ind w:left="0" w:leftChars="0" w:firstLine="0" w:firstLineChars="0"/>
        <w:outlineLvl w:val="0"/>
        <w:rPr>
          <w:rFonts w:hint="eastAsia" w:eastAsia="黑体"/>
          <w:b w:val="0"/>
          <w:bCs w:val="0"/>
          <w:sz w:val="30"/>
          <w:szCs w:val="32"/>
        </w:rPr>
      </w:pPr>
      <w:bookmarkStart w:id="28" w:name="_Toc19522"/>
      <w:r>
        <w:rPr>
          <w:rFonts w:ascii="Times New Roman" w:hAnsi="Times New Roman" w:eastAsia="黑体" w:cs="Times New Roman"/>
          <w:b w:val="0"/>
          <w:bCs w:val="0"/>
          <w:sz w:val="30"/>
          <w:szCs w:val="32"/>
        </w:rPr>
        <w:t>零碳项目评估</w:t>
      </w:r>
      <w:bookmarkEnd w:id="28"/>
    </w:p>
    <w:p w14:paraId="23F1C6EE">
      <w:pPr>
        <w:pStyle w:val="5"/>
        <w:numPr>
          <w:ilvl w:val="0"/>
          <w:numId w:val="95"/>
        </w:numPr>
        <w:ind w:left="0" w:leftChars="0" w:firstLine="0" w:firstLineChars="0"/>
        <w:outlineLvl w:val="1"/>
        <w:rPr>
          <w:rFonts w:eastAsia="黑体"/>
          <w:b w:val="0"/>
          <w:bCs w:val="0"/>
          <w:sz w:val="30"/>
          <w:szCs w:val="24"/>
        </w:rPr>
      </w:pPr>
      <w:bookmarkStart w:id="29" w:name="_Toc20449"/>
      <w:r>
        <w:rPr>
          <w:rFonts w:ascii="Times New Roman" w:hAnsi="Times New Roman" w:eastAsia="黑体" w:cs="Times New Roman"/>
          <w:b w:val="0"/>
          <w:bCs w:val="0"/>
          <w:sz w:val="30"/>
          <w:szCs w:val="24"/>
        </w:rPr>
        <w:t>项目档案管理</w:t>
      </w:r>
      <w:bookmarkEnd w:id="29"/>
    </w:p>
    <w:p w14:paraId="15AF6143">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pic:cNvPicPr>
                      <a:picLocks noChangeAspect="1"/>
                    </pic:cNvPicPr>
                  </pic:nvPicPr>
                  <pic:blipFill>
                    <a:blip r:embed="rId29"/>
                    <a:stretch>
                      <a:fillRect/>
                    </a:stretch>
                  </pic:blipFill>
                  <pic:spPr>
                    <a:xfrm>
                      <a:off x="0" y="0"/>
                      <a:ext cx="6210300" cy="3079115"/>
                    </a:xfrm>
                    <a:prstGeom prst="rect">
                      <a:avLst/>
                    </a:prstGeom>
                    <a:noFill/>
                    <a:ln>
                      <a:noFill/>
                    </a:ln>
                  </pic:spPr>
                </pic:pic>
              </a:graphicData>
            </a:graphic>
          </wp:inline>
        </w:drawing>
      </w:r>
    </w:p>
    <w:p w14:paraId="33396B7F">
      <w:pPr>
        <w:pStyle w:val="6"/>
        <w:numPr>
          <w:ilvl w:val="0"/>
          <w:numId w:val="9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05BDBF18">
      <w:pPr>
        <w:pStyle w:val="19"/>
        <w:widowControl/>
        <w:numPr>
          <w:ilvl w:val="0"/>
          <w:numId w:val="9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：管理全集团分布式光伏、储能电站、变频改造、余热回收、空压机优化等低碳技改项目的台账、立项文档与生命周期属性。</w:t>
      </w:r>
    </w:p>
    <w:p w14:paraId="32DB0E8D">
      <w:pPr>
        <w:pStyle w:val="19"/>
        <w:widowControl/>
        <w:numPr>
          <w:ilvl w:val="0"/>
          <w:numId w:val="9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：技改项目经理、P2 园区能碳专员。</w:t>
      </w:r>
    </w:p>
    <w:p w14:paraId="1FDF3A1E">
      <w:pPr>
        <w:pStyle w:val="19"/>
        <w:widowControl/>
        <w:numPr>
          <w:ilvl w:val="0"/>
          <w:numId w:val="9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/monitor/project/archive </w:t>
      </w:r>
      <w:r>
        <w:rPr>
          <w:rFonts w:ascii="Times New Roman" w:hAnsi="Times New Roman" w:eastAsia="宋体" w:cs="Times New Roman"/>
          <w:i w:val="0"/>
          <w:color w:val="1F2937"/>
          <w:sz w:val="24"/>
          <w:szCs w:val="24"/>
        </w:rPr>
        <w:t>。</w:t>
      </w:r>
    </w:p>
    <w:p w14:paraId="6989914B">
      <w:pPr>
        <w:pStyle w:val="19"/>
        <w:widowControl/>
        <w:numPr>
          <w:ilvl w:val="0"/>
          <w:numId w:val="9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：项目立项审批流、投资与设计节能量台账、并网验收资料。</w:t>
      </w:r>
    </w:p>
    <w:p w14:paraId="4CA8492E">
      <w:pPr>
        <w:pStyle w:val="19"/>
        <w:widowControl/>
        <w:numPr>
          <w:ilvl w:val="0"/>
          <w:numId w:val="9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：实时监控纳管清单、项目运行评估基线数据、绿色资产档案。</w:t>
      </w:r>
    </w:p>
    <w:p w14:paraId="4DB7E852">
      <w:pPr>
        <w:pStyle w:val="6"/>
        <w:numPr>
          <w:ilvl w:val="0"/>
          <w:numId w:val="9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0F5B0059">
      <w:pPr>
        <w:pStyle w:val="19"/>
        <w:widowControl/>
        <w:numPr>
          <w:ilvl w:val="0"/>
          <w:numId w:val="9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：管理全集团分布式光伏、储能电站、变频改造、余热回收、空压机优化等低碳技改项目的台账、立项文档与生命周期属性。</w:t>
      </w:r>
    </w:p>
    <w:p w14:paraId="10050FBE">
      <w:pPr>
        <w:pStyle w:val="19"/>
        <w:widowControl/>
        <w:numPr>
          <w:ilvl w:val="0"/>
          <w:numId w:val="9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0E7C5B43">
      <w:pPr>
        <w:pStyle w:val="19"/>
        <w:widowControl/>
        <w:numPr>
          <w:ilvl w:val="0"/>
          <w:numId w:val="9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技改项目经理</w:t>
      </w:r>
      <w:r>
        <w:rPr>
          <w:rFonts w:ascii="Times New Roman" w:hAnsi="Times New Roman" w:eastAsia="宋体" w:cs="Times New Roman"/>
          <w:i w:val="0"/>
          <w:color w:val="1F2937"/>
          <w:sz w:val="24"/>
          <w:szCs w:val="24"/>
        </w:rPr>
        <w:t>，</w:t>
      </w:r>
    </w:p>
    <w:p w14:paraId="63708AA7">
      <w:pPr>
        <w:pStyle w:val="19"/>
        <w:widowControl/>
        <w:numPr>
          <w:ilvl w:val="0"/>
          <w:numId w:val="9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统一录入和查询各园区节能减碳项目的投资额、设计节能量、施工周期与并网状态</w:t>
      </w:r>
      <w:r>
        <w:rPr>
          <w:rFonts w:ascii="Times New Roman" w:hAnsi="Times New Roman" w:eastAsia="宋体" w:cs="Times New Roman"/>
          <w:i w:val="0"/>
          <w:color w:val="1F2937"/>
          <w:sz w:val="24"/>
          <w:szCs w:val="24"/>
        </w:rPr>
        <w:t>，</w:t>
      </w:r>
    </w:p>
    <w:p w14:paraId="7FC74FB8">
      <w:pPr>
        <w:pStyle w:val="19"/>
        <w:widowControl/>
        <w:numPr>
          <w:ilvl w:val="0"/>
          <w:numId w:val="9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形成全集团清晰的绿色资产档案</w:t>
      </w:r>
      <w:r>
        <w:rPr>
          <w:rFonts w:ascii="Times New Roman" w:hAnsi="Times New Roman" w:eastAsia="宋体" w:cs="Times New Roman"/>
          <w:i w:val="0"/>
          <w:color w:val="1F2937"/>
          <w:sz w:val="24"/>
          <w:szCs w:val="24"/>
        </w:rPr>
        <w:t>。</w:t>
      </w:r>
    </w:p>
    <w:p w14:paraId="4D7E1D69">
      <w:pPr>
        <w:pStyle w:val="6"/>
        <w:numPr>
          <w:ilvl w:val="0"/>
          <w:numId w:val="9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7647A709">
      <w:pPr>
        <w:pStyle w:val="19"/>
        <w:widowControl/>
        <w:numPr>
          <w:ilvl w:val="0"/>
          <w:numId w:val="9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状态自解释徽章</w:t>
      </w:r>
      <w:r>
        <w:rPr>
          <w:rFonts w:ascii="Times New Roman" w:hAnsi="Times New Roman" w:eastAsia="宋体" w:cs="Times New Roman"/>
          <w:i w:val="0"/>
          <w:color w:val="1F2937"/>
          <w:sz w:val="24"/>
          <w:szCs w:val="24"/>
        </w:rPr>
        <w:t>：拟建、在建、并网运行、竣工归档四种状态，仅以徽章色彩与文案承载，不附加过程标签。</w:t>
      </w:r>
    </w:p>
    <w:p w14:paraId="6D68BBC9">
      <w:pPr>
        <w:pStyle w:val="19"/>
        <w:widowControl/>
        <w:numPr>
          <w:ilvl w:val="0"/>
          <w:numId w:val="9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搜索与筛选栏</w:t>
      </w:r>
      <w:r>
        <w:rPr>
          <w:rFonts w:ascii="Times New Roman" w:hAnsi="Times New Roman" w:eastAsia="宋体" w:cs="Times New Roman"/>
          <w:i w:val="0"/>
          <w:color w:val="1F2937"/>
          <w:sz w:val="24"/>
          <w:szCs w:val="24"/>
        </w:rPr>
        <w:t>：支持按园区、按改造类型（光伏/储能/电机/余热）、投资额范围筛选。</w:t>
      </w:r>
    </w:p>
    <w:p w14:paraId="15C176B1">
      <w:pPr>
        <w:pStyle w:val="19"/>
        <w:widowControl/>
        <w:numPr>
          <w:ilvl w:val="0"/>
          <w:numId w:val="9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操作抽屉</w:t>
      </w:r>
      <w:r>
        <w:rPr>
          <w:rFonts w:ascii="Times New Roman" w:hAnsi="Times New Roman" w:eastAsia="宋体" w:cs="Times New Roman"/>
          <w:i w:val="0"/>
          <w:color w:val="1F2937"/>
          <w:sz w:val="24"/>
          <w:szCs w:val="24"/>
        </w:rPr>
        <w:t>：点击行展开项目档案详情抽屉，查看立项批文与设计指标。</w:t>
      </w:r>
    </w:p>
    <w:p w14:paraId="7280331D">
      <w:pPr>
        <w:pStyle w:val="19"/>
        <w:widowControl/>
        <w:numPr>
          <w:ilvl w:val="0"/>
          <w:numId w:val="9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状态流转</w:t>
      </w:r>
      <w:r>
        <w:rPr>
          <w:rFonts w:ascii="Times New Roman" w:hAnsi="Times New Roman" w:eastAsia="宋体" w:cs="Times New Roman"/>
          <w:i w:val="0"/>
          <w:color w:val="1F2937"/>
          <w:sz w:val="24"/>
          <w:szCs w:val="24"/>
        </w:rPr>
        <w:t>：拟建 → 在建 → 并网运行 → 竣工归档；状态变更须记录操作人与时间戳。</w:t>
      </w:r>
    </w:p>
    <w:p w14:paraId="550E1E5D">
      <w:pPr>
        <w:pStyle w:val="6"/>
        <w:numPr>
          <w:ilvl w:val="0"/>
          <w:numId w:val="9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1"/>
        <w:gridCol w:w="1845"/>
        <w:gridCol w:w="1363"/>
        <w:gridCol w:w="1203"/>
        <w:gridCol w:w="4492"/>
      </w:tblGrid>
      <w:tr w14:paraId="6E6A4561">
        <w:tblPrEx>
          <w:tblCellMar>
            <w:top w:w="0" w:type="dxa"/>
            <w:left w:w="108" w:type="dxa"/>
            <w:bottom w:w="0" w:type="dxa"/>
            <w:right w:w="108" w:type="dxa"/>
          </w:tblCellMar>
        </w:tblPrEx>
        <w:trPr>
          <w:tblHeade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2763A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4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80690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6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BB715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71676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49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BA9B8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7718A907">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42CE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9663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项目编号</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872C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9255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5056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唯一主键，命名规则 </w:t>
            </w:r>
            <w:r>
              <w:rPr>
                <w:rFonts w:hint="eastAsia" w:ascii="宋体" w:hAnsi="宋体" w:eastAsia="宋体" w:cs="宋体"/>
                <w:b w:val="0"/>
                <w:i w:val="0"/>
                <w:iCs w:val="0"/>
                <w:color w:val="0284C7"/>
                <w:sz w:val="24"/>
                <w:szCs w:val="24"/>
              </w:rPr>
              <w:t xml:space="preserve"> PRJ-&lt;年&gt;-&lt;园区码&gt;-&lt;序号&gt; </w:t>
            </w:r>
          </w:p>
        </w:tc>
      </w:tr>
      <w:tr w14:paraId="1C14B896">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9C29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AD68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项目名称</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BFD1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A410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033AC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非空，最长 128 字符</w:t>
            </w:r>
          </w:p>
        </w:tc>
      </w:tr>
      <w:tr w14:paraId="5BE40C1E">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B67F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5D1A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所属园区</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ACE3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C418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3100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必须在六级组织架构有效园区内</w:t>
            </w:r>
          </w:p>
        </w:tc>
      </w:tr>
      <w:tr w14:paraId="71545317">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D3DAD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AFC1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改造类型</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6290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0B51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6BA6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 / 储能 / 电机变频 / 余热回收 / 空压机</w:t>
            </w:r>
          </w:p>
        </w:tc>
      </w:tr>
      <w:tr w14:paraId="4B800466">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18F8E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FCCC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项目投资额</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090F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9328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3216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0，保留两位小数</w:t>
            </w:r>
          </w:p>
        </w:tc>
      </w:tr>
      <w:tr w14:paraId="2BE45B61">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DB99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8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5FD3B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设计节能量</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68F3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4C8F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tce/年</w:t>
            </w:r>
          </w:p>
        </w:tc>
        <w:tc>
          <w:tcPr>
            <w:tcW w:w="4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3D02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&gt; 0，否则触发 E_VAL_PRJ_MV_BASELINE_EMPTY 相关校验</w:t>
            </w:r>
          </w:p>
        </w:tc>
      </w:tr>
      <w:tr w14:paraId="22D93DC3">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E9D7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6418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并网状态</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C997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A051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9724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拟建 / 在建 / 并网运行 / 竣工归档</w:t>
            </w:r>
          </w:p>
        </w:tc>
      </w:tr>
      <w:tr w14:paraId="2B376F20">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0E36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8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F551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立项批文附件</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60D8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File</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9F48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8827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支持 PDF / 图片，单个不超过 20MB</w:t>
            </w:r>
          </w:p>
        </w:tc>
      </w:tr>
      <w:tr w14:paraId="01B5456F">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D689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577B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计划开工日期</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5B32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04839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50B6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不得晚于计划竣工日期</w:t>
            </w:r>
          </w:p>
        </w:tc>
      </w:tr>
      <w:tr w14:paraId="5C1378D7">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F62E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8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53C3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计划竣工日期</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15F3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120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398E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08D8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w:t>
            </w:r>
          </w:p>
        </w:tc>
      </w:tr>
    </w:tbl>
    <w:p w14:paraId="27AEF240">
      <w:pPr>
        <w:spacing w:after="60"/>
        <w:rPr>
          <w:rFonts w:hint="eastAsia" w:ascii="宋体" w:hAnsi="宋体" w:eastAsia="宋体" w:cs="宋体"/>
          <w:i w:val="0"/>
          <w:iCs w:val="0"/>
          <w:sz w:val="24"/>
          <w:szCs w:val="24"/>
        </w:rPr>
      </w:pPr>
    </w:p>
    <w:p w14:paraId="3A07A06F">
      <w:pPr>
        <w:pStyle w:val="6"/>
        <w:numPr>
          <w:ilvl w:val="0"/>
          <w:numId w:val="9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7085C427">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7C1D5E5A">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Payback_static = I_0 / CF_annual                      静态投资回收期</w:t>
            </w:r>
          </w:p>
          <w:p w14:paraId="0282F4F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CF_annual = E_saved × P_energy                       年节能现金流</w:t>
            </w:r>
          </w:p>
          <w:p w14:paraId="1251D2A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ROI = CF_annual / I_0 × 100%                         年化投资回报率</w:t>
            </w:r>
          </w:p>
        </w:tc>
      </w:tr>
    </w:tbl>
    <w:p w14:paraId="548F94CD">
      <w:pPr>
        <w:spacing w:after="40"/>
        <w:rPr>
          <w:rFonts w:hint="eastAsia" w:ascii="宋体" w:hAnsi="宋体" w:eastAsia="宋体" w:cs="宋体"/>
          <w:i w:val="0"/>
          <w:iCs w:val="0"/>
          <w:sz w:val="24"/>
          <w:szCs w:val="24"/>
        </w:rPr>
      </w:pPr>
    </w:p>
    <w:p w14:paraId="778DF41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I_0 </w:t>
      </w:r>
      <w:r>
        <w:rPr>
          <w:rFonts w:ascii="Times New Roman" w:hAnsi="Times New Roman" w:eastAsia="宋体" w:cs="Times New Roman"/>
          <w:i w:val="0"/>
          <w:color w:val="1F2937"/>
          <w:sz w:val="24"/>
          <w:szCs w:val="24"/>
        </w:rPr>
        <w:t xml:space="preserve"> 为项目初次投资额（万元）；</w:t>
      </w:r>
      <w:r>
        <w:rPr>
          <w:rFonts w:ascii="Times New Roman" w:hAnsi="Times New Roman" w:eastAsia="宋体" w:cs="Times New Roman"/>
          <w:b w:val="0"/>
          <w:i w:val="0"/>
          <w:color w:val="0284C7"/>
          <w:sz w:val="24"/>
          <w:szCs w:val="24"/>
        </w:rPr>
        <w:t xml:space="preserve"> E_saved </w:t>
      </w:r>
      <w:r>
        <w:rPr>
          <w:rFonts w:ascii="Times New Roman" w:hAnsi="Times New Roman" w:eastAsia="宋体" w:cs="Times New Roman"/>
          <w:i w:val="0"/>
          <w:color w:val="1F2937"/>
          <w:sz w:val="24"/>
          <w:szCs w:val="24"/>
        </w:rPr>
        <w:t xml:space="preserve"> 为年节能量（tce 或 kWh）；</w:t>
      </w:r>
      <w:r>
        <w:rPr>
          <w:rFonts w:ascii="Times New Roman" w:hAnsi="Times New Roman" w:eastAsia="宋体" w:cs="Times New Roman"/>
          <w:b w:val="0"/>
          <w:i w:val="0"/>
          <w:color w:val="0284C7"/>
          <w:sz w:val="24"/>
          <w:szCs w:val="24"/>
        </w:rPr>
        <w:t xml:space="preserve"> P_energy </w:t>
      </w:r>
      <w:r>
        <w:rPr>
          <w:rFonts w:ascii="Times New Roman" w:hAnsi="Times New Roman" w:eastAsia="宋体" w:cs="Times New Roman"/>
          <w:i w:val="0"/>
          <w:color w:val="1F2937"/>
          <w:sz w:val="24"/>
          <w:szCs w:val="24"/>
        </w:rPr>
        <w:t xml:space="preserve"> 为能量单价；</w:t>
      </w:r>
      <w:r>
        <w:rPr>
          <w:rFonts w:ascii="Times New Roman" w:hAnsi="Times New Roman" w:eastAsia="宋体" w:cs="Times New Roman"/>
          <w:b w:val="0"/>
          <w:i w:val="0"/>
          <w:color w:val="0284C7"/>
          <w:sz w:val="24"/>
          <w:szCs w:val="24"/>
        </w:rPr>
        <w:t xml:space="preserve"> CF_annual </w:t>
      </w:r>
      <w:r>
        <w:rPr>
          <w:rFonts w:ascii="Times New Roman" w:hAnsi="Times New Roman" w:eastAsia="宋体" w:cs="Times New Roman"/>
          <w:i w:val="0"/>
          <w:color w:val="1F2937"/>
          <w:sz w:val="24"/>
          <w:szCs w:val="24"/>
        </w:rPr>
        <w:t xml:space="preserve"> 为年净节能现金流。</w:t>
      </w:r>
    </w:p>
    <w:p w14:paraId="54E08048">
      <w:pPr>
        <w:pStyle w:val="6"/>
        <w:numPr>
          <w:ilvl w:val="0"/>
          <w:numId w:val="9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16674109">
      <w:pPr>
        <w:pStyle w:val="19"/>
        <w:widowControl/>
        <w:numPr>
          <w:ilvl w:val="0"/>
          <w:numId w:val="10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状态口径</w:t>
      </w:r>
      <w:r>
        <w:rPr>
          <w:rFonts w:ascii="Times New Roman" w:hAnsi="Times New Roman" w:eastAsia="宋体" w:cs="Times New Roman"/>
          <w:i w:val="0"/>
          <w:color w:val="1F2937"/>
          <w:sz w:val="24"/>
          <w:szCs w:val="24"/>
        </w:rPr>
        <w:t>：四态互斥，同一项目任一时刻仅有一个状态。</w:t>
      </w:r>
    </w:p>
    <w:p w14:paraId="5B41BA03">
      <w:pPr>
        <w:pStyle w:val="19"/>
        <w:widowControl/>
        <w:numPr>
          <w:ilvl w:val="0"/>
          <w:numId w:val="10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节能量口径</w:t>
      </w:r>
      <w:r>
        <w:rPr>
          <w:rFonts w:ascii="Times New Roman" w:hAnsi="Times New Roman" w:eastAsia="宋体" w:cs="Times New Roman"/>
          <w:i w:val="0"/>
          <w:color w:val="1F2937"/>
          <w:sz w:val="24"/>
          <w:szCs w:val="24"/>
        </w:rPr>
        <w:t>：设计节能量为立项承诺值，实际节能量以项目运行评估结论为准，二者分列不混用。</w:t>
      </w:r>
    </w:p>
    <w:p w14:paraId="3A18FC48">
      <w:pPr>
        <w:pStyle w:val="19"/>
        <w:widowControl/>
        <w:numPr>
          <w:ilvl w:val="0"/>
          <w:numId w:val="10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筛选口径</w:t>
      </w:r>
      <w:r>
        <w:rPr>
          <w:rFonts w:ascii="Times New Roman" w:hAnsi="Times New Roman" w:eastAsia="宋体" w:cs="Times New Roman"/>
          <w:i w:val="0"/>
          <w:color w:val="1F2937"/>
          <w:sz w:val="24"/>
          <w:szCs w:val="24"/>
        </w:rPr>
        <w:t>：投资额区间为闭区间筛选。</w:t>
      </w:r>
    </w:p>
    <w:p w14:paraId="0A099502">
      <w:pPr>
        <w:pStyle w:val="6"/>
        <w:numPr>
          <w:ilvl w:val="0"/>
          <w:numId w:val="9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5BA2047F">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569EF6D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投资额或设计节能量录入负数：触发 </w:t>
            </w:r>
            <w:r>
              <w:rPr>
                <w:rFonts w:hint="eastAsia" w:ascii="宋体" w:hAnsi="宋体" w:eastAsia="宋体" w:cs="宋体"/>
                <w:b w:val="0"/>
                <w:i w:val="0"/>
                <w:iCs w:val="0"/>
                <w:color w:val="0284C7"/>
                <w:sz w:val="24"/>
                <w:szCs w:val="24"/>
              </w:rPr>
              <w:t xml:space="preserve"> E_VAL_ENERGY_NEGATIVE </w:t>
            </w:r>
            <w:r>
              <w:rPr>
                <w:rFonts w:hint="eastAsia" w:ascii="宋体" w:hAnsi="宋体" w:eastAsia="宋体" w:cs="宋体"/>
                <w:i w:val="0"/>
                <w:iCs w:val="0"/>
                <w:color w:val="1F2937"/>
                <w:sz w:val="24"/>
                <w:szCs w:val="24"/>
              </w:rPr>
              <w:t xml:space="preserve"> 类校验，前端红框拦截。</w:t>
            </w:r>
          </w:p>
          <w:p w14:paraId="5BF4305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竣工日期早于开工日期：前端即时拦截并阻断提交。</w:t>
            </w:r>
          </w:p>
          <w:p w14:paraId="1478508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无立项批文的项目：状态不得流转至"并网运行"，流转按钮置灰。</w:t>
            </w:r>
          </w:p>
          <w:p w14:paraId="4473200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已竣工归档项目：档案只读，修改须走变更审批。</w:t>
            </w:r>
          </w:p>
        </w:tc>
      </w:tr>
    </w:tbl>
    <w:p w14:paraId="711A5244">
      <w:pPr>
        <w:spacing w:after="40"/>
        <w:rPr>
          <w:rFonts w:hint="eastAsia" w:ascii="宋体" w:hAnsi="宋体" w:eastAsia="宋体" w:cs="宋体"/>
          <w:i w:val="0"/>
          <w:iCs w:val="0"/>
          <w:sz w:val="24"/>
          <w:szCs w:val="24"/>
        </w:rPr>
      </w:pPr>
    </w:p>
    <w:p w14:paraId="6FEEDCB6">
      <w:pPr>
        <w:pStyle w:val="6"/>
        <w:numPr>
          <w:ilvl w:val="0"/>
          <w:numId w:val="96"/>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401EEBEA">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0BEC3E2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零碳项目档案管理</w:t>
            </w:r>
          </w:p>
          <w:p w14:paraId="0AF41FE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日期逻辑校验</w:t>
            </w:r>
          </w:p>
          <w:p w14:paraId="6DBCB4C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技改项目经理正在录入一个余热回收项目</w:t>
            </w:r>
          </w:p>
          <w:p w14:paraId="617D938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填写的计划竣工日期早于计划开工日期</w:t>
            </w:r>
          </w:p>
          <w:p w14:paraId="7066003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前端即时拦截并阻断提交</w:t>
            </w:r>
          </w:p>
          <w:p w14:paraId="757B82B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页面提示日期逻辑不成立</w:t>
            </w:r>
          </w:p>
          <w:p w14:paraId="16932AFC">
            <w:pPr>
              <w:spacing w:before="0" w:after="20" w:line="264" w:lineRule="auto"/>
              <w:rPr>
                <w:rFonts w:hint="eastAsia" w:ascii="宋体" w:hAnsi="宋体" w:eastAsia="宋体" w:cs="宋体"/>
                <w:i w:val="0"/>
                <w:iCs w:val="0"/>
                <w:sz w:val="24"/>
                <w:szCs w:val="24"/>
              </w:rPr>
            </w:pPr>
          </w:p>
          <w:p w14:paraId="61D9192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立项批文缺失阻断状态流转</w:t>
            </w:r>
          </w:p>
          <w:p w14:paraId="230BCAC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某项目尚未上传立项批文附件</w:t>
            </w:r>
          </w:p>
          <w:p w14:paraId="17A95F8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项目经理尝试将项目状态流转至"并网运行"</w:t>
            </w:r>
          </w:p>
          <w:p w14:paraId="7C15143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流转按钮置灰不可点击</w:t>
            </w:r>
          </w:p>
          <w:p w14:paraId="61A7835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页面不提供任何绕过入口</w:t>
            </w:r>
          </w:p>
        </w:tc>
      </w:tr>
    </w:tbl>
    <w:p w14:paraId="0816B58B">
      <w:pPr>
        <w:spacing w:after="40"/>
        <w:rPr>
          <w:rFonts w:hint="eastAsia" w:ascii="宋体" w:hAnsi="宋体" w:eastAsia="宋体" w:cs="宋体"/>
          <w:i w:val="0"/>
          <w:iCs w:val="0"/>
          <w:sz w:val="24"/>
          <w:szCs w:val="24"/>
        </w:rPr>
      </w:pPr>
    </w:p>
    <w:p w14:paraId="6B2A9630">
      <w:pPr>
        <w:pStyle w:val="5"/>
        <w:numPr>
          <w:ilvl w:val="0"/>
          <w:numId w:val="95"/>
        </w:numPr>
        <w:ind w:left="0" w:leftChars="0" w:firstLine="0" w:firstLineChars="0"/>
        <w:outlineLvl w:val="1"/>
        <w:rPr>
          <w:rFonts w:eastAsia="黑体"/>
          <w:b w:val="0"/>
          <w:bCs w:val="0"/>
          <w:sz w:val="30"/>
          <w:szCs w:val="24"/>
        </w:rPr>
      </w:pPr>
      <w:bookmarkStart w:id="30" w:name="_Toc5210"/>
      <w:r>
        <w:rPr>
          <w:rFonts w:ascii="Times New Roman" w:hAnsi="Times New Roman" w:eastAsia="黑体" w:cs="Times New Roman"/>
          <w:b w:val="0"/>
          <w:bCs w:val="0"/>
          <w:sz w:val="30"/>
          <w:szCs w:val="24"/>
        </w:rPr>
        <w:t>实时监控</w:t>
      </w:r>
      <w:bookmarkEnd w:id="30"/>
    </w:p>
    <w:p w14:paraId="73FE0B80">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30"/>
                    <a:stretch>
                      <a:fillRect/>
                    </a:stretch>
                  </pic:blipFill>
                  <pic:spPr>
                    <a:xfrm>
                      <a:off x="0" y="0"/>
                      <a:ext cx="6210300" cy="3079115"/>
                    </a:xfrm>
                    <a:prstGeom prst="rect">
                      <a:avLst/>
                    </a:prstGeom>
                    <a:noFill/>
                    <a:ln>
                      <a:noFill/>
                    </a:ln>
                  </pic:spPr>
                </pic:pic>
              </a:graphicData>
            </a:graphic>
          </wp:inline>
        </w:drawing>
      </w:r>
    </w:p>
    <w:p w14:paraId="1007803F">
      <w:pPr>
        <w:pStyle w:val="6"/>
        <w:numPr>
          <w:ilvl w:val="0"/>
          <w:numId w:val="10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67274BCB">
      <w:pPr>
        <w:pStyle w:val="19"/>
        <w:widowControl/>
        <w:numPr>
          <w:ilvl w:val="0"/>
          <w:numId w:val="10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：对已投运的分布式光伏、储能系统及电机变频节能装置的实时运行参数与瞬时功率进行秒级监控。</w:t>
      </w:r>
    </w:p>
    <w:p w14:paraId="4F3DB8D8">
      <w:pPr>
        <w:pStyle w:val="19"/>
        <w:widowControl/>
        <w:numPr>
          <w:ilvl w:val="0"/>
          <w:numId w:val="10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：现场值班工程师、P2 园区能碳专员。</w:t>
      </w:r>
    </w:p>
    <w:p w14:paraId="3036BDC7">
      <w:pPr>
        <w:pStyle w:val="19"/>
        <w:widowControl/>
        <w:numPr>
          <w:ilvl w:val="0"/>
          <w:numId w:val="10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/monitor/project/realtime </w:t>
      </w:r>
      <w:r>
        <w:rPr>
          <w:rFonts w:ascii="Times New Roman" w:hAnsi="Times New Roman" w:eastAsia="宋体" w:cs="Times New Roman"/>
          <w:i w:val="0"/>
          <w:color w:val="1F2937"/>
          <w:sz w:val="24"/>
          <w:szCs w:val="24"/>
        </w:rPr>
        <w:t xml:space="preserve">；子页 </w:t>
      </w:r>
      <w:r>
        <w:rPr>
          <w:rFonts w:ascii="Times New Roman" w:hAnsi="Times New Roman" w:eastAsia="宋体" w:cs="Times New Roman"/>
          <w:b w:val="0"/>
          <w:i w:val="0"/>
          <w:color w:val="0284C7"/>
          <w:sz w:val="24"/>
          <w:szCs w:val="24"/>
        </w:rPr>
        <w:t xml:space="preserve"> /pv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/storage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/heatpump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/hvac </w:t>
      </w:r>
      <w:r>
        <w:rPr>
          <w:rFonts w:ascii="Times New Roman" w:hAnsi="Times New Roman" w:eastAsia="宋体" w:cs="Times New Roman"/>
          <w:i w:val="0"/>
          <w:color w:val="1F2937"/>
          <w:sz w:val="24"/>
          <w:szCs w:val="24"/>
        </w:rPr>
        <w:t>。</w:t>
      </w:r>
    </w:p>
    <w:p w14:paraId="1EEED898">
      <w:pPr>
        <w:pStyle w:val="19"/>
        <w:widowControl/>
        <w:numPr>
          <w:ilvl w:val="0"/>
          <w:numId w:val="10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：项目档案管理纳管清单、新能源资产遥测、设备遥测点位。</w:t>
      </w:r>
    </w:p>
    <w:p w14:paraId="0BB0936A">
      <w:pPr>
        <w:pStyle w:val="19"/>
        <w:widowControl/>
        <w:numPr>
          <w:ilvl w:val="0"/>
          <w:numId w:val="10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：项目运行评估实测数据、微电网调度依据。</w:t>
      </w:r>
    </w:p>
    <w:p w14:paraId="4CE4BAB7">
      <w:pPr>
        <w:pStyle w:val="6"/>
        <w:numPr>
          <w:ilvl w:val="0"/>
          <w:numId w:val="10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4B220A0B">
      <w:pPr>
        <w:pStyle w:val="19"/>
        <w:widowControl/>
        <w:numPr>
          <w:ilvl w:val="0"/>
          <w:numId w:val="10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：对已投运的分布式光伏、储能系统及电机变频节能装置的实时运行参数与瞬时功率进行秒级监控。</w:t>
      </w:r>
    </w:p>
    <w:p w14:paraId="63700099">
      <w:pPr>
        <w:pStyle w:val="19"/>
        <w:widowControl/>
        <w:numPr>
          <w:ilvl w:val="0"/>
          <w:numId w:val="10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0F491AF8">
      <w:pPr>
        <w:pStyle w:val="19"/>
        <w:widowControl/>
        <w:numPr>
          <w:ilvl w:val="0"/>
          <w:numId w:val="10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现场值班工程师</w:t>
      </w:r>
      <w:r>
        <w:rPr>
          <w:rFonts w:ascii="Times New Roman" w:hAnsi="Times New Roman" w:eastAsia="宋体" w:cs="Times New Roman"/>
          <w:i w:val="0"/>
          <w:color w:val="1F2937"/>
          <w:sz w:val="24"/>
          <w:szCs w:val="24"/>
        </w:rPr>
        <w:t>，</w:t>
      </w:r>
    </w:p>
    <w:p w14:paraId="10B060F5">
      <w:pPr>
        <w:pStyle w:val="19"/>
        <w:widowControl/>
        <w:numPr>
          <w:ilvl w:val="0"/>
          <w:numId w:val="10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实时查看各已投运项目的瞬时节电功率与设备工况</w:t>
      </w:r>
      <w:r>
        <w:rPr>
          <w:rFonts w:ascii="Times New Roman" w:hAnsi="Times New Roman" w:eastAsia="宋体" w:cs="Times New Roman"/>
          <w:i w:val="0"/>
          <w:color w:val="1F2937"/>
          <w:sz w:val="24"/>
          <w:szCs w:val="24"/>
        </w:rPr>
        <w:t>，</w:t>
      </w:r>
    </w:p>
    <w:p w14:paraId="205363B2">
      <w:pPr>
        <w:pStyle w:val="19"/>
        <w:widowControl/>
        <w:numPr>
          <w:ilvl w:val="0"/>
          <w:numId w:val="10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确保节能装置处于额定最佳工况</w:t>
      </w:r>
      <w:r>
        <w:rPr>
          <w:rFonts w:ascii="Times New Roman" w:hAnsi="Times New Roman" w:eastAsia="宋体" w:cs="Times New Roman"/>
          <w:i w:val="0"/>
          <w:color w:val="1F2937"/>
          <w:sz w:val="24"/>
          <w:szCs w:val="24"/>
        </w:rPr>
        <w:t>。</w:t>
      </w:r>
    </w:p>
    <w:p w14:paraId="4DC7D3ED">
      <w:pPr>
        <w:pStyle w:val="6"/>
        <w:numPr>
          <w:ilvl w:val="0"/>
          <w:numId w:val="10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350444A9">
      <w:pPr>
        <w:pStyle w:val="19"/>
        <w:widowControl/>
        <w:numPr>
          <w:ilvl w:val="0"/>
          <w:numId w:val="10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实时参数微卡片</w:t>
      </w:r>
      <w:r>
        <w:rPr>
          <w:rFonts w:ascii="Times New Roman" w:hAnsi="Times New Roman" w:eastAsia="宋体" w:cs="Times New Roman"/>
          <w:i w:val="0"/>
          <w:color w:val="1F2937"/>
          <w:sz w:val="24"/>
          <w:szCs w:val="24"/>
        </w:rPr>
        <w:t>：展示瞬时出力、当日累计节能电量、实时设备温度。</w:t>
      </w:r>
    </w:p>
    <w:p w14:paraId="6AFC09AD">
      <w:pPr>
        <w:pStyle w:val="19"/>
        <w:widowControl/>
        <w:numPr>
          <w:ilvl w:val="0"/>
          <w:numId w:val="10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时序运行折线图</w:t>
      </w:r>
      <w:r>
        <w:rPr>
          <w:rFonts w:ascii="Times New Roman" w:hAnsi="Times New Roman" w:eastAsia="宋体" w:cs="Times New Roman"/>
          <w:i w:val="0"/>
          <w:color w:val="1F2937"/>
          <w:sz w:val="24"/>
          <w:szCs w:val="24"/>
        </w:rPr>
        <w:t>：采样周期 5 分钟，展示实际功率曲线与设计功率基线对比。</w:t>
      </w:r>
    </w:p>
    <w:p w14:paraId="7A9B58FD">
      <w:pPr>
        <w:pStyle w:val="19"/>
        <w:widowControl/>
        <w:numPr>
          <w:ilvl w:val="0"/>
          <w:numId w:val="10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子模块划分</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2.1 光伏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2.2 储能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2.3 热泵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2.4 空调 </w:t>
      </w:r>
      <w:r>
        <w:rPr>
          <w:rFonts w:ascii="Times New Roman" w:hAnsi="Times New Roman" w:eastAsia="宋体" w:cs="Times New Roman"/>
          <w:i w:val="0"/>
          <w:color w:val="1F2937"/>
          <w:sz w:val="24"/>
          <w:szCs w:val="24"/>
        </w:rPr>
        <w:t xml:space="preserve"> 四类项目分页监控，各自呈现其专属关键参数。</w:t>
      </w:r>
    </w:p>
    <w:p w14:paraId="5C3F568C">
      <w:pPr>
        <w:pStyle w:val="19"/>
        <w:widowControl/>
        <w:numPr>
          <w:ilvl w:val="0"/>
          <w:numId w:val="10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项目选择器</w:t>
      </w:r>
      <w:r>
        <w:rPr>
          <w:rFonts w:ascii="Times New Roman" w:hAnsi="Times New Roman" w:eastAsia="宋体" w:cs="Times New Roman"/>
          <w:i w:val="0"/>
          <w:color w:val="1F2937"/>
          <w:sz w:val="24"/>
          <w:szCs w:val="24"/>
        </w:rPr>
        <w:t>：左侧按园区 → 项目两级展开，仅展示状态为"并网运行"的项目；未投运项目不出现在选择器内。</w:t>
      </w:r>
    </w:p>
    <w:p w14:paraId="33476929">
      <w:pPr>
        <w:pStyle w:val="6"/>
        <w:numPr>
          <w:ilvl w:val="0"/>
          <w:numId w:val="10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24"/>
        <w:gridCol w:w="1788"/>
        <w:gridCol w:w="1306"/>
        <w:gridCol w:w="893"/>
        <w:gridCol w:w="1716"/>
        <w:gridCol w:w="3257"/>
      </w:tblGrid>
      <w:tr w14:paraId="1A487E66">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EE25C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78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8E22D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0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D32AE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62B0C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98D94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适用项目类型</w:t>
            </w:r>
          </w:p>
        </w:tc>
        <w:tc>
          <w:tcPr>
            <w:tcW w:w="325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B7DCF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19A4A94D">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2AC5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7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B21D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瞬时出力</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D834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50B4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1D2A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光伏/储能/热泵/空调</w:t>
            </w:r>
          </w:p>
        </w:tc>
        <w:tc>
          <w:tcPr>
            <w:tcW w:w="32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7650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0，采样周期 5 分钟</w:t>
            </w:r>
          </w:p>
        </w:tc>
      </w:tr>
      <w:tr w14:paraId="612A7D40">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54D6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7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9E5D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当日累计节能电量</w:t>
            </w:r>
          </w:p>
        </w:tc>
        <w:tc>
          <w:tcPr>
            <w:tcW w:w="13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BEEA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8D42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898B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全类型</w:t>
            </w:r>
          </w:p>
        </w:tc>
        <w:tc>
          <w:tcPr>
            <w:tcW w:w="32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8DE8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0，每日 0 点清零日累计</w:t>
            </w:r>
          </w:p>
        </w:tc>
      </w:tr>
      <w:tr w14:paraId="14C6A07C">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70B2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7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FA99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实时设备温度</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8268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D82D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F39C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热泵/空调/储能</w:t>
            </w:r>
          </w:p>
        </w:tc>
        <w:tc>
          <w:tcPr>
            <w:tcW w:w="32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13E3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超额定上限触发越限告警</w:t>
            </w:r>
          </w:p>
        </w:tc>
      </w:tr>
      <w:tr w14:paraId="36A34133">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1802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7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FF7E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设计功率基线</w:t>
            </w:r>
          </w:p>
        </w:tc>
        <w:tc>
          <w:tcPr>
            <w:tcW w:w="13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A9D7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83E2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F898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全类型</w:t>
            </w:r>
          </w:p>
        </w:tc>
        <w:tc>
          <w:tcPr>
            <w:tcW w:w="32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C01E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取自项目设计节能量折算值</w:t>
            </w:r>
          </w:p>
        </w:tc>
      </w:tr>
      <w:tr w14:paraId="6599FAB9">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27D8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7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81E6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实测功率偏差</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5FC0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F4D0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EFF9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全类型</w:t>
            </w:r>
          </w:p>
        </w:tc>
        <w:tc>
          <w:tcPr>
            <w:tcW w:w="32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5B902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(实测 − 设计) / 设计 × 100%，分母为 0 显示 </w:t>
            </w:r>
            <w:r>
              <w:rPr>
                <w:rFonts w:hint="eastAsia" w:ascii="宋体" w:hAnsi="宋体" w:eastAsia="宋体" w:cs="宋体"/>
                <w:b w:val="0"/>
                <w:i w:val="0"/>
                <w:iCs w:val="0"/>
                <w:color w:val="0284C7"/>
                <w:sz w:val="24"/>
                <w:szCs w:val="24"/>
              </w:rPr>
              <w:t xml:space="preserve"> -- </w:t>
            </w:r>
          </w:p>
        </w:tc>
      </w:tr>
      <w:tr w14:paraId="2AA6261E">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B5D2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7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1457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设备运行状态</w:t>
            </w:r>
          </w:p>
        </w:tc>
        <w:tc>
          <w:tcPr>
            <w:tcW w:w="13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AAC7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79D5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F67A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全类型</w:t>
            </w:r>
          </w:p>
        </w:tc>
        <w:tc>
          <w:tcPr>
            <w:tcW w:w="32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7A54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运行 / 待机 / 离线 / 故障</w:t>
            </w:r>
          </w:p>
        </w:tc>
      </w:tr>
      <w:tr w14:paraId="3FD6D32B">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1DC2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7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8BF4D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累计节能量</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F50E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8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EA83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17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8E74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全类型</w:t>
            </w:r>
          </w:p>
        </w:tc>
        <w:tc>
          <w:tcPr>
            <w:tcW w:w="32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258C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0，用于项目运行评估输入</w:t>
            </w:r>
          </w:p>
        </w:tc>
      </w:tr>
    </w:tbl>
    <w:p w14:paraId="6F995E70">
      <w:pPr>
        <w:spacing w:after="60"/>
        <w:rPr>
          <w:rFonts w:hint="eastAsia" w:ascii="宋体" w:hAnsi="宋体" w:eastAsia="宋体" w:cs="宋体"/>
          <w:i w:val="0"/>
          <w:iCs w:val="0"/>
          <w:sz w:val="24"/>
          <w:szCs w:val="24"/>
        </w:rPr>
      </w:pPr>
    </w:p>
    <w:p w14:paraId="171CB2BE">
      <w:pPr>
        <w:pStyle w:val="6"/>
        <w:numPr>
          <w:ilvl w:val="0"/>
          <w:numId w:val="10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2FF82EFD">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58342BA4">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Deviation = ( P_actual - P_design ) / P_design × 100%   实测功率与设计基线偏差</w:t>
            </w:r>
          </w:p>
          <w:p w14:paraId="16F1A23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E_saved_day = Σ ( P_actual × Δt ) / 1000              当日累计节能电量</w:t>
            </w:r>
          </w:p>
          <w:p w14:paraId="6EFB09F4">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E_saved_tce = E_saved_day × k_elec                      节能量折标煤</w:t>
            </w:r>
          </w:p>
          <w:p w14:paraId="65F8564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η_sys = P_out / P_in × 100%                            系统综合效率</w:t>
            </w:r>
          </w:p>
        </w:tc>
      </w:tr>
    </w:tbl>
    <w:p w14:paraId="46B5F521">
      <w:pPr>
        <w:spacing w:after="40"/>
        <w:rPr>
          <w:rFonts w:hint="eastAsia" w:ascii="宋体" w:hAnsi="宋体" w:eastAsia="宋体" w:cs="宋体"/>
          <w:i w:val="0"/>
          <w:iCs w:val="0"/>
          <w:sz w:val="24"/>
          <w:szCs w:val="24"/>
        </w:rPr>
      </w:pPr>
    </w:p>
    <w:p w14:paraId="6E1B4588">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P_design </w:t>
      </w:r>
      <w:r>
        <w:rPr>
          <w:rFonts w:ascii="Times New Roman" w:hAnsi="Times New Roman" w:eastAsia="宋体" w:cs="Times New Roman"/>
          <w:i w:val="0"/>
          <w:color w:val="1F2937"/>
          <w:sz w:val="24"/>
          <w:szCs w:val="24"/>
        </w:rPr>
        <w:t xml:space="preserve"> 为项目设计功率基线；</w:t>
      </w:r>
      <w:r>
        <w:rPr>
          <w:rFonts w:ascii="Times New Roman" w:hAnsi="Times New Roman" w:eastAsia="宋体" w:cs="Times New Roman"/>
          <w:b w:val="0"/>
          <w:i w:val="0"/>
          <w:color w:val="0284C7"/>
          <w:sz w:val="24"/>
          <w:szCs w:val="24"/>
        </w:rPr>
        <w:t xml:space="preserve"> Δt </w:t>
      </w:r>
      <w:r>
        <w:rPr>
          <w:rFonts w:ascii="Times New Roman" w:hAnsi="Times New Roman" w:eastAsia="宋体" w:cs="Times New Roman"/>
          <w:i w:val="0"/>
          <w:color w:val="1F2937"/>
          <w:sz w:val="24"/>
          <w:szCs w:val="24"/>
        </w:rPr>
        <w:t xml:space="preserve"> 为 5 分钟采样间隔；</w:t>
      </w:r>
      <w:r>
        <w:rPr>
          <w:rFonts w:ascii="Times New Roman" w:hAnsi="Times New Roman" w:eastAsia="宋体" w:cs="Times New Roman"/>
          <w:b w:val="0"/>
          <w:i w:val="0"/>
          <w:color w:val="0284C7"/>
          <w:sz w:val="24"/>
          <w:szCs w:val="24"/>
        </w:rPr>
        <w:t xml:space="preserve"> k_elec </w:t>
      </w:r>
      <w:r>
        <w:rPr>
          <w:rFonts w:ascii="Times New Roman" w:hAnsi="Times New Roman" w:eastAsia="宋体" w:cs="Times New Roman"/>
          <w:i w:val="0"/>
          <w:color w:val="1F2937"/>
          <w:sz w:val="24"/>
          <w:szCs w:val="24"/>
        </w:rPr>
        <w:t xml:space="preserve"> 为电力折标准煤系数。</w:t>
      </w:r>
    </w:p>
    <w:p w14:paraId="0E6B475E">
      <w:pPr>
        <w:pStyle w:val="6"/>
        <w:numPr>
          <w:ilvl w:val="0"/>
          <w:numId w:val="10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33370E85">
      <w:pPr>
        <w:pStyle w:val="19"/>
        <w:widowControl/>
        <w:numPr>
          <w:ilvl w:val="0"/>
          <w:numId w:val="10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：实测功率必须与设计功率基线同图对比，偏差以百分比呈现。</w:t>
      </w:r>
    </w:p>
    <w:p w14:paraId="668B7653">
      <w:pPr>
        <w:pStyle w:val="19"/>
        <w:widowControl/>
        <w:numPr>
          <w:ilvl w:val="0"/>
          <w:numId w:val="10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采样口径</w:t>
      </w:r>
      <w:r>
        <w:rPr>
          <w:rFonts w:ascii="Times New Roman" w:hAnsi="Times New Roman" w:eastAsia="宋体" w:cs="Times New Roman"/>
          <w:i w:val="0"/>
          <w:color w:val="1F2937"/>
          <w:sz w:val="24"/>
          <w:szCs w:val="24"/>
        </w:rPr>
        <w:t>：实时监控采样周期固定 5 分钟；秒级刷新仅用于设备关键点位。</w:t>
      </w:r>
    </w:p>
    <w:p w14:paraId="14C3A7ED">
      <w:pPr>
        <w:pStyle w:val="19"/>
        <w:widowControl/>
        <w:numPr>
          <w:ilvl w:val="0"/>
          <w:numId w:val="10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节能口径</w:t>
      </w:r>
      <w:r>
        <w:rPr>
          <w:rFonts w:ascii="Times New Roman" w:hAnsi="Times New Roman" w:eastAsia="宋体" w:cs="Times New Roman"/>
          <w:i w:val="0"/>
          <w:color w:val="1F2937"/>
          <w:sz w:val="24"/>
          <w:szCs w:val="24"/>
        </w:rPr>
        <w:t>：当日累计节能电量为实测值，实测功率低于设计基线的时段按 0 计而不计负值。</w:t>
      </w:r>
    </w:p>
    <w:p w14:paraId="68AC47B6">
      <w:pPr>
        <w:pStyle w:val="6"/>
        <w:numPr>
          <w:ilvl w:val="0"/>
          <w:numId w:val="10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4DF4A970">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2143F75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项目离线：卡片显示"设备离线"并保留最后一次有效读数，不阻断其他项目渲染。</w:t>
            </w:r>
          </w:p>
          <w:p w14:paraId="591F204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设备温度越限：触发告警中心事件并红框高亮卡片。</w:t>
            </w:r>
          </w:p>
          <w:p w14:paraId="080A591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设计基线为 0 或缺失：偏差显示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，不以 0 代替。</w:t>
            </w:r>
          </w:p>
          <w:p w14:paraId="06E19FB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未投运项目：不出现在监控选择器内，无解释性文案。</w:t>
            </w:r>
          </w:p>
        </w:tc>
      </w:tr>
    </w:tbl>
    <w:p w14:paraId="20E5DAFB">
      <w:pPr>
        <w:spacing w:after="40"/>
        <w:rPr>
          <w:rFonts w:hint="eastAsia" w:ascii="宋体" w:hAnsi="宋体" w:eastAsia="宋体" w:cs="宋体"/>
          <w:i w:val="0"/>
          <w:iCs w:val="0"/>
          <w:sz w:val="24"/>
          <w:szCs w:val="24"/>
        </w:rPr>
      </w:pPr>
    </w:p>
    <w:p w14:paraId="135EB583">
      <w:pPr>
        <w:pStyle w:val="6"/>
        <w:numPr>
          <w:ilvl w:val="0"/>
          <w:numId w:val="101"/>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6A870E2A">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2C60945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零碳项目实时监控</w:t>
            </w:r>
          </w:p>
          <w:p w14:paraId="1D1DA8E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实测与设计基线对比</w:t>
            </w:r>
          </w:p>
          <w:p w14:paraId="2D04117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某分布式光伏项目已并网运行且配置了设计功率基线</w:t>
            </w:r>
          </w:p>
          <w:p w14:paraId="036EF86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页面以 5 分钟采样周期渲染时序运行折线图</w:t>
            </w:r>
          </w:p>
          <w:p w14:paraId="2A1B101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同图呈现实际功率曲线与设计功率基线</w:t>
            </w:r>
          </w:p>
          <w:p w14:paraId="5E9D9DF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实测功率偏差按（实测 − 设计）÷ 设计 × 100% 计算</w:t>
            </w:r>
          </w:p>
          <w:p w14:paraId="2C99B84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设计基线为 0 时偏差显示 "--"</w:t>
            </w:r>
          </w:p>
          <w:p w14:paraId="2A641BFC">
            <w:pPr>
              <w:spacing w:before="0" w:after="20" w:line="264" w:lineRule="auto"/>
              <w:rPr>
                <w:rFonts w:hint="eastAsia" w:ascii="宋体" w:hAnsi="宋体" w:eastAsia="宋体" w:cs="宋体"/>
                <w:i w:val="0"/>
                <w:iCs w:val="0"/>
                <w:sz w:val="24"/>
                <w:szCs w:val="24"/>
              </w:rPr>
            </w:pPr>
          </w:p>
          <w:p w14:paraId="68CED4A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未投运项目不可监控</w:t>
            </w:r>
          </w:p>
          <w:p w14:paraId="260E67B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某储能项目状态仍为"在建"</w:t>
            </w:r>
          </w:p>
          <w:p w14:paraId="62B8BA7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用户展开实时监控左侧项目选择器</w:t>
            </w:r>
          </w:p>
          <w:p w14:paraId="1D8771B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该项目不出现在选择器列表中</w:t>
            </w:r>
          </w:p>
          <w:p w14:paraId="7028C66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页面不弹出任何解释性文案</w:t>
            </w:r>
          </w:p>
        </w:tc>
      </w:tr>
    </w:tbl>
    <w:p w14:paraId="113DDEF2">
      <w:pPr>
        <w:pStyle w:val="5"/>
        <w:numPr>
          <w:ilvl w:val="0"/>
          <w:numId w:val="95"/>
        </w:numPr>
        <w:ind w:left="0" w:leftChars="0" w:firstLine="0" w:firstLineChars="0"/>
        <w:outlineLvl w:val="1"/>
        <w:rPr>
          <w:rFonts w:eastAsia="黑体"/>
          <w:b w:val="0"/>
          <w:bCs w:val="0"/>
          <w:sz w:val="30"/>
          <w:szCs w:val="24"/>
        </w:rPr>
      </w:pPr>
      <w:bookmarkStart w:id="31" w:name="_Toc30561"/>
      <w:r>
        <w:rPr>
          <w:rFonts w:ascii="Times New Roman" w:hAnsi="Times New Roman" w:eastAsia="黑体" w:cs="Times New Roman"/>
          <w:b w:val="0"/>
          <w:bCs w:val="0"/>
          <w:sz w:val="30"/>
          <w:szCs w:val="24"/>
        </w:rPr>
        <w:t>项目运行评估</w:t>
      </w:r>
      <w:bookmarkEnd w:id="31"/>
    </w:p>
    <w:p w14:paraId="4D3A633B">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31"/>
                    <a:stretch>
                      <a:fillRect/>
                    </a:stretch>
                  </pic:blipFill>
                  <pic:spPr>
                    <a:xfrm>
                      <a:off x="0" y="0"/>
                      <a:ext cx="6210300" cy="3079115"/>
                    </a:xfrm>
                    <a:prstGeom prst="rect">
                      <a:avLst/>
                    </a:prstGeom>
                    <a:noFill/>
                    <a:ln>
                      <a:noFill/>
                    </a:ln>
                  </pic:spPr>
                </pic:pic>
              </a:graphicData>
            </a:graphic>
          </wp:inline>
        </w:drawing>
      </w:r>
    </w:p>
    <w:p w14:paraId="08ED313A">
      <w:pPr>
        <w:pStyle w:val="6"/>
        <w:numPr>
          <w:ilvl w:val="0"/>
          <w:numId w:val="10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4B0A2E10">
      <w:pPr>
        <w:pStyle w:val="19"/>
        <w:widowControl/>
        <w:numPr>
          <w:ilvl w:val="0"/>
          <w:numId w:val="10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：遵循国际通用 IPMVP 测量与验证（M&amp;V）规程，测算节能量、节约费用与动态投资回收期，形成节能技改项目效益闭环。</w:t>
      </w:r>
    </w:p>
    <w:p w14:paraId="344E8211">
      <w:pPr>
        <w:pStyle w:val="19"/>
        <w:widowControl/>
        <w:numPr>
          <w:ilvl w:val="0"/>
          <w:numId w:val="10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：技改项目经理、P2 园区能碳专员、P6 外部审计机构（只读核验）。</w:t>
      </w:r>
    </w:p>
    <w:p w14:paraId="044D3AA6">
      <w:pPr>
        <w:pStyle w:val="19"/>
        <w:widowControl/>
        <w:numPr>
          <w:ilvl w:val="0"/>
          <w:numId w:val="10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/monitor/project/evaluation </w:t>
      </w:r>
      <w:r>
        <w:rPr>
          <w:rFonts w:ascii="Times New Roman" w:hAnsi="Times New Roman" w:eastAsia="宋体" w:cs="Times New Roman"/>
          <w:i w:val="0"/>
          <w:color w:val="1F2937"/>
          <w:sz w:val="24"/>
          <w:szCs w:val="24"/>
        </w:rPr>
        <w:t xml:space="preserve">；子页 </w:t>
      </w:r>
      <w:r>
        <w:rPr>
          <w:rFonts w:ascii="Times New Roman" w:hAnsi="Times New Roman" w:eastAsia="宋体" w:cs="Times New Roman"/>
          <w:b w:val="0"/>
          <w:i w:val="0"/>
          <w:color w:val="0284C7"/>
          <w:sz w:val="24"/>
          <w:szCs w:val="24"/>
        </w:rPr>
        <w:t xml:space="preserve"> /storage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/pv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/heatpump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/hvac </w:t>
      </w:r>
      <w:r>
        <w:rPr>
          <w:rFonts w:ascii="Times New Roman" w:hAnsi="Times New Roman" w:eastAsia="宋体" w:cs="Times New Roman"/>
          <w:i w:val="0"/>
          <w:color w:val="1F2937"/>
          <w:sz w:val="24"/>
          <w:szCs w:val="24"/>
        </w:rPr>
        <w:t>。</w:t>
      </w:r>
    </w:p>
    <w:p w14:paraId="3CFF45C0">
      <w:pPr>
        <w:pStyle w:val="19"/>
        <w:widowControl/>
        <w:numPr>
          <w:ilvl w:val="0"/>
          <w:numId w:val="10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：项目档案管理设计指标、实时监控实测能耗、财务节能现金流数据。</w:t>
      </w:r>
    </w:p>
    <w:p w14:paraId="17AD8E1C">
      <w:pPr>
        <w:pStyle w:val="19"/>
        <w:widowControl/>
        <w:numPr>
          <w:ilvl w:val="0"/>
          <w:numId w:val="10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：节能效益评估状态机流转结论、零碳工厂自评估佐证材料。</w:t>
      </w:r>
    </w:p>
    <w:p w14:paraId="07674421">
      <w:pPr>
        <w:pStyle w:val="6"/>
        <w:numPr>
          <w:ilvl w:val="0"/>
          <w:numId w:val="10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4A268C99">
      <w:pPr>
        <w:pStyle w:val="19"/>
        <w:widowControl/>
        <w:numPr>
          <w:ilvl w:val="0"/>
          <w:numId w:val="10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：年度节能技改项目效益复盘场景，需按 IPMVP 规程建立基线能耗模型，排除产量与气象波动影响后测算真实节能量。</w:t>
      </w:r>
    </w:p>
    <w:p w14:paraId="1A6DD70E">
      <w:pPr>
        <w:pStyle w:val="19"/>
        <w:widowControl/>
        <w:numPr>
          <w:ilvl w:val="0"/>
          <w:numId w:val="10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6220D77B">
      <w:pPr>
        <w:pStyle w:val="19"/>
        <w:widowControl/>
        <w:numPr>
          <w:ilvl w:val="0"/>
          <w:numId w:val="10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技改项目经理</w:t>
      </w:r>
      <w:r>
        <w:rPr>
          <w:rFonts w:ascii="Times New Roman" w:hAnsi="Times New Roman" w:eastAsia="宋体" w:cs="Times New Roman"/>
          <w:i w:val="0"/>
          <w:color w:val="1F2937"/>
          <w:sz w:val="24"/>
          <w:szCs w:val="24"/>
        </w:rPr>
        <w:t>，</w:t>
      </w:r>
    </w:p>
    <w:p w14:paraId="2A0A14BE">
      <w:pPr>
        <w:pStyle w:val="19"/>
        <w:widowControl/>
        <w:numPr>
          <w:ilvl w:val="0"/>
          <w:numId w:val="10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按 M&amp;V 四要素测算节能量与考虑贴现率的动态投资回收期</w:t>
      </w:r>
      <w:r>
        <w:rPr>
          <w:rFonts w:ascii="Times New Roman" w:hAnsi="Times New Roman" w:eastAsia="宋体" w:cs="Times New Roman"/>
          <w:i w:val="0"/>
          <w:color w:val="1F2937"/>
          <w:sz w:val="24"/>
          <w:szCs w:val="24"/>
        </w:rPr>
        <w:t>，</w:t>
      </w:r>
    </w:p>
    <w:p w14:paraId="67AA17F4">
      <w:pPr>
        <w:pStyle w:val="19"/>
        <w:widowControl/>
        <w:numPr>
          <w:ilvl w:val="0"/>
          <w:numId w:val="10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我能客观证明技改投资效益并支撑下一年度技改立项</w:t>
      </w:r>
      <w:r>
        <w:rPr>
          <w:rFonts w:ascii="Times New Roman" w:hAnsi="Times New Roman" w:eastAsia="宋体" w:cs="Times New Roman"/>
          <w:i w:val="0"/>
          <w:color w:val="1F2937"/>
          <w:sz w:val="24"/>
          <w:szCs w:val="24"/>
        </w:rPr>
        <w:t>。</w:t>
      </w:r>
    </w:p>
    <w:p w14:paraId="4FADF90F">
      <w:pPr>
        <w:pStyle w:val="6"/>
        <w:numPr>
          <w:ilvl w:val="0"/>
          <w:numId w:val="10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19DF12C5">
      <w:pPr>
        <w:pStyle w:val="19"/>
        <w:widowControl/>
        <w:numPr>
          <w:ilvl w:val="0"/>
          <w:numId w:val="10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M&amp;V 测算四要素</w:t>
      </w:r>
      <w:r>
        <w:rPr>
          <w:rFonts w:ascii="Times New Roman" w:hAnsi="Times New Roman" w:eastAsia="宋体" w:cs="Times New Roman"/>
          <w:i w:val="0"/>
          <w:color w:val="1F2937"/>
          <w:sz w:val="24"/>
          <w:szCs w:val="24"/>
        </w:rPr>
        <w:t>：</w:t>
      </w:r>
    </w:p>
    <w:p w14:paraId="6A195511">
      <w:pPr>
        <w:pStyle w:val="19"/>
        <w:widowControl/>
        <w:numPr>
          <w:ilvl w:val="0"/>
          <w:numId w:val="10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基准期能耗</w:t>
      </w:r>
      <w:r>
        <w:rPr>
          <w:rFonts w:ascii="Times New Roman" w:hAnsi="Times New Roman" w:eastAsia="宋体" w:cs="Times New Roman"/>
          <w:i w:val="0"/>
          <w:color w:val="1F2937"/>
          <w:sz w:val="24"/>
          <w:szCs w:val="24"/>
        </w:rPr>
        <w:t>：改造前可验证的基线能耗（不少于 12 个月数据，取自用能在线监测日结库与能源台账；不足 12 个月时按邻近同类园区同工序基线折算，并在报表中标注折算来源与数据区间）。</w:t>
      </w:r>
    </w:p>
    <w:p w14:paraId="5C508F00">
      <w:pPr>
        <w:pStyle w:val="19"/>
        <w:widowControl/>
        <w:numPr>
          <w:ilvl w:val="0"/>
          <w:numId w:val="10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报告期能耗</w:t>
      </w:r>
      <w:r>
        <w:rPr>
          <w:rFonts w:ascii="Times New Roman" w:hAnsi="Times New Roman" w:eastAsia="宋体" w:cs="Times New Roman"/>
          <w:i w:val="0"/>
          <w:color w:val="1F2937"/>
          <w:sz w:val="24"/>
          <w:szCs w:val="24"/>
        </w:rPr>
        <w:t>：改造后实际计量能耗。</w:t>
      </w:r>
    </w:p>
    <w:p w14:paraId="0856B3B5">
      <w:pPr>
        <w:pStyle w:val="19"/>
        <w:widowControl/>
        <w:numPr>
          <w:ilvl w:val="0"/>
          <w:numId w:val="10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调整量</w:t>
      </w:r>
      <w:r>
        <w:rPr>
          <w:rFonts w:ascii="Times New Roman" w:hAnsi="Times New Roman" w:eastAsia="宋体" w:cs="Times New Roman"/>
          <w:i w:val="0"/>
          <w:color w:val="1F2937"/>
          <w:sz w:val="24"/>
          <w:szCs w:val="24"/>
        </w:rPr>
        <w:t>：依据产量、天气等独立变量对基准期能耗的修正值。</w:t>
      </w:r>
    </w:p>
    <w:p w14:paraId="5BCBD879">
      <w:pPr>
        <w:pStyle w:val="19"/>
        <w:widowControl/>
        <w:numPr>
          <w:ilvl w:val="0"/>
          <w:numId w:val="10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节能量</w:t>
      </w:r>
      <w:r>
        <w:rPr>
          <w:rFonts w:ascii="Times New Roman" w:hAnsi="Times New Roman" w:eastAsia="宋体" w:cs="Times New Roman"/>
          <w:i w:val="0"/>
          <w:color w:val="1F2937"/>
          <w:sz w:val="24"/>
          <w:szCs w:val="24"/>
        </w:rPr>
        <w:t>：</w:t>
      </w:r>
      <w:r>
        <w:rPr>
          <w:rFonts w:ascii="Times New Roman" w:hAnsi="Times New Roman" w:eastAsia="宋体" w:cs="Times New Roman"/>
          <w:i w:val="0"/>
          <w:color w:val="15803D"/>
          <w:sz w:val="24"/>
          <w:szCs w:val="24"/>
        </w:rPr>
        <w:t>E\_saved = 基准期调整后能耗 − 报告期能耗</w:t>
      </w:r>
      <w:r>
        <w:rPr>
          <w:rFonts w:ascii="Times New Roman" w:hAnsi="Times New Roman" w:eastAsia="宋体" w:cs="Times New Roman"/>
          <w:i w:val="0"/>
          <w:color w:val="1F2937"/>
          <w:sz w:val="24"/>
          <w:szCs w:val="24"/>
        </w:rPr>
        <w:t>；动态投资回收期 = 项目投资额 / 年节约费用。</w:t>
      </w:r>
    </w:p>
    <w:p w14:paraId="29CF3C0B">
      <w:pPr>
        <w:pStyle w:val="19"/>
        <w:widowControl/>
        <w:numPr>
          <w:ilvl w:val="0"/>
          <w:numId w:val="10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子模块划分</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3.1 储能运行评估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3.2 光伏运行评估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3.3 热泵运行评估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3.4 空调运行评估 </w:t>
      </w:r>
      <w:r>
        <w:rPr>
          <w:rFonts w:ascii="Times New Roman" w:hAnsi="Times New Roman" w:eastAsia="宋体" w:cs="Times New Roman"/>
          <w:i w:val="0"/>
          <w:color w:val="1F2937"/>
          <w:sz w:val="24"/>
          <w:szCs w:val="24"/>
        </w:rPr>
        <w:t>。</w:t>
      </w:r>
    </w:p>
    <w:p w14:paraId="4EC7E5AF">
      <w:pPr>
        <w:pStyle w:val="19"/>
        <w:widowControl/>
        <w:numPr>
          <w:ilvl w:val="0"/>
          <w:numId w:val="10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评估状态机可视化</w:t>
      </w:r>
      <w:r>
        <w:rPr>
          <w:rFonts w:ascii="Times New Roman" w:hAnsi="Times New Roman" w:eastAsia="宋体" w:cs="Times New Roman"/>
          <w:i w:val="0"/>
          <w:color w:val="1F2937"/>
          <w:sz w:val="24"/>
          <w:szCs w:val="24"/>
        </w:rPr>
        <w:t>：项目立项 → 建设施工 → 并网试运行 → 稳定运行 → 已完结；并网试运行需满足 90 天 M&amp;V 连续采数，验收通过方可流转至"稳定运行"。</w:t>
      </w:r>
    </w:p>
    <w:p w14:paraId="2DA46DE4">
      <w:pPr>
        <w:pStyle w:val="19"/>
        <w:widowControl/>
        <w:numPr>
          <w:ilvl w:val="0"/>
          <w:numId w:val="10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回归模型展示</w:t>
      </w:r>
      <w:r>
        <w:rPr>
          <w:rFonts w:ascii="Times New Roman" w:hAnsi="Times New Roman" w:eastAsia="宋体" w:cs="Times New Roman"/>
          <w:i w:val="0"/>
          <w:color w:val="1F2937"/>
          <w:sz w:val="24"/>
          <w:szCs w:val="24"/>
        </w:rPr>
        <w:t xml:space="preserve">：展示基准期能耗与独立变量（产量、度日数）的回归拟合优度 </w:t>
      </w:r>
      <w:r>
        <w:rPr>
          <w:rFonts w:ascii="Times New Roman" w:hAnsi="Times New Roman" w:eastAsia="宋体" w:cs="Times New Roman"/>
          <w:i w:val="0"/>
          <w:color w:val="15803D"/>
          <w:sz w:val="24"/>
          <w:szCs w:val="24"/>
        </w:rPr>
        <w:t>R^2</w:t>
      </w:r>
      <w:r>
        <w:rPr>
          <w:rFonts w:ascii="Times New Roman" w:hAnsi="Times New Roman" w:eastAsia="宋体" w:cs="Times New Roman"/>
          <w:i w:val="0"/>
          <w:color w:val="1F2937"/>
          <w:sz w:val="24"/>
          <w:szCs w:val="24"/>
        </w:rPr>
        <w:t>，</w:t>
      </w:r>
      <w:r>
        <w:rPr>
          <w:rFonts w:ascii="Times New Roman" w:hAnsi="Times New Roman" w:eastAsia="宋体" w:cs="Times New Roman"/>
          <w:i w:val="0"/>
          <w:color w:val="15803D"/>
          <w:sz w:val="24"/>
          <w:szCs w:val="24"/>
        </w:rPr>
        <w:t>R^2 &lt; 0.75</w:t>
      </w:r>
      <w:r>
        <w:rPr>
          <w:rFonts w:ascii="Times New Roman" w:hAnsi="Times New Roman" w:eastAsia="宋体" w:cs="Times New Roman"/>
          <w:i w:val="0"/>
          <w:color w:val="1F2937"/>
          <w:sz w:val="24"/>
          <w:szCs w:val="24"/>
        </w:rPr>
        <w:t xml:space="preserve"> 时提示基线模型可靠性不足。</w:t>
      </w:r>
    </w:p>
    <w:p w14:paraId="0E230662">
      <w:pPr>
        <w:pStyle w:val="6"/>
        <w:numPr>
          <w:ilvl w:val="0"/>
          <w:numId w:val="10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2"/>
        <w:gridCol w:w="1924"/>
        <w:gridCol w:w="1364"/>
        <w:gridCol w:w="1364"/>
        <w:gridCol w:w="4250"/>
      </w:tblGrid>
      <w:tr w14:paraId="6F82B711">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0256C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5AAD8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6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392EC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6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A6102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2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D1E01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3F0A09DC">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3C2E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43E7D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基准期调整后能耗</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1E71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0B25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2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3473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基于不少于 12 个月数据建立回归模型</w:t>
            </w:r>
          </w:p>
        </w:tc>
      </w:tr>
      <w:tr w14:paraId="130BB6E0">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E5A9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7EA1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报告期实际能耗</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BB53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851EE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2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B26D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改造后实际计量值</w:t>
            </w:r>
          </w:p>
        </w:tc>
      </w:tr>
      <w:tr w14:paraId="603249E2">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19A9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1252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工况修正量</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0D2D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05F0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2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F35B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依据产量、气象等独立变量修正</w:t>
            </w:r>
          </w:p>
        </w:tc>
      </w:tr>
      <w:tr w14:paraId="4059A899">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9F21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67CB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节能量</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3DA9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5C55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2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4D8D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基准期调整后能耗 − 报告期能耗</w:t>
            </w:r>
          </w:p>
        </w:tc>
      </w:tr>
      <w:tr w14:paraId="036C599A">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09C0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BC60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年净节能现金流</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6975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9668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2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7BC3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节能量 × 能量单价 − 运维成本</w:t>
            </w:r>
          </w:p>
        </w:tc>
      </w:tr>
      <w:tr w14:paraId="11F80EAE">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6AB6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7E99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贴现率</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6E8F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493E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472F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基准取值 8%</w:t>
            </w:r>
          </w:p>
        </w:tc>
      </w:tr>
      <w:tr w14:paraId="70E6BEC3">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E30F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E5FD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动态投资回收期</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E107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A015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年</w:t>
            </w:r>
          </w:p>
        </w:tc>
        <w:tc>
          <w:tcPr>
            <w:tcW w:w="42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F192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ln(CF/(CF − I_0 × r)) / ln(1 + r)</w:t>
            </w:r>
          </w:p>
        </w:tc>
      </w:tr>
      <w:tr w14:paraId="7605B57B">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4A5F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4ED3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回归拟合优度</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7DCF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2C71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58DA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R^2</w:t>
            </w:r>
            <w:r>
              <w:rPr>
                <w:rFonts w:hint="eastAsia" w:ascii="宋体" w:hAnsi="宋体" w:eastAsia="宋体" w:cs="宋体"/>
                <w:i w:val="0"/>
                <w:iCs w:val="0"/>
                <w:color w:val="1F2937"/>
                <w:sz w:val="24"/>
                <w:szCs w:val="24"/>
              </w:rPr>
              <w:t>，低于 0.75 提示模型可靠性不足</w:t>
            </w:r>
          </w:p>
        </w:tc>
      </w:tr>
      <w:tr w14:paraId="564EEB57">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F5E5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459C3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评估状态</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8543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97B4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26AB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立项 / 施工 / 并网试运行 / 稳定运行 / 已完结</w:t>
            </w:r>
          </w:p>
        </w:tc>
      </w:tr>
      <w:tr w14:paraId="61B9A42A">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E76F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9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DC6F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连续采数天数</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26DB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Integer</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2FD4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天</w:t>
            </w:r>
          </w:p>
        </w:tc>
        <w:tc>
          <w:tcPr>
            <w:tcW w:w="42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D3FE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90 天才允许流转至稳定运行</w:t>
            </w:r>
          </w:p>
        </w:tc>
      </w:tr>
    </w:tbl>
    <w:p w14:paraId="0F30D262">
      <w:pPr>
        <w:spacing w:after="60"/>
        <w:rPr>
          <w:rFonts w:hint="eastAsia" w:ascii="宋体" w:hAnsi="宋体" w:eastAsia="宋体" w:cs="宋体"/>
          <w:i w:val="0"/>
          <w:iCs w:val="0"/>
          <w:sz w:val="24"/>
          <w:szCs w:val="24"/>
        </w:rPr>
      </w:pPr>
    </w:p>
    <w:p w14:paraId="5FC1AC28">
      <w:pPr>
        <w:pStyle w:val="6"/>
        <w:numPr>
          <w:ilvl w:val="0"/>
          <w:numId w:val="10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1541C58D">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4FA708F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E_saved = ( E_baseline - E_post ) ± ΔE_adj               节能量</w:t>
            </w:r>
          </w:p>
          <w:p w14:paraId="498416D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PBP_dynamic = ln( CF / ( CF - I_0 × r ) ) / ln( 1 + r )   动态投资回收期（考虑贴现率 r）</w:t>
            </w:r>
          </w:p>
          <w:p w14:paraId="7126CE08">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E_baseline = f( X_prod, X_hdd, X_cdd )                     基准期能耗回归模型</w:t>
            </w:r>
          </w:p>
          <w:p w14:paraId="2CE7090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R² = 1 - SS_res / SS_tot                                   回归拟合优度</w:t>
            </w:r>
          </w:p>
        </w:tc>
      </w:tr>
    </w:tbl>
    <w:p w14:paraId="015D50F3">
      <w:pPr>
        <w:spacing w:after="40"/>
        <w:rPr>
          <w:rFonts w:hint="eastAsia" w:ascii="宋体" w:hAnsi="宋体" w:eastAsia="宋体" w:cs="宋体"/>
          <w:i w:val="0"/>
          <w:iCs w:val="0"/>
          <w:sz w:val="24"/>
          <w:szCs w:val="24"/>
        </w:rPr>
      </w:pPr>
    </w:p>
    <w:p w14:paraId="3879149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E_baseline </w:t>
      </w:r>
      <w:r>
        <w:rPr>
          <w:rFonts w:ascii="Times New Roman" w:hAnsi="Times New Roman" w:eastAsia="宋体" w:cs="Times New Roman"/>
          <w:i w:val="0"/>
          <w:color w:val="1F2937"/>
          <w:sz w:val="24"/>
          <w:szCs w:val="24"/>
        </w:rPr>
        <w:t xml:space="preserve"> 为基准期调整后能耗；</w:t>
      </w:r>
      <w:r>
        <w:rPr>
          <w:rFonts w:ascii="Times New Roman" w:hAnsi="Times New Roman" w:eastAsia="宋体" w:cs="Times New Roman"/>
          <w:b w:val="0"/>
          <w:i w:val="0"/>
          <w:color w:val="0284C7"/>
          <w:sz w:val="24"/>
          <w:szCs w:val="24"/>
        </w:rPr>
        <w:t xml:space="preserve"> E_post </w:t>
      </w:r>
      <w:r>
        <w:rPr>
          <w:rFonts w:ascii="Times New Roman" w:hAnsi="Times New Roman" w:eastAsia="宋体" w:cs="Times New Roman"/>
          <w:i w:val="0"/>
          <w:color w:val="1F2937"/>
          <w:sz w:val="24"/>
          <w:szCs w:val="24"/>
        </w:rPr>
        <w:t xml:space="preserve"> 为改造后实际能耗；</w:t>
      </w:r>
      <w:r>
        <w:rPr>
          <w:rFonts w:ascii="Times New Roman" w:hAnsi="Times New Roman" w:eastAsia="宋体" w:cs="Times New Roman"/>
          <w:b w:val="0"/>
          <w:i w:val="0"/>
          <w:color w:val="0284C7"/>
          <w:sz w:val="24"/>
          <w:szCs w:val="24"/>
        </w:rPr>
        <w:t xml:space="preserve"> ΔE_adj </w:t>
      </w:r>
      <w:r>
        <w:rPr>
          <w:rFonts w:ascii="Times New Roman" w:hAnsi="Times New Roman" w:eastAsia="宋体" w:cs="Times New Roman"/>
          <w:i w:val="0"/>
          <w:color w:val="1F2937"/>
          <w:sz w:val="24"/>
          <w:szCs w:val="24"/>
        </w:rPr>
        <w:t xml:space="preserve"> 为生产工况修正量；</w:t>
      </w:r>
      <w:r>
        <w:rPr>
          <w:rFonts w:ascii="Times New Roman" w:hAnsi="Times New Roman" w:eastAsia="宋体" w:cs="Times New Roman"/>
          <w:b w:val="0"/>
          <w:i w:val="0"/>
          <w:color w:val="0284C7"/>
          <w:sz w:val="24"/>
          <w:szCs w:val="24"/>
        </w:rPr>
        <w:t xml:space="preserve"> I_0 </w:t>
      </w:r>
      <w:r>
        <w:rPr>
          <w:rFonts w:ascii="Times New Roman" w:hAnsi="Times New Roman" w:eastAsia="宋体" w:cs="Times New Roman"/>
          <w:i w:val="0"/>
          <w:color w:val="1F2937"/>
          <w:sz w:val="24"/>
          <w:szCs w:val="24"/>
        </w:rPr>
        <w:t xml:space="preserve"> 为技改初次投资；</w:t>
      </w:r>
      <w:r>
        <w:rPr>
          <w:rFonts w:ascii="Times New Roman" w:hAnsi="Times New Roman" w:eastAsia="宋体" w:cs="Times New Roman"/>
          <w:b w:val="0"/>
          <w:i w:val="0"/>
          <w:color w:val="0284C7"/>
          <w:sz w:val="24"/>
          <w:szCs w:val="24"/>
        </w:rPr>
        <w:t xml:space="preserve"> CF </w:t>
      </w:r>
      <w:r>
        <w:rPr>
          <w:rFonts w:ascii="Times New Roman" w:hAnsi="Times New Roman" w:eastAsia="宋体" w:cs="Times New Roman"/>
          <w:i w:val="0"/>
          <w:color w:val="1F2937"/>
          <w:sz w:val="24"/>
          <w:szCs w:val="24"/>
        </w:rPr>
        <w:t xml:space="preserve"> 为年净节能现金流；</w:t>
      </w:r>
      <w:r>
        <w:rPr>
          <w:rFonts w:ascii="Times New Roman" w:hAnsi="Times New Roman" w:eastAsia="宋体" w:cs="Times New Roman"/>
          <w:b w:val="0"/>
          <w:i w:val="0"/>
          <w:color w:val="0284C7"/>
          <w:sz w:val="24"/>
          <w:szCs w:val="24"/>
        </w:rPr>
        <w:t xml:space="preserve"> r </w:t>
      </w:r>
      <w:r>
        <w:rPr>
          <w:rFonts w:ascii="Times New Roman" w:hAnsi="Times New Roman" w:eastAsia="宋体" w:cs="Times New Roman"/>
          <w:i w:val="0"/>
          <w:color w:val="1F2937"/>
          <w:sz w:val="24"/>
          <w:szCs w:val="24"/>
        </w:rPr>
        <w:t xml:space="preserve"> 为贴现率（基准 8%）。依据国际 IPMVP 规程选项 B/C 建立基线能耗模型，排除气象温湿度与产量波动影响。</w:t>
      </w:r>
    </w:p>
    <w:p w14:paraId="49F640D9">
      <w:pPr>
        <w:pStyle w:val="6"/>
        <w:numPr>
          <w:ilvl w:val="0"/>
          <w:numId w:val="10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7E66CC89">
      <w:pPr>
        <w:pStyle w:val="19"/>
        <w:widowControl/>
        <w:numPr>
          <w:ilvl w:val="0"/>
          <w:numId w:val="11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基线口径</w:t>
      </w:r>
      <w:r>
        <w:rPr>
          <w:rFonts w:ascii="Times New Roman" w:hAnsi="Times New Roman" w:eastAsia="宋体" w:cs="Times New Roman"/>
          <w:i w:val="0"/>
          <w:color w:val="1F2937"/>
          <w:sz w:val="24"/>
          <w:szCs w:val="24"/>
        </w:rPr>
        <w:t>：基准期数据不得少于 12 个月，不足时评估功能置灰。</w:t>
      </w:r>
    </w:p>
    <w:p w14:paraId="7D0E0036">
      <w:pPr>
        <w:pStyle w:val="19"/>
        <w:widowControl/>
        <w:numPr>
          <w:ilvl w:val="0"/>
          <w:numId w:val="11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调整口径</w:t>
      </w:r>
      <w:r>
        <w:rPr>
          <w:rFonts w:ascii="Times New Roman" w:hAnsi="Times New Roman" w:eastAsia="宋体" w:cs="Times New Roman"/>
          <w:i w:val="0"/>
          <w:color w:val="1F2937"/>
          <w:sz w:val="24"/>
          <w:szCs w:val="24"/>
        </w:rPr>
        <w:t>：调整量必须基于统计显著的独立变量（产量、度日数）计算，不接受人工拍脑袋修正。</w:t>
      </w:r>
    </w:p>
    <w:p w14:paraId="313391DC">
      <w:pPr>
        <w:pStyle w:val="19"/>
        <w:widowControl/>
        <w:numPr>
          <w:ilvl w:val="0"/>
          <w:numId w:val="11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回收期口径</w:t>
      </w:r>
      <w:r>
        <w:rPr>
          <w:rFonts w:ascii="Times New Roman" w:hAnsi="Times New Roman" w:eastAsia="宋体" w:cs="Times New Roman"/>
          <w:i w:val="0"/>
          <w:color w:val="1F2937"/>
          <w:sz w:val="24"/>
          <w:szCs w:val="24"/>
        </w:rPr>
        <w:t>：以动态投资回收期（含贴现）为唯一对外口径，静态回收期仅作内部参考。</w:t>
      </w:r>
    </w:p>
    <w:p w14:paraId="340EEE88">
      <w:pPr>
        <w:pStyle w:val="19"/>
        <w:widowControl/>
        <w:numPr>
          <w:ilvl w:val="0"/>
          <w:numId w:val="11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状态口径</w:t>
      </w:r>
      <w:r>
        <w:rPr>
          <w:rFonts w:ascii="Times New Roman" w:hAnsi="Times New Roman" w:eastAsia="宋体" w:cs="Times New Roman"/>
          <w:i w:val="0"/>
          <w:color w:val="1F2937"/>
          <w:sz w:val="24"/>
          <w:szCs w:val="24"/>
        </w:rPr>
        <w:t>：并网试运行阶段须连续采数 ≥90 天方可流转，流转动作写入审计日志。</w:t>
      </w:r>
    </w:p>
    <w:p w14:paraId="31B962D5">
      <w:pPr>
        <w:pStyle w:val="6"/>
        <w:numPr>
          <w:ilvl w:val="0"/>
          <w:numId w:val="10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4B330FF8">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76C8245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缺少基准期能耗记录：触发 </w:t>
            </w:r>
            <w:r>
              <w:rPr>
                <w:rFonts w:hint="eastAsia" w:ascii="宋体" w:hAnsi="宋体" w:eastAsia="宋体" w:cs="宋体"/>
                <w:b w:val="0"/>
                <w:i w:val="0"/>
                <w:iCs w:val="0"/>
                <w:color w:val="0284C7"/>
                <w:sz w:val="24"/>
                <w:szCs w:val="24"/>
              </w:rPr>
              <w:t xml:space="preserve"> E_VAL_PRJ_MV_BASELINE_EMPTY </w:t>
            </w:r>
            <w:r>
              <w:rPr>
                <w:rFonts w:hint="eastAsia" w:ascii="宋体" w:hAnsi="宋体" w:eastAsia="宋体" w:cs="宋体"/>
                <w:i w:val="0"/>
                <w:iCs w:val="0"/>
                <w:color w:val="1F2937"/>
                <w:sz w:val="24"/>
                <w:szCs w:val="24"/>
              </w:rPr>
              <w:t>，阻断评估并提示"必须录入技改前至少 12 个月的基准期负荷数据"。</w:t>
            </w:r>
          </w:p>
          <w:p w14:paraId="4F000A4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基准期数据点少于 12 个月：评估按钮置灰，不允许强行测算。</w:t>
            </w:r>
          </w:p>
          <w:p w14:paraId="39E5FE2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现金流小于等于投资额与贴现率乘积：动态回收期公式失效，输出"投资效益不成立，需重新评估"。</w:t>
            </w:r>
          </w:p>
          <w:p w14:paraId="7D0F438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连续采数不足 90 天：状态流转按钮置灰。</w:t>
            </w:r>
          </w:p>
        </w:tc>
      </w:tr>
    </w:tbl>
    <w:p w14:paraId="3B36B53B">
      <w:pPr>
        <w:spacing w:after="40"/>
        <w:rPr>
          <w:rFonts w:hint="eastAsia" w:ascii="宋体" w:hAnsi="宋体" w:eastAsia="宋体" w:cs="宋体"/>
          <w:i w:val="0"/>
          <w:iCs w:val="0"/>
          <w:sz w:val="24"/>
          <w:szCs w:val="24"/>
        </w:rPr>
      </w:pPr>
    </w:p>
    <w:p w14:paraId="29F29BED">
      <w:pPr>
        <w:pStyle w:val="6"/>
        <w:numPr>
          <w:ilvl w:val="0"/>
          <w:numId w:val="106"/>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12C94AC8">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108E4E4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项目运行评估 M&amp;V 节能量测算</w:t>
            </w:r>
          </w:p>
          <w:p w14:paraId="7A7D85D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缺少基准期数据阻断评估</w:t>
            </w:r>
          </w:p>
          <w:p w14:paraId="115EE87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某技改项目尚未录入改造前的基准期能耗记录</w:t>
            </w:r>
          </w:p>
          <w:p w14:paraId="28FB273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用户点击"启动 M&amp;V 效益评估"</w:t>
            </w:r>
          </w:p>
          <w:p w14:paraId="42EDE40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系统阻断评估并返回 E_VAL_PRJ_MV_BASELINE_EMPTY</w:t>
            </w:r>
          </w:p>
          <w:p w14:paraId="353C6B2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页面提示"必须录入技改前至少 12 个月的基准期负荷数据"</w:t>
            </w:r>
          </w:p>
          <w:p w14:paraId="25AD7821">
            <w:pPr>
              <w:spacing w:before="0" w:after="20" w:line="264" w:lineRule="auto"/>
              <w:rPr>
                <w:rFonts w:hint="eastAsia" w:ascii="宋体" w:hAnsi="宋体" w:eastAsia="宋体" w:cs="宋体"/>
                <w:i w:val="0"/>
                <w:iCs w:val="0"/>
                <w:sz w:val="24"/>
                <w:szCs w:val="24"/>
              </w:rPr>
            </w:pPr>
          </w:p>
          <w:p w14:paraId="1F0BBD6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动态投资回收期测算</w:t>
            </w:r>
          </w:p>
          <w:p w14:paraId="4B3108B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项目初次投资 I_0、年净节能现金流 CF 与贴现率 r 均已录入</w:t>
            </w:r>
          </w:p>
          <w:p w14:paraId="668D0D8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系统测算动态投资回收期</w:t>
            </w:r>
          </w:p>
          <w:p w14:paraId="47DE4B5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结果按 ln(CF ÷ (CF − I_0 × r)) ÷ ln(1 + r) 计算</w:t>
            </w:r>
          </w:p>
          <w:p w14:paraId="4A07311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贴现率基准取值 8%</w:t>
            </w:r>
          </w:p>
          <w:p w14:paraId="64D606A4">
            <w:pPr>
              <w:spacing w:before="0" w:after="20" w:line="264" w:lineRule="auto"/>
              <w:rPr>
                <w:rFonts w:hint="eastAsia" w:ascii="宋体" w:hAnsi="宋体" w:eastAsia="宋体" w:cs="宋体"/>
                <w:i w:val="0"/>
                <w:iCs w:val="0"/>
                <w:sz w:val="24"/>
                <w:szCs w:val="24"/>
              </w:rPr>
            </w:pPr>
          </w:p>
          <w:p w14:paraId="58BD596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稳定运行状态流转门槛</w:t>
            </w:r>
          </w:p>
          <w:p w14:paraId="10D6EAD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某项目处于"并网试运行"状态且已连续采数 62 天</w:t>
            </w:r>
          </w:p>
          <w:p w14:paraId="018D2A6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用户尝试将状态流转至"稳定运行"</w:t>
            </w:r>
          </w:p>
          <w:p w14:paraId="6B00B03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流转按钮置灰不可点击</w:t>
            </w:r>
          </w:p>
          <w:p w14:paraId="7BC2BD5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连续采数满 90 天后按钮方可激活</w:t>
            </w:r>
          </w:p>
        </w:tc>
      </w:tr>
    </w:tbl>
    <w:p w14:paraId="61374379">
      <w:pPr>
        <w:spacing w:after="40"/>
        <w:rPr>
          <w:rFonts w:hint="eastAsia" w:ascii="宋体" w:hAnsi="宋体" w:eastAsia="宋体" w:cs="宋体"/>
          <w:i w:val="0"/>
          <w:iCs w:val="0"/>
          <w:sz w:val="24"/>
          <w:szCs w:val="24"/>
        </w:rPr>
      </w:pPr>
    </w:p>
    <w:p w14:paraId="0F9943D8">
      <w:pPr>
        <w:pStyle w:val="5"/>
        <w:numPr>
          <w:ilvl w:val="0"/>
          <w:numId w:val="95"/>
        </w:numPr>
        <w:ind w:left="0" w:leftChars="0" w:firstLine="0" w:firstLineChars="0"/>
        <w:outlineLvl w:val="1"/>
        <w:rPr>
          <w:rFonts w:eastAsia="黑体"/>
          <w:b w:val="0"/>
          <w:bCs w:val="0"/>
          <w:sz w:val="30"/>
          <w:szCs w:val="24"/>
        </w:rPr>
      </w:pPr>
      <w:bookmarkStart w:id="32" w:name="_Toc8615"/>
      <w:r>
        <w:rPr>
          <w:rFonts w:ascii="Times New Roman" w:hAnsi="Times New Roman" w:eastAsia="黑体" w:cs="Times New Roman"/>
          <w:b w:val="0"/>
          <w:bCs w:val="0"/>
          <w:sz w:val="30"/>
          <w:szCs w:val="24"/>
        </w:rPr>
        <w:t>零碳工厂自评估</w:t>
      </w:r>
      <w:bookmarkEnd w:id="32"/>
    </w:p>
    <w:p w14:paraId="71C77923">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pic:cNvPicPr>
                      <a:picLocks noChangeAspect="1"/>
                    </pic:cNvPicPr>
                  </pic:nvPicPr>
                  <pic:blipFill>
                    <a:blip r:embed="rId32"/>
                    <a:stretch>
                      <a:fillRect/>
                    </a:stretch>
                  </pic:blipFill>
                  <pic:spPr>
                    <a:xfrm>
                      <a:off x="0" y="0"/>
                      <a:ext cx="6210300" cy="3079115"/>
                    </a:xfrm>
                    <a:prstGeom prst="rect">
                      <a:avLst/>
                    </a:prstGeom>
                    <a:noFill/>
                    <a:ln>
                      <a:noFill/>
                    </a:ln>
                  </pic:spPr>
                </pic:pic>
              </a:graphicData>
            </a:graphic>
          </wp:inline>
        </w:drawing>
      </w:r>
    </w:p>
    <w:p w14:paraId="70707075">
      <w:pPr>
        <w:pStyle w:val="6"/>
        <w:numPr>
          <w:ilvl w:val="0"/>
          <w:numId w:val="11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7782EF41">
      <w:pPr>
        <w:pStyle w:val="19"/>
        <w:widowControl/>
        <w:numPr>
          <w:ilvl w:val="0"/>
          <w:numId w:val="11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：构建三层穿透的零碳工厂自评估体系，输出星级评定结果与整改清单，是集团零碳建设成效的权威量化抓手。</w:t>
      </w:r>
    </w:p>
    <w:p w14:paraId="4FEAC250">
      <w:pPr>
        <w:pStyle w:val="19"/>
        <w:widowControl/>
        <w:numPr>
          <w:ilvl w:val="0"/>
          <w:numId w:val="11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园区能碳专员（填报）、二级公司（复核）、P1 集团决策层（审批）。</w:t>
      </w:r>
    </w:p>
    <w:p w14:paraId="79369CFD">
      <w:pPr>
        <w:pStyle w:val="19"/>
        <w:widowControl/>
        <w:numPr>
          <w:ilvl w:val="0"/>
          <w:numId w:val="11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/monitor/project/self-assessment </w:t>
      </w:r>
      <w:r>
        <w:rPr>
          <w:rFonts w:ascii="Times New Roman" w:hAnsi="Times New Roman" w:eastAsia="宋体" w:cs="Times New Roman"/>
          <w:i w:val="0"/>
          <w:color w:val="1F2937"/>
          <w:sz w:val="24"/>
          <w:szCs w:val="24"/>
        </w:rPr>
        <w:t>。</w:t>
      </w:r>
    </w:p>
    <w:p w14:paraId="73F9CA6F">
      <w:pPr>
        <w:pStyle w:val="19"/>
        <w:widowControl/>
        <w:numPr>
          <w:ilvl w:val="0"/>
          <w:numId w:val="11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：指标管控、用能结构分析、碳排监测、因子库、绿证核销凭证、ISO 体系证书。</w:t>
      </w:r>
    </w:p>
    <w:p w14:paraId="6FDBFDF9">
      <w:pPr>
        <w:pStyle w:val="19"/>
        <w:widowControl/>
        <w:numPr>
          <w:ilvl w:val="0"/>
          <w:numId w:val="11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：星级评定结果、领导驾驶舱星级分布数据、对标管理零碳综合得分输入。</w:t>
      </w:r>
    </w:p>
    <w:p w14:paraId="462053B7">
      <w:pPr>
        <w:pStyle w:val="6"/>
        <w:numPr>
          <w:ilvl w:val="0"/>
          <w:numId w:val="11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437FEDB6">
      <w:pPr>
        <w:pStyle w:val="19"/>
        <w:widowControl/>
        <w:numPr>
          <w:ilvl w:val="0"/>
          <w:numId w:val="11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：年度零碳工厂评价场景，各园区按 6 大维度提交佐证材料，系统自动计分并分级评级，集团据此认定零碳工厂名单。</w:t>
      </w:r>
    </w:p>
    <w:p w14:paraId="34EC39A9">
      <w:pPr>
        <w:pStyle w:val="19"/>
        <w:widowControl/>
        <w:numPr>
          <w:ilvl w:val="0"/>
          <w:numId w:val="11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24A5150F">
      <w:pPr>
        <w:pStyle w:val="19"/>
        <w:widowControl/>
        <w:numPr>
          <w:ilvl w:val="0"/>
          <w:numId w:val="11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P2 园区能碳专员</w:t>
      </w:r>
      <w:r>
        <w:rPr>
          <w:rFonts w:ascii="Times New Roman" w:hAnsi="Times New Roman" w:eastAsia="宋体" w:cs="Times New Roman"/>
          <w:i w:val="0"/>
          <w:color w:val="1F2937"/>
          <w:sz w:val="24"/>
          <w:szCs w:val="24"/>
        </w:rPr>
        <w:t>，</w:t>
      </w:r>
    </w:p>
    <w:p w14:paraId="1EB0FD31">
      <w:pPr>
        <w:pStyle w:val="19"/>
        <w:widowControl/>
        <w:numPr>
          <w:ilvl w:val="0"/>
          <w:numId w:val="11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按 6 大维度 100 分细化考核表上传佐证材料并由系统自动计分评级</w:t>
      </w:r>
      <w:r>
        <w:rPr>
          <w:rFonts w:ascii="Times New Roman" w:hAnsi="Times New Roman" w:eastAsia="宋体" w:cs="Times New Roman"/>
          <w:i w:val="0"/>
          <w:color w:val="1F2937"/>
          <w:sz w:val="24"/>
          <w:szCs w:val="24"/>
        </w:rPr>
        <w:t>，</w:t>
      </w:r>
    </w:p>
    <w:p w14:paraId="438A11D3">
      <w:pPr>
        <w:pStyle w:val="19"/>
        <w:widowControl/>
        <w:numPr>
          <w:ilvl w:val="0"/>
          <w:numId w:val="11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我能清晰掌握本园区零碳建设短板并针对性整改</w:t>
      </w:r>
      <w:r>
        <w:rPr>
          <w:rFonts w:ascii="Times New Roman" w:hAnsi="Times New Roman" w:eastAsia="宋体" w:cs="Times New Roman"/>
          <w:i w:val="0"/>
          <w:color w:val="1F2937"/>
          <w:sz w:val="24"/>
          <w:szCs w:val="24"/>
        </w:rPr>
        <w:t>。</w:t>
      </w:r>
    </w:p>
    <w:p w14:paraId="7BCF3324">
      <w:pPr>
        <w:pStyle w:val="6"/>
        <w:numPr>
          <w:ilvl w:val="0"/>
          <w:numId w:val="11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567B5830">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三层评估架构</w:t>
      </w:r>
      <w:r>
        <w:rPr>
          <w:rFonts w:ascii="Times New Roman" w:hAnsi="Times New Roman" w:eastAsia="宋体" w:cs="Times New Roman"/>
          <w:i w:val="0"/>
          <w:color w:val="1F2937"/>
          <w:sz w:val="24"/>
          <w:szCs w:val="24"/>
        </w:rPr>
        <w:t>：第 1 层集团大盘雷达与星级分布 → 第 2 层二级公司总分达标率 → 第 3 层工厂 6 大维度 100 分细化考核表。</w:t>
      </w:r>
    </w:p>
    <w:p w14:paraId="2EBF653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0284C7"/>
          <w:sz w:val="24"/>
          <w:szCs w:val="24"/>
        </w:rPr>
        <w:t xml:space="preserve">• </w:t>
      </w:r>
      <w:r>
        <w:rPr>
          <w:rFonts w:ascii="Times New Roman" w:hAnsi="Times New Roman" w:eastAsia="宋体" w:cs="Times New Roman"/>
          <w:b/>
          <w:i w:val="0"/>
          <w:color w:val="1E3A8A"/>
          <w:sz w:val="24"/>
          <w:szCs w:val="24"/>
        </w:rPr>
        <w:t>评级星级标准</w:t>
      </w:r>
      <w:r>
        <w:rPr>
          <w:rFonts w:ascii="Times New Roman" w:hAnsi="Times New Roman" w:eastAsia="宋体" w:cs="Times New Roman"/>
          <w:i w:val="0"/>
          <w:color w:val="1F2937"/>
          <w:sz w:val="24"/>
          <w:szCs w:val="24"/>
        </w:rPr>
        <w:t>：五星级（≥90 分）、四星级（80~89 分）、三星级（70~79 分）、未达标（&lt;70 分）。</w:t>
      </w:r>
    </w:p>
    <w:tbl>
      <w:tblPr>
        <w:tblStyle w:val="38"/>
        <w:tblW w:w="9784" w:type="dxa"/>
        <w:jc w:val="center"/>
        <w:tblLayout w:type="autofit"/>
        <w:tblCellMar>
          <w:top w:w="0" w:type="dxa"/>
          <w:left w:w="108" w:type="dxa"/>
          <w:bottom w:w="0" w:type="dxa"/>
          <w:right w:w="108" w:type="dxa"/>
        </w:tblCellMar>
      </w:tblPr>
      <w:tblGrid>
        <w:gridCol w:w="781"/>
        <w:gridCol w:w="1383"/>
        <w:gridCol w:w="5037"/>
        <w:gridCol w:w="2583"/>
      </w:tblGrid>
      <w:tr w14:paraId="212BAF4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7758A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评估维度</w:t>
            </w:r>
          </w:p>
        </w:tc>
        <w:tc>
          <w:tcPr>
            <w:tcW w:w="138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00C1F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标准分值</w:t>
            </w:r>
          </w:p>
        </w:tc>
        <w:tc>
          <w:tcPr>
            <w:tcW w:w="50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A27C1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核心考评条款与扣分规则</w:t>
            </w:r>
          </w:p>
        </w:tc>
        <w:tc>
          <w:tcPr>
            <w:tcW w:w="258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E7444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数据来源与佐证材料</w:t>
            </w:r>
          </w:p>
        </w:tc>
      </w:tr>
      <w:tr w14:paraId="09A8C8E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4A84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基础设施</w:t>
            </w:r>
          </w:p>
        </w:tc>
        <w:tc>
          <w:tcPr>
            <w:tcW w:w="13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39AB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分</w:t>
            </w:r>
          </w:p>
        </w:tc>
        <w:tc>
          <w:tcPr>
            <w:tcW w:w="50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5025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厂房采光天窗采光比、一级能效节能变压器配置率。不达标扣 2 分/项</w:t>
            </w:r>
          </w:p>
        </w:tc>
        <w:tc>
          <w:tcPr>
            <w:tcW w:w="25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BF01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基础设施台账、工程竣工图纸</w:t>
            </w:r>
          </w:p>
        </w:tc>
      </w:tr>
      <w:tr w14:paraId="7969EE0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9D64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能源利用</w:t>
            </w:r>
          </w:p>
        </w:tc>
        <w:tc>
          <w:tcPr>
            <w:tcW w:w="13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1C95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30 分</w:t>
            </w:r>
          </w:p>
        </w:tc>
        <w:tc>
          <w:tcPr>
            <w:tcW w:w="50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DB23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屋顶分布式光伏消纳率（≥30%）、储能削峰填谷、工业余热余压回收。消纳每低 5% 扣 2 分</w:t>
            </w:r>
          </w:p>
        </w:tc>
        <w:tc>
          <w:tcPr>
            <w:tcW w:w="25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BAB0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微电网采集数据、绿电交易凭证</w:t>
            </w:r>
          </w:p>
        </w:tc>
      </w:tr>
      <w:tr w14:paraId="495ED08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A477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产品生态</w:t>
            </w:r>
          </w:p>
        </w:tc>
        <w:tc>
          <w:tcPr>
            <w:tcW w:w="13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7A0A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 分</w:t>
            </w:r>
          </w:p>
        </w:tc>
        <w:tc>
          <w:tcPr>
            <w:tcW w:w="50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B4B1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主力产品全生命周期 LCA 碳足迹认证、绿色包装材料使用率。出口产品无碳标签扣 3 分</w:t>
            </w:r>
          </w:p>
        </w:tc>
        <w:tc>
          <w:tcPr>
            <w:tcW w:w="25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8553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ISO 14067 第三方认证证书</w:t>
            </w:r>
          </w:p>
        </w:tc>
      </w:tr>
      <w:tr w14:paraId="325FE8B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B1ED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温室气体</w:t>
            </w:r>
          </w:p>
        </w:tc>
        <w:tc>
          <w:tcPr>
            <w:tcW w:w="13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B38F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分</w:t>
            </w:r>
          </w:p>
        </w:tc>
        <w:tc>
          <w:tcPr>
            <w:tcW w:w="50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C2FB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ISO 14064 组织碳盘查报告、年度减排目标达成率。未出具盘查报告扣 5 分</w:t>
            </w:r>
          </w:p>
        </w:tc>
        <w:tc>
          <w:tcPr>
            <w:tcW w:w="25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FFF3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权威第三方核查声明</w:t>
            </w:r>
          </w:p>
        </w:tc>
      </w:tr>
      <w:tr w14:paraId="3ED8E91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E738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碳抵消</w:t>
            </w:r>
          </w:p>
        </w:tc>
        <w:tc>
          <w:tcPr>
            <w:tcW w:w="13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A2F9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 分</w:t>
            </w:r>
          </w:p>
        </w:tc>
        <w:tc>
          <w:tcPr>
            <w:tcW w:w="50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D104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国家绿色电力证书（GEC）批量核销、CCER 碳资产抵消额度。未核销绿证扣 3 分</w:t>
            </w:r>
          </w:p>
        </w:tc>
        <w:tc>
          <w:tcPr>
            <w:tcW w:w="25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2F66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国家绿证平台核销证明文件</w:t>
            </w:r>
          </w:p>
        </w:tc>
      </w:tr>
      <w:tr w14:paraId="0ED3436C">
        <w:tblPrEx>
          <w:tblCellMar>
            <w:top w:w="0" w:type="dxa"/>
            <w:left w:w="108" w:type="dxa"/>
            <w:bottom w:w="0" w:type="dxa"/>
            <w:right w:w="108" w:type="dxa"/>
          </w:tblCellMar>
        </w:tblPrEx>
        <w:trPr>
          <w:jc w:val="center"/>
        </w:trPr>
        <w:tc>
          <w:tcPr>
            <w:tcW w:w="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3551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运营管理</w:t>
            </w:r>
          </w:p>
        </w:tc>
        <w:tc>
          <w:tcPr>
            <w:tcW w:w="13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8521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 分</w:t>
            </w:r>
          </w:p>
        </w:tc>
        <w:tc>
          <w:tcPr>
            <w:tcW w:w="50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17C2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ISO 50001 能源管理体系认证、专职能碳工程师岗位。体系未年审扣 3 分</w:t>
            </w:r>
          </w:p>
        </w:tc>
        <w:tc>
          <w:tcPr>
            <w:tcW w:w="25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A665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体系证书、管理制度任命文件</w:t>
            </w:r>
          </w:p>
        </w:tc>
      </w:tr>
    </w:tbl>
    <w:p w14:paraId="325A2EB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评估流程</w:t>
      </w:r>
      <w:r>
        <w:rPr>
          <w:rFonts w:ascii="Times New Roman" w:hAnsi="Times New Roman" w:eastAsia="宋体" w:cs="Times New Roman"/>
          <w:i w:val="0"/>
          <w:color w:val="1F2937"/>
          <w:sz w:val="24"/>
          <w:szCs w:val="24"/>
        </w:rPr>
        <w:t>：填报（各维度佐证材料上传）→ 系统按评分表自动计分 → 星级评级 → 二级公司复核 → 集团审批；评分表、佐证材料与审批记录全程留痕。</w:t>
      </w:r>
    </w:p>
    <w:p w14:paraId="63635455">
      <w:pPr>
        <w:pStyle w:val="6"/>
        <w:numPr>
          <w:ilvl w:val="0"/>
          <w:numId w:val="11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714"/>
        <w:gridCol w:w="1891"/>
        <w:gridCol w:w="1271"/>
        <w:gridCol w:w="1271"/>
        <w:gridCol w:w="4637"/>
      </w:tblGrid>
      <w:tr w14:paraId="7A6B704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32A51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9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AD052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0D40F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6AEF0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6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B41DD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763BBC7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2370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9B95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评估年度</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F265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Integer</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4441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年</w:t>
            </w:r>
          </w:p>
        </w:tc>
        <w:tc>
          <w:tcPr>
            <w:tcW w:w="4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C7EF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不得晚于当前年度</w:t>
            </w:r>
          </w:p>
        </w:tc>
      </w:tr>
      <w:tr w14:paraId="7E83745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88E1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FAD2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评估维度</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8AEF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9A38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9D8B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 大维度固定枚举</w:t>
            </w:r>
          </w:p>
        </w:tc>
      </w:tr>
      <w:tr w14:paraId="705EA2B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4F17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9D77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标准分值</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528C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457B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w:t>
            </w:r>
          </w:p>
        </w:tc>
        <w:tc>
          <w:tcPr>
            <w:tcW w:w="4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0616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各维度分值固定，合计 100 分</w:t>
            </w:r>
          </w:p>
        </w:tc>
      </w:tr>
      <w:tr w14:paraId="377F2C7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DFA2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2E0D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自评得分</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15D4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5F65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w:t>
            </w:r>
          </w:p>
        </w:tc>
        <w:tc>
          <w:tcPr>
            <w:tcW w:w="4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477A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0 ≤ 得分 ≤ 标准分值</w:t>
            </w:r>
          </w:p>
        </w:tc>
      </w:tr>
      <w:tr w14:paraId="6DE1EFC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CF48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DF12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扣分项明细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B674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Text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4B0A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E0BF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非空，须注明扣分条款编号</w:t>
            </w:r>
          </w:p>
        </w:tc>
      </w:tr>
      <w:tr w14:paraId="7AAAA41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D839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7275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佐证材料附件</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2AD8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File</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BC07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2B60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按维度强制上传，缺失即不可提交</w:t>
            </w:r>
          </w:p>
        </w:tc>
      </w:tr>
      <w:tr w14:paraId="5CE5693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1B2A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68D5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综合得分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DEA7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CAFA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w:t>
            </w:r>
          </w:p>
        </w:tc>
        <w:tc>
          <w:tcPr>
            <w:tcW w:w="4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ACF5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各维度得分求和，0~100</w:t>
            </w:r>
          </w:p>
        </w:tc>
      </w:tr>
      <w:tr w14:paraId="179986F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5EC7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E243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星级评定</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9538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9738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D47F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五星/四星/三星/未达标</w:t>
            </w:r>
          </w:p>
        </w:tc>
      </w:tr>
      <w:tr w14:paraId="0152111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3058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31CD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复核意见</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F759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Text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E53A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4B2E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二级公司复核必填</w:t>
            </w:r>
          </w:p>
        </w:tc>
      </w:tr>
      <w:tr w14:paraId="0DFB3D57">
        <w:tblPrEx>
          <w:tblCellMar>
            <w:top w:w="0" w:type="dxa"/>
            <w:left w:w="108" w:type="dxa"/>
            <w:bottom w:w="0" w:type="dxa"/>
            <w:right w:w="108" w:type="dxa"/>
          </w:tblCellMar>
        </w:tblPrEx>
        <w:trPr>
          <w:jc w:val="center"/>
        </w:trPr>
        <w:tc>
          <w:tcPr>
            <w:tcW w:w="71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D245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6E34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审批状态</w:t>
            </w:r>
          </w:p>
        </w:tc>
        <w:tc>
          <w:tcPr>
            <w:tcW w:w="12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45A3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2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D67A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20A8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填报中 / 待复核 / 待审批 / 已认定</w:t>
            </w:r>
          </w:p>
        </w:tc>
      </w:tr>
    </w:tbl>
    <w:p w14:paraId="69A3CAB8">
      <w:pPr>
        <w:spacing w:after="60"/>
        <w:rPr>
          <w:rFonts w:hint="eastAsia" w:ascii="宋体" w:hAnsi="宋体" w:eastAsia="宋体" w:cs="宋体"/>
          <w:i w:val="0"/>
          <w:iCs w:val="0"/>
          <w:sz w:val="24"/>
          <w:szCs w:val="24"/>
        </w:rPr>
      </w:pPr>
    </w:p>
    <w:p w14:paraId="15DFBBB7">
      <w:pPr>
        <w:pStyle w:val="6"/>
        <w:numPr>
          <w:ilvl w:val="0"/>
          <w:numId w:val="11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009AADBC">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22E5D974">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Score_dim = Standard_dim - Σ ( Deduction_item )    维度得分 = 标准分值 − 扣分合计</w:t>
            </w:r>
          </w:p>
          <w:p w14:paraId="3EE39E34">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Score_total = Σ Score_dim                          综合得分 = 各维度得分求和</w:t>
            </w:r>
          </w:p>
          <w:p w14:paraId="490151F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Star = Score_total &gt;= 90 ? 五星 : ( Score_total &gt;= 80 ? 四星 : ( Score_total &gt;= 70 ? 三星 : 未达标 ) )</w:t>
            </w:r>
          </w:p>
          <w:p w14:paraId="50A3888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Rate_pass = N_pass / N_total × 100%                二级公司达标率</w:t>
            </w:r>
          </w:p>
        </w:tc>
      </w:tr>
    </w:tbl>
    <w:p w14:paraId="4161D3FD">
      <w:pPr>
        <w:spacing w:after="40"/>
        <w:rPr>
          <w:rFonts w:hint="eastAsia" w:ascii="宋体" w:hAnsi="宋体" w:eastAsia="宋体" w:cs="宋体"/>
          <w:i w:val="0"/>
          <w:iCs w:val="0"/>
          <w:sz w:val="24"/>
          <w:szCs w:val="24"/>
        </w:rPr>
      </w:pPr>
    </w:p>
    <w:p w14:paraId="6D79B68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各维度标准分值固定（基础设施 15、能源利用 30、产品生态 20、温室气体 15、碳抵消 10、运营管理 10），合计 100 分；扣分规则按考评条款逐项计算，单项扣分不超出该维度标准分值。</w:t>
      </w:r>
    </w:p>
    <w:p w14:paraId="49888303">
      <w:pPr>
        <w:pStyle w:val="6"/>
        <w:numPr>
          <w:ilvl w:val="0"/>
          <w:numId w:val="11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65DB96DB">
      <w:pPr>
        <w:pStyle w:val="19"/>
        <w:widowControl/>
        <w:numPr>
          <w:ilvl w:val="0"/>
          <w:numId w:val="11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分值口径</w:t>
      </w:r>
      <w:r>
        <w:rPr>
          <w:rFonts w:ascii="Times New Roman" w:hAnsi="Times New Roman" w:eastAsia="宋体" w:cs="Times New Roman"/>
          <w:i w:val="0"/>
          <w:color w:val="1F2937"/>
          <w:sz w:val="24"/>
          <w:szCs w:val="24"/>
        </w:rPr>
        <w:t>：6 大维度分值合计恒为 100 分，不允许自定义权重。</w:t>
      </w:r>
    </w:p>
    <w:p w14:paraId="47645F05">
      <w:pPr>
        <w:pStyle w:val="19"/>
        <w:widowControl/>
        <w:numPr>
          <w:ilvl w:val="0"/>
          <w:numId w:val="11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星级口径</w:t>
      </w:r>
      <w:r>
        <w:rPr>
          <w:rFonts w:ascii="Times New Roman" w:hAnsi="Times New Roman" w:eastAsia="宋体" w:cs="Times New Roman"/>
          <w:i w:val="0"/>
          <w:color w:val="1F2937"/>
          <w:sz w:val="24"/>
          <w:szCs w:val="24"/>
        </w:rPr>
        <w:t>：四档阈值为固定铁律，不允许按园区自定义调整。</w:t>
      </w:r>
    </w:p>
    <w:p w14:paraId="65417EC5">
      <w:pPr>
        <w:pStyle w:val="19"/>
        <w:widowControl/>
        <w:numPr>
          <w:ilvl w:val="0"/>
          <w:numId w:val="11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留痕口径</w:t>
      </w:r>
      <w:r>
        <w:rPr>
          <w:rFonts w:ascii="Times New Roman" w:hAnsi="Times New Roman" w:eastAsia="宋体" w:cs="Times New Roman"/>
          <w:i w:val="0"/>
          <w:color w:val="1F2937"/>
          <w:sz w:val="24"/>
          <w:szCs w:val="24"/>
        </w:rPr>
        <w:t>：评分表、佐证材料与审批记录全程留痕，审批通过后不可修改。</w:t>
      </w:r>
    </w:p>
    <w:p w14:paraId="7ADA15F6">
      <w:pPr>
        <w:pStyle w:val="19"/>
        <w:widowControl/>
        <w:numPr>
          <w:ilvl w:val="0"/>
          <w:numId w:val="11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复核口径</w:t>
      </w:r>
      <w:r>
        <w:rPr>
          <w:rFonts w:ascii="Times New Roman" w:hAnsi="Times New Roman" w:eastAsia="宋体" w:cs="Times New Roman"/>
          <w:i w:val="0"/>
          <w:color w:val="1F2937"/>
          <w:sz w:val="24"/>
          <w:szCs w:val="24"/>
        </w:rPr>
        <w:t>：二级公司复核为必经环节，未复核不得进入集团审批。</w:t>
      </w:r>
    </w:p>
    <w:p w14:paraId="7CA8A6AA">
      <w:pPr>
        <w:pStyle w:val="6"/>
        <w:numPr>
          <w:ilvl w:val="0"/>
          <w:numId w:val="11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7ABA8777">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6AFA799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佐证材料缺失：该维度得分置为 0 且不可提交评估，页面明确列出缺失材料清单。</w:t>
            </w:r>
          </w:p>
          <w:p w14:paraId="36D8FD1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自评得分超出标准分值：前端即时拦截并阻断保存。</w:t>
            </w:r>
          </w:p>
          <w:p w14:paraId="5A3AA78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已认定年度的评估结果：只读锁定，修改须走特批变更流程。</w:t>
            </w:r>
          </w:p>
          <w:p w14:paraId="38B3FCC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二级公司未复核：集团审批按钮置灰。</w:t>
            </w:r>
          </w:p>
        </w:tc>
      </w:tr>
    </w:tbl>
    <w:p w14:paraId="355B9F42">
      <w:pPr>
        <w:spacing w:after="40"/>
        <w:rPr>
          <w:rFonts w:hint="eastAsia" w:ascii="宋体" w:hAnsi="宋体" w:eastAsia="宋体" w:cs="宋体"/>
          <w:i w:val="0"/>
          <w:iCs w:val="0"/>
          <w:sz w:val="24"/>
          <w:szCs w:val="24"/>
        </w:rPr>
      </w:pPr>
    </w:p>
    <w:p w14:paraId="1DA0D055">
      <w:pPr>
        <w:pStyle w:val="6"/>
        <w:numPr>
          <w:ilvl w:val="0"/>
          <w:numId w:val="111"/>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32EDBCC1">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1104F37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零碳工厂自评估三层穿透与星级评定</w:t>
            </w:r>
          </w:p>
          <w:p w14:paraId="3BBA9F8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六维度自动计分与星级映射</w:t>
            </w:r>
          </w:p>
          <w:p w14:paraId="4287F51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某工厂已上传 6 大维度全部佐证材料</w:t>
            </w:r>
          </w:p>
          <w:p w14:paraId="2E5DE93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系统按评分表自动计分</w:t>
            </w:r>
          </w:p>
          <w:p w14:paraId="066F579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综合得分等于 6 个维度得分之和且不超过 100 分</w:t>
            </w:r>
          </w:p>
          <w:p w14:paraId="6D5F7C7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综合得分 ≥90 映射五星、80~89 映射四星、70~79 映射三星、&lt;70 映射未达标</w:t>
            </w:r>
          </w:p>
          <w:p w14:paraId="1594295E">
            <w:pPr>
              <w:spacing w:before="0" w:after="20" w:line="264" w:lineRule="auto"/>
              <w:rPr>
                <w:rFonts w:hint="eastAsia" w:ascii="宋体" w:hAnsi="宋体" w:eastAsia="宋体" w:cs="宋体"/>
                <w:i w:val="0"/>
                <w:iCs w:val="0"/>
                <w:sz w:val="24"/>
                <w:szCs w:val="24"/>
              </w:rPr>
            </w:pPr>
          </w:p>
          <w:p w14:paraId="1CA12D5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佐证材料缺失阻断提交</w:t>
            </w:r>
          </w:p>
          <w:p w14:paraId="557F4DD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某工厂"温室气体"维度尚未上传 ISO 14064 碳盘查报告</w:t>
            </w:r>
          </w:p>
          <w:p w14:paraId="5EEAADF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用户尝试提交自评估</w:t>
            </w:r>
          </w:p>
          <w:p w14:paraId="39AD55B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系统阻断提交并列出缺失材料清单</w:t>
            </w:r>
          </w:p>
          <w:p w14:paraId="19C2DAF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该维度得分置为 0</w:t>
            </w:r>
          </w:p>
          <w:p w14:paraId="5CF36432">
            <w:pPr>
              <w:spacing w:before="0" w:after="20" w:line="264" w:lineRule="auto"/>
              <w:rPr>
                <w:rFonts w:hint="eastAsia" w:ascii="宋体" w:hAnsi="宋体" w:eastAsia="宋体" w:cs="宋体"/>
                <w:i w:val="0"/>
                <w:iCs w:val="0"/>
                <w:sz w:val="24"/>
                <w:szCs w:val="24"/>
              </w:rPr>
            </w:pPr>
          </w:p>
          <w:p w14:paraId="2E3290C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复核前置校验</w:t>
            </w:r>
          </w:p>
          <w:p w14:paraId="692337A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某工厂自评估已提交但二级公司尚未复核</w:t>
            </w:r>
          </w:p>
          <w:p w14:paraId="3753FEA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集团审批人打开审批页面</w:t>
            </w:r>
          </w:p>
          <w:p w14:paraId="55FF706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审批按钮置灰不可点击</w:t>
            </w:r>
          </w:p>
          <w:p w14:paraId="2FBCD10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页面提示须先完成二级公司复核</w:t>
            </w:r>
          </w:p>
        </w:tc>
      </w:tr>
    </w:tbl>
    <w:p w14:paraId="2CFE6F7F">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3D522A28">
      <w:pPr>
        <w:pStyle w:val="4"/>
        <w:numPr>
          <w:ilvl w:val="0"/>
          <w:numId w:val="15"/>
        </w:numPr>
        <w:topLinePunct w:val="0"/>
        <w:ind w:left="0" w:leftChars="0" w:firstLine="0" w:firstLineChars="0"/>
        <w:outlineLvl w:val="0"/>
        <w:rPr>
          <w:rFonts w:hint="eastAsia" w:eastAsia="黑体"/>
          <w:b w:val="0"/>
          <w:bCs w:val="0"/>
          <w:sz w:val="30"/>
          <w:szCs w:val="32"/>
        </w:rPr>
      </w:pPr>
      <w:bookmarkStart w:id="33" w:name="_Toc15026"/>
      <w:r>
        <w:rPr>
          <w:rFonts w:ascii="Times New Roman" w:hAnsi="Times New Roman" w:eastAsia="黑体" w:cs="Times New Roman"/>
          <w:b w:val="0"/>
          <w:bCs w:val="0"/>
          <w:sz w:val="30"/>
          <w:szCs w:val="32"/>
        </w:rPr>
        <w:t>统计报表</w:t>
      </w:r>
      <w:bookmarkEnd w:id="33"/>
    </w:p>
    <w:p w14:paraId="67D9D936">
      <w:pPr>
        <w:pStyle w:val="5"/>
        <w:numPr>
          <w:ilvl w:val="0"/>
          <w:numId w:val="115"/>
        </w:numPr>
        <w:ind w:left="0" w:leftChars="0" w:firstLine="0" w:firstLineChars="0"/>
        <w:outlineLvl w:val="1"/>
        <w:rPr>
          <w:rFonts w:eastAsia="黑体"/>
          <w:b w:val="0"/>
          <w:bCs w:val="0"/>
          <w:sz w:val="30"/>
          <w:szCs w:val="24"/>
        </w:rPr>
      </w:pPr>
      <w:bookmarkStart w:id="34" w:name="_Toc12842"/>
      <w:r>
        <w:rPr>
          <w:rFonts w:ascii="Times New Roman" w:hAnsi="Times New Roman" w:eastAsia="黑体" w:cs="Times New Roman"/>
          <w:b w:val="0"/>
          <w:bCs w:val="0"/>
          <w:sz w:val="30"/>
          <w:szCs w:val="24"/>
        </w:rPr>
        <w:t>用能报表</w:t>
      </w:r>
      <w:bookmarkEnd w:id="34"/>
    </w:p>
    <w:p w14:paraId="5930AEB3">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1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pic:cNvPicPr>
                      <a:picLocks noChangeAspect="1"/>
                    </pic:cNvPicPr>
                  </pic:nvPicPr>
                  <pic:blipFill>
                    <a:blip r:embed="rId33"/>
                    <a:stretch>
                      <a:fillRect/>
                    </a:stretch>
                  </pic:blipFill>
                  <pic:spPr>
                    <a:xfrm>
                      <a:off x="0" y="0"/>
                      <a:ext cx="6210300" cy="3079115"/>
                    </a:xfrm>
                    <a:prstGeom prst="rect">
                      <a:avLst/>
                    </a:prstGeom>
                    <a:noFill/>
                    <a:ln>
                      <a:noFill/>
                    </a:ln>
                  </pic:spPr>
                </pic:pic>
              </a:graphicData>
            </a:graphic>
          </wp:inline>
        </w:drawing>
      </w:r>
    </w:p>
    <w:p w14:paraId="39613AA7">
      <w:pPr>
        <w:pStyle w:val="6"/>
        <w:numPr>
          <w:ilvl w:val="0"/>
          <w:numId w:val="11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6147851F">
      <w:pPr>
        <w:pStyle w:val="19"/>
        <w:widowControl/>
        <w:numPr>
          <w:ilvl w:val="0"/>
          <w:numId w:val="11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：按组织 × 时间 × 介质三维交叉输出园区用能台账，支撑日/月/年报与集团汇总上报。</w:t>
      </w:r>
    </w:p>
    <w:p w14:paraId="5CD2FD9A">
      <w:pPr>
        <w:pStyle w:val="19"/>
        <w:widowControl/>
        <w:numPr>
          <w:ilvl w:val="0"/>
          <w:numId w:val="11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园区能碳专员（生成）、P3 车间填报员（数据核对）。</w:t>
      </w:r>
    </w:p>
    <w:p w14:paraId="01107E43">
      <w:pPr>
        <w:pStyle w:val="19"/>
        <w:widowControl/>
        <w:numPr>
          <w:ilvl w:val="0"/>
          <w:numId w:val="11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/monitor/report/energy </w:t>
      </w:r>
      <w:r>
        <w:rPr>
          <w:rFonts w:ascii="Times New Roman" w:hAnsi="Times New Roman" w:eastAsia="宋体" w:cs="Times New Roman"/>
          <w:i w:val="0"/>
          <w:color w:val="1F2937"/>
          <w:sz w:val="24"/>
          <w:szCs w:val="24"/>
        </w:rPr>
        <w:t>。</w:t>
      </w:r>
    </w:p>
    <w:p w14:paraId="3EBEF505">
      <w:pPr>
        <w:pStyle w:val="19"/>
        <w:widowControl/>
        <w:numPr>
          <w:ilvl w:val="0"/>
          <w:numId w:val="11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：用能在线监测、折标系数版本库、月度锁账状态。</w:t>
      </w:r>
    </w:p>
    <w:p w14:paraId="65441A75">
      <w:pPr>
        <w:pStyle w:val="19"/>
        <w:widowControl/>
        <w:numPr>
          <w:ilvl w:val="0"/>
          <w:numId w:val="11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：集团上报报表、能源管理体系内审台账。</w:t>
      </w:r>
    </w:p>
    <w:p w14:paraId="3FDD6D45">
      <w:pPr>
        <w:pStyle w:val="6"/>
        <w:numPr>
          <w:ilvl w:val="0"/>
          <w:numId w:val="11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00AD9A57">
      <w:pPr>
        <w:pStyle w:val="19"/>
        <w:widowControl/>
        <w:numPr>
          <w:ilvl w:val="0"/>
          <w:numId w:val="11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：月度能源统计上报场景，需按组织层级与介质维度生成标准化用能台账，并带防伪水印导出对外报送。</w:t>
      </w:r>
    </w:p>
    <w:p w14:paraId="43F07242">
      <w:pPr>
        <w:pStyle w:val="19"/>
        <w:widowControl/>
        <w:numPr>
          <w:ilvl w:val="0"/>
          <w:numId w:val="11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3110ABC4">
      <w:pPr>
        <w:pStyle w:val="19"/>
        <w:widowControl/>
        <w:numPr>
          <w:ilvl w:val="0"/>
          <w:numId w:val="11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园区能碳专员 (Persona P2)</w:t>
      </w:r>
      <w:r>
        <w:rPr>
          <w:rFonts w:ascii="Times New Roman" w:hAnsi="Times New Roman" w:eastAsia="宋体" w:cs="Times New Roman"/>
          <w:i w:val="0"/>
          <w:color w:val="1F2937"/>
          <w:sz w:val="24"/>
          <w:szCs w:val="24"/>
        </w:rPr>
        <w:t>，</w:t>
      </w:r>
    </w:p>
    <w:p w14:paraId="359BCD98">
      <w:pPr>
        <w:pStyle w:val="19"/>
        <w:widowControl/>
        <w:numPr>
          <w:ilvl w:val="0"/>
          <w:numId w:val="11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按组织 × 时间 × 介质三维交叉生成用能台账并带防伪水印导出 Excel/PDF</w:t>
      </w:r>
      <w:r>
        <w:rPr>
          <w:rFonts w:ascii="Times New Roman" w:hAnsi="Times New Roman" w:eastAsia="宋体" w:cs="Times New Roman"/>
          <w:i w:val="0"/>
          <w:color w:val="1F2937"/>
          <w:sz w:val="24"/>
          <w:szCs w:val="24"/>
        </w:rPr>
        <w:t>，</w:t>
      </w:r>
    </w:p>
    <w:p w14:paraId="4BB3D4AA">
      <w:pPr>
        <w:pStyle w:val="19"/>
        <w:widowControl/>
        <w:numPr>
          <w:ilvl w:val="0"/>
          <w:numId w:val="11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我能高效完成月度能源统计上报且报表具备防篡改权威性</w:t>
      </w:r>
      <w:r>
        <w:rPr>
          <w:rFonts w:ascii="Times New Roman" w:hAnsi="Times New Roman" w:eastAsia="宋体" w:cs="Times New Roman"/>
          <w:i w:val="0"/>
          <w:color w:val="1F2937"/>
          <w:sz w:val="24"/>
          <w:szCs w:val="24"/>
        </w:rPr>
        <w:t>。</w:t>
      </w:r>
    </w:p>
    <w:p w14:paraId="4200C364">
      <w:pPr>
        <w:pStyle w:val="6"/>
        <w:numPr>
          <w:ilvl w:val="0"/>
          <w:numId w:val="11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706FD2F0">
      <w:pPr>
        <w:pStyle w:val="19"/>
        <w:widowControl/>
        <w:numPr>
          <w:ilvl w:val="0"/>
          <w:numId w:val="11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输出粒度</w:t>
      </w:r>
      <w:r>
        <w:rPr>
          <w:rFonts w:ascii="Times New Roman" w:hAnsi="Times New Roman" w:eastAsia="宋体" w:cs="Times New Roman"/>
          <w:i w:val="0"/>
          <w:color w:val="1F2937"/>
          <w:sz w:val="24"/>
          <w:szCs w:val="24"/>
        </w:rPr>
        <w:t>：组织（集团/产业/二级公司/车间）× 时间（日/月/年）× 介质三维交叉输出。</w:t>
      </w:r>
    </w:p>
    <w:p w14:paraId="40B32A4D">
      <w:pPr>
        <w:pStyle w:val="19"/>
        <w:widowControl/>
        <w:numPr>
          <w:ilvl w:val="0"/>
          <w:numId w:val="11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介质维度</w:t>
      </w:r>
      <w:r>
        <w:rPr>
          <w:rFonts w:ascii="Times New Roman" w:hAnsi="Times New Roman" w:eastAsia="宋体" w:cs="Times New Roman"/>
          <w:i w:val="0"/>
          <w:color w:val="1F2937"/>
          <w:sz w:val="24"/>
          <w:szCs w:val="24"/>
        </w:rPr>
        <w:t>：电（尖峰/高峰/平段/低谷分时段统计）、水、蒸汽、天然气、折标准煤合计。</w:t>
      </w:r>
    </w:p>
    <w:p w14:paraId="069810C3">
      <w:pPr>
        <w:pStyle w:val="19"/>
        <w:widowControl/>
        <w:numPr>
          <w:ilvl w:val="0"/>
          <w:numId w:val="11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同比环比</w:t>
      </w:r>
      <w:r>
        <w:rPr>
          <w:rFonts w:ascii="Times New Roman" w:hAnsi="Times New Roman" w:eastAsia="宋体" w:cs="Times New Roman"/>
          <w:i w:val="0"/>
          <w:color w:val="1F2937"/>
          <w:sz w:val="24"/>
          <w:szCs w:val="24"/>
        </w:rPr>
        <w:t>：系统自动计算（环比 = 本期/上期 − 1；同比 = 本期/去年同期 − 1），手工录入带录入人与时间戳。</w:t>
      </w:r>
    </w:p>
    <w:p w14:paraId="47D590B0">
      <w:pPr>
        <w:pStyle w:val="19"/>
        <w:widowControl/>
        <w:numPr>
          <w:ilvl w:val="0"/>
          <w:numId w:val="11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导出</w:t>
      </w:r>
      <w:r>
        <w:rPr>
          <w:rFonts w:ascii="Times New Roman" w:hAnsi="Times New Roman" w:eastAsia="宋体" w:cs="Times New Roman"/>
          <w:i w:val="0"/>
          <w:color w:val="1F2937"/>
          <w:sz w:val="24"/>
          <w:szCs w:val="24"/>
        </w:rPr>
        <w:t>：Excel/PDF 导出强制注入防伪动态水印（员工号、姓名、时间戳、哈希校验码）。</w:t>
      </w:r>
    </w:p>
    <w:p w14:paraId="1E4C2657">
      <w:pPr>
        <w:pStyle w:val="19"/>
        <w:widowControl/>
        <w:numPr>
          <w:ilvl w:val="0"/>
          <w:numId w:val="11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打印模板</w:t>
      </w:r>
      <w:r>
        <w:rPr>
          <w:rFonts w:ascii="Times New Roman" w:hAnsi="Times New Roman" w:eastAsia="宋体" w:cs="Times New Roman"/>
          <w:i w:val="0"/>
          <w:color w:val="1F2937"/>
          <w:sz w:val="24"/>
          <w:szCs w:val="24"/>
        </w:rPr>
        <w:t>：其余格式与打印模板统一沿用导出中心的 A4 横向套打模板，含保密水印、页码与导出哈希校验码。</w:t>
      </w:r>
    </w:p>
    <w:tbl>
      <w:tblPr>
        <w:tblStyle w:val="38"/>
        <w:tblW w:w="9784" w:type="dxa"/>
        <w:jc w:val="center"/>
        <w:tblLayout w:type="autofit"/>
        <w:tblCellMar>
          <w:top w:w="0" w:type="dxa"/>
          <w:left w:w="108" w:type="dxa"/>
          <w:bottom w:w="0" w:type="dxa"/>
          <w:right w:w="108" w:type="dxa"/>
        </w:tblCellMar>
      </w:tblPr>
      <w:tblGrid>
        <w:gridCol w:w="1100"/>
        <w:gridCol w:w="8684"/>
      </w:tblGrid>
      <w:tr w14:paraId="2C3DE5DF">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09F6BE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规则项</w:t>
            </w:r>
          </w:p>
        </w:tc>
        <w:tc>
          <w:tcPr>
            <w:tcW w:w="868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139CD8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规则明细</w:t>
            </w:r>
          </w:p>
        </w:tc>
      </w:tr>
      <w:tr w14:paraId="795AE58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3D51D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输出粒度</w:t>
            </w:r>
          </w:p>
        </w:tc>
        <w:tc>
          <w:tcPr>
            <w:tcW w:w="86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2C00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组织（集团/产业/二级公司/车间）× 时间（日/月/年）× 介质三维交叉输出</w:t>
            </w:r>
          </w:p>
        </w:tc>
      </w:tr>
      <w:tr w14:paraId="5BC3F5B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81BD3A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介质维度</w:t>
            </w:r>
          </w:p>
        </w:tc>
        <w:tc>
          <w:tcPr>
            <w:tcW w:w="86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28F7A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电（尖峰/高峰/平段/低谷分时段统计）、水、蒸汽、天然气、折标准煤合计</w:t>
            </w:r>
          </w:p>
        </w:tc>
      </w:tr>
      <w:tr w14:paraId="0B770C7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3FB331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同比环比</w:t>
            </w:r>
          </w:p>
        </w:tc>
        <w:tc>
          <w:tcPr>
            <w:tcW w:w="86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A64C3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系统自动计算，手工录入带录入人与时间戳</w:t>
            </w:r>
          </w:p>
        </w:tc>
      </w:tr>
      <w:tr w14:paraId="28296415">
        <w:tblPrEx>
          <w:tblCellMar>
            <w:top w:w="0" w:type="dxa"/>
            <w:left w:w="108" w:type="dxa"/>
            <w:bottom w:w="0" w:type="dxa"/>
            <w:right w:w="108" w:type="dxa"/>
          </w:tblCellMar>
        </w:tblPrEx>
        <w:trPr>
          <w:jc w:val="center"/>
        </w:trPr>
        <w:tc>
          <w:tcPr>
            <w:tcW w:w="11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FBB266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导出</w:t>
            </w:r>
          </w:p>
        </w:tc>
        <w:tc>
          <w:tcPr>
            <w:tcW w:w="86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E74EF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Excel/PDF 导出强制注入防伪动态水印（员工号、姓名、时间戳、哈希校验码）</w:t>
            </w:r>
          </w:p>
        </w:tc>
      </w:tr>
    </w:tbl>
    <w:p w14:paraId="2B99172F">
      <w:pPr>
        <w:spacing w:after="60"/>
        <w:rPr>
          <w:rFonts w:hint="eastAsia" w:ascii="宋体" w:hAnsi="宋体" w:eastAsia="宋体" w:cs="宋体"/>
          <w:i w:val="0"/>
          <w:iCs w:val="0"/>
          <w:sz w:val="24"/>
          <w:szCs w:val="24"/>
        </w:rPr>
      </w:pPr>
    </w:p>
    <w:p w14:paraId="6F0274AF">
      <w:pPr>
        <w:pStyle w:val="6"/>
        <w:numPr>
          <w:ilvl w:val="0"/>
          <w:numId w:val="11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661"/>
        <w:gridCol w:w="1916"/>
        <w:gridCol w:w="1175"/>
        <w:gridCol w:w="1400"/>
        <w:gridCol w:w="4632"/>
      </w:tblGrid>
      <w:tr w14:paraId="22A62A1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4C1B3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BBBD5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C7C3A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40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DF48D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63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32051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聚合滚算规则</w:t>
            </w:r>
          </w:p>
        </w:tc>
      </w:tr>
      <w:tr w14:paraId="62A02BB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AC94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91BA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统计周期标签</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550E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4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A728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日/月/年</w:t>
            </w:r>
          </w:p>
        </w:tc>
        <w:tc>
          <w:tcPr>
            <w:tcW w:w="46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CCEA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日报按 0 点截断，月报按自然月自然闭环</w:t>
            </w:r>
          </w:p>
        </w:tc>
      </w:tr>
      <w:tr w14:paraId="15BF6FF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0A7F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AAD2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组织节点名称</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72AF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4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DEF0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6E46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集团/产业/二级公司/车间层级树</w:t>
            </w:r>
          </w:p>
        </w:tc>
      </w:tr>
      <w:tr w14:paraId="31CECAA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53C8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8B32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用电量总计</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2461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A131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46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D141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Σ (尖峰 + 高峰 + 平段 + 低谷)</w:t>
            </w:r>
          </w:p>
        </w:tc>
      </w:tr>
      <w:tr w14:paraId="25DD5A4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22C6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ADF1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自来水用量</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B338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5CBC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w:t>
            </w:r>
          </w:p>
        </w:tc>
        <w:tc>
          <w:tcPr>
            <w:tcW w:w="46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D282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市政总表与自备井流量累加</w:t>
            </w:r>
          </w:p>
        </w:tc>
      </w:tr>
      <w:tr w14:paraId="6B6C842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715A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3935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外购蒸汽量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0EB1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7A20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w:t>
            </w:r>
          </w:p>
        </w:tc>
        <w:tc>
          <w:tcPr>
            <w:tcW w:w="46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5DE3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车间进汽流量计温压补偿积算</w:t>
            </w:r>
          </w:p>
        </w:tc>
      </w:tr>
      <w:tr w14:paraId="36A8335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C7FB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86F9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天然气消耗量</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088E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9E46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w:t>
            </w:r>
          </w:p>
        </w:tc>
        <w:tc>
          <w:tcPr>
            <w:tcW w:w="46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7A30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燃气调压计量站流量计</w:t>
            </w:r>
          </w:p>
        </w:tc>
      </w:tr>
      <w:tr w14:paraId="49FAA24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CCC6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EBD8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折标准煤总能耗</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30FF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95A6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6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4493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Σ (各介质消耗量 × 当量折标系数)</w:t>
            </w:r>
          </w:p>
        </w:tc>
      </w:tr>
      <w:tr w14:paraId="248FECD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CE70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13B3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综合能源总成本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BC5C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965D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6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8276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Σ (各介质实物量 × 现行能源单价)</w:t>
            </w:r>
          </w:p>
        </w:tc>
      </w:tr>
      <w:tr w14:paraId="45837C8F">
        <w:tblPrEx>
          <w:tblCellMar>
            <w:top w:w="0" w:type="dxa"/>
            <w:left w:w="108" w:type="dxa"/>
            <w:bottom w:w="0" w:type="dxa"/>
            <w:right w:w="108" w:type="dxa"/>
          </w:tblCellMar>
        </w:tblPrEx>
        <w:trPr>
          <w:jc w:val="center"/>
        </w:trPr>
        <w:tc>
          <w:tcPr>
            <w:tcW w:w="6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EB1B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9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F1FA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防伪水印哈希</w:t>
            </w:r>
          </w:p>
        </w:tc>
        <w:tc>
          <w:tcPr>
            <w:tcW w:w="11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C790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4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722C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SHA-256</w:t>
            </w:r>
          </w:p>
        </w:tc>
        <w:tc>
          <w:tcPr>
            <w:tcW w:w="46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26D6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导出时强制生成，与文件内容绑定</w:t>
            </w:r>
          </w:p>
        </w:tc>
      </w:tr>
    </w:tbl>
    <w:p w14:paraId="50679025">
      <w:pPr>
        <w:spacing w:after="60"/>
        <w:rPr>
          <w:rFonts w:hint="eastAsia" w:ascii="宋体" w:hAnsi="宋体" w:eastAsia="宋体" w:cs="宋体"/>
          <w:i w:val="0"/>
          <w:iCs w:val="0"/>
          <w:sz w:val="24"/>
          <w:szCs w:val="24"/>
        </w:rPr>
      </w:pPr>
    </w:p>
    <w:p w14:paraId="0B8E529D">
      <w:pPr>
        <w:pStyle w:val="6"/>
        <w:numPr>
          <w:ilvl w:val="0"/>
          <w:numId w:val="11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5D17B46D">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2B8B785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Q_elec_total = Q_tip + Q_peak + Q_flat + Q_valley     用电量总计</w:t>
            </w:r>
          </w:p>
          <w:p w14:paraId="7B1D1B0D">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E_tce = Σ ( Q_media × k_media )                     折标准煤总能耗</w:t>
            </w:r>
          </w:p>
          <w:p w14:paraId="71E9570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MoM = ( V_t / V_{t-1} - 1 ) × 100%                   环比</w:t>
            </w:r>
          </w:p>
          <w:p w14:paraId="0B9B09F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YoY = ( V_t / V_{t-12} - 1 ) × 100%                  同比</w:t>
            </w:r>
          </w:p>
          <w:p w14:paraId="758BFE7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Hash = SHA256( Content + EmpID + Timestamp )          防伪水印哈希</w:t>
            </w:r>
          </w:p>
        </w:tc>
      </w:tr>
    </w:tbl>
    <w:p w14:paraId="210398C8">
      <w:pPr>
        <w:spacing w:after="40"/>
        <w:rPr>
          <w:rFonts w:hint="eastAsia" w:ascii="宋体" w:hAnsi="宋体" w:eastAsia="宋体" w:cs="宋体"/>
          <w:i w:val="0"/>
          <w:iCs w:val="0"/>
          <w:sz w:val="24"/>
          <w:szCs w:val="24"/>
        </w:rPr>
      </w:pPr>
    </w:p>
    <w:p w14:paraId="56681A28">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k_media </w:t>
      </w:r>
      <w:r>
        <w:rPr>
          <w:rFonts w:ascii="Times New Roman" w:hAnsi="Times New Roman" w:eastAsia="宋体" w:cs="Times New Roman"/>
          <w:i w:val="0"/>
          <w:color w:val="1F2937"/>
          <w:sz w:val="24"/>
          <w:szCs w:val="24"/>
        </w:rPr>
        <w:t xml:space="preserve"> 为介质折标准煤当量系数；同比环比均以百分比表示，基准值为 0 时显示 </w:t>
      </w:r>
      <w:r>
        <w:rPr>
          <w:rFonts w:ascii="Times New Roman" w:hAnsi="Times New Roman" w:eastAsia="宋体" w:cs="Times New Roman"/>
          <w:b w:val="0"/>
          <w:i w:val="0"/>
          <w:color w:val="0284C7"/>
          <w:sz w:val="24"/>
          <w:szCs w:val="24"/>
        </w:rPr>
        <w:t xml:space="preserve"> -- </w:t>
      </w:r>
      <w:r>
        <w:rPr>
          <w:rFonts w:ascii="Times New Roman" w:hAnsi="Times New Roman" w:eastAsia="宋体" w:cs="Times New Roman"/>
          <w:i w:val="0"/>
          <w:color w:val="1F2937"/>
          <w:sz w:val="24"/>
          <w:szCs w:val="24"/>
        </w:rPr>
        <w:t>。</w:t>
      </w:r>
    </w:p>
    <w:p w14:paraId="6857ABDB">
      <w:pPr>
        <w:pStyle w:val="6"/>
        <w:numPr>
          <w:ilvl w:val="0"/>
          <w:numId w:val="11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4812B2AD">
      <w:pPr>
        <w:pStyle w:val="19"/>
        <w:widowControl/>
        <w:numPr>
          <w:ilvl w:val="0"/>
          <w:numId w:val="12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汇总口径</w:t>
      </w:r>
      <w:r>
        <w:rPr>
          <w:rFonts w:ascii="Times New Roman" w:hAnsi="Times New Roman" w:eastAsia="宋体" w:cs="Times New Roman"/>
          <w:i w:val="0"/>
          <w:color w:val="1F2937"/>
          <w:sz w:val="24"/>
          <w:szCs w:val="24"/>
        </w:rPr>
        <w:t>：绝对量类字段逐级累加；比率与单耗类字段先汇总分子分母再计算。</w:t>
      </w:r>
    </w:p>
    <w:p w14:paraId="45C3881C">
      <w:pPr>
        <w:pStyle w:val="19"/>
        <w:widowControl/>
        <w:numPr>
          <w:ilvl w:val="0"/>
          <w:numId w:val="12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锁账口径</w:t>
      </w:r>
      <w:r>
        <w:rPr>
          <w:rFonts w:ascii="Times New Roman" w:hAnsi="Times New Roman" w:eastAsia="宋体" w:cs="Times New Roman"/>
          <w:i w:val="0"/>
          <w:color w:val="1F2937"/>
          <w:sz w:val="24"/>
          <w:szCs w:val="24"/>
        </w:rPr>
        <w:t>：已关账月度的报表数据冻结，导出时标注"已锁账"。</w:t>
      </w:r>
    </w:p>
    <w:p w14:paraId="17593164">
      <w:pPr>
        <w:pStyle w:val="19"/>
        <w:widowControl/>
        <w:numPr>
          <w:ilvl w:val="0"/>
          <w:numId w:val="12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水印口径</w:t>
      </w:r>
      <w:r>
        <w:rPr>
          <w:rFonts w:ascii="Times New Roman" w:hAnsi="Times New Roman" w:eastAsia="宋体" w:cs="Times New Roman"/>
          <w:i w:val="0"/>
          <w:color w:val="1F2937"/>
          <w:sz w:val="24"/>
          <w:szCs w:val="24"/>
        </w:rPr>
        <w:t>：任何导出行为强制注入水印，无豁免通道。</w:t>
      </w:r>
    </w:p>
    <w:p w14:paraId="0EAEB00A">
      <w:pPr>
        <w:pStyle w:val="19"/>
        <w:widowControl/>
        <w:numPr>
          <w:ilvl w:val="0"/>
          <w:numId w:val="12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舍入口径</w:t>
      </w:r>
      <w:r>
        <w:rPr>
          <w:rFonts w:ascii="Times New Roman" w:hAnsi="Times New Roman" w:eastAsia="宋体" w:cs="Times New Roman"/>
          <w:i w:val="0"/>
          <w:color w:val="1F2937"/>
          <w:sz w:val="24"/>
          <w:szCs w:val="24"/>
        </w:rPr>
        <w:t>：报表数值保留两位小数，汇总行按未舍入原值计算后再舍入，避免累计误差。</w:t>
      </w:r>
    </w:p>
    <w:p w14:paraId="50FAB004">
      <w:pPr>
        <w:pStyle w:val="6"/>
        <w:numPr>
          <w:ilvl w:val="0"/>
          <w:numId w:val="11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4CC1BE62">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4EF76B1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已锁账月度数据被修改：触发 </w:t>
            </w:r>
            <w:r>
              <w:rPr>
                <w:rFonts w:hint="eastAsia" w:ascii="宋体" w:hAnsi="宋体" w:eastAsia="宋体" w:cs="宋体"/>
                <w:b w:val="0"/>
                <w:i w:val="0"/>
                <w:iCs w:val="0"/>
                <w:color w:val="0284C7"/>
                <w:sz w:val="24"/>
                <w:szCs w:val="24"/>
              </w:rPr>
              <w:t xml:space="preserve"> E_SYS_ENTRY_ALREADY_LOCKED </w:t>
            </w:r>
            <w:r>
              <w:rPr>
                <w:rFonts w:hint="eastAsia" w:ascii="宋体" w:hAnsi="宋体" w:eastAsia="宋体" w:cs="宋体"/>
                <w:i w:val="0"/>
                <w:iCs w:val="0"/>
                <w:color w:val="1F2937"/>
                <w:sz w:val="24"/>
                <w:szCs w:val="24"/>
              </w:rPr>
              <w:t>，提示需 P1 集团高管特批。</w:t>
            </w:r>
          </w:p>
          <w:p w14:paraId="51038BE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导出失败：保留水印参数重试，不输出无水印文件。</w:t>
            </w:r>
          </w:p>
          <w:p w14:paraId="6236C36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除零兜底：同比环比基准值为 0 时显示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p w14:paraId="77D165B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大数据量导出（如 10 万行）：异步生成并提供下载中心回链，【待补充】导出时限基线。</w:t>
            </w:r>
          </w:p>
        </w:tc>
      </w:tr>
    </w:tbl>
    <w:p w14:paraId="4FB8BB1F">
      <w:pPr>
        <w:spacing w:after="40"/>
        <w:rPr>
          <w:rFonts w:hint="eastAsia" w:ascii="宋体" w:hAnsi="宋体" w:eastAsia="宋体" w:cs="宋体"/>
          <w:i w:val="0"/>
          <w:iCs w:val="0"/>
          <w:sz w:val="24"/>
          <w:szCs w:val="24"/>
        </w:rPr>
      </w:pPr>
    </w:p>
    <w:p w14:paraId="23A0A661">
      <w:pPr>
        <w:pStyle w:val="6"/>
        <w:numPr>
          <w:ilvl w:val="0"/>
          <w:numId w:val="116"/>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7157556D">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6AC1901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用能统计报表三维交叉输出</w:t>
            </w:r>
          </w:p>
          <w:p w14:paraId="51BA2F8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三维交叉与折标汇总</w:t>
            </w:r>
          </w:p>
          <w:p w14:paraId="54A25B7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园区当月已录入电、水、蒸汽、天然气四类介质数据</w:t>
            </w:r>
          </w:p>
          <w:p w14:paraId="5FF9DEE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系统生成月度用能报表</w:t>
            </w:r>
          </w:p>
          <w:p w14:paraId="680FA61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报表按组织 × 时间 × 介质三维交叉输出</w:t>
            </w:r>
          </w:p>
          <w:p w14:paraId="6A15AE3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折标准煤总能耗等于各介质消耗量乘以当量折标系数后求和</w:t>
            </w:r>
          </w:p>
          <w:p w14:paraId="1E4CFF1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用电量总计等于尖峰、高峰、平段、低谷四段之和</w:t>
            </w:r>
          </w:p>
          <w:p w14:paraId="0066B1B8">
            <w:pPr>
              <w:spacing w:before="0" w:after="20" w:line="264" w:lineRule="auto"/>
              <w:rPr>
                <w:rFonts w:hint="eastAsia" w:ascii="宋体" w:hAnsi="宋体" w:eastAsia="宋体" w:cs="宋体"/>
                <w:i w:val="0"/>
                <w:iCs w:val="0"/>
                <w:sz w:val="24"/>
                <w:szCs w:val="24"/>
              </w:rPr>
            </w:pPr>
          </w:p>
          <w:p w14:paraId="730C362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导出强制防伪水印</w:t>
            </w:r>
          </w:p>
          <w:p w14:paraId="17DF083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用户点击导出 Excel</w:t>
            </w:r>
          </w:p>
          <w:p w14:paraId="7D96CE5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系统生成导出文件</w:t>
            </w:r>
          </w:p>
          <w:p w14:paraId="6F4D19C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文件内注入导出员工号、姓名、时间戳与哈希校验码</w:t>
            </w:r>
          </w:p>
          <w:p w14:paraId="5EA8343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不存在任何可绕过水印的导出通道</w:t>
            </w:r>
          </w:p>
          <w:p w14:paraId="00DD23B9">
            <w:pPr>
              <w:spacing w:before="0" w:after="20" w:line="264" w:lineRule="auto"/>
              <w:rPr>
                <w:rFonts w:hint="eastAsia" w:ascii="宋体" w:hAnsi="宋体" w:eastAsia="宋体" w:cs="宋体"/>
                <w:i w:val="0"/>
                <w:iCs w:val="0"/>
                <w:sz w:val="24"/>
                <w:szCs w:val="24"/>
              </w:rPr>
            </w:pPr>
          </w:p>
          <w:p w14:paraId="499CD16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锁账月度冻结</w:t>
            </w:r>
          </w:p>
          <w:p w14:paraId="3E85C43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目标月度已完成财务关账</w:t>
            </w:r>
          </w:p>
          <w:p w14:paraId="1CA0D83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用户尝试修改该月度的用能报表数据</w:t>
            </w:r>
          </w:p>
          <w:p w14:paraId="2F2D19B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系统返回 E_SYS_ENTRY_ALREADY_LOCKED</w:t>
            </w:r>
          </w:p>
          <w:p w14:paraId="2760669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提示需由 P1 集团高管特批</w:t>
            </w:r>
          </w:p>
        </w:tc>
      </w:tr>
    </w:tbl>
    <w:p w14:paraId="2AD35408">
      <w:pPr>
        <w:spacing w:after="40"/>
        <w:rPr>
          <w:rFonts w:hint="eastAsia" w:ascii="宋体" w:hAnsi="宋体" w:eastAsia="宋体" w:cs="宋体"/>
          <w:i w:val="0"/>
          <w:iCs w:val="0"/>
          <w:sz w:val="24"/>
          <w:szCs w:val="24"/>
        </w:rPr>
      </w:pPr>
    </w:p>
    <w:p w14:paraId="4BD5455A">
      <w:pPr>
        <w:pStyle w:val="5"/>
        <w:numPr>
          <w:ilvl w:val="0"/>
          <w:numId w:val="115"/>
        </w:numPr>
        <w:ind w:left="0" w:leftChars="0" w:firstLine="0" w:firstLineChars="0"/>
        <w:outlineLvl w:val="1"/>
        <w:rPr>
          <w:rFonts w:eastAsia="黑体"/>
          <w:b w:val="0"/>
          <w:bCs w:val="0"/>
          <w:sz w:val="30"/>
          <w:szCs w:val="24"/>
        </w:rPr>
      </w:pPr>
      <w:bookmarkStart w:id="35" w:name="_Toc9574"/>
      <w:r>
        <w:rPr>
          <w:rFonts w:ascii="Times New Roman" w:hAnsi="Times New Roman" w:eastAsia="黑体" w:cs="Times New Roman"/>
          <w:b w:val="0"/>
          <w:bCs w:val="0"/>
          <w:sz w:val="30"/>
          <w:szCs w:val="24"/>
        </w:rPr>
        <w:t>成本报表</w:t>
      </w:r>
      <w:bookmarkEnd w:id="35"/>
    </w:p>
    <w:p w14:paraId="294C3D15">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1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
                    <pic:cNvPicPr>
                      <a:picLocks noChangeAspect="1"/>
                    </pic:cNvPicPr>
                  </pic:nvPicPr>
                  <pic:blipFill>
                    <a:blip r:embed="rId34"/>
                    <a:stretch>
                      <a:fillRect/>
                    </a:stretch>
                  </pic:blipFill>
                  <pic:spPr>
                    <a:xfrm>
                      <a:off x="0" y="0"/>
                      <a:ext cx="6210300" cy="3079115"/>
                    </a:xfrm>
                    <a:prstGeom prst="rect">
                      <a:avLst/>
                    </a:prstGeom>
                    <a:noFill/>
                    <a:ln>
                      <a:noFill/>
                    </a:ln>
                  </pic:spPr>
                </pic:pic>
              </a:graphicData>
            </a:graphic>
          </wp:inline>
        </w:drawing>
      </w:r>
    </w:p>
    <w:p w14:paraId="51EBACF1">
      <w:pPr>
        <w:pStyle w:val="6"/>
        <w:numPr>
          <w:ilvl w:val="0"/>
          <w:numId w:val="12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228C2F2E">
      <w:pPr>
        <w:pStyle w:val="19"/>
        <w:widowControl/>
        <w:numPr>
          <w:ilvl w:val="0"/>
          <w:numId w:val="12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：按电费构成与非电介质成本输出园区能源成本台账，单价取自能源价格管理最新生效版本。</w:t>
      </w:r>
    </w:p>
    <w:p w14:paraId="3CC406E2">
      <w:pPr>
        <w:pStyle w:val="19"/>
        <w:widowControl/>
        <w:numPr>
          <w:ilvl w:val="0"/>
          <w:numId w:val="12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：园区财务兼能碳核算专员、P2 园区能碳专员。</w:t>
      </w:r>
    </w:p>
    <w:p w14:paraId="5D8BB272">
      <w:pPr>
        <w:pStyle w:val="19"/>
        <w:widowControl/>
        <w:numPr>
          <w:ilvl w:val="0"/>
          <w:numId w:val="12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/monitor/report/cost </w:t>
      </w:r>
      <w:r>
        <w:rPr>
          <w:rFonts w:ascii="Times New Roman" w:hAnsi="Times New Roman" w:eastAsia="宋体" w:cs="Times New Roman"/>
          <w:i w:val="0"/>
          <w:color w:val="1F2937"/>
          <w:sz w:val="24"/>
          <w:szCs w:val="24"/>
        </w:rPr>
        <w:t>。</w:t>
      </w:r>
    </w:p>
    <w:p w14:paraId="6C0EC73D">
      <w:pPr>
        <w:pStyle w:val="19"/>
        <w:widowControl/>
        <w:numPr>
          <w:ilvl w:val="0"/>
          <w:numId w:val="12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：能源价格管理版本库、用能报表介质用量、基本电费计费方式配置。</w:t>
      </w:r>
    </w:p>
    <w:p w14:paraId="4DF44E1D">
      <w:pPr>
        <w:pStyle w:val="19"/>
        <w:widowControl/>
        <w:numPr>
          <w:ilvl w:val="0"/>
          <w:numId w:val="12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：财务对账依据、成本分析专题报告。</w:t>
      </w:r>
    </w:p>
    <w:p w14:paraId="75BF6FC7">
      <w:pPr>
        <w:pStyle w:val="6"/>
        <w:numPr>
          <w:ilvl w:val="0"/>
          <w:numId w:val="12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6572009D">
      <w:pPr>
        <w:pStyle w:val="19"/>
        <w:widowControl/>
        <w:numPr>
          <w:ilvl w:val="0"/>
          <w:numId w:val="12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：月度能源成本入账与对账场景，需按电费构成与非电介质成本分别出具台账，并与财务口径对账。</w:t>
      </w:r>
    </w:p>
    <w:p w14:paraId="030AF7B1">
      <w:pPr>
        <w:pStyle w:val="19"/>
        <w:widowControl/>
        <w:numPr>
          <w:ilvl w:val="0"/>
          <w:numId w:val="12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0C10FC4C">
      <w:pPr>
        <w:pStyle w:val="19"/>
        <w:widowControl/>
        <w:numPr>
          <w:ilvl w:val="0"/>
          <w:numId w:val="12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园区财务兼能碳核算专员</w:t>
      </w:r>
      <w:r>
        <w:rPr>
          <w:rFonts w:ascii="Times New Roman" w:hAnsi="Times New Roman" w:eastAsia="宋体" w:cs="Times New Roman"/>
          <w:i w:val="0"/>
          <w:color w:val="1F2937"/>
          <w:sz w:val="24"/>
          <w:szCs w:val="24"/>
        </w:rPr>
        <w:t>，</w:t>
      </w:r>
    </w:p>
    <w:p w14:paraId="101123D8">
      <w:pPr>
        <w:pStyle w:val="19"/>
        <w:widowControl/>
        <w:numPr>
          <w:ilvl w:val="0"/>
          <w:numId w:val="12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按电费构成与非电介质成本生成能源成本台账，单价自动取最新生效版本</w:t>
      </w:r>
      <w:r>
        <w:rPr>
          <w:rFonts w:ascii="Times New Roman" w:hAnsi="Times New Roman" w:eastAsia="宋体" w:cs="Times New Roman"/>
          <w:i w:val="0"/>
          <w:color w:val="1F2937"/>
          <w:sz w:val="24"/>
          <w:szCs w:val="24"/>
        </w:rPr>
        <w:t>，</w:t>
      </w:r>
    </w:p>
    <w:p w14:paraId="2D2D7245">
      <w:pPr>
        <w:pStyle w:val="19"/>
        <w:widowControl/>
        <w:numPr>
          <w:ilvl w:val="0"/>
          <w:numId w:val="12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我能快速完成能源成本入账与财务对账，避免单价用错版本</w:t>
      </w:r>
      <w:r>
        <w:rPr>
          <w:rFonts w:ascii="Times New Roman" w:hAnsi="Times New Roman" w:eastAsia="宋体" w:cs="Times New Roman"/>
          <w:i w:val="0"/>
          <w:color w:val="1F2937"/>
          <w:sz w:val="24"/>
          <w:szCs w:val="24"/>
        </w:rPr>
        <w:t>。</w:t>
      </w:r>
    </w:p>
    <w:p w14:paraId="09C9BC19">
      <w:pPr>
        <w:pStyle w:val="6"/>
        <w:numPr>
          <w:ilvl w:val="0"/>
          <w:numId w:val="12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tbl>
      <w:tblPr>
        <w:tblStyle w:val="38"/>
        <w:tblW w:w="9784" w:type="dxa"/>
        <w:jc w:val="center"/>
        <w:tblLayout w:type="autofit"/>
        <w:tblCellMar>
          <w:top w:w="0" w:type="dxa"/>
          <w:left w:w="108" w:type="dxa"/>
          <w:bottom w:w="0" w:type="dxa"/>
          <w:right w:w="108" w:type="dxa"/>
        </w:tblCellMar>
      </w:tblPr>
      <w:tblGrid>
        <w:gridCol w:w="1880"/>
        <w:gridCol w:w="7904"/>
      </w:tblGrid>
      <w:tr w14:paraId="7D72F504">
        <w:tblPrEx>
          <w:tblCellMar>
            <w:top w:w="0" w:type="dxa"/>
            <w:left w:w="108" w:type="dxa"/>
            <w:bottom w:w="0" w:type="dxa"/>
            <w:right w:w="108" w:type="dxa"/>
          </w:tblCellMar>
        </w:tblPrEx>
        <w:trPr>
          <w:tblHeader/>
          <w:jc w:val="center"/>
        </w:trPr>
        <w:tc>
          <w:tcPr>
            <w:tcW w:w="188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0E822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规则项</w:t>
            </w:r>
          </w:p>
        </w:tc>
        <w:tc>
          <w:tcPr>
            <w:tcW w:w="790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DAA57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规则明细</w:t>
            </w:r>
          </w:p>
        </w:tc>
      </w:tr>
      <w:tr w14:paraId="4AB95A77">
        <w:tblPrEx>
          <w:tblCellMar>
            <w:top w:w="0" w:type="dxa"/>
            <w:left w:w="108" w:type="dxa"/>
            <w:bottom w:w="0" w:type="dxa"/>
            <w:right w:w="108" w:type="dxa"/>
          </w:tblCellMar>
        </w:tblPrEx>
        <w:trPr>
          <w:jc w:val="center"/>
        </w:trPr>
        <w:tc>
          <w:tcPr>
            <w:tcW w:w="18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E3FB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电费构成</w:t>
            </w:r>
          </w:p>
        </w:tc>
        <w:tc>
          <w:tcPr>
            <w:tcW w:w="79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2778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尖峰/高峰/平时段/低谷时段电费、基本电费（按容量或最大需量）、功率因数调整电费、总用电成本、综合度电综合单价</w:t>
            </w:r>
          </w:p>
        </w:tc>
      </w:tr>
      <w:tr w14:paraId="7FC11DB0">
        <w:tblPrEx>
          <w:tblCellMar>
            <w:top w:w="0" w:type="dxa"/>
            <w:left w:w="108" w:type="dxa"/>
            <w:bottom w:w="0" w:type="dxa"/>
            <w:right w:w="108" w:type="dxa"/>
          </w:tblCellMar>
        </w:tblPrEx>
        <w:trPr>
          <w:jc w:val="center"/>
        </w:trPr>
        <w:tc>
          <w:tcPr>
            <w:tcW w:w="18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809D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非电介质成本</w:t>
            </w:r>
          </w:p>
        </w:tc>
        <w:tc>
          <w:tcPr>
            <w:tcW w:w="79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47C4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水/蒸汽/天然气等按用量 × 单价，单价取自能源价格管理最新生效版本</w:t>
            </w:r>
          </w:p>
        </w:tc>
      </w:tr>
      <w:tr w14:paraId="6D4245F2">
        <w:tblPrEx>
          <w:tblCellMar>
            <w:top w:w="0" w:type="dxa"/>
            <w:left w:w="108" w:type="dxa"/>
            <w:bottom w:w="0" w:type="dxa"/>
            <w:right w:w="108" w:type="dxa"/>
          </w:tblCellMar>
        </w:tblPrEx>
        <w:trPr>
          <w:jc w:val="center"/>
        </w:trPr>
        <w:tc>
          <w:tcPr>
            <w:tcW w:w="18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B0B1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力调预警</w:t>
            </w:r>
          </w:p>
        </w:tc>
        <w:tc>
          <w:tcPr>
            <w:tcW w:w="79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2A84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功率因数低于考核值 0.90 时预警提示（力调电费跟踪）</w:t>
            </w:r>
          </w:p>
        </w:tc>
      </w:tr>
      <w:tr w14:paraId="13D5990A">
        <w:tblPrEx>
          <w:tblCellMar>
            <w:top w:w="0" w:type="dxa"/>
            <w:left w:w="108" w:type="dxa"/>
            <w:bottom w:w="0" w:type="dxa"/>
            <w:right w:w="108" w:type="dxa"/>
          </w:tblCellMar>
        </w:tblPrEx>
        <w:trPr>
          <w:jc w:val="center"/>
        </w:trPr>
        <w:tc>
          <w:tcPr>
            <w:tcW w:w="18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61E1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导出</w:t>
            </w:r>
          </w:p>
        </w:tc>
        <w:tc>
          <w:tcPr>
            <w:tcW w:w="79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0853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同用能报表防伪水印规则</w:t>
            </w:r>
          </w:p>
        </w:tc>
      </w:tr>
    </w:tbl>
    <w:p w14:paraId="40189151">
      <w:pPr>
        <w:spacing w:after="60"/>
        <w:rPr>
          <w:rFonts w:hint="eastAsia" w:ascii="宋体" w:hAnsi="宋体" w:eastAsia="宋体" w:cs="宋体"/>
          <w:i w:val="0"/>
          <w:iCs w:val="0"/>
          <w:sz w:val="24"/>
          <w:szCs w:val="24"/>
        </w:rPr>
      </w:pPr>
    </w:p>
    <w:p w14:paraId="41F48E34">
      <w:pPr>
        <w:pStyle w:val="19"/>
        <w:widowControl/>
        <w:numPr>
          <w:ilvl w:val="0"/>
          <w:numId w:val="12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单价版本提示</w:t>
      </w:r>
      <w:r>
        <w:rPr>
          <w:rFonts w:ascii="Times New Roman" w:hAnsi="Times New Roman" w:eastAsia="宋体" w:cs="Times New Roman"/>
          <w:i w:val="0"/>
          <w:color w:val="1F2937"/>
          <w:sz w:val="24"/>
          <w:szCs w:val="24"/>
        </w:rPr>
        <w:t>：报表顶部标注本期所用电价与介质单价的版本号及生效日期。</w:t>
      </w:r>
    </w:p>
    <w:p w14:paraId="0C38D49F">
      <w:pPr>
        <w:pStyle w:val="19"/>
        <w:widowControl/>
        <w:numPr>
          <w:ilvl w:val="0"/>
          <w:numId w:val="12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跨期价差调整</w:t>
      </w:r>
      <w:r>
        <w:rPr>
          <w:rFonts w:ascii="Times New Roman" w:hAnsi="Times New Roman" w:eastAsia="宋体" w:cs="Times New Roman"/>
          <w:i w:val="0"/>
          <w:color w:val="1F2937"/>
          <w:sz w:val="24"/>
          <w:szCs w:val="24"/>
        </w:rPr>
        <w:t>：电费发生跨期价差的，一律在调整当期新增「电费跨期调整项」计入当期损益，历史月份报表数值保持不变；已锁账月份（错误码  E_SYS_ENTRY_ALREADY_LOCKED ）严禁被新配置参数追溯重算。</w:t>
      </w:r>
    </w:p>
    <w:p w14:paraId="314AA3DB">
      <w:pPr>
        <w:pStyle w:val="6"/>
        <w:numPr>
          <w:ilvl w:val="0"/>
          <w:numId w:val="12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661"/>
        <w:gridCol w:w="2171"/>
        <w:gridCol w:w="1175"/>
        <w:gridCol w:w="1175"/>
        <w:gridCol w:w="4602"/>
      </w:tblGrid>
      <w:tr w14:paraId="67D256A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5D3227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F46C0C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56037E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AF57B9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60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52B5E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61D55D1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BFE0D4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B756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尖峰时段电费</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377A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4B04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6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14DE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Q_尖 × P_尖</w:t>
            </w:r>
            <w:r>
              <w:rPr>
                <w:rFonts w:hint="eastAsia" w:ascii="宋体" w:hAnsi="宋体" w:eastAsia="宋体" w:cs="宋体"/>
                <w:i w:val="0"/>
                <w:iCs w:val="0"/>
                <w:color w:val="1F2937"/>
                <w:sz w:val="24"/>
                <w:szCs w:val="24"/>
              </w:rPr>
              <w:t>，价格版本须标注</w:t>
            </w:r>
          </w:p>
        </w:tc>
      </w:tr>
      <w:tr w14:paraId="5187288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020BB6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0019A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高峰时段电费</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C4BCC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DBBA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6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8E32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Q_峰 × P_峰</w:t>
            </w:r>
          </w:p>
        </w:tc>
      </w:tr>
      <w:tr w14:paraId="4C91A136">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0A865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C361B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平时段电费</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82EAA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1D13F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6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4245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Q_平 × P_平</w:t>
            </w:r>
          </w:p>
        </w:tc>
      </w:tr>
      <w:tr w14:paraId="62DB1B9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287593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E595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低谷时段电费</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0ED14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B6104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6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143F1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Q_谷 × P_谷</w:t>
            </w:r>
          </w:p>
        </w:tc>
      </w:tr>
      <w:tr w14:paraId="620BB42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790B52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16895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基本电费</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F094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1819A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6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3E95E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按容量或最大需量计费</w:t>
            </w:r>
          </w:p>
        </w:tc>
      </w:tr>
      <w:tr w14:paraId="3D37B6D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91815A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01F56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功率因数调整电费</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FD42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28524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6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A6D63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依据国家力率调整系数表</w:t>
            </w:r>
          </w:p>
        </w:tc>
      </w:tr>
      <w:tr w14:paraId="2E36504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F2A2C7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551FF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总用电成本</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78AA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D2480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6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99930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Σ(分时电费) + 基本电费 ± 力调电费</w:t>
            </w:r>
          </w:p>
        </w:tc>
      </w:tr>
      <w:tr w14:paraId="4B09052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BC76C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DA090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非电介质成本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6293C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65A24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6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C54DB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各介质用量 × 现行单价</w:t>
            </w:r>
          </w:p>
        </w:tc>
      </w:tr>
      <w:tr w14:paraId="7F57E3E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AF7413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7C699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综合度电综合单价</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E1642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AAB8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元/kWh</w:t>
            </w:r>
          </w:p>
        </w:tc>
        <w:tc>
          <w:tcPr>
            <w:tcW w:w="46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8DC8F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总用能费用 / 总用能实物量</w:t>
            </w:r>
          </w:p>
        </w:tc>
      </w:tr>
      <w:tr w14:paraId="54BD0706">
        <w:tblPrEx>
          <w:tblCellMar>
            <w:top w:w="0" w:type="dxa"/>
            <w:left w:w="108" w:type="dxa"/>
            <w:bottom w:w="0" w:type="dxa"/>
            <w:right w:w="108" w:type="dxa"/>
          </w:tblCellMar>
        </w:tblPrEx>
        <w:trPr>
          <w:jc w:val="center"/>
        </w:trPr>
        <w:tc>
          <w:tcPr>
            <w:tcW w:w="6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FC8CB8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21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D89A9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单价版本号</w:t>
            </w:r>
          </w:p>
        </w:tc>
        <w:tc>
          <w:tcPr>
            <w:tcW w:w="117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20BA7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17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2030A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D5E41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非空，标注生效起止日期</w:t>
            </w:r>
          </w:p>
        </w:tc>
      </w:tr>
    </w:tbl>
    <w:p w14:paraId="461C4BF3">
      <w:pPr>
        <w:spacing w:after="60"/>
        <w:rPr>
          <w:rFonts w:hint="eastAsia" w:ascii="宋体" w:hAnsi="宋体" w:eastAsia="宋体" w:cs="宋体"/>
          <w:i w:val="0"/>
          <w:iCs w:val="0"/>
          <w:sz w:val="24"/>
          <w:szCs w:val="24"/>
        </w:rPr>
      </w:pPr>
    </w:p>
    <w:p w14:paraId="7EE86CBA">
      <w:pPr>
        <w:pStyle w:val="6"/>
        <w:numPr>
          <w:ilvl w:val="0"/>
          <w:numId w:val="12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1178B85B">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5B9C6CCA">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Cost_tou = Σ ( Q_seg × P_seg )                        分时电度电费</w:t>
            </w:r>
          </w:p>
          <w:p w14:paraId="7D62374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Cost_total = Cost_tou + Cost_basic ± Cost_pf + Σ Cost_media</w:t>
            </w:r>
          </w:p>
          <w:p w14:paraId="085D72D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Unit_price = Cost_total / Σ Q_media                   综合度电综合单价</w:t>
            </w:r>
          </w:p>
          <w:p w14:paraId="177570A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Cost_media = Q_media × P_media                        非电介质成本</w:t>
            </w:r>
          </w:p>
        </w:tc>
      </w:tr>
    </w:tbl>
    <w:p w14:paraId="40A0CD2E">
      <w:pPr>
        <w:spacing w:after="40"/>
        <w:rPr>
          <w:rFonts w:hint="eastAsia" w:ascii="宋体" w:hAnsi="宋体" w:eastAsia="宋体" w:cs="宋体"/>
          <w:i w:val="0"/>
          <w:iCs w:val="0"/>
          <w:sz w:val="24"/>
          <w:szCs w:val="24"/>
        </w:rPr>
      </w:pPr>
    </w:p>
    <w:p w14:paraId="40686C4F">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：单价  </w:t>
      </w:r>
      <w:r>
        <w:rPr>
          <w:rFonts w:ascii="Times New Roman" w:hAnsi="Times New Roman" w:eastAsia="宋体" w:cs="Times New Roman"/>
          <w:b/>
          <w:i w:val="0"/>
          <w:color w:val="1E3A8A"/>
          <w:sz w:val="24"/>
          <w:szCs w:val="24"/>
        </w:rPr>
        <w:t>P_seg</w:t>
      </w:r>
      <w:r>
        <w:rPr>
          <w:rFonts w:ascii="Times New Roman" w:hAnsi="Times New Roman" w:eastAsia="宋体" w:cs="Times New Roman"/>
          <w:i w:val="0"/>
          <w:color w:val="1F2937"/>
          <w:sz w:val="24"/>
          <w:szCs w:val="24"/>
        </w:rPr>
        <w:t xml:space="preserve">  /  </w:t>
      </w:r>
      <w:r>
        <w:rPr>
          <w:rFonts w:ascii="Times New Roman" w:hAnsi="Times New Roman" w:eastAsia="宋体" w:cs="Times New Roman"/>
          <w:b/>
          <w:i w:val="0"/>
          <w:color w:val="1E3A8A"/>
          <w:sz w:val="24"/>
          <w:szCs w:val="24"/>
        </w:rPr>
        <w:t>P_media</w:t>
      </w:r>
      <w:r>
        <w:rPr>
          <w:rFonts w:ascii="Times New Roman" w:hAnsi="Times New Roman" w:eastAsia="宋体" w:cs="Times New Roman"/>
          <w:i w:val="0"/>
          <w:color w:val="1F2937"/>
          <w:sz w:val="24"/>
          <w:szCs w:val="24"/>
        </w:rPr>
        <w:t xml:space="preserve">  均取自与业务发生时间匹配的能源价格生效版本；跨期调整不得改写历史成本报表，仅允许在当期新增「电费跨期调整项」并留痕。</w:t>
      </w:r>
    </w:p>
    <w:p w14:paraId="0F27717D">
      <w:pPr>
        <w:pStyle w:val="6"/>
        <w:numPr>
          <w:ilvl w:val="0"/>
          <w:numId w:val="12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41EEA82F">
      <w:pPr>
        <w:pStyle w:val="19"/>
        <w:widowControl/>
        <w:numPr>
          <w:ilvl w:val="0"/>
          <w:numId w:val="12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单价口径</w:t>
      </w:r>
      <w:r>
        <w:rPr>
          <w:rFonts w:ascii="Times New Roman" w:hAnsi="Times New Roman" w:eastAsia="宋体" w:cs="Times New Roman"/>
          <w:i w:val="0"/>
          <w:color w:val="1F2937"/>
          <w:sz w:val="24"/>
          <w:szCs w:val="24"/>
        </w:rPr>
        <w:t>：单价版本随报表冻结，后续单价变更不影响已出报表。</w:t>
      </w:r>
    </w:p>
    <w:p w14:paraId="2DAA1962">
      <w:pPr>
        <w:pStyle w:val="19"/>
        <w:widowControl/>
        <w:numPr>
          <w:ilvl w:val="0"/>
          <w:numId w:val="12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电费口径</w:t>
      </w:r>
      <w:r>
        <w:rPr>
          <w:rFonts w:ascii="Times New Roman" w:hAnsi="Times New Roman" w:eastAsia="宋体" w:cs="Times New Roman"/>
          <w:i w:val="0"/>
          <w:color w:val="1F2937"/>
          <w:sz w:val="24"/>
          <w:szCs w:val="24"/>
        </w:rPr>
        <w:t>：基本电费计费方式与成本分析模块保持一致。</w:t>
      </w:r>
    </w:p>
    <w:p w14:paraId="365B5A54">
      <w:pPr>
        <w:pStyle w:val="19"/>
        <w:widowControl/>
        <w:numPr>
          <w:ilvl w:val="0"/>
          <w:numId w:val="12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力调口径</w:t>
      </w:r>
      <w:r>
        <w:rPr>
          <w:rFonts w:ascii="Times New Roman" w:hAnsi="Times New Roman" w:eastAsia="宋体" w:cs="Times New Roman"/>
          <w:i w:val="0"/>
          <w:color w:val="1F2937"/>
          <w:sz w:val="24"/>
          <w:szCs w:val="24"/>
        </w:rPr>
        <w:t>：功率因数低于 0.90 触发预警，报表中标注力调罚金方向。</w:t>
      </w:r>
    </w:p>
    <w:p w14:paraId="1127948F">
      <w:pPr>
        <w:pStyle w:val="19"/>
        <w:widowControl/>
        <w:numPr>
          <w:ilvl w:val="0"/>
          <w:numId w:val="12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对账口径</w:t>
      </w:r>
      <w:r>
        <w:rPr>
          <w:rFonts w:ascii="Times New Roman" w:hAnsi="Times New Roman" w:eastAsia="宋体" w:cs="Times New Roman"/>
          <w:i w:val="0"/>
          <w:color w:val="1F2937"/>
          <w:sz w:val="24"/>
          <w:szCs w:val="24"/>
        </w:rPr>
        <w:t>：报表须同时提供含税与不含税两列，便于与财务对账。</w:t>
      </w:r>
    </w:p>
    <w:p w14:paraId="360B671C">
      <w:pPr>
        <w:pStyle w:val="6"/>
        <w:numPr>
          <w:ilvl w:val="0"/>
          <w:numId w:val="12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560FBB31">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05DB25A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当期能源价格未配置：报表禁止生成，提示"待配置当期能源价格"。</w:t>
            </w:r>
          </w:p>
          <w:p w14:paraId="655FA69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单价版本缺失：导出时阻断并标注缺失行。</w:t>
            </w:r>
          </w:p>
          <w:p w14:paraId="467A1DF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除零兜底：总用能实物量为 0 时综合度电单价显示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p w14:paraId="7AE7C2D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已锁账月度：成本报表冻结，修改须走特批反冲。</w:t>
            </w:r>
          </w:p>
        </w:tc>
      </w:tr>
    </w:tbl>
    <w:p w14:paraId="0BECEBDA">
      <w:pPr>
        <w:spacing w:after="40"/>
        <w:rPr>
          <w:rFonts w:hint="eastAsia" w:ascii="宋体" w:hAnsi="宋体" w:eastAsia="宋体" w:cs="宋体"/>
          <w:i w:val="0"/>
          <w:iCs w:val="0"/>
          <w:sz w:val="24"/>
          <w:szCs w:val="24"/>
        </w:rPr>
      </w:pPr>
    </w:p>
    <w:p w14:paraId="1AECB470">
      <w:pPr>
        <w:pStyle w:val="6"/>
        <w:numPr>
          <w:ilvl w:val="0"/>
          <w:numId w:val="121"/>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3A0187DC">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025BB29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能源成本报表</w:t>
            </w:r>
          </w:p>
          <w:p w14:paraId="7AC24A7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电费构成完整输出</w:t>
            </w:r>
          </w:p>
          <w:p w14:paraId="74710AB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园区当期已配置分时电价与基本电费计费方式</w:t>
            </w:r>
          </w:p>
          <w:p w14:paraId="66AA530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系统生成月度成本报表</w:t>
            </w:r>
          </w:p>
          <w:p w14:paraId="03161AC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报表输出尖峰、高峰、平时段、低谷电费、基本电费、功率因数调整电费与总用电成本</w:t>
            </w:r>
          </w:p>
          <w:p w14:paraId="0321769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综合度电综合单价 = 总用能费用 ÷ 总用能实物量</w:t>
            </w:r>
          </w:p>
          <w:p w14:paraId="488D8319">
            <w:pPr>
              <w:spacing w:before="0" w:after="20" w:line="264" w:lineRule="auto"/>
              <w:rPr>
                <w:rFonts w:hint="eastAsia" w:ascii="宋体" w:hAnsi="宋体" w:eastAsia="宋体" w:cs="宋体"/>
                <w:i w:val="0"/>
                <w:iCs w:val="0"/>
                <w:sz w:val="24"/>
                <w:szCs w:val="24"/>
              </w:rPr>
            </w:pPr>
          </w:p>
          <w:p w14:paraId="719B352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单价版本随表冻结</w:t>
            </w:r>
          </w:p>
          <w:p w14:paraId="43680FE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某月度成本报表已生成并锁定单价版本</w:t>
            </w:r>
          </w:p>
          <w:p w14:paraId="1BA1C66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后续能源价格发生变更</w:t>
            </w:r>
          </w:p>
          <w:p w14:paraId="49C85AD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已生成报表的单价保持不变</w:t>
            </w:r>
          </w:p>
          <w:p w14:paraId="2800C68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报表顶部仍标注原单价版本号与生效日期</w:t>
            </w:r>
          </w:p>
        </w:tc>
      </w:tr>
    </w:tbl>
    <w:p w14:paraId="2028FAD6">
      <w:pPr>
        <w:spacing w:after="40"/>
        <w:rPr>
          <w:rFonts w:hint="eastAsia" w:ascii="宋体" w:hAnsi="宋体" w:eastAsia="宋体" w:cs="宋体"/>
          <w:i w:val="0"/>
          <w:iCs w:val="0"/>
          <w:sz w:val="24"/>
          <w:szCs w:val="24"/>
        </w:rPr>
      </w:pPr>
    </w:p>
    <w:p w14:paraId="70E0F45C">
      <w:pPr>
        <w:pStyle w:val="5"/>
        <w:numPr>
          <w:ilvl w:val="0"/>
          <w:numId w:val="115"/>
        </w:numPr>
        <w:ind w:left="0" w:leftChars="0" w:firstLine="0" w:firstLineChars="0"/>
        <w:outlineLvl w:val="1"/>
        <w:rPr>
          <w:rFonts w:eastAsia="黑体"/>
          <w:b w:val="0"/>
          <w:bCs w:val="0"/>
          <w:sz w:val="30"/>
          <w:szCs w:val="24"/>
        </w:rPr>
      </w:pPr>
      <w:bookmarkStart w:id="36" w:name="_Toc6777"/>
      <w:r>
        <w:rPr>
          <w:rFonts w:ascii="Times New Roman" w:hAnsi="Times New Roman" w:eastAsia="黑体" w:cs="Times New Roman"/>
          <w:b w:val="0"/>
          <w:bCs w:val="0"/>
          <w:sz w:val="30"/>
          <w:szCs w:val="24"/>
        </w:rPr>
        <w:t>单耗报表</w:t>
      </w:r>
      <w:bookmarkEnd w:id="36"/>
    </w:p>
    <w:p w14:paraId="201D0B46">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2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8"/>
                    <pic:cNvPicPr>
                      <a:picLocks noChangeAspect="1"/>
                    </pic:cNvPicPr>
                  </pic:nvPicPr>
                  <pic:blipFill>
                    <a:blip r:embed="rId35"/>
                    <a:stretch>
                      <a:fillRect/>
                    </a:stretch>
                  </pic:blipFill>
                  <pic:spPr>
                    <a:xfrm>
                      <a:off x="0" y="0"/>
                      <a:ext cx="6210300" cy="3079115"/>
                    </a:xfrm>
                    <a:prstGeom prst="rect">
                      <a:avLst/>
                    </a:prstGeom>
                    <a:noFill/>
                    <a:ln>
                      <a:noFill/>
                    </a:ln>
                  </pic:spPr>
                </pic:pic>
              </a:graphicData>
            </a:graphic>
          </wp:inline>
        </w:drawing>
      </w:r>
    </w:p>
    <w:p w14:paraId="6970784A">
      <w:pPr>
        <w:pStyle w:val="6"/>
        <w:numPr>
          <w:ilvl w:val="0"/>
          <w:numId w:val="12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1B077449">
      <w:pPr>
        <w:pStyle w:val="19"/>
        <w:widowControl/>
        <w:numPr>
          <w:ilvl w:val="0"/>
          <w:numId w:val="12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：按产业分母隔离规则输出单位产品能耗，细化到产品型号，支撑能效对标与准入核查。</w:t>
      </w:r>
    </w:p>
    <w:p w14:paraId="6816DD98">
      <w:pPr>
        <w:pStyle w:val="19"/>
        <w:widowControl/>
        <w:numPr>
          <w:ilvl w:val="0"/>
          <w:numId w:val="12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园区能碳专员、制造车间主任。</w:t>
      </w:r>
    </w:p>
    <w:p w14:paraId="48CC4E62">
      <w:pPr>
        <w:pStyle w:val="19"/>
        <w:widowControl/>
        <w:numPr>
          <w:ilvl w:val="0"/>
          <w:numId w:val="12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/monitor/report/unit-consumption </w:t>
      </w:r>
      <w:r>
        <w:rPr>
          <w:rFonts w:ascii="Times New Roman" w:hAnsi="Times New Roman" w:eastAsia="宋体" w:cs="Times New Roman"/>
          <w:i w:val="0"/>
          <w:color w:val="1F2937"/>
          <w:sz w:val="24"/>
          <w:szCs w:val="24"/>
        </w:rPr>
        <w:t>。</w:t>
      </w:r>
    </w:p>
    <w:p w14:paraId="04D014BF">
      <w:pPr>
        <w:pStyle w:val="19"/>
        <w:widowControl/>
        <w:numPr>
          <w:ilvl w:val="0"/>
          <w:numId w:val="12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：单位产品能耗核算结果、MES 报工产量、国家准入基准值。</w:t>
      </w:r>
    </w:p>
    <w:p w14:paraId="1783A753">
      <w:pPr>
        <w:pStyle w:val="19"/>
        <w:widowControl/>
        <w:numPr>
          <w:ilvl w:val="0"/>
          <w:numId w:val="12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：能效对标核查材料、节能技改立项依据。</w:t>
      </w:r>
    </w:p>
    <w:p w14:paraId="2B2FEAE7">
      <w:pPr>
        <w:pStyle w:val="6"/>
        <w:numPr>
          <w:ilvl w:val="0"/>
          <w:numId w:val="12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72C6FA79">
      <w:pPr>
        <w:pStyle w:val="19"/>
        <w:widowControl/>
        <w:numPr>
          <w:ilvl w:val="0"/>
          <w:numId w:val="12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：季度能效对标与准入核查场景，需按产业口径分别出具单耗报表，逐型号列示同比环比与准入偏差。</w:t>
      </w:r>
    </w:p>
    <w:p w14:paraId="412B478C">
      <w:pPr>
        <w:pStyle w:val="19"/>
        <w:widowControl/>
        <w:numPr>
          <w:ilvl w:val="0"/>
          <w:numId w:val="12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5A4F9091">
      <w:pPr>
        <w:pStyle w:val="19"/>
        <w:widowControl/>
        <w:numPr>
          <w:ilvl w:val="0"/>
          <w:numId w:val="12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制造车间主任</w:t>
      </w:r>
      <w:r>
        <w:rPr>
          <w:rFonts w:ascii="Times New Roman" w:hAnsi="Times New Roman" w:eastAsia="宋体" w:cs="Times New Roman"/>
          <w:i w:val="0"/>
          <w:color w:val="1F2937"/>
          <w:sz w:val="24"/>
          <w:szCs w:val="24"/>
        </w:rPr>
        <w:t>，</w:t>
      </w:r>
    </w:p>
    <w:p w14:paraId="254CBF0B">
      <w:pPr>
        <w:pStyle w:val="19"/>
        <w:widowControl/>
        <w:numPr>
          <w:ilvl w:val="0"/>
          <w:numId w:val="12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按产业与产品型号导出单位产品能耗报表，含同比、环比与准入基准偏差列</w:t>
      </w:r>
      <w:r>
        <w:rPr>
          <w:rFonts w:ascii="Times New Roman" w:hAnsi="Times New Roman" w:eastAsia="宋体" w:cs="Times New Roman"/>
          <w:i w:val="0"/>
          <w:color w:val="1F2937"/>
          <w:sz w:val="24"/>
          <w:szCs w:val="24"/>
        </w:rPr>
        <w:t>，</w:t>
      </w:r>
    </w:p>
    <w:p w14:paraId="00A5B62D">
      <w:pPr>
        <w:pStyle w:val="19"/>
        <w:widowControl/>
        <w:numPr>
          <w:ilvl w:val="0"/>
          <w:numId w:val="12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我能为能效对标与准入核查提供标准化数据支撑</w:t>
      </w:r>
      <w:r>
        <w:rPr>
          <w:rFonts w:ascii="Times New Roman" w:hAnsi="Times New Roman" w:eastAsia="宋体" w:cs="Times New Roman"/>
          <w:i w:val="0"/>
          <w:color w:val="1F2937"/>
          <w:sz w:val="24"/>
          <w:szCs w:val="24"/>
        </w:rPr>
        <w:t>。</w:t>
      </w:r>
    </w:p>
    <w:p w14:paraId="3E087949">
      <w:pPr>
        <w:pStyle w:val="19"/>
        <w:widowControl/>
        <w:numPr>
          <w:ilvl w:val="0"/>
          <w:numId w:val="128"/>
        </w:numPr>
        <w:ind w:left="0" w:leftChars="0" w:firstLine="482" w:firstLineChars="0"/>
        <w:rPr>
          <w:rFonts w:eastAsia="宋体"/>
          <w:b/>
          <w:i w:val="0"/>
          <w:color w:val="0284C7"/>
          <w:sz w:val="24"/>
          <w:szCs w:val="24"/>
        </w:rPr>
      </w:pPr>
    </w:p>
    <w:p w14:paraId="4D42ACA2">
      <w:pPr>
        <w:pStyle w:val="6"/>
        <w:numPr>
          <w:ilvl w:val="0"/>
          <w:numId w:val="12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tbl>
      <w:tblPr>
        <w:tblStyle w:val="38"/>
        <w:tblW w:w="9784" w:type="dxa"/>
        <w:jc w:val="center"/>
        <w:tblLayout w:type="autofit"/>
        <w:tblCellMar>
          <w:top w:w="0" w:type="dxa"/>
          <w:left w:w="108" w:type="dxa"/>
          <w:bottom w:w="0" w:type="dxa"/>
          <w:right w:w="108" w:type="dxa"/>
        </w:tblCellMar>
      </w:tblPr>
      <w:tblGrid>
        <w:gridCol w:w="1886"/>
        <w:gridCol w:w="7898"/>
      </w:tblGrid>
      <w:tr w14:paraId="46F5E64A">
        <w:tblPrEx>
          <w:tblCellMar>
            <w:top w:w="0" w:type="dxa"/>
            <w:left w:w="108" w:type="dxa"/>
            <w:bottom w:w="0" w:type="dxa"/>
            <w:right w:w="108" w:type="dxa"/>
          </w:tblCellMar>
        </w:tblPrEx>
        <w:trPr>
          <w:tblHeader/>
          <w:jc w:val="center"/>
        </w:trPr>
        <w:tc>
          <w:tcPr>
            <w:tcW w:w="188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86E80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规则项</w:t>
            </w:r>
          </w:p>
        </w:tc>
        <w:tc>
          <w:tcPr>
            <w:tcW w:w="789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9E6DC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规则明细</w:t>
            </w:r>
          </w:p>
        </w:tc>
      </w:tr>
      <w:tr w14:paraId="528D3AB8">
        <w:tblPrEx>
          <w:tblCellMar>
            <w:top w:w="0" w:type="dxa"/>
            <w:left w:w="108" w:type="dxa"/>
            <w:bottom w:w="0" w:type="dxa"/>
            <w:right w:w="108" w:type="dxa"/>
          </w:tblCellMar>
        </w:tblPrEx>
        <w:trPr>
          <w:jc w:val="center"/>
        </w:trPr>
        <w:tc>
          <w:tcPr>
            <w:tcW w:w="188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FC755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产业分母隔离</w:t>
            </w:r>
          </w:p>
        </w:tc>
        <w:tc>
          <w:tcPr>
            <w:tcW w:w="7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C373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变压器按 kVA / 万kVA 汇算；线缆按 km·mm² 汇算，严禁跨产业混算</w:t>
            </w:r>
          </w:p>
        </w:tc>
      </w:tr>
      <w:tr w14:paraId="7E1CAEF1">
        <w:tblPrEx>
          <w:tblCellMar>
            <w:top w:w="0" w:type="dxa"/>
            <w:left w:w="108" w:type="dxa"/>
            <w:bottom w:w="0" w:type="dxa"/>
            <w:right w:w="108" w:type="dxa"/>
          </w:tblCellMar>
        </w:tblPrEx>
        <w:trPr>
          <w:jc w:val="center"/>
        </w:trPr>
        <w:tc>
          <w:tcPr>
            <w:tcW w:w="188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C025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输出指标</w:t>
            </w:r>
          </w:p>
        </w:tc>
        <w:tc>
          <w:tcPr>
            <w:tcW w:w="7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5376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单位产品综合能耗 / 电耗 / 蒸汽消耗 / 天然气消耗 / 水耗 5 项，细化到产品型号</w:t>
            </w:r>
          </w:p>
        </w:tc>
      </w:tr>
      <w:tr w14:paraId="722AFEF1">
        <w:tblPrEx>
          <w:tblCellMar>
            <w:top w:w="0" w:type="dxa"/>
            <w:left w:w="108" w:type="dxa"/>
            <w:bottom w:w="0" w:type="dxa"/>
            <w:right w:w="108" w:type="dxa"/>
          </w:tblCellMar>
        </w:tblPrEx>
        <w:trPr>
          <w:jc w:val="center"/>
        </w:trPr>
        <w:tc>
          <w:tcPr>
            <w:tcW w:w="188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009A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对比列</w:t>
            </w:r>
          </w:p>
        </w:tc>
        <w:tc>
          <w:tcPr>
            <w:tcW w:w="7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FC6C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同比、环比、与准入基准偏差</w:t>
            </w:r>
          </w:p>
        </w:tc>
      </w:tr>
      <w:tr w14:paraId="657C121E">
        <w:tblPrEx>
          <w:tblCellMar>
            <w:top w:w="0" w:type="dxa"/>
            <w:left w:w="108" w:type="dxa"/>
            <w:bottom w:w="0" w:type="dxa"/>
            <w:right w:w="108" w:type="dxa"/>
          </w:tblCellMar>
        </w:tblPrEx>
        <w:trPr>
          <w:jc w:val="center"/>
        </w:trPr>
        <w:tc>
          <w:tcPr>
            <w:tcW w:w="188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0ADF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除零拦截</w:t>
            </w:r>
          </w:p>
        </w:tc>
        <w:tc>
          <w:tcPr>
            <w:tcW w:w="7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FACF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月产量为 0 时单耗显示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，严禁 NaN 或白屏</w:t>
            </w:r>
          </w:p>
        </w:tc>
      </w:tr>
    </w:tbl>
    <w:p w14:paraId="253BDA97">
      <w:pPr>
        <w:spacing w:after="60"/>
        <w:rPr>
          <w:rFonts w:hint="eastAsia" w:ascii="宋体" w:hAnsi="宋体" w:eastAsia="宋体" w:cs="宋体"/>
          <w:i w:val="0"/>
          <w:iCs w:val="0"/>
          <w:sz w:val="24"/>
          <w:szCs w:val="24"/>
        </w:rPr>
      </w:pPr>
    </w:p>
    <w:p w14:paraId="20868288">
      <w:pPr>
        <w:pStyle w:val="19"/>
        <w:widowControl/>
        <w:numPr>
          <w:ilvl w:val="0"/>
          <w:numId w:val="1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产业分离呈现</w:t>
      </w:r>
      <w:r>
        <w:rPr>
          <w:rFonts w:ascii="Times New Roman" w:hAnsi="Times New Roman" w:eastAsia="宋体" w:cs="Times New Roman"/>
          <w:i w:val="0"/>
          <w:color w:val="1F2937"/>
          <w:sz w:val="24"/>
          <w:szCs w:val="24"/>
        </w:rPr>
        <w:t>：变压器与线缆单耗在报表中以两个独立区块呈现，不共用列。</w:t>
      </w:r>
    </w:p>
    <w:p w14:paraId="752AF640">
      <w:pPr>
        <w:pStyle w:val="19"/>
        <w:widowControl/>
        <w:numPr>
          <w:ilvl w:val="0"/>
          <w:numId w:val="1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型号级下钻</w:t>
      </w:r>
      <w:r>
        <w:rPr>
          <w:rFonts w:ascii="Times New Roman" w:hAnsi="Times New Roman" w:eastAsia="宋体" w:cs="Times New Roman"/>
          <w:i w:val="0"/>
          <w:color w:val="1F2937"/>
          <w:sz w:val="24"/>
          <w:szCs w:val="24"/>
        </w:rPr>
        <w:t>：支持从产品大类下钻至规格型号级明细行。</w:t>
      </w:r>
    </w:p>
    <w:p w14:paraId="5694F7EB">
      <w:pPr>
        <w:pStyle w:val="6"/>
        <w:numPr>
          <w:ilvl w:val="0"/>
          <w:numId w:val="12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35"/>
        <w:gridCol w:w="1620"/>
        <w:gridCol w:w="1317"/>
        <w:gridCol w:w="2693"/>
        <w:gridCol w:w="3319"/>
      </w:tblGrid>
      <w:tr w14:paraId="12AA24CB">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3BBA7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2F32D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25E4B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949CE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31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E894F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6814A7B3">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3BE7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DDB9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产业分类</w:t>
            </w:r>
          </w:p>
        </w:tc>
        <w:tc>
          <w:tcPr>
            <w:tcW w:w="13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B8A1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F757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变压器/线缆</w:t>
            </w:r>
          </w:p>
        </w:tc>
        <w:tc>
          <w:tcPr>
            <w:tcW w:w="331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FC5E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决定分母量纲，禁止跨产业同列</w:t>
            </w:r>
          </w:p>
        </w:tc>
      </w:tr>
      <w:tr w14:paraId="33AC3496">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518C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AD93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产品大类</w:t>
            </w:r>
          </w:p>
        </w:tc>
        <w:tc>
          <w:tcPr>
            <w:tcW w:w="13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E730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E088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1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FAA8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变压器按高压/中低压/干变；线缆按拉丝/交联/其他</w:t>
            </w:r>
          </w:p>
        </w:tc>
      </w:tr>
      <w:tr w14:paraId="10258930">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20DC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B390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产品规格型号</w:t>
            </w:r>
          </w:p>
        </w:tc>
        <w:tc>
          <w:tcPr>
            <w:tcW w:w="13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B49E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C34F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1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63B8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 物料主数据编码</w:t>
            </w:r>
          </w:p>
        </w:tc>
      </w:tr>
      <w:tr w14:paraId="2FEC31CC">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EF08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7659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合格品产量</w:t>
            </w:r>
          </w:p>
        </w:tc>
        <w:tc>
          <w:tcPr>
            <w:tcW w:w="13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FCEE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5D6B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 或 km·mm²</w:t>
            </w:r>
          </w:p>
        </w:tc>
        <w:tc>
          <w:tcPr>
            <w:tcW w:w="331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1B95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0，为 0 时单耗显示 </w:t>
            </w:r>
            <w:r>
              <w:rPr>
                <w:rFonts w:hint="eastAsia" w:ascii="宋体" w:hAnsi="宋体" w:eastAsia="宋体" w:cs="宋体"/>
                <w:b w:val="0"/>
                <w:i w:val="0"/>
                <w:iCs w:val="0"/>
                <w:color w:val="0284C7"/>
                <w:sz w:val="24"/>
                <w:szCs w:val="24"/>
              </w:rPr>
              <w:t xml:space="preserve"> -- </w:t>
            </w:r>
          </w:p>
        </w:tc>
      </w:tr>
      <w:tr w14:paraId="105E207F">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80C1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4F32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单位产品综合能耗</w:t>
            </w:r>
          </w:p>
        </w:tc>
        <w:tc>
          <w:tcPr>
            <w:tcW w:w="13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F5A1A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4B3C3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tce/万kVA 或 tce/万km·mm²</w:t>
            </w:r>
          </w:p>
        </w:tc>
        <w:tc>
          <w:tcPr>
            <w:tcW w:w="331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B526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M</w:t>
            </w:r>
          </w:p>
        </w:tc>
      </w:tr>
      <w:tr w14:paraId="7FF0F297">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5120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2504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单位产品电耗</w:t>
            </w:r>
          </w:p>
        </w:tc>
        <w:tc>
          <w:tcPr>
            <w:tcW w:w="13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DAFD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1421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kWh/kVA 或 kWh/km·mm²</w:t>
            </w:r>
          </w:p>
        </w:tc>
        <w:tc>
          <w:tcPr>
            <w:tcW w:w="331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DC52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Q_电 / M</w:t>
            </w:r>
          </w:p>
        </w:tc>
      </w:tr>
      <w:tr w14:paraId="376FB2D3">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FB86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4B51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单位产品蒸汽消耗</w:t>
            </w:r>
          </w:p>
        </w:tc>
        <w:tc>
          <w:tcPr>
            <w:tcW w:w="13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8C23A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6FBF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GJ/kVA 或 GJ/km·mm²</w:t>
            </w:r>
          </w:p>
        </w:tc>
        <w:tc>
          <w:tcPr>
            <w:tcW w:w="331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100B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Q_汽 / M</w:t>
            </w:r>
          </w:p>
        </w:tc>
      </w:tr>
      <w:tr w14:paraId="310BBDD0">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E29B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5619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单位产品天然气消耗</w:t>
            </w:r>
          </w:p>
        </w:tc>
        <w:tc>
          <w:tcPr>
            <w:tcW w:w="13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BEBE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2790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m³/kVA 或 m³/km·mm²</w:t>
            </w:r>
          </w:p>
        </w:tc>
        <w:tc>
          <w:tcPr>
            <w:tcW w:w="331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A6C8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Q_气 / M</w:t>
            </w:r>
          </w:p>
        </w:tc>
      </w:tr>
      <w:tr w14:paraId="6D925B92">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F6DA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ADE7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单位产品水耗</w:t>
            </w:r>
          </w:p>
        </w:tc>
        <w:tc>
          <w:tcPr>
            <w:tcW w:w="13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74F0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5D9C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t/kVA 或 t/km·mm²</w:t>
            </w:r>
          </w:p>
        </w:tc>
        <w:tc>
          <w:tcPr>
            <w:tcW w:w="331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4F3F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Q_水 / M</w:t>
            </w:r>
          </w:p>
        </w:tc>
      </w:tr>
      <w:tr w14:paraId="72413CC0">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2E94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6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6694F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与准入基准偏差</w:t>
            </w:r>
          </w:p>
        </w:tc>
        <w:tc>
          <w:tcPr>
            <w:tcW w:w="13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25F7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26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E4EA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同单耗单位</w:t>
            </w:r>
          </w:p>
        </w:tc>
        <w:tc>
          <w:tcPr>
            <w:tcW w:w="331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5226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本期单耗 − 国家准入先进值</w:t>
            </w:r>
          </w:p>
        </w:tc>
      </w:tr>
    </w:tbl>
    <w:p w14:paraId="3370A754">
      <w:pPr>
        <w:spacing w:after="60"/>
        <w:rPr>
          <w:rFonts w:hint="eastAsia" w:ascii="宋体" w:hAnsi="宋体" w:eastAsia="宋体" w:cs="宋体"/>
          <w:i w:val="0"/>
          <w:iCs w:val="0"/>
          <w:sz w:val="24"/>
          <w:szCs w:val="24"/>
        </w:rPr>
      </w:pPr>
    </w:p>
    <w:p w14:paraId="3F92C90E">
      <w:pPr>
        <w:pStyle w:val="6"/>
        <w:numPr>
          <w:ilvl w:val="0"/>
          <w:numId w:val="12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5BDE72FD">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34E9F97D">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e = E / M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单位产品综合能耗</w:t>
            </w:r>
          </w:p>
          <w:p w14:paraId="10C4D8C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q_media = Q_media / M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单位产品各介质消耗</w:t>
            </w:r>
          </w:p>
          <w:p w14:paraId="1B97F4C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MoM = ( e_t - e_{t-1} ) / e_{t-1} × 100%      环比</w:t>
            </w:r>
          </w:p>
          <w:p w14:paraId="7168EE1D">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YoY = ( e_t - e_{t-12} ) / e_{t-12} × 100%    同比</w:t>
            </w:r>
          </w:p>
          <w:p w14:paraId="2D415EEB">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Gap = e_t - Benchmark_admission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与准入基准偏差</w:t>
            </w:r>
          </w:p>
          <w:p w14:paraId="617B3FC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Guard: M = 0 → "--"                           除零拦截</w:t>
            </w:r>
          </w:p>
        </w:tc>
      </w:tr>
    </w:tbl>
    <w:p w14:paraId="559F8B5C">
      <w:pPr>
        <w:spacing w:after="40"/>
        <w:rPr>
          <w:rFonts w:hint="eastAsia" w:ascii="宋体" w:hAnsi="宋体" w:eastAsia="宋体" w:cs="宋体"/>
          <w:i w:val="0"/>
          <w:iCs w:val="0"/>
          <w:sz w:val="24"/>
          <w:szCs w:val="24"/>
        </w:rPr>
      </w:pPr>
    </w:p>
    <w:p w14:paraId="2C82F27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M </w:t>
      </w:r>
      <w:r>
        <w:rPr>
          <w:rFonts w:ascii="Times New Roman" w:hAnsi="Times New Roman" w:eastAsia="宋体" w:cs="Times New Roman"/>
          <w:i w:val="0"/>
          <w:color w:val="1F2937"/>
          <w:sz w:val="24"/>
          <w:szCs w:val="24"/>
        </w:rPr>
        <w:t xml:space="preserve"> 为当期合格品产量，变压器以 kVA / 万 kVA、线缆以 km·mm² / 万 km·mm² 计量；变量纲随产业分类严格隔离。</w:t>
      </w:r>
    </w:p>
    <w:p w14:paraId="6C20C199">
      <w:pPr>
        <w:pStyle w:val="6"/>
        <w:numPr>
          <w:ilvl w:val="0"/>
          <w:numId w:val="12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33F4F0D5">
      <w:pPr>
        <w:pStyle w:val="19"/>
        <w:widowControl/>
        <w:numPr>
          <w:ilvl w:val="0"/>
          <w:numId w:val="13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分母孔径铁律</w:t>
      </w:r>
      <w:r>
        <w:rPr>
          <w:rFonts w:ascii="Times New Roman" w:hAnsi="Times New Roman" w:eastAsia="宋体" w:cs="Times New Roman"/>
          <w:i w:val="0"/>
          <w:color w:val="1F2937"/>
          <w:sz w:val="24"/>
          <w:szCs w:val="24"/>
        </w:rPr>
        <w:t>：变压器以 kVA/万 kVA 汇算，线缆以 km·mm² 汇算，严禁跨产业混算。</w:t>
      </w:r>
    </w:p>
    <w:p w14:paraId="10FB8F8A">
      <w:pPr>
        <w:pStyle w:val="19"/>
        <w:widowControl/>
        <w:numPr>
          <w:ilvl w:val="0"/>
          <w:numId w:val="13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：同比为同型号去年同期，环比为同型号上月。</w:t>
      </w:r>
    </w:p>
    <w:p w14:paraId="3C1A59F1">
      <w:pPr>
        <w:pStyle w:val="19"/>
        <w:widowControl/>
        <w:numPr>
          <w:ilvl w:val="0"/>
          <w:numId w:val="13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偏差口径</w:t>
      </w:r>
      <w:r>
        <w:rPr>
          <w:rFonts w:ascii="Times New Roman" w:hAnsi="Times New Roman" w:eastAsia="宋体" w:cs="Times New Roman"/>
          <w:i w:val="0"/>
          <w:color w:val="1F2937"/>
          <w:sz w:val="24"/>
          <w:szCs w:val="24"/>
        </w:rPr>
        <w:t>：与准入基准偏差基于国家准入先进值计算。</w:t>
      </w:r>
    </w:p>
    <w:p w14:paraId="5CA8153B">
      <w:pPr>
        <w:pStyle w:val="19"/>
        <w:widowControl/>
        <w:numPr>
          <w:ilvl w:val="0"/>
          <w:numId w:val="13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状态口径</w:t>
      </w:r>
      <w:r>
        <w:rPr>
          <w:rFonts w:ascii="Times New Roman" w:hAnsi="Times New Roman" w:eastAsia="宋体" w:cs="Times New Roman"/>
          <w:i w:val="0"/>
          <w:color w:val="1F2937"/>
          <w:sz w:val="24"/>
          <w:szCs w:val="24"/>
        </w:rPr>
        <w:t>：按标杆值/基准值三色判定。</w:t>
      </w:r>
    </w:p>
    <w:p w14:paraId="58498416">
      <w:pPr>
        <w:pStyle w:val="6"/>
        <w:numPr>
          <w:ilvl w:val="0"/>
          <w:numId w:val="12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34892B7C">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229CF59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月产量为 0：单耗显示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，严禁 NaN 或白屏。</w:t>
            </w:r>
          </w:p>
          <w:p w14:paraId="42417F4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产业分母混算：数据库与导出层强约束，禁止混编同列。</w:t>
            </w:r>
          </w:p>
          <w:p w14:paraId="7A2A786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准入基准值缺失：偏差列留空并标注"基准待配置"，不以 0 代替。</w:t>
            </w:r>
          </w:p>
          <w:p w14:paraId="1908424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无工序单位：单耗工序区块输出"暂无相关工序！"。</w:t>
            </w:r>
          </w:p>
        </w:tc>
      </w:tr>
    </w:tbl>
    <w:p w14:paraId="4408431A">
      <w:pPr>
        <w:spacing w:after="40"/>
        <w:rPr>
          <w:rFonts w:hint="eastAsia" w:ascii="宋体" w:hAnsi="宋体" w:eastAsia="宋体" w:cs="宋体"/>
          <w:i w:val="0"/>
          <w:iCs w:val="0"/>
          <w:sz w:val="24"/>
          <w:szCs w:val="24"/>
        </w:rPr>
      </w:pPr>
    </w:p>
    <w:p w14:paraId="3935B647">
      <w:pPr>
        <w:pStyle w:val="6"/>
        <w:numPr>
          <w:ilvl w:val="0"/>
          <w:numId w:val="126"/>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774D199D">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2C80DAB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单耗报表产业隔离输出</w:t>
            </w:r>
          </w:p>
          <w:p w14:paraId="420572D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分母隔离与除零拦截</w:t>
            </w:r>
          </w:p>
          <w:p w14:paraId="44DEC67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报表包含变压器与线缆两类产业的单耗数据</w:t>
            </w:r>
          </w:p>
          <w:p w14:paraId="4E8F2AE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系统生成单耗报表</w:t>
            </w:r>
          </w:p>
          <w:p w14:paraId="6DB14FB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变压器单耗以 tce/万kVA 呈现，线缆单耗以 tce/万km·mm² 呈现</w:t>
            </w:r>
          </w:p>
          <w:p w14:paraId="2D281AC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两类产业分别独立成区块且不共用统计列</w:t>
            </w:r>
          </w:p>
          <w:p w14:paraId="25B8BDC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某型号月产量为 0 时其单耗显示为 "--"</w:t>
            </w:r>
          </w:p>
          <w:p w14:paraId="440EC804">
            <w:pPr>
              <w:spacing w:before="0" w:after="20" w:line="264" w:lineRule="auto"/>
              <w:rPr>
                <w:rFonts w:hint="eastAsia" w:ascii="宋体" w:hAnsi="宋体" w:eastAsia="宋体" w:cs="宋体"/>
                <w:i w:val="0"/>
                <w:iCs w:val="0"/>
                <w:sz w:val="24"/>
                <w:szCs w:val="24"/>
              </w:rPr>
            </w:pPr>
          </w:p>
          <w:p w14:paraId="5DD4697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型号级下钻</w:t>
            </w:r>
          </w:p>
          <w:p w14:paraId="6BCFE93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用户在报表中选中变压器高压产线大类</w:t>
            </w:r>
          </w:p>
          <w:p w14:paraId="7B56DAF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执行下钻操作</w:t>
            </w:r>
          </w:p>
          <w:p w14:paraId="667D4E1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明细展开至各规格型号级单耗行</w:t>
            </w:r>
          </w:p>
          <w:p w14:paraId="6AF6D78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每行含同比、环比与准入基准偏差列</w:t>
            </w:r>
          </w:p>
        </w:tc>
      </w:tr>
    </w:tbl>
    <w:p w14:paraId="59F85BDE">
      <w:pPr>
        <w:pStyle w:val="4"/>
        <w:numPr>
          <w:ilvl w:val="0"/>
          <w:numId w:val="15"/>
        </w:numPr>
        <w:topLinePunct w:val="0"/>
        <w:ind w:left="0" w:leftChars="0" w:firstLine="0" w:firstLineChars="0"/>
        <w:outlineLvl w:val="0"/>
        <w:rPr>
          <w:rFonts w:hint="eastAsia" w:eastAsia="黑体"/>
          <w:b w:val="0"/>
          <w:bCs w:val="0"/>
          <w:sz w:val="30"/>
          <w:szCs w:val="32"/>
        </w:rPr>
      </w:pPr>
      <w:bookmarkStart w:id="37" w:name="_Toc31707"/>
      <w:r>
        <w:rPr>
          <w:rFonts w:ascii="Times New Roman" w:hAnsi="Times New Roman" w:eastAsia="黑体" w:cs="Times New Roman"/>
          <w:b w:val="0"/>
          <w:bCs w:val="0"/>
          <w:sz w:val="30"/>
          <w:szCs w:val="32"/>
        </w:rPr>
        <w:t>基础管理</w:t>
      </w:r>
      <w:bookmarkEnd w:id="37"/>
    </w:p>
    <w:p w14:paraId="4EA01BBA">
      <w:pPr>
        <w:pStyle w:val="5"/>
        <w:numPr>
          <w:ilvl w:val="0"/>
          <w:numId w:val="131"/>
        </w:numPr>
        <w:ind w:left="0" w:leftChars="0" w:firstLine="0" w:firstLineChars="0"/>
        <w:outlineLvl w:val="1"/>
        <w:rPr>
          <w:rFonts w:eastAsia="黑体"/>
          <w:b w:val="0"/>
          <w:bCs w:val="0"/>
          <w:sz w:val="30"/>
          <w:szCs w:val="24"/>
        </w:rPr>
      </w:pPr>
      <w:bookmarkStart w:id="38" w:name="_Toc20240"/>
      <w:r>
        <w:rPr>
          <w:rFonts w:ascii="Times New Roman" w:hAnsi="Times New Roman" w:eastAsia="黑体" w:cs="Times New Roman"/>
          <w:b w:val="0"/>
          <w:bCs w:val="0"/>
          <w:sz w:val="30"/>
          <w:szCs w:val="24"/>
        </w:rPr>
        <w:t>数据录入</w:t>
      </w:r>
      <w:bookmarkEnd w:id="38"/>
    </w:p>
    <w:p w14:paraId="5021A0ED">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2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9"/>
                    <pic:cNvPicPr>
                      <a:picLocks noChangeAspect="1"/>
                    </pic:cNvPicPr>
                  </pic:nvPicPr>
                  <pic:blipFill>
                    <a:blip r:embed="rId36"/>
                    <a:stretch>
                      <a:fillRect/>
                    </a:stretch>
                  </pic:blipFill>
                  <pic:spPr>
                    <a:xfrm>
                      <a:off x="0" y="0"/>
                      <a:ext cx="6210300" cy="3079115"/>
                    </a:xfrm>
                    <a:prstGeom prst="rect">
                      <a:avLst/>
                    </a:prstGeom>
                    <a:noFill/>
                    <a:ln>
                      <a:noFill/>
                    </a:ln>
                  </pic:spPr>
                </pic:pic>
              </a:graphicData>
            </a:graphic>
          </wp:inline>
        </w:drawing>
      </w:r>
    </w:p>
    <w:p w14:paraId="253DADDB">
      <w:pPr>
        <w:pStyle w:val="6"/>
        <w:numPr>
          <w:ilvl w:val="0"/>
          <w:numId w:val="13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358A0810">
      <w:pPr>
        <w:pStyle w:val="19"/>
        <w:widowControl/>
        <w:numPr>
          <w:ilvl w:val="0"/>
          <w:numId w:val="13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：专为车间统计员 (P3) 打造的高效数据录入中枢，解决基层离线生产台账人工录入痛点。</w:t>
      </w:r>
    </w:p>
    <w:p w14:paraId="688B0F0C">
      <w:pPr>
        <w:pStyle w:val="19"/>
        <w:widowControl/>
        <w:numPr>
          <w:ilvl w:val="0"/>
          <w:numId w:val="13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：P3 车间填报员。</w:t>
      </w:r>
    </w:p>
    <w:p w14:paraId="3EC771AB">
      <w:pPr>
        <w:pStyle w:val="19"/>
        <w:widowControl/>
        <w:numPr>
          <w:ilvl w:val="0"/>
          <w:numId w:val="13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/monitor/basic/data-entry </w:t>
      </w:r>
      <w:r>
        <w:rPr>
          <w:rFonts w:ascii="Times New Roman" w:hAnsi="Times New Roman" w:eastAsia="宋体" w:cs="Times New Roman"/>
          <w:i w:val="0"/>
          <w:color w:val="1F2937"/>
          <w:sz w:val="24"/>
          <w:szCs w:val="24"/>
        </w:rPr>
        <w:t xml:space="preserve">；标签页 </w:t>
      </w:r>
      <w:r>
        <w:rPr>
          <w:rFonts w:ascii="Times New Roman" w:hAnsi="Times New Roman" w:eastAsia="宋体" w:cs="Times New Roman"/>
          <w:b w:val="0"/>
          <w:i w:val="0"/>
          <w:color w:val="0284C7"/>
          <w:sz w:val="24"/>
          <w:szCs w:val="24"/>
        </w:rPr>
        <w:t xml:space="preserve"> /production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/energy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/album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/milestone </w:t>
      </w:r>
      <w:r>
        <w:rPr>
          <w:rFonts w:ascii="Times New Roman" w:hAnsi="Times New Roman" w:eastAsia="宋体" w:cs="Times New Roman"/>
          <w:i w:val="0"/>
          <w:color w:val="1F2937"/>
          <w:sz w:val="24"/>
          <w:szCs w:val="24"/>
        </w:rPr>
        <w:t>。</w:t>
      </w:r>
    </w:p>
    <w:p w14:paraId="3A1DB2D6">
      <w:pPr>
        <w:pStyle w:val="19"/>
        <w:widowControl/>
        <w:numPr>
          <w:ilvl w:val="0"/>
          <w:numId w:val="13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：六级组织架构主数据、关键工序对应表白名单、产品规格型号字典、月度锁账状态。</w:t>
      </w:r>
    </w:p>
    <w:p w14:paraId="0A42EEF4">
      <w:pPr>
        <w:pStyle w:val="19"/>
        <w:widowControl/>
        <w:numPr>
          <w:ilvl w:val="0"/>
          <w:numId w:val="13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：指标管控分子分母原始数据、单耗报表产量数据、相册与大事记展示素材。</w:t>
      </w:r>
    </w:p>
    <w:p w14:paraId="44C2BB6B">
      <w:pPr>
        <w:pStyle w:val="6"/>
        <w:numPr>
          <w:ilvl w:val="0"/>
          <w:numId w:val="13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3534C579">
      <w:pPr>
        <w:pStyle w:val="19"/>
        <w:widowControl/>
        <w:numPr>
          <w:ilvl w:val="0"/>
          <w:numId w:val="13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：车间统计员在月末集中录入当月产品产量、能源消耗、园区相册与大事记四类基层数据，需保证高密快速且防错。</w:t>
      </w:r>
    </w:p>
    <w:p w14:paraId="022CC37D">
      <w:pPr>
        <w:pStyle w:val="19"/>
        <w:widowControl/>
        <w:numPr>
          <w:ilvl w:val="0"/>
          <w:numId w:val="13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69F3D7FA">
      <w:pPr>
        <w:pStyle w:val="19"/>
        <w:widowControl/>
        <w:numPr>
          <w:ilvl w:val="0"/>
          <w:numId w:val="13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车间填报员 (Persona P3)</w:t>
      </w:r>
      <w:r>
        <w:rPr>
          <w:rFonts w:ascii="Times New Roman" w:hAnsi="Times New Roman" w:eastAsia="宋体" w:cs="Times New Roman"/>
          <w:i w:val="0"/>
          <w:color w:val="1F2937"/>
          <w:sz w:val="24"/>
          <w:szCs w:val="24"/>
        </w:rPr>
        <w:t>，</w:t>
      </w:r>
    </w:p>
    <w:p w14:paraId="75203ACA">
      <w:pPr>
        <w:pStyle w:val="19"/>
        <w:widowControl/>
        <w:numPr>
          <w:ilvl w:val="0"/>
          <w:numId w:val="13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在四个标签页中快速录入产量、能耗、相册与大事记，并由系统自动校验单位与数值合法性</w:t>
      </w:r>
      <w:r>
        <w:rPr>
          <w:rFonts w:ascii="Times New Roman" w:hAnsi="Times New Roman" w:eastAsia="宋体" w:cs="Times New Roman"/>
          <w:i w:val="0"/>
          <w:color w:val="1F2937"/>
          <w:sz w:val="24"/>
          <w:szCs w:val="24"/>
        </w:rPr>
        <w:t>，</w:t>
      </w:r>
    </w:p>
    <w:p w14:paraId="146973A5">
      <w:pPr>
        <w:pStyle w:val="19"/>
        <w:widowControl/>
        <w:numPr>
          <w:ilvl w:val="0"/>
          <w:numId w:val="13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我能高效完成月度基层数据上报且不因录错导致核算失真</w:t>
      </w:r>
      <w:r>
        <w:rPr>
          <w:rFonts w:ascii="Times New Roman" w:hAnsi="Times New Roman" w:eastAsia="宋体" w:cs="Times New Roman"/>
          <w:i w:val="0"/>
          <w:color w:val="1F2937"/>
          <w:sz w:val="24"/>
          <w:szCs w:val="24"/>
        </w:rPr>
        <w:t>。</w:t>
      </w:r>
    </w:p>
    <w:p w14:paraId="5C3EBA7C">
      <w:pPr>
        <w:pStyle w:val="6"/>
        <w:numPr>
          <w:ilvl w:val="0"/>
          <w:numId w:val="13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08FE9400">
      <w:pPr>
        <w:pStyle w:val="19"/>
        <w:widowControl/>
        <w:ind w:firstLine="482" w:firstLineChars="200"/>
        <w:outlineLvl w:val="3"/>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四大核心工作台（标签页划分）：</w:t>
      </w:r>
    </w:p>
    <w:p w14:paraId="1DCF4165">
      <w:pPr>
        <w:pStyle w:val="7"/>
        <w:numPr>
          <w:ilvl w:val="0"/>
          <w:numId w:val="135"/>
        </w:numPr>
        <w:ind w:left="0" w:leftChars="0" w:firstLine="0" w:firstLineChars="0"/>
        <w:rPr>
          <w:rFonts w:eastAsia="黑体"/>
          <w:b w:val="0"/>
          <w:bCs/>
          <w:sz w:val="28"/>
          <w:szCs w:val="28"/>
        </w:rPr>
      </w:pPr>
      <w:r>
        <w:rPr>
          <w:rFonts w:ascii="Times New Roman" w:hAnsi="Times New Roman" w:eastAsia="黑体" w:cs="Times New Roman"/>
          <w:b w:val="0"/>
          <w:bCs/>
          <w:sz w:val="28"/>
          <w:szCs w:val="28"/>
        </w:rPr>
        <w:t>Tab 1：产品产量录入</w:t>
      </w:r>
    </w:p>
    <w:p w14:paraId="26E6428A">
      <w:pPr>
        <w:pStyle w:val="19"/>
        <w:widowControl/>
        <w:numPr>
          <w:ilvl w:val="0"/>
          <w:numId w:val="136"/>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布局与跨行合并</w:t>
      </w:r>
      <w:r>
        <w:rPr>
          <w:rFonts w:ascii="Times New Roman" w:hAnsi="Times New Roman" w:eastAsia="宋体" w:cs="Times New Roman"/>
          <w:i w:val="0"/>
          <w:color w:val="1F2937"/>
          <w:sz w:val="24"/>
          <w:szCs w:val="24"/>
        </w:rPr>
        <w:t>：同生产单位、同工序的跨行单元格自动合并居中。</w:t>
      </w:r>
    </w:p>
    <w:p w14:paraId="0BD3FA8C">
      <w:pPr>
        <w:pStyle w:val="19"/>
        <w:widowControl/>
        <w:numPr>
          <w:ilvl w:val="0"/>
          <w:numId w:val="136"/>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单位自适应联动</w:t>
      </w:r>
      <w:r>
        <w:rPr>
          <w:rFonts w:ascii="Times New Roman" w:hAnsi="Times New Roman" w:eastAsia="宋体" w:cs="Times New Roman"/>
          <w:i w:val="0"/>
          <w:color w:val="1F2937"/>
          <w:sz w:val="24"/>
          <w:szCs w:val="24"/>
        </w:rPr>
        <w:t>：选择变压器产品单位自动锁定为台/kVA；选择线缆自动联动为 km·mm²。</w:t>
      </w:r>
    </w:p>
    <w:p w14:paraId="0CF12D8D">
      <w:pPr>
        <w:pStyle w:val="19"/>
        <w:widowControl/>
        <w:numPr>
          <w:ilvl w:val="0"/>
          <w:numId w:val="136"/>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防错校验</w:t>
      </w:r>
      <w:r>
        <w:rPr>
          <w:rFonts w:ascii="Times New Roman" w:hAnsi="Times New Roman" w:eastAsia="宋体" w:cs="Times New Roman"/>
          <w:i w:val="0"/>
          <w:color w:val="1F2937"/>
          <w:sz w:val="24"/>
          <w:szCs w:val="24"/>
        </w:rPr>
        <w:t xml:space="preserve">：产量输入必须 ≥ 0，录入负数即时触发 </w:t>
      </w:r>
      <w:r>
        <w:rPr>
          <w:rFonts w:ascii="Times New Roman" w:hAnsi="Times New Roman" w:eastAsia="宋体" w:cs="Times New Roman"/>
          <w:b w:val="0"/>
          <w:i w:val="0"/>
          <w:color w:val="0284C7"/>
          <w:sz w:val="24"/>
          <w:szCs w:val="24"/>
        </w:rPr>
        <w:t xml:space="preserve"> E_VAL_ENERGY_NEGATIVE </w:t>
      </w:r>
      <w:r>
        <w:rPr>
          <w:rFonts w:ascii="Times New Roman" w:hAnsi="Times New Roman" w:eastAsia="宋体" w:cs="Times New Roman"/>
          <w:i w:val="0"/>
          <w:color w:val="1F2937"/>
          <w:sz w:val="24"/>
          <w:szCs w:val="24"/>
        </w:rPr>
        <w:t xml:space="preserve"> 阻断。</w:t>
      </w:r>
    </w:p>
    <w:p w14:paraId="0809562B">
      <w:pPr>
        <w:pStyle w:val="7"/>
        <w:numPr>
          <w:ilvl w:val="0"/>
          <w:numId w:val="135"/>
        </w:numPr>
        <w:ind w:left="0" w:leftChars="0" w:firstLine="0" w:firstLineChars="0"/>
        <w:rPr>
          <w:rFonts w:eastAsia="黑体"/>
          <w:b w:val="0"/>
          <w:bCs/>
          <w:sz w:val="28"/>
          <w:szCs w:val="28"/>
        </w:rPr>
      </w:pPr>
      <w:r>
        <w:rPr>
          <w:rFonts w:ascii="Times New Roman" w:hAnsi="Times New Roman" w:eastAsia="黑体" w:cs="Times New Roman"/>
          <w:b w:val="0"/>
          <w:bCs/>
          <w:sz w:val="28"/>
          <w:szCs w:val="28"/>
        </w:rPr>
        <w:t>Tab 2：能源消耗录入</w:t>
      </w:r>
    </w:p>
    <w:p w14:paraId="13B51B47">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结构与 Tab 1 严格 100% 同构，按电力、水资源、天然气、蒸汽四介质分组合并展示。支持起码、止码输入自动计算实物量，并带非负拦截校验。</w:t>
      </w:r>
    </w:p>
    <w:p w14:paraId="77380A56">
      <w:pPr>
        <w:pStyle w:val="7"/>
        <w:numPr>
          <w:ilvl w:val="0"/>
          <w:numId w:val="135"/>
        </w:numPr>
        <w:ind w:left="0" w:leftChars="0" w:firstLine="0" w:firstLineChars="0"/>
        <w:rPr>
          <w:rFonts w:eastAsia="黑体"/>
          <w:b w:val="0"/>
          <w:bCs/>
          <w:sz w:val="28"/>
          <w:szCs w:val="28"/>
        </w:rPr>
      </w:pPr>
      <w:r>
        <w:rPr>
          <w:rFonts w:ascii="Times New Roman" w:hAnsi="Times New Roman" w:eastAsia="黑体" w:cs="Times New Roman"/>
          <w:b w:val="0"/>
          <w:bCs/>
          <w:sz w:val="28"/>
          <w:szCs w:val="28"/>
        </w:rPr>
        <w:t>Tab 3：园区相册维护 与 Tab 4：园区大事记维护</w:t>
      </w:r>
    </w:p>
    <w:p w14:paraId="662A8AC9">
      <w:pPr>
        <w:pStyle w:val="19"/>
        <w:widowControl/>
        <w:numPr>
          <w:ilvl w:val="0"/>
          <w:numId w:val="13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园区相册维护</w:t>
      </w:r>
      <w:r>
        <w:rPr>
          <w:rFonts w:ascii="Times New Roman" w:hAnsi="Times New Roman" w:eastAsia="宋体" w:cs="Times New Roman"/>
          <w:i w:val="0"/>
          <w:color w:val="1F2937"/>
          <w:sz w:val="24"/>
          <w:szCs w:val="24"/>
        </w:rPr>
        <w:t>：支持各基地实景高清图上传（限制 10MB，JPG/PNG/WEBP），配置相册标题、拍摄日期、展示排序与轮播激活开关。</w:t>
      </w:r>
    </w:p>
    <w:p w14:paraId="023DD2EE">
      <w:pPr>
        <w:pStyle w:val="19"/>
        <w:widowControl/>
        <w:numPr>
          <w:ilvl w:val="0"/>
          <w:numId w:val="13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园区大事记维护</w:t>
      </w:r>
      <w:r>
        <w:rPr>
          <w:rFonts w:ascii="Times New Roman" w:hAnsi="Times New Roman" w:eastAsia="宋体" w:cs="Times New Roman"/>
          <w:i w:val="0"/>
          <w:color w:val="1F2937"/>
          <w:sz w:val="24"/>
          <w:szCs w:val="24"/>
        </w:rPr>
        <w:t>：时间轴节点式录入里程碑事件（如光伏全容量并网、获批国家级零碳工厂等），支持事件标题、发生日期、详细描述与荣誉徽章配置。</w:t>
      </w:r>
    </w:p>
    <w:p w14:paraId="4FB598C4">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通用交互规则</w:t>
      </w:r>
      <w:r>
        <w:rPr>
          <w:rFonts w:ascii="Times New Roman" w:hAnsi="Times New Roman" w:eastAsia="宋体" w:cs="Times New Roman"/>
          <w:i w:val="0"/>
          <w:color w:val="1F2937"/>
          <w:sz w:val="24"/>
          <w:szCs w:val="24"/>
        </w:rPr>
        <w:t>：提交采用幂等 Token 防刷；已关账月度数据禁止录入，输入框整体置灰。</w:t>
      </w:r>
    </w:p>
    <w:p w14:paraId="4F834F29">
      <w:pPr>
        <w:pStyle w:val="6"/>
        <w:numPr>
          <w:ilvl w:val="0"/>
          <w:numId w:val="13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p w14:paraId="1F56F71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Tab 1：产品产量录入</w:t>
      </w:r>
    </w:p>
    <w:tbl>
      <w:tblPr>
        <w:tblStyle w:val="38"/>
        <w:tblW w:w="10517" w:type="dxa"/>
        <w:jc w:val="center"/>
        <w:tblLayout w:type="autofit"/>
        <w:tblCellMar>
          <w:top w:w="0" w:type="dxa"/>
          <w:left w:w="108" w:type="dxa"/>
          <w:bottom w:w="0" w:type="dxa"/>
          <w:right w:w="108" w:type="dxa"/>
        </w:tblCellMar>
      </w:tblPr>
      <w:tblGrid>
        <w:gridCol w:w="817"/>
        <w:gridCol w:w="1177"/>
        <w:gridCol w:w="1299"/>
        <w:gridCol w:w="1656"/>
        <w:gridCol w:w="2592"/>
        <w:gridCol w:w="2976"/>
      </w:tblGrid>
      <w:tr w14:paraId="492FA988">
        <w:tblPrEx>
          <w:tblCellMar>
            <w:top w:w="0" w:type="dxa"/>
            <w:left w:w="108" w:type="dxa"/>
            <w:bottom w:w="0" w:type="dxa"/>
            <w:right w:w="108" w:type="dxa"/>
          </w:tblCellMar>
        </w:tblPrEx>
        <w:trPr>
          <w:tblHeade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F94E3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82FD2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2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929DD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65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C7852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单位</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9242E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界面控件</w:t>
            </w:r>
          </w:p>
        </w:tc>
        <w:tc>
          <w:tcPr>
            <w:tcW w:w="297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41092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21A6BCB1">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8E5E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5CC9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生产单位名称</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1D6C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137FC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1A43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下拉级联选择器</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9897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必须在六级组织架构有效生产基地内</w:t>
            </w:r>
          </w:p>
        </w:tc>
      </w:tr>
      <w:tr w14:paraId="6673CB95">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3E9C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06FCB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生产涉及工序</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55E2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24DA5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B6E4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下拉级联选择器</w:t>
            </w:r>
          </w:p>
        </w:tc>
        <w:tc>
          <w:tcPr>
            <w:tcW w:w="29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61E8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严格受控于《关键工序对应表》白名单</w:t>
            </w:r>
          </w:p>
        </w:tc>
      </w:tr>
      <w:tr w14:paraId="62C5DF53">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B060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2E50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产品大类分类</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4947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D16C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变压器/线缆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5F9B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单选 Radio</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0E9C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决定规格型号联动字典</w:t>
            </w:r>
          </w:p>
        </w:tc>
      </w:tr>
      <w:tr w14:paraId="3DA6376E">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08B3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A25B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产品规格型号</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58E5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34A4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24E3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文本输入/模糊匹配</w:t>
            </w:r>
          </w:p>
        </w:tc>
        <w:tc>
          <w:tcPr>
            <w:tcW w:w="29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D55D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非空，最长 64 字符</w:t>
            </w:r>
          </w:p>
        </w:tc>
      </w:tr>
      <w:tr w14:paraId="03875CC8">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3E31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513A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产品产量数值</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44B8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DA89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自适应</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5223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数字输入框 (Number)</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A431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必须 ≥ 0.00，录入负数前端即时拦截</w:t>
            </w:r>
          </w:p>
        </w:tc>
      </w:tr>
      <w:tr w14:paraId="263DA0C8">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DEE0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5A8E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录入填报人员</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A650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53A2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3071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系统登录态自动带出</w:t>
            </w:r>
          </w:p>
        </w:tc>
        <w:tc>
          <w:tcPr>
            <w:tcW w:w="29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E4DE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只读禁用，记录员工真实工号</w:t>
            </w:r>
          </w:p>
        </w:tc>
      </w:tr>
      <w:tr w14:paraId="32D0D93C">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669E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4D91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统计核算月份</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C32B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1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077D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964EA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月份选择器 (MonthPicker)</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283D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不可晚于当前月，关账后禁止填报</w:t>
            </w:r>
          </w:p>
        </w:tc>
      </w:tr>
      <w:tr w14:paraId="666E3AB8">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0777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17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86B9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起码 / 止码</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473B4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FC216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表计单位</w:t>
            </w:r>
          </w:p>
        </w:tc>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D9A5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数字输入框</w:t>
            </w:r>
          </w:p>
        </w:tc>
        <w:tc>
          <w:tcPr>
            <w:tcW w:w="29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2AC7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止码 ≥ 起码，否则拦截</w:t>
            </w:r>
          </w:p>
        </w:tc>
      </w:tr>
    </w:tbl>
    <w:p w14:paraId="7784B77E">
      <w:pPr>
        <w:spacing w:after="60"/>
        <w:rPr>
          <w:rFonts w:hint="eastAsia" w:ascii="宋体" w:hAnsi="宋体" w:eastAsia="宋体" w:cs="宋体"/>
          <w:i w:val="0"/>
          <w:iCs w:val="0"/>
          <w:sz w:val="24"/>
          <w:szCs w:val="24"/>
        </w:rPr>
      </w:pPr>
    </w:p>
    <w:p w14:paraId="7707A898">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Tab 3 / Tab 4：相册与大事记</w:t>
      </w:r>
    </w:p>
    <w:tbl>
      <w:tblPr>
        <w:tblStyle w:val="38"/>
        <w:tblW w:w="9784" w:type="dxa"/>
        <w:jc w:val="center"/>
        <w:tblLayout w:type="autofit"/>
        <w:tblCellMar>
          <w:top w:w="0" w:type="dxa"/>
          <w:left w:w="108" w:type="dxa"/>
          <w:bottom w:w="0" w:type="dxa"/>
          <w:right w:w="108" w:type="dxa"/>
        </w:tblCellMar>
      </w:tblPr>
      <w:tblGrid>
        <w:gridCol w:w="749"/>
        <w:gridCol w:w="1913"/>
        <w:gridCol w:w="1331"/>
        <w:gridCol w:w="1592"/>
        <w:gridCol w:w="4199"/>
      </w:tblGrid>
      <w:tr w14:paraId="6274256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ED2B6E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21264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D47953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7308EA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单位</w:t>
            </w:r>
          </w:p>
        </w:tc>
        <w:tc>
          <w:tcPr>
            <w:tcW w:w="41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E40A72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1F645F9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DD8C08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42656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相册标题</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E5640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D9BB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847B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非空，最长 64 字符</w:t>
            </w:r>
          </w:p>
        </w:tc>
      </w:tr>
      <w:tr w14:paraId="2EC201A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10619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0293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实景图片附件</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D7A23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File</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CCDB2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CFE4C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限制 10MB，格式 JPG/PNG/WEBP</w:t>
            </w:r>
          </w:p>
        </w:tc>
      </w:tr>
      <w:tr w14:paraId="362E219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4DB974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246BF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拍摄日期</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A6CEF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289FF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1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1135F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不得晚于当前日期</w:t>
            </w:r>
          </w:p>
        </w:tc>
      </w:tr>
      <w:tr w14:paraId="3BFAFB06">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D7D95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8AB7E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展示排序</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F0784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Integer</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6901A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56889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正整数，同相册内唯一</w:t>
            </w:r>
          </w:p>
        </w:tc>
      </w:tr>
      <w:tr w14:paraId="0A92501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5390D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D291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轮播激活开关</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4ADE9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Boolean</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1A60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1F276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单园区最多激活 10 张</w:t>
            </w:r>
          </w:p>
        </w:tc>
      </w:tr>
      <w:tr w14:paraId="095F776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F161F7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7DE67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事件标题</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D616E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FB83F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76D71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非空，最长 128 字符</w:t>
            </w:r>
          </w:p>
        </w:tc>
      </w:tr>
      <w:tr w14:paraId="1545BE8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070A73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DB45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发生日期</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F701B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A7ECE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1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076CC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不得晚于当前日期</w:t>
            </w:r>
          </w:p>
        </w:tc>
      </w:tr>
      <w:tr w14:paraId="4FDAFBE7">
        <w:tblPrEx>
          <w:tblCellMar>
            <w:top w:w="0" w:type="dxa"/>
            <w:left w:w="108" w:type="dxa"/>
            <w:bottom w:w="0" w:type="dxa"/>
            <w:right w:w="108" w:type="dxa"/>
          </w:tblCellMar>
        </w:tblPrEx>
        <w:trPr>
          <w:jc w:val="center"/>
        </w:trPr>
        <w:tc>
          <w:tcPr>
            <w:tcW w:w="7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4A90F8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91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9123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荣誉徽章配置</w:t>
            </w:r>
          </w:p>
        </w:tc>
        <w:tc>
          <w:tcPr>
            <w:tcW w:w="13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7AEB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5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8E835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610E5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国家级/省级/集团级/无</w:t>
            </w:r>
          </w:p>
        </w:tc>
      </w:tr>
    </w:tbl>
    <w:p w14:paraId="096571F7">
      <w:pPr>
        <w:spacing w:after="60"/>
        <w:rPr>
          <w:rFonts w:hint="eastAsia" w:ascii="宋体" w:hAnsi="宋体" w:eastAsia="宋体" w:cs="宋体"/>
          <w:i w:val="0"/>
          <w:iCs w:val="0"/>
          <w:sz w:val="24"/>
          <w:szCs w:val="24"/>
        </w:rPr>
      </w:pPr>
    </w:p>
    <w:p w14:paraId="49131597">
      <w:pPr>
        <w:pStyle w:val="6"/>
        <w:numPr>
          <w:ilvl w:val="0"/>
          <w:numId w:val="13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62CA7262">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207B891E">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Q_actual = ( Meter_end - Meter_start ) × Ratio     实物量 =（止码 − 起码）× 倍率</w:t>
            </w:r>
          </w:p>
          <w:p w14:paraId="59AA7294">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Guard: Meter_end &gt;= Meter_start                     止码校验</w:t>
            </w:r>
          </w:p>
          <w:p w14:paraId="6E9996F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Guard: Q_prod &gt;= 0                                  产量非负校验</w:t>
            </w:r>
          </w:p>
          <w:p w14:paraId="58DB75F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Guard: Month &lt;= CurrentMonth                        月份上限校验</w:t>
            </w:r>
          </w:p>
          <w:p w14:paraId="39C3936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Idempotent = Token( empID + month + rowNo )         提交幂等键</w:t>
            </w:r>
          </w:p>
        </w:tc>
      </w:tr>
    </w:tbl>
    <w:p w14:paraId="79693A7F">
      <w:pPr>
        <w:spacing w:after="40"/>
        <w:rPr>
          <w:rFonts w:hint="eastAsia" w:ascii="宋体" w:hAnsi="宋体" w:eastAsia="宋体" w:cs="宋体"/>
          <w:i w:val="0"/>
          <w:iCs w:val="0"/>
          <w:sz w:val="24"/>
          <w:szCs w:val="24"/>
        </w:rPr>
      </w:pPr>
    </w:p>
    <w:p w14:paraId="52D504EF">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Ratio </w:t>
      </w:r>
      <w:r>
        <w:rPr>
          <w:rFonts w:ascii="Times New Roman" w:hAnsi="Times New Roman" w:eastAsia="宋体" w:cs="Times New Roman"/>
          <w:i w:val="0"/>
          <w:color w:val="1F2937"/>
          <w:sz w:val="24"/>
          <w:szCs w:val="24"/>
        </w:rPr>
        <w:t xml:space="preserve"> 为表计倍率；</w:t>
      </w:r>
      <w:r>
        <w:rPr>
          <w:rFonts w:ascii="Times New Roman" w:hAnsi="Times New Roman" w:eastAsia="宋体" w:cs="Times New Roman"/>
          <w:b w:val="0"/>
          <w:i w:val="0"/>
          <w:color w:val="0284C7"/>
          <w:sz w:val="24"/>
          <w:szCs w:val="24"/>
        </w:rPr>
        <w:t xml:space="preserve"> Q_prod </w:t>
      </w:r>
      <w:r>
        <w:rPr>
          <w:rFonts w:ascii="Times New Roman" w:hAnsi="Times New Roman" w:eastAsia="宋体" w:cs="Times New Roman"/>
          <w:i w:val="0"/>
          <w:color w:val="1F2937"/>
          <w:sz w:val="24"/>
          <w:szCs w:val="24"/>
        </w:rPr>
        <w:t xml:space="preserve"> 为产品产量；幂等键由填报人工号、统计月份与行号组合生成，保证同一条记录重复提交仅入库一次。</w:t>
      </w:r>
    </w:p>
    <w:p w14:paraId="26FEF8B0">
      <w:pPr>
        <w:pStyle w:val="6"/>
        <w:numPr>
          <w:ilvl w:val="0"/>
          <w:numId w:val="13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6C518CDB">
      <w:pPr>
        <w:pStyle w:val="19"/>
        <w:widowControl/>
        <w:numPr>
          <w:ilvl w:val="0"/>
          <w:numId w:val="13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单位口径</w:t>
      </w:r>
      <w:r>
        <w:rPr>
          <w:rFonts w:ascii="Times New Roman" w:hAnsi="Times New Roman" w:eastAsia="宋体" w:cs="Times New Roman"/>
          <w:i w:val="0"/>
          <w:color w:val="1F2937"/>
          <w:sz w:val="24"/>
          <w:szCs w:val="24"/>
        </w:rPr>
        <w:t>：单位自适应由产品大类决定，用户不可手动改写。</w:t>
      </w:r>
    </w:p>
    <w:p w14:paraId="5D06BF9E">
      <w:pPr>
        <w:pStyle w:val="19"/>
        <w:widowControl/>
        <w:numPr>
          <w:ilvl w:val="0"/>
          <w:numId w:val="13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工序口径</w:t>
      </w:r>
      <w:r>
        <w:rPr>
          <w:rFonts w:ascii="Times New Roman" w:hAnsi="Times New Roman" w:eastAsia="宋体" w:cs="Times New Roman"/>
          <w:i w:val="0"/>
          <w:color w:val="1F2937"/>
          <w:sz w:val="24"/>
          <w:szCs w:val="24"/>
        </w:rPr>
        <w:t>：工序下拉严格受控于《关键工序对应表》白名单，非白名单工序不可选。</w:t>
      </w:r>
    </w:p>
    <w:p w14:paraId="03564DA4">
      <w:pPr>
        <w:pStyle w:val="19"/>
        <w:widowControl/>
        <w:numPr>
          <w:ilvl w:val="0"/>
          <w:numId w:val="13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月份口径</w:t>
      </w:r>
      <w:r>
        <w:rPr>
          <w:rFonts w:ascii="Times New Roman" w:hAnsi="Times New Roman" w:eastAsia="宋体" w:cs="Times New Roman"/>
          <w:i w:val="0"/>
          <w:color w:val="1F2937"/>
          <w:sz w:val="24"/>
          <w:szCs w:val="24"/>
        </w:rPr>
        <w:t>：统计核算月份不可晚于当前月；关账后输入整体置灰。</w:t>
      </w:r>
    </w:p>
    <w:p w14:paraId="2F2E81ED">
      <w:pPr>
        <w:pStyle w:val="19"/>
        <w:widowControl/>
        <w:numPr>
          <w:ilvl w:val="0"/>
          <w:numId w:val="13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流转口径</w:t>
      </w:r>
      <w:r>
        <w:rPr>
          <w:rFonts w:ascii="Times New Roman" w:hAnsi="Times New Roman" w:eastAsia="宋体" w:cs="Times New Roman"/>
          <w:i w:val="0"/>
          <w:color w:val="1F2937"/>
          <w:sz w:val="24"/>
          <w:szCs w:val="24"/>
        </w:rPr>
        <w:t>：空白 → 录入中 → 已暂存 → 已提交 → 已入账 → 锁账。</w:t>
      </w:r>
    </w:p>
    <w:p w14:paraId="6DDDB44E">
      <w:pPr>
        <w:pStyle w:val="6"/>
        <w:numPr>
          <w:ilvl w:val="0"/>
          <w:numId w:val="13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76C97C7E">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4D7C0F4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产量录入负数：触发 </w:t>
            </w:r>
            <w:r>
              <w:rPr>
                <w:rFonts w:hint="eastAsia" w:ascii="宋体" w:hAnsi="宋体" w:eastAsia="宋体" w:cs="宋体"/>
                <w:b w:val="0"/>
                <w:i w:val="0"/>
                <w:iCs w:val="0"/>
                <w:color w:val="0284C7"/>
                <w:sz w:val="24"/>
                <w:szCs w:val="24"/>
              </w:rPr>
              <w:t xml:space="preserve"> E_VAL_PROD_QTY_NEGATIVE </w:t>
            </w:r>
            <w:r>
              <w:rPr>
                <w:rFonts w:hint="eastAsia" w:ascii="宋体" w:hAnsi="宋体" w:eastAsia="宋体" w:cs="宋体"/>
                <w:i w:val="0"/>
                <w:iCs w:val="0"/>
                <w:color w:val="1F2937"/>
                <w:sz w:val="24"/>
                <w:szCs w:val="24"/>
              </w:rPr>
              <w:t>，前端红框高亮并阻断提交。</w:t>
            </w:r>
          </w:p>
          <w:p w14:paraId="7F51E96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能源消耗录入负数：触发 </w:t>
            </w:r>
            <w:r>
              <w:rPr>
                <w:rFonts w:hint="eastAsia" w:ascii="宋体" w:hAnsi="宋体" w:eastAsia="宋体" w:cs="宋体"/>
                <w:b w:val="0"/>
                <w:i w:val="0"/>
                <w:iCs w:val="0"/>
                <w:color w:val="0284C7"/>
                <w:sz w:val="24"/>
                <w:szCs w:val="24"/>
              </w:rPr>
              <w:t xml:space="preserve"> E_VAL_ENERGY_NEGATIVE </w:t>
            </w:r>
            <w:r>
              <w:rPr>
                <w:rFonts w:hint="eastAsia" w:ascii="宋体" w:hAnsi="宋体" w:eastAsia="宋体" w:cs="宋体"/>
                <w:i w:val="0"/>
                <w:iCs w:val="0"/>
                <w:color w:val="1F2937"/>
                <w:sz w:val="24"/>
                <w:szCs w:val="24"/>
              </w:rPr>
              <w:t>，同样即时拦截。</w:t>
            </w:r>
          </w:p>
          <w:p w14:paraId="5242264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止码小于起码：前端即时拦截，禁止发送请求。</w:t>
            </w:r>
          </w:p>
          <w:p w14:paraId="4EC6A4F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- 100ms 内连续点击提交 3 次：触发 </w:t>
            </w:r>
            <w:r>
              <w:rPr>
                <w:rFonts w:hint="eastAsia" w:ascii="宋体" w:hAnsi="宋体" w:eastAsia="宋体" w:cs="宋体"/>
                <w:b w:val="0"/>
                <w:i w:val="0"/>
                <w:iCs w:val="0"/>
                <w:color w:val="0284C7"/>
                <w:sz w:val="24"/>
                <w:szCs w:val="24"/>
              </w:rPr>
              <w:t xml:space="preserve"> E_SYS_CONCURRENCY_LOCK </w:t>
            </w:r>
            <w:r>
              <w:rPr>
                <w:rFonts w:hint="eastAsia" w:ascii="宋体" w:hAnsi="宋体" w:eastAsia="宋体" w:cs="宋体"/>
                <w:i w:val="0"/>
                <w:iCs w:val="0"/>
                <w:color w:val="1F2937"/>
                <w:sz w:val="24"/>
                <w:szCs w:val="24"/>
              </w:rPr>
              <w:t>，仅首笔入库并提示防刷。</w:t>
            </w:r>
          </w:p>
          <w:p w14:paraId="0C74D8D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已关账月度：触发 </w:t>
            </w:r>
            <w:r>
              <w:rPr>
                <w:rFonts w:hint="eastAsia" w:ascii="宋体" w:hAnsi="宋体" w:eastAsia="宋体" w:cs="宋体"/>
                <w:b w:val="0"/>
                <w:i w:val="0"/>
                <w:iCs w:val="0"/>
                <w:color w:val="0284C7"/>
                <w:sz w:val="24"/>
                <w:szCs w:val="24"/>
              </w:rPr>
              <w:t xml:space="preserve"> E_SYS_ENTRY_ALREADY_LOCKED </w:t>
            </w:r>
            <w:r>
              <w:rPr>
                <w:rFonts w:hint="eastAsia" w:ascii="宋体" w:hAnsi="宋体" w:eastAsia="宋体" w:cs="宋体"/>
                <w:i w:val="0"/>
                <w:iCs w:val="0"/>
                <w:color w:val="1F2937"/>
                <w:sz w:val="24"/>
                <w:szCs w:val="24"/>
              </w:rPr>
              <w:t>，提示需 P1 集团高管特批。</w:t>
            </w:r>
          </w:p>
          <w:p w14:paraId="31B961C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相册图片超过 10MB 或格式不符：上传即时拒绝并提示支持格式。</w:t>
            </w:r>
          </w:p>
        </w:tc>
      </w:tr>
    </w:tbl>
    <w:p w14:paraId="2D75BFDD">
      <w:pPr>
        <w:spacing w:after="40"/>
        <w:rPr>
          <w:rFonts w:hint="eastAsia" w:ascii="宋体" w:hAnsi="宋体" w:eastAsia="宋体" w:cs="宋体"/>
          <w:i w:val="0"/>
          <w:iCs w:val="0"/>
          <w:sz w:val="24"/>
          <w:szCs w:val="24"/>
        </w:rPr>
      </w:pPr>
    </w:p>
    <w:p w14:paraId="272C276A">
      <w:pPr>
        <w:pStyle w:val="6"/>
        <w:numPr>
          <w:ilvl w:val="0"/>
          <w:numId w:val="132"/>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4B81AF13">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5F57FDB5">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基层数据录入工作台</w:t>
            </w:r>
          </w:p>
          <w:p w14:paraId="614F818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非负防错校验</w:t>
            </w:r>
          </w:p>
          <w:p w14:paraId="3CE9020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车间填报员在 Tab 1 产品产量录入页</w:t>
            </w:r>
          </w:p>
          <w:p w14:paraId="1B8C637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在生产单位与工序已选中的行内输入产量 -500</w:t>
            </w:r>
          </w:p>
          <w:p w14:paraId="137BB97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输入框即时红框高亮并阻断表单提交</w:t>
            </w:r>
          </w:p>
          <w:p w14:paraId="0FFFC84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返回 E_VAL_PROD_QTY_NEGATIVE</w:t>
            </w:r>
          </w:p>
          <w:p w14:paraId="4F40185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请求未被发送至服务端</w:t>
            </w:r>
          </w:p>
          <w:p w14:paraId="5CB53DBC">
            <w:pPr>
              <w:spacing w:before="0" w:after="20" w:line="264" w:lineRule="auto"/>
              <w:rPr>
                <w:rFonts w:hint="eastAsia" w:ascii="宋体" w:hAnsi="宋体" w:eastAsia="宋体" w:cs="宋体"/>
                <w:i w:val="0"/>
                <w:iCs w:val="0"/>
                <w:sz w:val="24"/>
                <w:szCs w:val="24"/>
              </w:rPr>
            </w:pPr>
          </w:p>
          <w:p w14:paraId="3AE914A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提交并发防刷</w:t>
            </w:r>
          </w:p>
          <w:p w14:paraId="19279F9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填报员已填写完整的一行产量数据</w:t>
            </w:r>
          </w:p>
          <w:p w14:paraId="106BF03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在 100 毫秒内快速连续点击提交按钮 3 次</w:t>
            </w:r>
          </w:p>
          <w:p w14:paraId="743F594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仅首笔交易成功入库</w:t>
            </w:r>
          </w:p>
          <w:p w14:paraId="4AFA83B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其余请求返回 E_SYS_CONCURRENCY_LOCK 并提示勿重复提交</w:t>
            </w:r>
          </w:p>
          <w:p w14:paraId="330C8A00">
            <w:pPr>
              <w:spacing w:before="0" w:after="20" w:line="264" w:lineRule="auto"/>
              <w:rPr>
                <w:rFonts w:hint="eastAsia" w:ascii="宋体" w:hAnsi="宋体" w:eastAsia="宋体" w:cs="宋体"/>
                <w:i w:val="0"/>
                <w:iCs w:val="0"/>
                <w:sz w:val="24"/>
                <w:szCs w:val="24"/>
              </w:rPr>
            </w:pPr>
          </w:p>
          <w:p w14:paraId="0185A55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单位自适应联动</w:t>
            </w:r>
          </w:p>
          <w:p w14:paraId="673CF3E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填报员在产品大类分类中选择"线缆"</w:t>
            </w:r>
          </w:p>
          <w:p w14:paraId="2C5226A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页面完成联动刷新</w:t>
            </w:r>
          </w:p>
          <w:p w14:paraId="1E412C1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产品产量单位自动切换为 km·mm²</w:t>
            </w:r>
          </w:p>
          <w:p w14:paraId="0BDBEED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单位字段不可手动改写</w:t>
            </w:r>
          </w:p>
          <w:p w14:paraId="3BAAF0F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填报员改选"变压器"</w:t>
            </w:r>
          </w:p>
          <w:p w14:paraId="701E78C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单位自动切换为台 / kVA</w:t>
            </w:r>
          </w:p>
          <w:p w14:paraId="7D3EE591">
            <w:pPr>
              <w:spacing w:before="0" w:after="20" w:line="264" w:lineRule="auto"/>
              <w:rPr>
                <w:rFonts w:hint="eastAsia" w:ascii="宋体" w:hAnsi="宋体" w:eastAsia="宋体" w:cs="宋体"/>
                <w:i w:val="0"/>
                <w:iCs w:val="0"/>
                <w:sz w:val="24"/>
                <w:szCs w:val="24"/>
              </w:rPr>
            </w:pPr>
          </w:p>
          <w:p w14:paraId="58DB834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关账月度禁止填报</w:t>
            </w:r>
          </w:p>
          <w:p w14:paraId="399A052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目标统计核算月份已完成财务关账</w:t>
            </w:r>
          </w:p>
          <w:p w14:paraId="36E386F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填报员尝试在该月份录入产量数据</w:t>
            </w:r>
          </w:p>
          <w:p w14:paraId="483EA04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输入控件整体置灰并禁止填写</w:t>
            </w:r>
          </w:p>
          <w:p w14:paraId="32467E4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若强行提交则返回 E_SYS_ENTRY_ALREADY_LOCKED</w:t>
            </w:r>
          </w:p>
        </w:tc>
      </w:tr>
    </w:tbl>
    <w:p w14:paraId="17E44595">
      <w:pPr>
        <w:spacing w:after="40"/>
        <w:rPr>
          <w:rFonts w:hint="eastAsia" w:ascii="宋体" w:hAnsi="宋体" w:eastAsia="宋体" w:cs="宋体"/>
          <w:i w:val="0"/>
          <w:iCs w:val="0"/>
          <w:sz w:val="24"/>
          <w:szCs w:val="24"/>
        </w:rPr>
      </w:pPr>
    </w:p>
    <w:p w14:paraId="65860A16">
      <w:pPr>
        <w:pStyle w:val="5"/>
        <w:numPr>
          <w:ilvl w:val="0"/>
          <w:numId w:val="131"/>
        </w:numPr>
        <w:ind w:left="0" w:leftChars="0" w:firstLine="0" w:firstLineChars="0"/>
        <w:outlineLvl w:val="1"/>
        <w:rPr>
          <w:rFonts w:eastAsia="黑体"/>
          <w:b w:val="0"/>
          <w:bCs w:val="0"/>
          <w:sz w:val="30"/>
          <w:szCs w:val="24"/>
        </w:rPr>
      </w:pPr>
      <w:bookmarkStart w:id="39" w:name="_Toc979"/>
      <w:r>
        <w:rPr>
          <w:rFonts w:ascii="Times New Roman" w:hAnsi="Times New Roman" w:eastAsia="黑体" w:cs="Times New Roman"/>
          <w:b w:val="0"/>
          <w:bCs w:val="0"/>
          <w:sz w:val="30"/>
          <w:szCs w:val="24"/>
        </w:rPr>
        <w:t>基础参数配置</w:t>
      </w:r>
      <w:bookmarkEnd w:id="39"/>
    </w:p>
    <w:p w14:paraId="1F54EE2D">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6210300" cy="3079115"/>
            <wp:effectExtent l="0" t="0" r="0" b="698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pic:cNvPicPr>
                      <a:picLocks noChangeAspect="1"/>
                    </pic:cNvPicPr>
                  </pic:nvPicPr>
                  <pic:blipFill>
                    <a:blip r:embed="rId37"/>
                    <a:stretch>
                      <a:fillRect/>
                    </a:stretch>
                  </pic:blipFill>
                  <pic:spPr>
                    <a:xfrm>
                      <a:off x="0" y="0"/>
                      <a:ext cx="6210300" cy="3079165"/>
                    </a:xfrm>
                    <a:prstGeom prst="rect">
                      <a:avLst/>
                    </a:prstGeom>
                  </pic:spPr>
                </pic:pic>
              </a:graphicData>
            </a:graphic>
          </wp:inline>
        </w:drawing>
      </w:r>
    </w:p>
    <w:p w14:paraId="154452A7">
      <w:pPr>
        <w:pStyle w:val="6"/>
        <w:numPr>
          <w:ilvl w:val="0"/>
          <w:numId w:val="13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212CBD08">
      <w:pPr>
        <w:pStyle w:val="19"/>
        <w:widowControl/>
        <w:numPr>
          <w:ilvl w:val="0"/>
          <w:numId w:val="1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：承载能源价格管理与折标系数管理两大基础参数，实现峰平谷分时电价阶梯版本化维护与国家标准当量/等价折标系数审计留痕。</w:t>
      </w:r>
    </w:p>
    <w:p w14:paraId="0B816626">
      <w:pPr>
        <w:pStyle w:val="19"/>
        <w:widowControl/>
        <w:numPr>
          <w:ilvl w:val="0"/>
          <w:numId w:val="1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园区能碳专员（维护）、PM（审批）。</w:t>
      </w:r>
    </w:p>
    <w:p w14:paraId="546D59B6">
      <w:pPr>
        <w:pStyle w:val="19"/>
        <w:widowControl/>
        <w:numPr>
          <w:ilvl w:val="0"/>
          <w:numId w:val="1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/monitor/basic/config </w:t>
      </w:r>
      <w:r>
        <w:rPr>
          <w:rFonts w:ascii="Times New Roman" w:hAnsi="Times New Roman" w:eastAsia="宋体" w:cs="Times New Roman"/>
          <w:i w:val="0"/>
          <w:color w:val="1F2937"/>
          <w:sz w:val="24"/>
          <w:szCs w:val="24"/>
        </w:rPr>
        <w:t xml:space="preserve">；子页 </w:t>
      </w:r>
      <w:r>
        <w:rPr>
          <w:rFonts w:ascii="Times New Roman" w:hAnsi="Times New Roman" w:eastAsia="宋体" w:cs="Times New Roman"/>
          <w:b w:val="0"/>
          <w:i w:val="0"/>
          <w:color w:val="0284C7"/>
          <w:sz w:val="24"/>
          <w:szCs w:val="24"/>
        </w:rPr>
        <w:t xml:space="preserve"> /price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/coefficient </w:t>
      </w:r>
      <w:r>
        <w:rPr>
          <w:rFonts w:ascii="Times New Roman" w:hAnsi="Times New Roman" w:eastAsia="宋体" w:cs="Times New Roman"/>
          <w:i w:val="0"/>
          <w:color w:val="1F2937"/>
          <w:sz w:val="24"/>
          <w:szCs w:val="24"/>
        </w:rPr>
        <w:t>。</w:t>
      </w:r>
    </w:p>
    <w:p w14:paraId="34FB891A">
      <w:pPr>
        <w:pStyle w:val="19"/>
        <w:widowControl/>
        <w:numPr>
          <w:ilvl w:val="0"/>
          <w:numId w:val="1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：国家电网分时电价政策文件、GB/T 2589 标准文本。</w:t>
      </w:r>
    </w:p>
    <w:p w14:paraId="3B5B2626">
      <w:pPr>
        <w:pStyle w:val="19"/>
        <w:widowControl/>
        <w:numPr>
          <w:ilvl w:val="0"/>
          <w:numId w:val="1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：全平台成本类、折标类计算的统一参数源。</w:t>
      </w:r>
    </w:p>
    <w:p w14:paraId="05053A79">
      <w:pPr>
        <w:pStyle w:val="6"/>
        <w:numPr>
          <w:ilvl w:val="0"/>
          <w:numId w:val="13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190741D8">
      <w:pPr>
        <w:pStyle w:val="19"/>
        <w:widowControl/>
        <w:numPr>
          <w:ilvl w:val="0"/>
          <w:numId w:val="14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：电价政策调整或国家标准更新时，需版本化维护参数并保证历史核算口径不被污染。</w:t>
      </w:r>
    </w:p>
    <w:p w14:paraId="34D7696E">
      <w:pPr>
        <w:pStyle w:val="19"/>
        <w:widowControl/>
        <w:numPr>
          <w:ilvl w:val="0"/>
          <w:numId w:val="14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6284920F">
      <w:pPr>
        <w:pStyle w:val="19"/>
        <w:widowControl/>
        <w:numPr>
          <w:ilvl w:val="0"/>
          <w:numId w:val="14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园区能碳专员 (Persona P2)</w:t>
      </w:r>
      <w:r>
        <w:rPr>
          <w:rFonts w:ascii="Times New Roman" w:hAnsi="Times New Roman" w:eastAsia="宋体" w:cs="Times New Roman"/>
          <w:i w:val="0"/>
          <w:color w:val="1F2937"/>
          <w:sz w:val="24"/>
          <w:szCs w:val="24"/>
        </w:rPr>
        <w:t>，</w:t>
      </w:r>
    </w:p>
    <w:p w14:paraId="5AF27C0E">
      <w:pPr>
        <w:pStyle w:val="19"/>
        <w:widowControl/>
        <w:numPr>
          <w:ilvl w:val="0"/>
          <w:numId w:val="14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版本化维护分时电价阶梯与折标系数，并明确系数变更对历史核算的影响策略</w:t>
      </w:r>
      <w:r>
        <w:rPr>
          <w:rFonts w:ascii="Times New Roman" w:hAnsi="Times New Roman" w:eastAsia="宋体" w:cs="Times New Roman"/>
          <w:i w:val="0"/>
          <w:color w:val="1F2937"/>
          <w:sz w:val="24"/>
          <w:szCs w:val="24"/>
        </w:rPr>
        <w:t>，</w:t>
      </w:r>
    </w:p>
    <w:p w14:paraId="130FC69E">
      <w:pPr>
        <w:pStyle w:val="19"/>
        <w:widowControl/>
        <w:numPr>
          <w:ilvl w:val="0"/>
          <w:numId w:val="14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我能保证参数变更可追溯、历史报表口径不被追溯性污染</w:t>
      </w:r>
      <w:r>
        <w:rPr>
          <w:rFonts w:ascii="Times New Roman" w:hAnsi="Times New Roman" w:eastAsia="宋体" w:cs="Times New Roman"/>
          <w:i w:val="0"/>
          <w:color w:val="1F2937"/>
          <w:sz w:val="24"/>
          <w:szCs w:val="24"/>
        </w:rPr>
        <w:t>。</w:t>
      </w:r>
    </w:p>
    <w:p w14:paraId="32899B71">
      <w:pPr>
        <w:pStyle w:val="6"/>
        <w:numPr>
          <w:ilvl w:val="0"/>
          <w:numId w:val="13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3D555062">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能源价格管理（细化框架）：</w:t>
      </w:r>
    </w:p>
    <w:p w14:paraId="1DA4B4C1">
      <w:pPr>
        <w:pStyle w:val="19"/>
        <w:widowControl/>
        <w:numPr>
          <w:ilvl w:val="0"/>
          <w:numId w:val="14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维护尖/峰/平/谷分时电价阶梯版本（生效起止日期、各时段价格、基本电费计费方式：按容量或最大需量）；版本化维护，历史版本可查、变更留痕。</w:t>
      </w:r>
    </w:p>
    <w:p w14:paraId="1334B0CB">
      <w:pPr>
        <w:pStyle w:val="19"/>
        <w:widowControl/>
        <w:numPr>
          <w:ilvl w:val="0"/>
          <w:numId w:val="14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字段字典与审批流：能源价格与折标系数均采用版本化字段字典管理（见下方两张字段字典），新增、变更、废止一律经统一工作流引擎审批后生效。</w:t>
      </w:r>
    </w:p>
    <w:p w14:paraId="4E8CF71B">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能源价格管理 · 字段字典：</w:t>
      </w:r>
    </w:p>
    <w:tbl>
      <w:tblPr>
        <w:tblStyle w:val="38"/>
        <w:tblW w:w="9784" w:type="dxa"/>
        <w:jc w:val="center"/>
        <w:tblLayout w:type="autofit"/>
        <w:tblCellMar>
          <w:top w:w="0" w:type="dxa"/>
          <w:left w:w="108" w:type="dxa"/>
          <w:bottom w:w="0" w:type="dxa"/>
          <w:right w:w="108" w:type="dxa"/>
        </w:tblCellMar>
      </w:tblPr>
      <w:tblGrid>
        <w:gridCol w:w="2087"/>
        <w:gridCol w:w="2349"/>
        <w:gridCol w:w="5348"/>
      </w:tblGrid>
      <w:tr w14:paraId="7512FEE9">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E88F90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7E7B9D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534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FA8346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说明</w:t>
            </w:r>
          </w:p>
        </w:tc>
      </w:tr>
      <w:tr w14:paraId="07F4412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A04D8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介质/时段</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555DE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534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AF33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电-尖/峰/平/谷；水/蒸汽/天然气按计量周期</w:t>
            </w:r>
          </w:p>
        </w:tc>
      </w:tr>
      <w:tr w14:paraId="3AEFCCD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9D338F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单价</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D35D1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534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ACB0C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元/kWh、元/m³、元/t</w:t>
            </w:r>
          </w:p>
        </w:tc>
      </w:tr>
      <w:tr w14:paraId="661587D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F78D1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计费方式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DD28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534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C7BEA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基本电费按容量或最大需量</w:t>
            </w:r>
          </w:p>
        </w:tc>
      </w:tr>
      <w:tr w14:paraId="311D87DC">
        <w:tblPrEx>
          <w:tblCellMar>
            <w:top w:w="0" w:type="dxa"/>
            <w:left w:w="108" w:type="dxa"/>
            <w:bottom w:w="0" w:type="dxa"/>
            <w:right w:w="108" w:type="dxa"/>
          </w:tblCellMar>
        </w:tblPrEx>
        <w:trPr>
          <w:jc w:val="center"/>
        </w:trPr>
        <w:tc>
          <w:tcPr>
            <w:tcW w:w="20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9F7032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生效起止/版本号</w:t>
            </w:r>
          </w:p>
        </w:tc>
        <w:tc>
          <w:tcPr>
            <w:tcW w:w="23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6CFAE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DateTime / String</w:t>
            </w:r>
          </w:p>
        </w:tc>
        <w:tc>
          <w:tcPr>
            <w:tcW w:w="534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3E61B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版本化维护，历史版本可查、变更留痕</w:t>
            </w:r>
          </w:p>
        </w:tc>
      </w:tr>
    </w:tbl>
    <w:p w14:paraId="0158EA09">
      <w:pPr>
        <w:spacing w:after="60"/>
        <w:rPr>
          <w:rFonts w:hint="eastAsia" w:ascii="宋体" w:hAnsi="宋体" w:eastAsia="宋体" w:cs="宋体"/>
          <w:i w:val="0"/>
          <w:iCs w:val="0"/>
          <w:sz w:val="24"/>
          <w:szCs w:val="24"/>
        </w:rPr>
      </w:pPr>
    </w:p>
    <w:p w14:paraId="19E1EE1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折标系数管理 · 字段字典：</w:t>
      </w:r>
    </w:p>
    <w:tbl>
      <w:tblPr>
        <w:tblStyle w:val="38"/>
        <w:tblW w:w="9784" w:type="dxa"/>
        <w:jc w:val="center"/>
        <w:tblLayout w:type="autofit"/>
        <w:tblCellMar>
          <w:top w:w="0" w:type="dxa"/>
          <w:left w:w="108" w:type="dxa"/>
          <w:bottom w:w="0" w:type="dxa"/>
          <w:right w:w="108" w:type="dxa"/>
        </w:tblCellMar>
      </w:tblPr>
      <w:tblGrid>
        <w:gridCol w:w="1636"/>
        <w:gridCol w:w="1399"/>
        <w:gridCol w:w="6749"/>
      </w:tblGrid>
      <w:tr w14:paraId="2B0A3524">
        <w:tblPrEx>
          <w:tblCellMar>
            <w:top w:w="0" w:type="dxa"/>
            <w:left w:w="108" w:type="dxa"/>
            <w:bottom w:w="0" w:type="dxa"/>
            <w:right w:w="108" w:type="dxa"/>
          </w:tblCellMar>
        </w:tblPrEx>
        <w:trPr>
          <w:tblHeade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17EA7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w:t>
            </w:r>
          </w:p>
        </w:tc>
        <w:tc>
          <w:tcPr>
            <w:tcW w:w="13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ECFFA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674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D9748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说明</w:t>
            </w:r>
          </w:p>
        </w:tc>
      </w:tr>
      <w:tr w14:paraId="13052153">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53B1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介质</w:t>
            </w:r>
          </w:p>
        </w:tc>
        <w:tc>
          <w:tcPr>
            <w:tcW w:w="13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5AB7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67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DB17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电/水/蒸汽/天然气/油等</w:t>
            </w:r>
          </w:p>
        </w:tc>
      </w:tr>
      <w:tr w14:paraId="154A1369">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DEE8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当量 / 等价系数</w:t>
            </w:r>
          </w:p>
        </w:tc>
        <w:tc>
          <w:tcPr>
            <w:tcW w:w="13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F735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67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60C5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引用 GB/T 2589 等国家标准</w:t>
            </w:r>
          </w:p>
        </w:tc>
      </w:tr>
      <w:tr w14:paraId="733DACCA">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2C73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版本与审计</w:t>
            </w:r>
          </w:p>
        </w:tc>
        <w:tc>
          <w:tcPr>
            <w:tcW w:w="13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368C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67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806B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版本化维护，记录修改人、时间、依据标准；系数变更对历史核算的影响策略固定为「生效时间切片锁定（严格生效日机制）」或「追溯补差调整（财务调账机制）」二选一，且为必填项</w:t>
            </w:r>
          </w:p>
        </w:tc>
      </w:tr>
    </w:tbl>
    <w:p w14:paraId="7800194E">
      <w:pPr>
        <w:spacing w:after="60"/>
        <w:rPr>
          <w:rFonts w:hint="eastAsia" w:ascii="宋体" w:hAnsi="宋体" w:eastAsia="宋体" w:cs="宋体"/>
          <w:i w:val="0"/>
          <w:iCs w:val="0"/>
          <w:sz w:val="24"/>
          <w:szCs w:val="24"/>
        </w:rPr>
      </w:pPr>
    </w:p>
    <w:p w14:paraId="7479CF57">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审批流</w:t>
      </w:r>
      <w:r>
        <w:rPr>
          <w:rFonts w:ascii="Times New Roman" w:hAnsi="Times New Roman" w:eastAsia="宋体" w:cs="Times New Roman"/>
          <w:i w:val="0"/>
          <w:color w:val="1F2937"/>
          <w:sz w:val="24"/>
          <w:szCs w:val="24"/>
        </w:rPr>
        <w:t>：能源价格与折标系数的新增 / 变更 / 废止须由 P2 园区能碳专员提交、PM 审批后生效；审批流程归属第八章统一工作流引擎，审批未通过的版本保持「待审」状态且不可被核算引擎引用。</w:t>
      </w:r>
    </w:p>
    <w:p w14:paraId="350D3184">
      <w:pPr>
        <w:pStyle w:val="6"/>
        <w:numPr>
          <w:ilvl w:val="0"/>
          <w:numId w:val="13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93"/>
        <w:gridCol w:w="1854"/>
        <w:gridCol w:w="1777"/>
        <w:gridCol w:w="1861"/>
        <w:gridCol w:w="3399"/>
      </w:tblGrid>
      <w:tr w14:paraId="23621001">
        <w:tblPrEx>
          <w:tblCellMar>
            <w:top w:w="0" w:type="dxa"/>
            <w:left w:w="108" w:type="dxa"/>
            <w:bottom w:w="0" w:type="dxa"/>
            <w:right w:w="108" w:type="dxa"/>
          </w:tblCellMar>
        </w:tblPrEx>
        <w:trPr>
          <w:tblHeade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3D17B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5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A8D72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77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22BE2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86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10777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3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5CA50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586B248D">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DFBE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5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014F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参数类型</w:t>
            </w:r>
          </w:p>
        </w:tc>
        <w:tc>
          <w:tcPr>
            <w:tcW w:w="177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8B41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8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1FCE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72CF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能源价格 / 折标系数</w:t>
            </w:r>
          </w:p>
        </w:tc>
      </w:tr>
      <w:tr w14:paraId="132C0275">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F4E6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5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4049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介质或时段</w:t>
            </w:r>
          </w:p>
        </w:tc>
        <w:tc>
          <w:tcPr>
            <w:tcW w:w="177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9DCA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8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40E3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CCED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电-尖/峰/平/谷；水/蒸汽/天然气/油</w:t>
            </w:r>
          </w:p>
        </w:tc>
      </w:tr>
      <w:tr w14:paraId="725441F5">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0156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5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31DB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参数数值</w:t>
            </w:r>
          </w:p>
        </w:tc>
        <w:tc>
          <w:tcPr>
            <w:tcW w:w="177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8281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8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D054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元/kWh、tce/单位 等</w:t>
            </w:r>
          </w:p>
        </w:tc>
        <w:tc>
          <w:tcPr>
            <w:tcW w:w="33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829C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&gt; 0，不允许录入负数或零</w:t>
            </w:r>
          </w:p>
        </w:tc>
      </w:tr>
      <w:tr w14:paraId="47122FCC">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0D9F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5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5DFFD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版本号</w:t>
            </w:r>
          </w:p>
        </w:tc>
        <w:tc>
          <w:tcPr>
            <w:tcW w:w="177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7E21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8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D1EA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88F1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唯一，格式 </w:t>
            </w:r>
            <w:r>
              <w:rPr>
                <w:rFonts w:hint="eastAsia" w:ascii="宋体" w:hAnsi="宋体" w:eastAsia="宋体" w:cs="宋体"/>
                <w:b w:val="0"/>
                <w:i w:val="0"/>
                <w:iCs w:val="0"/>
                <w:color w:val="0284C7"/>
                <w:sz w:val="24"/>
                <w:szCs w:val="24"/>
              </w:rPr>
              <w:t xml:space="preserve"> v&lt;年&gt;.&lt;序号&gt; </w:t>
            </w:r>
          </w:p>
        </w:tc>
      </w:tr>
      <w:tr w14:paraId="27F41620">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ACD1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5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39CB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生效开始日期</w:t>
            </w:r>
          </w:p>
        </w:tc>
        <w:tc>
          <w:tcPr>
            <w:tcW w:w="177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8F59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18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FBC5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33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5DDC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新版本不得与在效版本区间重叠</w:t>
            </w:r>
          </w:p>
        </w:tc>
      </w:tr>
      <w:tr w14:paraId="561B831C">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AE9E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85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0DBB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生效结束日期</w:t>
            </w:r>
          </w:p>
        </w:tc>
        <w:tc>
          <w:tcPr>
            <w:tcW w:w="177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189B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18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73C2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33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D9E8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晚于生效开始日期</w:t>
            </w:r>
          </w:p>
        </w:tc>
      </w:tr>
      <w:tr w14:paraId="67E4B2D4">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CBCC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85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841D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依据标准</w:t>
            </w:r>
          </w:p>
        </w:tc>
        <w:tc>
          <w:tcPr>
            <w:tcW w:w="177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62307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8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3BD1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9E3C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折标系数须引用 GB/T 2589 等国家标准</w:t>
            </w:r>
          </w:p>
        </w:tc>
      </w:tr>
      <w:tr w14:paraId="29FC6E28">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E270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85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AE2E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变更影响策略</w:t>
            </w:r>
          </w:p>
        </w:tc>
        <w:tc>
          <w:tcPr>
            <w:tcW w:w="177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939D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8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23A8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1F8B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生效时间切片锁定（严格生效日）/ 追溯补差调整（财务调账），二选一必填</w:t>
            </w:r>
          </w:p>
        </w:tc>
      </w:tr>
      <w:tr w14:paraId="52F12434">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1719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85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1145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修改人 / 修改时间</w:t>
            </w:r>
          </w:p>
        </w:tc>
        <w:tc>
          <w:tcPr>
            <w:tcW w:w="177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1E96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 / DateTime</w:t>
            </w:r>
          </w:p>
        </w:tc>
        <w:tc>
          <w:tcPr>
            <w:tcW w:w="18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1D80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FA00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系统自动记录，不可修改</w:t>
            </w:r>
          </w:p>
        </w:tc>
      </w:tr>
      <w:tr w14:paraId="11960162">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E36D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85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6C7F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审批状态</w:t>
            </w:r>
          </w:p>
        </w:tc>
        <w:tc>
          <w:tcPr>
            <w:tcW w:w="177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B2B8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8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4454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0323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草稿 / 待审 / 生效中 / 已废止</w:t>
            </w:r>
          </w:p>
        </w:tc>
      </w:tr>
    </w:tbl>
    <w:p w14:paraId="36B43110">
      <w:pPr>
        <w:spacing w:after="60"/>
        <w:rPr>
          <w:rFonts w:hint="eastAsia" w:ascii="宋体" w:hAnsi="宋体" w:eastAsia="宋体" w:cs="宋体"/>
          <w:i w:val="0"/>
          <w:iCs w:val="0"/>
          <w:sz w:val="24"/>
          <w:szCs w:val="24"/>
        </w:rPr>
      </w:pPr>
    </w:p>
    <w:p w14:paraId="5261C4C6">
      <w:pPr>
        <w:pStyle w:val="6"/>
        <w:numPr>
          <w:ilvl w:val="0"/>
          <w:numId w:val="13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01EC368B">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52D67C3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Cost = Q × P_version( t )                          按业务发生时间匹配对应生效版本单价</w:t>
            </w:r>
          </w:p>
          <w:p w14:paraId="374F2D7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E_tce = Q_media × k_version( t )                          按介质匹配对应生效版本折标系数</w:t>
            </w:r>
          </w:p>
          <w:p w14:paraId="48FF8DDB">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Guard: [ from_new , to_new ] ∩ [ from_old , to_old ] = ∅                          生效区间不可重叠</w:t>
            </w:r>
          </w:p>
          <w:p w14:paraId="709D703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Strategy = 切片锁定 ? Lock_by_Effective_Date : Adjust_in_Current_Period                          变更影响机制二选一</w:t>
            </w:r>
          </w:p>
        </w:tc>
      </w:tr>
    </w:tbl>
    <w:p w14:paraId="01549E29">
      <w:pPr>
        <w:spacing w:after="40"/>
        <w:rPr>
          <w:rFonts w:hint="eastAsia" w:ascii="宋体" w:hAnsi="宋体" w:eastAsia="宋体" w:cs="宋体"/>
          <w:i w:val="0"/>
          <w:iCs w:val="0"/>
          <w:sz w:val="24"/>
          <w:szCs w:val="24"/>
        </w:rPr>
      </w:pPr>
    </w:p>
    <w:p w14:paraId="1FEE839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i w:val="0"/>
          <w:color w:val="1E3A8A"/>
          <w:sz w:val="24"/>
          <w:szCs w:val="24"/>
        </w:rPr>
        <w:t>P_version(t)</w:t>
      </w:r>
      <w:r>
        <w:rPr>
          <w:rFonts w:ascii="Times New Roman" w:hAnsi="Times New Roman" w:eastAsia="宋体" w:cs="Times New Roman"/>
          <w:i w:val="0"/>
          <w:color w:val="1F2937"/>
          <w:sz w:val="24"/>
          <w:szCs w:val="24"/>
        </w:rPr>
        <w:t xml:space="preserve">  与  </w:t>
      </w:r>
      <w:r>
        <w:rPr>
          <w:rFonts w:ascii="Times New Roman" w:hAnsi="Times New Roman" w:eastAsia="宋体" w:cs="Times New Roman"/>
          <w:b/>
          <w:i w:val="0"/>
          <w:color w:val="1E3A8A"/>
          <w:sz w:val="24"/>
          <w:szCs w:val="24"/>
        </w:rPr>
        <w:t>k_version(t)</w:t>
      </w:r>
      <w:r>
        <w:rPr>
          <w:rFonts w:ascii="Times New Roman" w:hAnsi="Times New Roman" w:eastAsia="宋体" w:cs="Times New Roman"/>
          <w:i w:val="0"/>
          <w:color w:val="1F2937"/>
          <w:sz w:val="24"/>
          <w:szCs w:val="24"/>
        </w:rPr>
        <w:t xml:space="preserve">  为按业务发生时间匹配的版本化参数；版本生效区间严格有序且不可重叠。变更影响策略为必填项，仅允许以下两种受控机制之一：① </w:t>
      </w:r>
      <w:r>
        <w:rPr>
          <w:rFonts w:ascii="Times New Roman" w:hAnsi="Times New Roman" w:eastAsia="宋体" w:cs="Times New Roman"/>
          <w:b/>
          <w:i w:val="0"/>
          <w:color w:val="1E3A8A"/>
          <w:sz w:val="24"/>
          <w:szCs w:val="24"/>
        </w:rPr>
        <w:t>生效时间切片锁定（严格生效日机制）</w:t>
      </w:r>
      <w:r>
        <w:rPr>
          <w:rFonts w:ascii="Times New Roman" w:hAnsi="Times New Roman" w:eastAsia="宋体" w:cs="Times New Roman"/>
          <w:i w:val="0"/>
          <w:color w:val="1F2937"/>
          <w:sz w:val="24"/>
          <w:szCs w:val="24"/>
        </w:rPr>
        <w:t xml:space="preserve">——历史月份核算强绑定业务发生当时生效的价格 / 因子版本，已锁账月份严禁被新配置参数追溯重算；② </w:t>
      </w:r>
      <w:r>
        <w:rPr>
          <w:rFonts w:ascii="Times New Roman" w:hAnsi="Times New Roman" w:eastAsia="宋体" w:cs="Times New Roman"/>
          <w:b/>
          <w:i w:val="0"/>
          <w:color w:val="1E3A8A"/>
          <w:sz w:val="24"/>
          <w:szCs w:val="24"/>
        </w:rPr>
        <w:t>追溯补差调整（财务调账机制）</w:t>
      </w:r>
      <w:r>
        <w:rPr>
          <w:rFonts w:ascii="Times New Roman" w:hAnsi="Times New Roman" w:eastAsia="宋体" w:cs="Times New Roman"/>
          <w:i w:val="0"/>
          <w:color w:val="1F2937"/>
          <w:sz w:val="24"/>
          <w:szCs w:val="24"/>
        </w:rPr>
        <w:t>——电网政策发生追溯性退补电费时，统一在当期新增「电费跨期调整项」计入当期损益，严禁倒改历史报表月份。</w:t>
      </w:r>
    </w:p>
    <w:p w14:paraId="4709B6A3">
      <w:pPr>
        <w:pStyle w:val="6"/>
        <w:numPr>
          <w:ilvl w:val="0"/>
          <w:numId w:val="13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2147DE67">
      <w:pPr>
        <w:pStyle w:val="19"/>
        <w:widowControl/>
        <w:numPr>
          <w:ilvl w:val="0"/>
          <w:numId w:val="14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版本口径</w:t>
      </w:r>
      <w:r>
        <w:rPr>
          <w:rFonts w:ascii="Times New Roman" w:hAnsi="Times New Roman" w:eastAsia="宋体" w:cs="Times New Roman"/>
          <w:i w:val="0"/>
          <w:color w:val="1F2937"/>
          <w:sz w:val="24"/>
          <w:szCs w:val="24"/>
        </w:rPr>
        <w:t>：任何计算均按业务发生时间匹配当时生效版本，严禁使用"当前版本"倒推历史。</w:t>
      </w:r>
    </w:p>
    <w:p w14:paraId="529E317F">
      <w:pPr>
        <w:pStyle w:val="19"/>
        <w:widowControl/>
        <w:numPr>
          <w:ilvl w:val="0"/>
          <w:numId w:val="14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审计口径</w:t>
      </w:r>
      <w:r>
        <w:rPr>
          <w:rFonts w:ascii="Times New Roman" w:hAnsi="Times New Roman" w:eastAsia="宋体" w:cs="Times New Roman"/>
          <w:i w:val="0"/>
          <w:color w:val="1F2937"/>
          <w:sz w:val="24"/>
          <w:szCs w:val="24"/>
        </w:rPr>
        <w:t>：新增/变更/废止全程留痕（修改人、时间、依据标准）。</w:t>
      </w:r>
    </w:p>
    <w:p w14:paraId="355E414B">
      <w:pPr>
        <w:pStyle w:val="19"/>
        <w:widowControl/>
        <w:numPr>
          <w:ilvl w:val="0"/>
          <w:numId w:val="14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影响口径</w:t>
      </w:r>
      <w:r>
        <w:rPr>
          <w:rFonts w:ascii="Times New Roman" w:hAnsi="Times New Roman" w:eastAsia="宋体" w:cs="Times New Roman"/>
          <w:i w:val="0"/>
          <w:color w:val="1F2937"/>
          <w:sz w:val="24"/>
          <w:szCs w:val="24"/>
        </w:rPr>
        <w:t>：系数变更须显式选择「生效时间切片锁定」或「追溯补差调整」，不得默认；选择追溯补差调整的，仅在当期生成「电费跨期调整项」，不倒改历史报表。</w:t>
      </w:r>
    </w:p>
    <w:p w14:paraId="71BB94C6">
      <w:pPr>
        <w:pStyle w:val="19"/>
        <w:widowControl/>
        <w:numPr>
          <w:ilvl w:val="0"/>
          <w:numId w:val="14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审批口径</w:t>
      </w:r>
      <w:r>
        <w:rPr>
          <w:rFonts w:ascii="Times New Roman" w:hAnsi="Times New Roman" w:eastAsia="宋体" w:cs="Times New Roman"/>
          <w:i w:val="0"/>
          <w:color w:val="1F2937"/>
          <w:sz w:val="24"/>
          <w:szCs w:val="24"/>
        </w:rPr>
        <w:t>：未经审核的参数不得生效。</w:t>
      </w:r>
    </w:p>
    <w:p w14:paraId="21A1983F">
      <w:pPr>
        <w:pStyle w:val="6"/>
        <w:numPr>
          <w:ilvl w:val="0"/>
          <w:numId w:val="13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344DEC60">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3179CE8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新版本生效区间与在效版本重叠：前端即时拦截并阻断保存。</w:t>
            </w:r>
          </w:p>
          <w:p w14:paraId="2AE9A4C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参数数值为 0 或负数：触发 </w:t>
            </w:r>
            <w:r>
              <w:rPr>
                <w:rFonts w:hint="eastAsia" w:ascii="宋体" w:hAnsi="宋体" w:eastAsia="宋体" w:cs="宋体"/>
                <w:b w:val="0"/>
                <w:i w:val="0"/>
                <w:iCs w:val="0"/>
                <w:color w:val="0284C7"/>
                <w:sz w:val="24"/>
                <w:szCs w:val="24"/>
              </w:rPr>
              <w:t xml:space="preserve"> E_VAL_ENERGY_NEGATIVE </w:t>
            </w:r>
            <w:r>
              <w:rPr>
                <w:rFonts w:hint="eastAsia" w:ascii="宋体" w:hAnsi="宋体" w:eastAsia="宋体" w:cs="宋体"/>
                <w:i w:val="0"/>
                <w:iCs w:val="0"/>
                <w:color w:val="1F2937"/>
                <w:sz w:val="24"/>
                <w:szCs w:val="24"/>
              </w:rPr>
              <w:t xml:space="preserve"> 类校验拦截。</w:t>
            </w:r>
          </w:p>
          <w:p w14:paraId="2B48126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变更影响策略未选择：保存按钮置灰。</w:t>
            </w:r>
          </w:p>
          <w:p w14:paraId="531C42C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未审批参数被引用：核算引擎忽略该版本并触发 </w:t>
            </w:r>
            <w:r>
              <w:rPr>
                <w:rFonts w:hint="eastAsia" w:ascii="宋体" w:hAnsi="宋体" w:eastAsia="宋体" w:cs="宋体"/>
                <w:b w:val="0"/>
                <w:i w:val="0"/>
                <w:iCs w:val="0"/>
                <w:color w:val="0284C7"/>
                <w:sz w:val="24"/>
                <w:szCs w:val="24"/>
              </w:rPr>
              <w:t xml:space="preserve"> E_VAL_FACTOR_EXPIRED </w:t>
            </w:r>
            <w:r>
              <w:rPr>
                <w:rFonts w:hint="eastAsia" w:ascii="宋体" w:hAnsi="宋体" w:eastAsia="宋体" w:cs="宋体"/>
                <w:i w:val="0"/>
                <w:iCs w:val="0"/>
                <w:color w:val="1F2937"/>
                <w:sz w:val="24"/>
                <w:szCs w:val="24"/>
              </w:rPr>
              <w:t xml:space="preserve"> 类告警。</w:t>
            </w:r>
          </w:p>
        </w:tc>
      </w:tr>
    </w:tbl>
    <w:p w14:paraId="17E27AA4">
      <w:pPr>
        <w:spacing w:after="40"/>
        <w:rPr>
          <w:rFonts w:hint="eastAsia" w:ascii="宋体" w:hAnsi="宋体" w:eastAsia="宋体" w:cs="宋体"/>
          <w:i w:val="0"/>
          <w:iCs w:val="0"/>
          <w:sz w:val="24"/>
          <w:szCs w:val="24"/>
        </w:rPr>
      </w:pPr>
    </w:p>
    <w:p w14:paraId="240E0AA7">
      <w:pPr>
        <w:pStyle w:val="6"/>
        <w:numPr>
          <w:ilvl w:val="0"/>
          <w:numId w:val="139"/>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1C05D3D4">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5F9C8FA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生效区间不可重叠</w:t>
            </w:r>
          </w:p>
          <w:p w14:paraId="28B739C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Given 某介质折标系数已存在生效区间为 2026-01-01 至 2026-06-30 的版本</w:t>
            </w:r>
          </w:p>
          <w:p w14:paraId="1F029C8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When 维护人员新增一个生效开始日期落在该区间内的新版本</w:t>
            </w:r>
          </w:p>
          <w:p w14:paraId="63C142C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Then 前端即时拦截并阻断保存</w:t>
            </w:r>
          </w:p>
          <w:p w14:paraId="20C727E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And 页面提示生效区间不可重叠</w:t>
            </w:r>
          </w:p>
          <w:p w14:paraId="686F9667">
            <w:pPr>
              <w:spacing w:before="0" w:after="20" w:line="264" w:lineRule="auto"/>
              <w:rPr>
                <w:rFonts w:hint="eastAsia" w:ascii="宋体" w:hAnsi="宋体" w:eastAsia="宋体" w:cs="宋体"/>
                <w:i w:val="0"/>
                <w:iCs w:val="0"/>
                <w:sz w:val="24"/>
                <w:szCs w:val="24"/>
              </w:rPr>
            </w:pPr>
          </w:p>
          <w:p w14:paraId="148E3DD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已锁账月份不被新参数追溯重算</w:t>
            </w:r>
          </w:p>
          <w:p w14:paraId="1EADD68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Given 2026 年 3 月的成本报表已按当时生效的电价版本生成并完成锁账</w:t>
            </w:r>
          </w:p>
          <w:p w14:paraId="36D1AF1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When 维护人员新增一个 2026-07-01 起生效的新电价版本</w:t>
            </w:r>
          </w:p>
          <w:p w14:paraId="6B7C0B0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Then 2026 年 3 月的报表数值保持不变</w:t>
            </w:r>
          </w:p>
          <w:p w14:paraId="7E5210B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And 系统按业务发生时间匹配当时生效版本，不使用当前版本倒推历史</w:t>
            </w:r>
          </w:p>
          <w:p w14:paraId="73F6B517">
            <w:pPr>
              <w:spacing w:before="0" w:after="20" w:line="264" w:lineRule="auto"/>
              <w:rPr>
                <w:rFonts w:hint="eastAsia" w:ascii="宋体" w:hAnsi="宋体" w:eastAsia="宋体" w:cs="宋体"/>
                <w:i w:val="0"/>
                <w:iCs w:val="0"/>
                <w:sz w:val="24"/>
                <w:szCs w:val="24"/>
              </w:rPr>
            </w:pPr>
          </w:p>
          <w:p w14:paraId="678E311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变更影响策略必选</w:t>
            </w:r>
          </w:p>
          <w:p w14:paraId="48DF16E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Given 维护人员修改某折标系数数值</w:t>
            </w:r>
          </w:p>
          <w:p w14:paraId="1DB2120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When 未选择变更影响策略即点击保存</w:t>
            </w:r>
          </w:p>
          <w:p w14:paraId="1ECC956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Then 保存按钮保持置灰不可点击</w:t>
            </w:r>
          </w:p>
          <w:p w14:paraId="6A4A7A4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And 页面强制要求在"生效时间切片锁定"与"追溯补差调整"之间做出选择</w:t>
            </w:r>
          </w:p>
          <w:p w14:paraId="784F7826">
            <w:pPr>
              <w:spacing w:before="0" w:after="20" w:line="264" w:lineRule="auto"/>
              <w:rPr>
                <w:rFonts w:hint="eastAsia" w:ascii="宋体" w:hAnsi="宋体" w:eastAsia="宋体" w:cs="宋体"/>
                <w:i w:val="0"/>
                <w:iCs w:val="0"/>
                <w:sz w:val="24"/>
                <w:szCs w:val="24"/>
              </w:rPr>
            </w:pPr>
          </w:p>
          <w:p w14:paraId="228FBAB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追溯性退补电费在当期调账</w:t>
            </w:r>
          </w:p>
          <w:p w14:paraId="2946A16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Given 电网出具追溯性退补电费通知且涉及已锁账的 2026 年 5 月</w:t>
            </w:r>
          </w:p>
          <w:p w14:paraId="48C1977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When 财务发起跨期价差调整</w:t>
            </w:r>
          </w:p>
          <w:p w14:paraId="675C594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Then 系统在调整当期新增一条"电费跨期调整项"</w:t>
            </w:r>
          </w:p>
          <w:p w14:paraId="0B8CF00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And 2026 年 5 月历史报表数值保持不变</w:t>
            </w:r>
          </w:p>
        </w:tc>
      </w:tr>
    </w:tbl>
    <w:p w14:paraId="1258A30B">
      <w:pPr>
        <w:spacing w:after="40"/>
        <w:rPr>
          <w:rFonts w:hint="eastAsia" w:ascii="宋体" w:hAnsi="宋体" w:eastAsia="宋体" w:cs="宋体"/>
          <w:i w:val="0"/>
          <w:iCs w:val="0"/>
          <w:sz w:val="24"/>
          <w:szCs w:val="24"/>
        </w:rPr>
      </w:pPr>
    </w:p>
    <w:p w14:paraId="0FDFA90F">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23915943">
      <w:pPr>
        <w:pStyle w:val="3"/>
        <w:numPr>
          <w:ilvl w:val="0"/>
          <w:numId w:val="7"/>
        </w:numPr>
        <w:ind w:left="0" w:leftChars="0" w:firstLine="0" w:firstLineChars="0"/>
        <w:rPr>
          <w:rFonts w:eastAsia="黑体"/>
          <w:b w:val="0"/>
          <w:bCs w:val="0"/>
          <w:sz w:val="32"/>
          <w:szCs w:val="44"/>
        </w:rPr>
      </w:pPr>
      <w:bookmarkStart w:id="40" w:name="_Toc23830"/>
      <w:r>
        <w:rPr>
          <w:rFonts w:ascii="Times New Roman" w:hAnsi="Times New Roman" w:eastAsia="黑体" w:cs="Times New Roman"/>
          <w:b w:val="0"/>
          <w:bCs w:val="0"/>
          <w:sz w:val="32"/>
          <w:szCs w:val="44"/>
        </w:rPr>
        <w:t>产品碳足迹集采中心功能需求规格</w:t>
      </w:r>
      <w:bookmarkEnd w:id="40"/>
    </w:p>
    <w:p w14:paraId="417EE830">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本章严格对应系统切换至【产品碳足迹集采中心】时的 6 大一级主导航逐层展开，全面支撑产品全生命周期 LCA 建模、ISO 14067 认证、二维码数字碳标签与欧盟 CBAM 关税申报。本章功能权限矩阵见附录 E（P4 LCA 工程师 / P5 报关专家 / P6 外部审计机构），北极星指标（NSM）见附录 F，验收用例见第十一章 Gherkin 准则；LCA / CBAM 错误码见第五章"标准化错误码字典"。</w:t>
      </w:r>
    </w:p>
    <w:p w14:paraId="5B45C204">
      <w:pPr>
        <w:pStyle w:val="4"/>
        <w:numPr>
          <w:ilvl w:val="0"/>
          <w:numId w:val="144"/>
        </w:numPr>
        <w:topLinePunct w:val="0"/>
        <w:ind w:left="0" w:leftChars="0" w:firstLine="0" w:firstLineChars="0"/>
        <w:outlineLvl w:val="0"/>
        <w:rPr>
          <w:rFonts w:hint="eastAsia" w:eastAsia="黑体"/>
          <w:b w:val="0"/>
          <w:bCs w:val="0"/>
          <w:sz w:val="30"/>
          <w:szCs w:val="32"/>
        </w:rPr>
      </w:pPr>
      <w:bookmarkStart w:id="41" w:name="_Toc8855"/>
      <w:r>
        <w:rPr>
          <w:rFonts w:ascii="Times New Roman" w:hAnsi="Times New Roman" w:eastAsia="黑体" w:cs="Times New Roman"/>
          <w:b w:val="0"/>
          <w:bCs w:val="0"/>
          <w:sz w:val="30"/>
          <w:szCs w:val="32"/>
        </w:rPr>
        <w:t>对外示范窗口</w:t>
      </w:r>
      <w:bookmarkEnd w:id="41"/>
    </w:p>
    <w:p w14:paraId="39BCBB03">
      <w:pPr>
        <w:pStyle w:val="5"/>
        <w:numPr>
          <w:ilvl w:val="0"/>
          <w:numId w:val="145"/>
        </w:numPr>
        <w:ind w:left="0" w:leftChars="0" w:firstLine="0" w:firstLineChars="0"/>
        <w:outlineLvl w:val="1"/>
        <w:rPr>
          <w:rFonts w:ascii="Times New Roman" w:hAnsi="Times New Roman" w:eastAsia="黑体" w:cs="Times New Roman"/>
          <w:b w:val="0"/>
          <w:bCs w:val="0"/>
          <w:sz w:val="30"/>
          <w:szCs w:val="24"/>
        </w:rPr>
      </w:pPr>
      <w:bookmarkStart w:id="42" w:name="_Toc30314"/>
      <w:r>
        <w:rPr>
          <w:rFonts w:ascii="Times New Roman" w:hAnsi="Times New Roman" w:eastAsia="黑体" w:cs="Times New Roman"/>
          <w:b w:val="0"/>
          <w:bCs w:val="0"/>
          <w:sz w:val="30"/>
          <w:szCs w:val="24"/>
        </w:rPr>
        <w:t>碳足迹总览驾驶舱</w:t>
      </w:r>
      <w:bookmarkEnd w:id="42"/>
    </w:p>
    <w:p w14:paraId="6E6010F6">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38"/>
                    <a:stretch>
                      <a:fillRect/>
                    </a:stretch>
                  </pic:blipFill>
                  <pic:spPr>
                    <a:xfrm>
                      <a:off x="0" y="0"/>
                      <a:ext cx="5900420" cy="2925445"/>
                    </a:xfrm>
                    <a:prstGeom prst="rect">
                      <a:avLst/>
                    </a:prstGeom>
                    <a:noFill/>
                    <a:ln>
                      <a:noFill/>
                    </a:ln>
                  </pic:spPr>
                </pic:pic>
              </a:graphicData>
            </a:graphic>
          </wp:inline>
        </w:drawing>
      </w:r>
    </w:p>
    <w:p w14:paraId="3CBDAEDB">
      <w:pPr>
        <w:pStyle w:val="6"/>
        <w:numPr>
          <w:ilvl w:val="0"/>
          <w:numId w:val="14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7645DB96">
      <w:pPr>
        <w:pStyle w:val="19"/>
        <w:widowControl/>
        <w:numPr>
          <w:ilvl w:val="0"/>
          <w:numId w:val="1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：面向国际客户、海外驻华使节及欧盟碳关税审查专员的高端碳驾驶舱，全屏呈现主力出口产品 LCA 碳足迹全景桑基图、防伪二维码数字碳标签、绿电消纳减碳成果与 CBAM 关税节省测算总览。</w:t>
      </w:r>
    </w:p>
    <w:p w14:paraId="54C9BC5C">
      <w:pPr>
        <w:pStyle w:val="19"/>
        <w:widowControl/>
        <w:numPr>
          <w:ilvl w:val="0"/>
          <w:numId w:val="1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碳核算工程师（运维）、P5 报关与关税专家（讲解）、P6 外部独立审计机构（核验）。</w:t>
      </w:r>
    </w:p>
    <w:p w14:paraId="2D9AD46D">
      <w:pPr>
        <w:pStyle w:val="19"/>
        <w:widowControl/>
        <w:numPr>
          <w:ilvl w:val="0"/>
          <w:numId w:val="1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/carbon-footprint/demo </w:t>
      </w:r>
      <w:r>
        <w:rPr>
          <w:rFonts w:ascii="Times New Roman" w:hAnsi="Times New Roman" w:eastAsia="宋体" w:cs="Times New Roman"/>
          <w:i w:val="0"/>
          <w:color w:val="1F2937"/>
          <w:sz w:val="24"/>
          <w:szCs w:val="24"/>
        </w:rPr>
        <w:t>。</w:t>
      </w:r>
    </w:p>
    <w:p w14:paraId="6132D06E">
      <w:pPr>
        <w:pStyle w:val="19"/>
        <w:widowControl/>
        <w:numPr>
          <w:ilvl w:val="0"/>
          <w:numId w:val="1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：LCA 核算引擎结果、数字碳标签、绿电消纳数据、CBAM 关税模拟结果。</w:t>
      </w:r>
    </w:p>
    <w:p w14:paraId="50808176">
      <w:pPr>
        <w:pStyle w:val="19"/>
        <w:widowControl/>
        <w:numPr>
          <w:ilvl w:val="0"/>
          <w:numId w:val="1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：对外脱敏展示快照、二维码查验演示入口。</w:t>
      </w:r>
    </w:p>
    <w:p w14:paraId="1B05598C">
      <w:pPr>
        <w:pStyle w:val="6"/>
        <w:numPr>
          <w:ilvl w:val="0"/>
          <w:numId w:val="14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1B46A406">
      <w:pPr>
        <w:pStyle w:val="19"/>
        <w:widowControl/>
        <w:numPr>
          <w:ilvl w:val="0"/>
          <w:numId w:val="14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：国际客户验厂与欧盟合规审查场景，需以可视化方式证明产品碳足迹的核算边界、数据来源与第三方认证有效性。</w:t>
      </w:r>
    </w:p>
    <w:p w14:paraId="633F8923">
      <w:pPr>
        <w:pStyle w:val="19"/>
        <w:widowControl/>
        <w:numPr>
          <w:ilvl w:val="0"/>
          <w:numId w:val="14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0F77CEED">
      <w:pPr>
        <w:pStyle w:val="19"/>
        <w:widowControl/>
        <w:numPr>
          <w:ilvl w:val="0"/>
          <w:numId w:val="14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碳核算与认证工程师 (Persona P4)</w:t>
      </w:r>
      <w:r>
        <w:rPr>
          <w:rFonts w:ascii="Times New Roman" w:hAnsi="Times New Roman" w:eastAsia="宋体" w:cs="Times New Roman"/>
          <w:i w:val="0"/>
          <w:color w:val="1F2937"/>
          <w:sz w:val="24"/>
          <w:szCs w:val="24"/>
        </w:rPr>
        <w:t>，</w:t>
      </w:r>
    </w:p>
    <w:p w14:paraId="1A887562">
      <w:pPr>
        <w:pStyle w:val="19"/>
        <w:widowControl/>
        <w:numPr>
          <w:ilvl w:val="0"/>
          <w:numId w:val="14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在对外示范驾驶舱全屏展示产品 LCA 五阶段碳排构成、可扫码验证的数字碳标签与 CBAM 关税节省测算</w:t>
      </w:r>
      <w:r>
        <w:rPr>
          <w:rFonts w:ascii="Times New Roman" w:hAnsi="Times New Roman" w:eastAsia="宋体" w:cs="Times New Roman"/>
          <w:i w:val="0"/>
          <w:color w:val="1F2937"/>
          <w:sz w:val="24"/>
          <w:szCs w:val="24"/>
        </w:rPr>
        <w:t>，</w:t>
      </w:r>
    </w:p>
    <w:p w14:paraId="2C15A2FF">
      <w:pPr>
        <w:pStyle w:val="19"/>
        <w:widowControl/>
        <w:numPr>
          <w:ilvl w:val="0"/>
          <w:numId w:val="14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我能以权威可视化证据赢得国际客户与欧盟审查专员的信任</w:t>
      </w:r>
      <w:r>
        <w:rPr>
          <w:rFonts w:ascii="Times New Roman" w:hAnsi="Times New Roman" w:eastAsia="宋体" w:cs="Times New Roman"/>
          <w:i w:val="0"/>
          <w:color w:val="1F2937"/>
          <w:sz w:val="24"/>
          <w:szCs w:val="24"/>
        </w:rPr>
        <w:t>。</w:t>
      </w:r>
    </w:p>
    <w:p w14:paraId="63789662">
      <w:pPr>
        <w:pStyle w:val="6"/>
        <w:numPr>
          <w:ilvl w:val="0"/>
          <w:numId w:val="14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26484E76">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核心展示要素：</w:t>
      </w:r>
    </w:p>
    <w:p w14:paraId="5906B4B8">
      <w:pPr>
        <w:pStyle w:val="19"/>
        <w:widowControl/>
        <w:numPr>
          <w:ilvl w:val="0"/>
          <w:numId w:val="14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LCA 碳足迹全景桑基图</w:t>
      </w:r>
      <w:r>
        <w:rPr>
          <w:rFonts w:ascii="Times New Roman" w:hAnsi="Times New Roman" w:eastAsia="宋体" w:cs="Times New Roman"/>
          <w:i w:val="0"/>
          <w:color w:val="1F2937"/>
          <w:sz w:val="24"/>
          <w:szCs w:val="24"/>
        </w:rPr>
        <w:t>：以五阶段（原材料获取 / 上游运输 / 制造加工 / 试验检测 / 包装出厂）流向呈现单台产品碳足迹构成。</w:t>
      </w:r>
    </w:p>
    <w:p w14:paraId="477FE3FC">
      <w:pPr>
        <w:pStyle w:val="19"/>
        <w:widowControl/>
        <w:numPr>
          <w:ilvl w:val="0"/>
          <w:numId w:val="14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防伪二维码数字碳标签</w:t>
      </w:r>
      <w:r>
        <w:rPr>
          <w:rFonts w:ascii="Times New Roman" w:hAnsi="Times New Roman" w:eastAsia="宋体" w:cs="Times New Roman"/>
          <w:i w:val="0"/>
          <w:color w:val="1F2937"/>
          <w:sz w:val="24"/>
          <w:szCs w:val="24"/>
        </w:rPr>
        <w:t>：展示 EPC 编码与防伪签名哈希，支持现场扫码弹窗查验。</w:t>
      </w:r>
    </w:p>
    <w:p w14:paraId="6F50ED3A">
      <w:pPr>
        <w:pStyle w:val="19"/>
        <w:widowControl/>
        <w:numPr>
          <w:ilvl w:val="0"/>
          <w:numId w:val="14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绿电消纳减碳量化成果</w:t>
      </w:r>
      <w:r>
        <w:rPr>
          <w:rFonts w:ascii="Times New Roman" w:hAnsi="Times New Roman" w:eastAsia="宋体" w:cs="Times New Roman"/>
          <w:i w:val="0"/>
          <w:color w:val="1F2937"/>
          <w:sz w:val="24"/>
          <w:szCs w:val="24"/>
        </w:rPr>
        <w:t>：展示光伏自发自用减排量与等效植树量。</w:t>
      </w:r>
    </w:p>
    <w:p w14:paraId="6C6E5651">
      <w:pPr>
        <w:pStyle w:val="19"/>
        <w:widowControl/>
        <w:numPr>
          <w:ilvl w:val="0"/>
          <w:numId w:val="14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CBAM 关税节省测算总览</w:t>
      </w:r>
      <w:r>
        <w:rPr>
          <w:rFonts w:ascii="Times New Roman" w:hAnsi="Times New Roman" w:eastAsia="宋体" w:cs="Times New Roman"/>
          <w:i w:val="0"/>
          <w:color w:val="1F2937"/>
          <w:sz w:val="24"/>
          <w:szCs w:val="24"/>
        </w:rPr>
        <w:t>：展示累计关税节省金额与国内碳成本抵扣情况。</w:t>
      </w:r>
    </w:p>
    <w:p w14:paraId="43F49504">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交互与刷新规则：</w:t>
      </w:r>
    </w:p>
    <w:p w14:paraId="6E547016">
      <w:pPr>
        <w:pStyle w:val="19"/>
        <w:widowControl/>
        <w:numPr>
          <w:ilvl w:val="0"/>
          <w:numId w:val="14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全屏轮播</w:t>
      </w:r>
      <w:r>
        <w:rPr>
          <w:rFonts w:ascii="Times New Roman" w:hAnsi="Times New Roman" w:eastAsia="宋体" w:cs="Times New Roman"/>
          <w:i w:val="0"/>
          <w:color w:val="1F2937"/>
          <w:sz w:val="24"/>
          <w:szCs w:val="24"/>
        </w:rPr>
        <w:t>：面向参观与验收场景默认全屏自动轮播，关键指标卡循环展示，支持手动切换与暂停（轮播周期固定为 30 秒，可按大屏场景配置为 15 / 30 / 60 秒三档）。</w:t>
      </w:r>
    </w:p>
    <w:p w14:paraId="67962568">
      <w:pPr>
        <w:pStyle w:val="19"/>
        <w:widowControl/>
        <w:numPr>
          <w:ilvl w:val="0"/>
          <w:numId w:val="14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据点下钻</w:t>
      </w:r>
      <w:r>
        <w:rPr>
          <w:rFonts w:ascii="Times New Roman" w:hAnsi="Times New Roman" w:eastAsia="宋体" w:cs="Times New Roman"/>
          <w:i w:val="0"/>
          <w:color w:val="1F2937"/>
          <w:sz w:val="24"/>
          <w:szCs w:val="24"/>
        </w:rPr>
        <w:t>：点击桑基图节点或标签卡，下钻至实景数据库对应物料/产品明细。</w:t>
      </w:r>
    </w:p>
    <w:p w14:paraId="3F7B6313">
      <w:pPr>
        <w:pStyle w:val="19"/>
        <w:widowControl/>
        <w:numPr>
          <w:ilvl w:val="0"/>
          <w:numId w:val="14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二维码查验演示</w:t>
      </w:r>
      <w:r>
        <w:rPr>
          <w:rFonts w:ascii="Times New Roman" w:hAnsi="Times New Roman" w:eastAsia="宋体" w:cs="Times New Roman"/>
          <w:i w:val="0"/>
          <w:color w:val="1F2937"/>
          <w:sz w:val="24"/>
          <w:szCs w:val="24"/>
        </w:rPr>
        <w:t>：扫码弹窗呈现 EPC 编码、防伪签名哈希与溯源链摘要（详见三、3 数字碳标签）。</w:t>
      </w:r>
    </w:p>
    <w:p w14:paraId="6871FD4A">
      <w:pPr>
        <w:pStyle w:val="19"/>
        <w:widowControl/>
        <w:numPr>
          <w:ilvl w:val="0"/>
          <w:numId w:val="14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刷新策略</w:t>
      </w:r>
      <w:r>
        <w:rPr>
          <w:rFonts w:ascii="Times New Roman" w:hAnsi="Times New Roman" w:eastAsia="宋体" w:cs="Times New Roman"/>
          <w:i w:val="0"/>
          <w:color w:val="1F2937"/>
          <w:sz w:val="24"/>
          <w:szCs w:val="24"/>
        </w:rPr>
        <w:t>：LCA 指标按日结刷新（T+1 日 06:00 前完成），欧盟碳价按小时级联动刷新（滞后超过 4 小时自动标注「碳价滞后」并降级至最近一次有效值）。</w:t>
      </w:r>
    </w:p>
    <w:p w14:paraId="43C23325">
      <w:pPr>
        <w:pStyle w:val="19"/>
        <w:widowControl/>
        <w:numPr>
          <w:ilvl w:val="0"/>
          <w:numId w:val="14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对外展示脱敏规则与白名单</w:t>
      </w:r>
      <w:r>
        <w:rPr>
          <w:rFonts w:ascii="Times New Roman" w:hAnsi="Times New Roman" w:eastAsia="宋体" w:cs="Times New Roman"/>
          <w:i w:val="0"/>
          <w:color w:val="1F2937"/>
          <w:sz w:val="24"/>
          <w:szCs w:val="24"/>
        </w:rPr>
        <w:t>：对外展示数据统一执行字段白名单裁剪，仅开放碳足迹结果值、绿电消纳占比与认证状态，隐藏工艺配方、采购单价、人员信息与成本构成；白名单由 PM 审批后生效，变更全程留痕。</w:t>
      </w:r>
    </w:p>
    <w:p w14:paraId="1415680A">
      <w:pPr>
        <w:pStyle w:val="6"/>
        <w:numPr>
          <w:ilvl w:val="0"/>
          <w:numId w:val="14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0909291E">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0F209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33EF9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08FC0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AB8ED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0CAF8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数据来源与核算逻辑</w:t>
            </w:r>
          </w:p>
        </w:tc>
      </w:tr>
      <w:tr w14:paraId="12FC319A">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A023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1DC0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单台产品全生命周期碳排</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F1C6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0B9F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kgCO2e/台 或 kgCO2e/km</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9820E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5 大阶段排放滚算累加</w:t>
            </w:r>
          </w:p>
        </w:tc>
      </w:tr>
      <w:tr w14:paraId="63B52391">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7692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0414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原材料获取阶段碳排占比</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2977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6385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00B49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(E_{原材料} / E_{总碳足迹}) × 100%</w:t>
            </w:r>
          </w:p>
        </w:tc>
      </w:tr>
      <w:tr w14:paraId="1ECDCB57">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2A57B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159E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制造加工阶段碳排占比</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B0DF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CB6D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2C27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(E_{加工} / E_{总碳足迹}) × 100%</w:t>
            </w:r>
          </w:p>
        </w:tc>
      </w:tr>
      <w:tr w14:paraId="061CB9C3">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56DD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9BAB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绿电消纳贡献减排量</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B5C7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6126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6BF2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光伏自发自用量 × 区域电网碳因子</w:t>
            </w:r>
          </w:p>
        </w:tc>
      </w:tr>
      <w:tr w14:paraId="73056D14">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7240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6D4C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关税累计节省金额</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5A37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DB59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€（欧元）</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E253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已抵扣国内碳成本折算节省关税</w:t>
            </w:r>
          </w:p>
        </w:tc>
      </w:tr>
      <w:tr w14:paraId="61B0F2D9">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C9E5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8956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防伪数字验真哈希</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5D9A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0615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SHA-256</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6D972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产品批次 + 认证机构私钥数字签名</w:t>
            </w:r>
          </w:p>
        </w:tc>
      </w:tr>
      <w:tr w14:paraId="0D522CBB">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6F30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B5CA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 EPC 编码</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AE69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1CA7C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0010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全球产品电子代码，唯一</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E733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7F89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认证机构名称</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2F11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8620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8448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SGS / TÜV 南德 / 中国方圆</w:t>
            </w:r>
          </w:p>
        </w:tc>
      </w:tr>
    </w:tbl>
    <w:p w14:paraId="6102E8A0">
      <w:pPr>
        <w:spacing w:after="60"/>
        <w:rPr>
          <w:rFonts w:hint="eastAsia" w:ascii="宋体" w:hAnsi="宋体" w:eastAsia="宋体" w:cs="宋体"/>
          <w:i w:val="0"/>
          <w:iCs w:val="0"/>
          <w:sz w:val="24"/>
          <w:szCs w:val="24"/>
        </w:rPr>
      </w:pPr>
    </w:p>
    <w:p w14:paraId="004620A1">
      <w:pPr>
        <w:pStyle w:val="6"/>
        <w:numPr>
          <w:ilvl w:val="0"/>
          <w:numId w:val="14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3985E1F1">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53109F6E">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E_PCF = E_raw + E_trans + E_manuf + E_test + E_pack   单台产品全生命周期碳足迹</w:t>
            </w:r>
          </w:p>
          <w:p w14:paraId="164FC6C8">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R_stage = E_stage / E_PCF × 100%                     各阶段碳排占比</w:t>
            </w:r>
          </w:p>
          <w:p w14:paraId="1FBE06D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Save_CBAM = Export_Qty × Embedded_Carbon × ( Price_EU_ETS - Price_Domestic )</w:t>
            </w:r>
          </w:p>
          <w:p w14:paraId="108EC74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Hash_sign = SIGN_SHA256( BatchNo + PrivateKey_CA )    防伪签名哈希</w:t>
            </w:r>
          </w:p>
        </w:tc>
      </w:tr>
    </w:tbl>
    <w:p w14:paraId="0638C117">
      <w:pPr>
        <w:spacing w:after="40"/>
        <w:rPr>
          <w:rFonts w:hint="eastAsia" w:ascii="宋体" w:hAnsi="宋体" w:eastAsia="宋体" w:cs="宋体"/>
          <w:i w:val="0"/>
          <w:iCs w:val="0"/>
          <w:sz w:val="24"/>
          <w:szCs w:val="24"/>
        </w:rPr>
      </w:pPr>
    </w:p>
    <w:p w14:paraId="781DC27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五阶段碳排定义详见本章三、2 LCA 核算引擎；</w:t>
      </w:r>
      <w:r>
        <w:rPr>
          <w:rFonts w:ascii="Times New Roman" w:hAnsi="Times New Roman" w:eastAsia="宋体" w:cs="Times New Roman"/>
          <w:b w:val="0"/>
          <w:i w:val="0"/>
          <w:color w:val="0284C7"/>
          <w:sz w:val="24"/>
          <w:szCs w:val="24"/>
        </w:rPr>
        <w:t xml:space="preserve"> Price_EU_ETS </w:t>
      </w:r>
      <w:r>
        <w:rPr>
          <w:rFonts w:ascii="Times New Roman" w:hAnsi="Times New Roman" w:eastAsia="宋体" w:cs="Times New Roman"/>
          <w:i w:val="0"/>
          <w:color w:val="1F2937"/>
          <w:sz w:val="24"/>
          <w:szCs w:val="24"/>
        </w:rPr>
        <w:t xml:space="preserve"> 为欧洲能源交易所碳配额结算均价；</w:t>
      </w:r>
      <w:r>
        <w:rPr>
          <w:rFonts w:ascii="Times New Roman" w:hAnsi="Times New Roman" w:eastAsia="宋体" w:cs="Times New Roman"/>
          <w:b w:val="0"/>
          <w:i w:val="0"/>
          <w:color w:val="0284C7"/>
          <w:sz w:val="24"/>
          <w:szCs w:val="24"/>
        </w:rPr>
        <w:t xml:space="preserve"> Price_Domestic </w:t>
      </w:r>
      <w:r>
        <w:rPr>
          <w:rFonts w:ascii="Times New Roman" w:hAnsi="Times New Roman" w:eastAsia="宋体" w:cs="Times New Roman"/>
          <w:i w:val="0"/>
          <w:color w:val="1F2937"/>
          <w:sz w:val="24"/>
          <w:szCs w:val="24"/>
        </w:rPr>
        <w:t xml:space="preserve"> 为国内已支付碳成本折算价。</w:t>
      </w:r>
    </w:p>
    <w:p w14:paraId="2FA0D389">
      <w:pPr>
        <w:pStyle w:val="6"/>
        <w:numPr>
          <w:ilvl w:val="0"/>
          <w:numId w:val="14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3ACC2F9F">
      <w:pPr>
        <w:pStyle w:val="19"/>
        <w:widowControl/>
        <w:numPr>
          <w:ilvl w:val="0"/>
          <w:numId w:val="15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边界口径</w:t>
      </w:r>
      <w:r>
        <w:rPr>
          <w:rFonts w:ascii="Times New Roman" w:hAnsi="Times New Roman" w:eastAsia="宋体" w:cs="Times New Roman"/>
          <w:i w:val="0"/>
          <w:color w:val="1F2937"/>
          <w:sz w:val="24"/>
          <w:szCs w:val="24"/>
        </w:rPr>
        <w:t>：对外展示统一采用 Cradle-to-Gate（摇篮到大门）边界，并在页面明确标注。</w:t>
      </w:r>
    </w:p>
    <w:p w14:paraId="77E76009">
      <w:pPr>
        <w:pStyle w:val="19"/>
        <w:widowControl/>
        <w:numPr>
          <w:ilvl w:val="0"/>
          <w:numId w:val="15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数据脱敏口径</w:t>
      </w:r>
      <w:r>
        <w:rPr>
          <w:rFonts w:ascii="Times New Roman" w:hAnsi="Times New Roman" w:eastAsia="宋体" w:cs="Times New Roman"/>
          <w:i w:val="0"/>
          <w:color w:val="1F2937"/>
          <w:sz w:val="24"/>
          <w:szCs w:val="24"/>
        </w:rPr>
        <w:t>：对外展示版本按白名单裁剪字段，不呈现供应商名称、工艺配方等 L2 以上敏感信息。</w:t>
      </w:r>
    </w:p>
    <w:p w14:paraId="3654EC5C">
      <w:pPr>
        <w:pStyle w:val="19"/>
        <w:widowControl/>
        <w:numPr>
          <w:ilvl w:val="0"/>
          <w:numId w:val="15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时效口径</w:t>
      </w:r>
      <w:r>
        <w:rPr>
          <w:rFonts w:ascii="Times New Roman" w:hAnsi="Times New Roman" w:eastAsia="宋体" w:cs="Times New Roman"/>
          <w:i w:val="0"/>
          <w:color w:val="1F2937"/>
          <w:sz w:val="24"/>
          <w:szCs w:val="24"/>
        </w:rPr>
        <w:t>：页面底部常驻展示数据截止时间与因子版本号。</w:t>
      </w:r>
    </w:p>
    <w:p w14:paraId="6BA00DFC">
      <w:pPr>
        <w:pStyle w:val="19"/>
        <w:widowControl/>
        <w:numPr>
          <w:ilvl w:val="0"/>
          <w:numId w:val="15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口径一致性</w:t>
      </w:r>
      <w:r>
        <w:rPr>
          <w:rFonts w:ascii="Times New Roman" w:hAnsi="Times New Roman" w:eastAsia="宋体" w:cs="Times New Roman"/>
          <w:i w:val="0"/>
          <w:color w:val="1F2937"/>
          <w:sz w:val="24"/>
          <w:szCs w:val="24"/>
        </w:rPr>
        <w:t>：对外展示的碳足迹数值必须与已签发认证报告完全一致，不允许展示草稿态数据。</w:t>
      </w:r>
    </w:p>
    <w:p w14:paraId="524F9B8C">
      <w:pPr>
        <w:pStyle w:val="6"/>
        <w:numPr>
          <w:ilvl w:val="0"/>
          <w:numId w:val="14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555468E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24D53D9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仅可展示状态为"已认证 / 已发布"的 LCA 报告数据，草稿与送审态数据一律不上屏。</w:t>
            </w:r>
          </w:p>
          <w:p w14:paraId="3A6A2C0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对外展示不得包含未脱敏的供应商名称、工艺配方等敏感字段。</w:t>
            </w:r>
          </w:p>
          <w:p w14:paraId="2839BF6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欧盟碳价超 24 小时未同步：触发 </w:t>
            </w:r>
            <w:r>
              <w:rPr>
                <w:rFonts w:hint="eastAsia" w:ascii="宋体" w:hAnsi="宋体" w:eastAsia="宋体" w:cs="宋体"/>
                <w:b w:val="0"/>
                <w:i w:val="0"/>
                <w:iCs w:val="0"/>
                <w:color w:val="0284C7"/>
                <w:sz w:val="24"/>
                <w:szCs w:val="24"/>
              </w:rPr>
              <w:t xml:space="preserve"> E_EXT_ETS_PRICE_STALE </w:t>
            </w:r>
            <w:r>
              <w:rPr>
                <w:rFonts w:hint="eastAsia" w:ascii="宋体" w:hAnsi="宋体" w:eastAsia="宋体" w:cs="宋体"/>
                <w:i w:val="0"/>
                <w:iCs w:val="0"/>
                <w:color w:val="1F2937"/>
                <w:sz w:val="24"/>
                <w:szCs w:val="24"/>
              </w:rPr>
              <w:t>，页面标黄并标注价格时间戳。</w:t>
            </w:r>
          </w:p>
          <w:p w14:paraId="5DD4B06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二维码签名校验失败：弹窗标注"验真失败"并不展示溯源明细。</w:t>
            </w:r>
          </w:p>
          <w:p w14:paraId="40B224D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无已签发报告的产品：入口不出现，不显示空白占位。</w:t>
            </w:r>
          </w:p>
        </w:tc>
      </w:tr>
    </w:tbl>
    <w:p w14:paraId="4D748162">
      <w:pPr>
        <w:spacing w:after="40"/>
        <w:rPr>
          <w:rFonts w:hint="eastAsia" w:ascii="宋体" w:hAnsi="宋体" w:eastAsia="宋体" w:cs="宋体"/>
          <w:i w:val="0"/>
          <w:iCs w:val="0"/>
          <w:sz w:val="24"/>
          <w:szCs w:val="24"/>
        </w:rPr>
      </w:pPr>
    </w:p>
    <w:p w14:paraId="7E6E09CD">
      <w:pPr>
        <w:pStyle w:val="6"/>
        <w:numPr>
          <w:ilvl w:val="0"/>
          <w:numId w:val="146"/>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74AE3A39">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08FFFAC1">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对外示范窗口碳足迹驾驶舱</w:t>
            </w:r>
          </w:p>
          <w:p w14:paraId="3117BB3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仅展示已认证数据</w:t>
            </w:r>
          </w:p>
          <w:p w14:paraId="5892210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系统内存在草稿态、送审态与已认证态三种 LCA 报告</w:t>
            </w:r>
          </w:p>
          <w:p w14:paraId="75B5779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对外示范驾驶舱渲染 LCA 碳足迹全景桑基图</w:t>
            </w:r>
          </w:p>
          <w:p w14:paraId="2D58FFD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仅呈现状态为"已认证"或"已发布"的报告数据</w:t>
            </w:r>
          </w:p>
          <w:p w14:paraId="38A069F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草稿态与送审态数据不入屏</w:t>
            </w:r>
          </w:p>
          <w:p w14:paraId="556303E4">
            <w:pPr>
              <w:spacing w:before="0" w:after="20" w:line="264" w:lineRule="auto"/>
              <w:rPr>
                <w:rFonts w:hint="eastAsia" w:ascii="宋体" w:hAnsi="宋体" w:eastAsia="宋体" w:cs="宋体"/>
                <w:i w:val="0"/>
                <w:iCs w:val="0"/>
                <w:sz w:val="24"/>
                <w:szCs w:val="24"/>
              </w:rPr>
            </w:pPr>
          </w:p>
          <w:p w14:paraId="7293634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二维码验真演示</w:t>
            </w:r>
          </w:p>
          <w:p w14:paraId="44505DF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某产品数字碳标签已由认证机构签发</w:t>
            </w:r>
          </w:p>
          <w:p w14:paraId="6EFDCFE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参观者扫码触发查验弹窗</w:t>
            </w:r>
          </w:p>
          <w:p w14:paraId="480AC4C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弹窗呈现 EPC 编码、防伪签名哈希与溯源链摘要</w:t>
            </w:r>
          </w:p>
          <w:p w14:paraId="4004B39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签名校验失败时标注"验真失败"且不展示溯源明细</w:t>
            </w:r>
          </w:p>
          <w:p w14:paraId="12C5D291">
            <w:pPr>
              <w:spacing w:before="0" w:after="20" w:line="264" w:lineRule="auto"/>
              <w:rPr>
                <w:rFonts w:hint="eastAsia" w:ascii="宋体" w:hAnsi="宋体" w:eastAsia="宋体" w:cs="宋体"/>
                <w:i w:val="0"/>
                <w:iCs w:val="0"/>
                <w:sz w:val="24"/>
                <w:szCs w:val="24"/>
              </w:rPr>
            </w:pPr>
          </w:p>
          <w:p w14:paraId="5DC77A5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碳价滞后的客观提示</w:t>
            </w:r>
          </w:p>
          <w:p w14:paraId="6CA736D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欧洲能源交易所 ETS 价格超过 24 小时未同步</w:t>
            </w:r>
          </w:p>
          <w:p w14:paraId="5D7EED5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页面渲染 CBAM 关税节省测算总览</w:t>
            </w:r>
          </w:p>
          <w:p w14:paraId="398CB69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结果上方以黄色提示框注明碳价滞后并展示价格时间戳</w:t>
            </w:r>
          </w:p>
          <w:p w14:paraId="2889E58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返回 E_EXT_ETS_PRICE_STALE</w:t>
            </w:r>
          </w:p>
        </w:tc>
      </w:tr>
    </w:tbl>
    <w:p w14:paraId="5578F86A">
      <w:pPr>
        <w:spacing w:after="40"/>
        <w:rPr>
          <w:rFonts w:hint="eastAsia" w:ascii="宋体" w:hAnsi="宋体" w:eastAsia="宋体" w:cs="宋体"/>
          <w:i w:val="0"/>
          <w:iCs w:val="0"/>
          <w:sz w:val="24"/>
          <w:szCs w:val="24"/>
        </w:rPr>
      </w:pPr>
    </w:p>
    <w:p w14:paraId="61235EAF">
      <w:pPr>
        <w:pStyle w:val="4"/>
        <w:numPr>
          <w:ilvl w:val="0"/>
          <w:numId w:val="144"/>
        </w:numPr>
        <w:topLinePunct w:val="0"/>
        <w:ind w:left="0" w:leftChars="0" w:firstLine="0" w:firstLineChars="0"/>
        <w:outlineLvl w:val="0"/>
        <w:rPr>
          <w:rFonts w:hint="eastAsia" w:eastAsia="黑体"/>
          <w:b w:val="0"/>
          <w:bCs w:val="0"/>
          <w:sz w:val="30"/>
          <w:szCs w:val="32"/>
        </w:rPr>
      </w:pPr>
      <w:bookmarkStart w:id="43" w:name="_Toc1373"/>
      <w:r>
        <w:rPr>
          <w:rFonts w:ascii="Times New Roman" w:hAnsi="Times New Roman" w:eastAsia="黑体" w:cs="Times New Roman"/>
          <w:b w:val="0"/>
          <w:bCs w:val="0"/>
          <w:sz w:val="30"/>
          <w:szCs w:val="32"/>
        </w:rPr>
        <w:t>多维分析</w:t>
      </w:r>
      <w:bookmarkEnd w:id="43"/>
    </w:p>
    <w:p w14:paraId="06C8EC8B">
      <w:pPr>
        <w:pStyle w:val="5"/>
        <w:numPr>
          <w:ilvl w:val="0"/>
          <w:numId w:val="151"/>
        </w:numPr>
        <w:ind w:left="0" w:leftChars="0" w:firstLine="0" w:firstLineChars="0"/>
        <w:outlineLvl w:val="1"/>
        <w:rPr>
          <w:rFonts w:eastAsia="黑体"/>
          <w:b w:val="0"/>
          <w:bCs w:val="0"/>
          <w:sz w:val="30"/>
          <w:szCs w:val="24"/>
        </w:rPr>
      </w:pPr>
      <w:bookmarkStart w:id="44" w:name="_Toc4851"/>
      <w:r>
        <w:rPr>
          <w:rFonts w:ascii="Times New Roman" w:hAnsi="Times New Roman" w:eastAsia="黑体" w:cs="Times New Roman"/>
          <w:b w:val="0"/>
          <w:bCs w:val="0"/>
          <w:sz w:val="30"/>
          <w:szCs w:val="24"/>
        </w:rPr>
        <w:t>横向对比</w:t>
      </w:r>
      <w:bookmarkEnd w:id="44"/>
    </w:p>
    <w:p w14:paraId="50F1CA14">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2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4"/>
                    <pic:cNvPicPr>
                      <a:picLocks noChangeAspect="1"/>
                    </pic:cNvPicPr>
                  </pic:nvPicPr>
                  <pic:blipFill>
                    <a:blip r:embed="rId39"/>
                    <a:stretch>
                      <a:fillRect/>
                    </a:stretch>
                  </pic:blipFill>
                  <pic:spPr>
                    <a:xfrm>
                      <a:off x="0" y="0"/>
                      <a:ext cx="6210300" cy="3079115"/>
                    </a:xfrm>
                    <a:prstGeom prst="rect">
                      <a:avLst/>
                    </a:prstGeom>
                    <a:noFill/>
                    <a:ln>
                      <a:noFill/>
                    </a:ln>
                  </pic:spPr>
                </pic:pic>
              </a:graphicData>
            </a:graphic>
          </wp:inline>
        </w:drawing>
      </w:r>
    </w:p>
    <w:p w14:paraId="26FC4F4B">
      <w:pPr>
        <w:pStyle w:val="6"/>
        <w:numPr>
          <w:ilvl w:val="0"/>
          <w:numId w:val="15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346A75C2">
      <w:pPr>
        <w:pStyle w:val="19"/>
        <w:widowControl/>
        <w:numPr>
          <w:ilvl w:val="0"/>
          <w:numId w:val="15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：支持不同生产基地生产的同规格产品按五大阶段横向对标，挖掘各基地工艺工序降碳潜力。</w:t>
      </w:r>
    </w:p>
    <w:p w14:paraId="77CCF29C">
      <w:pPr>
        <w:pStyle w:val="19"/>
        <w:widowControl/>
        <w:numPr>
          <w:ilvl w:val="0"/>
          <w:numId w:val="15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碳核算工程师、P2 园区能碳专员。</w:t>
      </w:r>
    </w:p>
    <w:p w14:paraId="62F61F85">
      <w:pPr>
        <w:pStyle w:val="19"/>
        <w:widowControl/>
        <w:numPr>
          <w:ilvl w:val="0"/>
          <w:numId w:val="15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/carbon-footprint/analysis/compare </w:t>
      </w:r>
      <w:r>
        <w:rPr>
          <w:rFonts w:ascii="Times New Roman" w:hAnsi="Times New Roman" w:eastAsia="宋体" w:cs="Times New Roman"/>
          <w:i w:val="0"/>
          <w:color w:val="1F2937"/>
          <w:sz w:val="24"/>
          <w:szCs w:val="24"/>
        </w:rPr>
        <w:t>。</w:t>
      </w:r>
    </w:p>
    <w:p w14:paraId="051A79B8">
      <w:pPr>
        <w:pStyle w:val="19"/>
        <w:widowControl/>
        <w:numPr>
          <w:ilvl w:val="0"/>
          <w:numId w:val="15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：LCA 核算引擎结果、产品 BOM、经营单位主数据、销售订单与生产计划。</w:t>
      </w:r>
    </w:p>
    <w:p w14:paraId="6B622F5D">
      <w:pPr>
        <w:pStyle w:val="19"/>
        <w:widowControl/>
        <w:numPr>
          <w:ilvl w:val="0"/>
          <w:numId w:val="15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：基地降碳改进清单、碳热点分析输入。</w:t>
      </w:r>
    </w:p>
    <w:p w14:paraId="6C7FFA19">
      <w:pPr>
        <w:pStyle w:val="6"/>
        <w:numPr>
          <w:ilvl w:val="0"/>
          <w:numId w:val="15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42F84533">
      <w:pPr>
        <w:pStyle w:val="19"/>
        <w:widowControl/>
        <w:numPr>
          <w:ilvl w:val="0"/>
          <w:numId w:val="15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：集团层面比较沈变厂与衡变厂同型号 220kV 油浸式变压器的碳足迹差异，定位工艺工序降碳空间。</w:t>
      </w:r>
    </w:p>
    <w:p w14:paraId="47FA7879">
      <w:pPr>
        <w:pStyle w:val="19"/>
        <w:widowControl/>
        <w:numPr>
          <w:ilvl w:val="0"/>
          <w:numId w:val="15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16DC5FF8">
      <w:pPr>
        <w:pStyle w:val="19"/>
        <w:widowControl/>
        <w:numPr>
          <w:ilvl w:val="0"/>
          <w:numId w:val="15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碳核算与认证工程师 (Persona P4)</w:t>
      </w:r>
      <w:r>
        <w:rPr>
          <w:rFonts w:ascii="Times New Roman" w:hAnsi="Times New Roman" w:eastAsia="宋体" w:cs="Times New Roman"/>
          <w:i w:val="0"/>
          <w:color w:val="1F2937"/>
          <w:sz w:val="24"/>
          <w:szCs w:val="24"/>
        </w:rPr>
        <w:t>，</w:t>
      </w:r>
    </w:p>
    <w:p w14:paraId="4E517880">
      <w:pPr>
        <w:pStyle w:val="19"/>
        <w:widowControl/>
        <w:numPr>
          <w:ilvl w:val="0"/>
          <w:numId w:val="15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选择同规格产品按五大阶段横向对标各生产基地的单位产品碳足迹并下钻至主材与工序构成</w:t>
      </w:r>
      <w:r>
        <w:rPr>
          <w:rFonts w:ascii="Times New Roman" w:hAnsi="Times New Roman" w:eastAsia="宋体" w:cs="Times New Roman"/>
          <w:i w:val="0"/>
          <w:color w:val="1F2937"/>
          <w:sz w:val="24"/>
          <w:szCs w:val="24"/>
        </w:rPr>
        <w:t>，</w:t>
      </w:r>
    </w:p>
    <w:p w14:paraId="63C90728">
      <w:pPr>
        <w:pStyle w:val="19"/>
        <w:widowControl/>
        <w:numPr>
          <w:ilvl w:val="0"/>
          <w:numId w:val="15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我能精准定位各基地的工艺降碳潜力并推动横向最佳实践复制</w:t>
      </w:r>
      <w:r>
        <w:rPr>
          <w:rFonts w:ascii="Times New Roman" w:hAnsi="Times New Roman" w:eastAsia="宋体" w:cs="Times New Roman"/>
          <w:i w:val="0"/>
          <w:color w:val="1F2937"/>
          <w:sz w:val="24"/>
          <w:szCs w:val="24"/>
        </w:rPr>
        <w:t>。</w:t>
      </w:r>
    </w:p>
    <w:p w14:paraId="5D7B222D">
      <w:pPr>
        <w:pStyle w:val="6"/>
        <w:numPr>
          <w:ilvl w:val="0"/>
          <w:numId w:val="15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71F1E431">
      <w:pPr>
        <w:pStyle w:val="19"/>
        <w:widowControl/>
        <w:numPr>
          <w:ilvl w:val="0"/>
          <w:numId w:val="15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业务级联筛选器</w:t>
      </w:r>
      <w:r>
        <w:rPr>
          <w:rFonts w:ascii="Times New Roman" w:hAnsi="Times New Roman" w:eastAsia="宋体" w:cs="Times New Roman"/>
          <w:i w:val="0"/>
          <w:color w:val="1F2937"/>
          <w:sz w:val="24"/>
          <w:szCs w:val="24"/>
        </w:rPr>
        <w:t>：产业 → 产线 → 产品类别 → 产品型号（可搜索 ComboBox）→ 经营单位 → 销售订单 → 生产计划；上级变更逐级重置下级到首项。</w:t>
      </w:r>
    </w:p>
    <w:p w14:paraId="03E3BCE3">
      <w:pPr>
        <w:pStyle w:val="19"/>
        <w:widowControl/>
        <w:numPr>
          <w:ilvl w:val="0"/>
          <w:numId w:val="15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特征量（feature）</w:t>
      </w:r>
      <w:r>
        <w:rPr>
          <w:rFonts w:ascii="Times New Roman" w:hAnsi="Times New Roman" w:eastAsia="宋体" w:cs="Times New Roman"/>
          <w:i w:val="0"/>
          <w:color w:val="1F2937"/>
          <w:sz w:val="24"/>
          <w:szCs w:val="24"/>
        </w:rPr>
        <w:t>：变压器按 kVA、电缆按 km、开关按 台/间隔，单位产品碳足迹以 kgCO2/特征量 表达，保证跨型号可比。</w:t>
      </w:r>
    </w:p>
    <w:p w14:paraId="16068FB6">
      <w:pPr>
        <w:pStyle w:val="19"/>
        <w:widowControl/>
        <w:numPr>
          <w:ilvl w:val="0"/>
          <w:numId w:val="15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重点指标区</w:t>
      </w:r>
      <w:r>
        <w:rPr>
          <w:rFonts w:ascii="Times New Roman" w:hAnsi="Times New Roman" w:eastAsia="宋体" w:cs="Times New Roman"/>
          <w:i w:val="0"/>
          <w:color w:val="1F2937"/>
          <w:sz w:val="24"/>
          <w:szCs w:val="24"/>
        </w:rPr>
        <w:t>：3 张 KpiCard（对比经营单位数、生产总数、单位产品碳足迹均值）。</w:t>
      </w:r>
    </w:p>
    <w:p w14:paraId="5846B34E">
      <w:pPr>
        <w:pStyle w:val="19"/>
        <w:widowControl/>
        <w:numPr>
          <w:ilvl w:val="0"/>
          <w:numId w:val="15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主对比图</w:t>
      </w:r>
      <w:r>
        <w:rPr>
          <w:rFonts w:ascii="Times New Roman" w:hAnsi="Times New Roman" w:eastAsia="宋体" w:cs="Times New Roman"/>
          <w:i w:val="0"/>
          <w:color w:val="1F2937"/>
          <w:sz w:val="24"/>
          <w:szCs w:val="24"/>
        </w:rPr>
        <w:t>：BarBenchmark 横向对比各经营单位单位产品碳足迹，基准线为虚线，超基准柱标红，达标柱主色。</w:t>
      </w:r>
    </w:p>
    <w:p w14:paraId="4A871900">
      <w:pPr>
        <w:pStyle w:val="19"/>
        <w:widowControl/>
        <w:numPr>
          <w:ilvl w:val="0"/>
          <w:numId w:val="15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经营单位排名表</w:t>
      </w:r>
      <w:r>
        <w:rPr>
          <w:rFonts w:ascii="Times New Roman" w:hAnsi="Times New Roman" w:eastAsia="宋体" w:cs="Times New Roman"/>
          <w:i w:val="0"/>
          <w:color w:val="1F2937"/>
          <w:sz w:val="24"/>
          <w:szCs w:val="24"/>
        </w:rPr>
        <w:t>：按单位产品碳足迹升序，第 1 名挂 Award 标杆徽标；项目公司行置灰且不计入排名序号；每行右侧"下钻"。</w:t>
      </w:r>
    </w:p>
    <w:p w14:paraId="70974532">
      <w:pPr>
        <w:pStyle w:val="19"/>
        <w:widowControl/>
        <w:numPr>
          <w:ilvl w:val="0"/>
          <w:numId w:val="15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下钻弹窗（Modal）</w:t>
      </w:r>
      <w:r>
        <w:rPr>
          <w:rFonts w:ascii="Times New Roman" w:hAnsi="Times New Roman" w:eastAsia="宋体" w:cs="Times New Roman"/>
          <w:i w:val="0"/>
          <w:color w:val="1F2937"/>
          <w:sz w:val="24"/>
          <w:szCs w:val="24"/>
        </w:rPr>
        <w:t>：标题 = 型号 + 经营单位；内容含 ① 生命周期构成 Donut（原材料/生产/运输…）② 主材碳排条形 ③ 工序碳排条形 ④ 该单位该型号销售订单列表（客户/数量/单台 tCO2/拆分生产计划标签）；底部"碳足迹详情"跳转实景数据库 / 碳足迹核算。</w:t>
      </w:r>
    </w:p>
    <w:p w14:paraId="30DEDD77">
      <w:pPr>
        <w:pStyle w:val="6"/>
        <w:numPr>
          <w:ilvl w:val="0"/>
          <w:numId w:val="15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2"/>
        <w:gridCol w:w="2106"/>
        <w:gridCol w:w="1365"/>
        <w:gridCol w:w="1635"/>
        <w:gridCol w:w="3796"/>
      </w:tblGrid>
      <w:tr w14:paraId="62AEA626">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25D53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210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257A0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6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70035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F24A3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79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1C90B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28C84052">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A7BD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21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DAD4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产业分类</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D87E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3CA2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7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4F27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变压器/线缆/开关，决定特征量口径</w:t>
            </w:r>
          </w:p>
        </w:tc>
      </w:tr>
      <w:tr w14:paraId="5FFCF85D">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588B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21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99BA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产品型号</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07F0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5D40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7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C8C6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ERP/PLM 物料主数据编码，非空</w:t>
            </w:r>
          </w:p>
        </w:tc>
      </w:tr>
      <w:tr w14:paraId="112FB517">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4013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21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7C65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经营单位</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B1A3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BB13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7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CAEB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六级组织架构经营单位节点</w:t>
            </w:r>
          </w:p>
        </w:tc>
      </w:tr>
      <w:tr w14:paraId="16A08AFB">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A782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21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AB5B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特征量数值</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E0CB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C16B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 / km / 台</w:t>
            </w:r>
          </w:p>
        </w:tc>
        <w:tc>
          <w:tcPr>
            <w:tcW w:w="37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FFD2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&gt; 0，作为单位产品碳足迹分母</w:t>
            </w:r>
          </w:p>
        </w:tc>
      </w:tr>
      <w:tr w14:paraId="5DC703E0">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5A43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21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2D235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单位产品碳足迹</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E6FC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AA77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kgCO2/特征量</w:t>
            </w:r>
          </w:p>
        </w:tc>
        <w:tc>
          <w:tcPr>
            <w:tcW w:w="37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5DA4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E_{PCF} / Feature</w:t>
            </w:r>
            <w:r>
              <w:rPr>
                <w:rFonts w:hint="eastAsia" w:ascii="宋体" w:hAnsi="宋体" w:eastAsia="宋体" w:cs="宋体"/>
                <w:i w:val="0"/>
                <w:iCs w:val="0"/>
                <w:color w:val="1F2937"/>
                <w:sz w:val="24"/>
                <w:szCs w:val="24"/>
              </w:rPr>
              <w:t xml:space="preserve">，分母为 0 显示 </w:t>
            </w:r>
            <w:r>
              <w:rPr>
                <w:rFonts w:hint="eastAsia" w:ascii="宋体" w:hAnsi="宋体" w:eastAsia="宋体" w:cs="宋体"/>
                <w:b w:val="0"/>
                <w:i w:val="0"/>
                <w:iCs w:val="0"/>
                <w:color w:val="0284C7"/>
                <w:sz w:val="24"/>
                <w:szCs w:val="24"/>
              </w:rPr>
              <w:t xml:space="preserve"> -- </w:t>
            </w:r>
          </w:p>
        </w:tc>
      </w:tr>
      <w:tr w14:paraId="33AB818B">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E769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21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5A8D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单位产品碳足迹均值</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0341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D0206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kgCO2/特征量</w:t>
            </w:r>
          </w:p>
        </w:tc>
        <w:tc>
          <w:tcPr>
            <w:tcW w:w="37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0C45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所选范围内算术平均，空集显示 </w:t>
            </w:r>
            <w:r>
              <w:rPr>
                <w:rFonts w:hint="eastAsia" w:ascii="宋体" w:hAnsi="宋体" w:eastAsia="宋体" w:cs="宋体"/>
                <w:b w:val="0"/>
                <w:i w:val="0"/>
                <w:iCs w:val="0"/>
                <w:color w:val="0284C7"/>
                <w:sz w:val="24"/>
                <w:szCs w:val="24"/>
              </w:rPr>
              <w:t xml:space="preserve"> -- </w:t>
            </w:r>
          </w:p>
        </w:tc>
      </w:tr>
      <w:tr w14:paraId="17B68063">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8C11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21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232A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基准值</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8F80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F7F8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kgCO2/特征量</w:t>
            </w:r>
          </w:p>
        </w:tc>
        <w:tc>
          <w:tcPr>
            <w:tcW w:w="37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A395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取自基准管理配置</w:t>
            </w:r>
          </w:p>
        </w:tc>
      </w:tr>
      <w:tr w14:paraId="085761BA">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B2B3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1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52EE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达标状态</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B1BF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E381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7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0156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达标（主色）/ 超基准（红色）</w:t>
            </w:r>
          </w:p>
        </w:tc>
      </w:tr>
      <w:tr w14:paraId="732C4EB2">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4953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21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6C5B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销售订单数量</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228B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FD7A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台 / km</w:t>
            </w:r>
          </w:p>
        </w:tc>
        <w:tc>
          <w:tcPr>
            <w:tcW w:w="37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59C3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关联销售订单实际数量</w:t>
            </w:r>
          </w:p>
        </w:tc>
      </w:tr>
      <w:tr w14:paraId="1EA4A89F">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CF11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21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D9CE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项目公司标识</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7004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Boolean</w:t>
            </w:r>
          </w:p>
        </w:tc>
        <w:tc>
          <w:tcPr>
            <w:tcW w:w="16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7477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7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9495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为真时该行置灰且不计入排名</w:t>
            </w:r>
          </w:p>
        </w:tc>
      </w:tr>
    </w:tbl>
    <w:p w14:paraId="0CF3077D">
      <w:pPr>
        <w:spacing w:after="60"/>
        <w:rPr>
          <w:rFonts w:hint="eastAsia" w:ascii="宋体" w:hAnsi="宋体" w:eastAsia="宋体" w:cs="宋体"/>
          <w:i w:val="0"/>
          <w:iCs w:val="0"/>
          <w:sz w:val="24"/>
          <w:szCs w:val="24"/>
        </w:rPr>
      </w:pPr>
    </w:p>
    <w:p w14:paraId="0B102A31">
      <w:pPr>
        <w:spacing w:after="60"/>
        <w:rPr>
          <w:rFonts w:hint="eastAsia" w:ascii="宋体" w:hAnsi="宋体" w:eastAsia="宋体" w:cs="宋体"/>
          <w:i w:val="0"/>
          <w:iCs w:val="0"/>
          <w:sz w:val="24"/>
          <w:szCs w:val="24"/>
        </w:rPr>
      </w:pPr>
    </w:p>
    <w:p w14:paraId="3C4A3CFD">
      <w:pPr>
        <w:pStyle w:val="6"/>
        <w:numPr>
          <w:ilvl w:val="0"/>
          <w:numId w:val="15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08FE8C20">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4F616B59">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CF_unit = E_PCF / Feature                                 单位产品碳足迹</w:t>
            </w:r>
          </w:p>
          <w:p w14:paraId="5491E86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R_stage = E_stage / E_PCF × 100%                          各阶段构成占比</w:t>
            </w:r>
          </w:p>
          <w:p w14:paraId="24C32F4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Mean_unit = Σ CF_unit,i / N                               单位产品碳足迹均值</w:t>
            </w:r>
          </w:p>
          <w:p w14:paraId="72010478">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Status = CF_unit &lt;= Benchmark ? 达标 : 超基准              达标判定</w:t>
            </w:r>
          </w:p>
        </w:tc>
      </w:tr>
    </w:tbl>
    <w:p w14:paraId="1B8DB53C">
      <w:pPr>
        <w:spacing w:after="40"/>
        <w:rPr>
          <w:rFonts w:hint="eastAsia" w:ascii="宋体" w:hAnsi="宋体" w:eastAsia="宋体" w:cs="宋体"/>
          <w:i w:val="0"/>
          <w:iCs w:val="0"/>
          <w:sz w:val="24"/>
          <w:szCs w:val="24"/>
        </w:rPr>
      </w:pPr>
    </w:p>
    <w:p w14:paraId="21E845CF">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Feature </w:t>
      </w:r>
      <w:r>
        <w:rPr>
          <w:rFonts w:ascii="Times New Roman" w:hAnsi="Times New Roman" w:eastAsia="宋体" w:cs="Times New Roman"/>
          <w:i w:val="0"/>
          <w:color w:val="1F2937"/>
          <w:sz w:val="24"/>
          <w:szCs w:val="24"/>
        </w:rPr>
        <w:t xml:space="preserve"> 为特征量（变压器 kVA、电缆 km、开关 台/间隔）；</w:t>
      </w:r>
      <w:r>
        <w:rPr>
          <w:rFonts w:ascii="Times New Roman" w:hAnsi="Times New Roman" w:eastAsia="宋体" w:cs="Times New Roman"/>
          <w:b w:val="0"/>
          <w:i w:val="0"/>
          <w:color w:val="0284C7"/>
          <w:sz w:val="24"/>
          <w:szCs w:val="24"/>
        </w:rPr>
        <w:t xml:space="preserve"> E_PCF </w:t>
      </w:r>
      <w:r>
        <w:rPr>
          <w:rFonts w:ascii="Times New Roman" w:hAnsi="Times New Roman" w:eastAsia="宋体" w:cs="Times New Roman"/>
          <w:i w:val="0"/>
          <w:color w:val="1F2937"/>
          <w:sz w:val="24"/>
          <w:szCs w:val="24"/>
        </w:rPr>
        <w:t xml:space="preserve"> 为该单位该型号的单台全生命周期碳足迹。</w:t>
      </w:r>
    </w:p>
    <w:p w14:paraId="207BB16A">
      <w:pPr>
        <w:pStyle w:val="6"/>
        <w:numPr>
          <w:ilvl w:val="0"/>
          <w:numId w:val="15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49BDCDBA">
      <w:pPr>
        <w:pStyle w:val="19"/>
        <w:widowControl/>
        <w:numPr>
          <w:ilvl w:val="0"/>
          <w:numId w:val="15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可比口径</w:t>
      </w:r>
      <w:r>
        <w:rPr>
          <w:rFonts w:ascii="Times New Roman" w:hAnsi="Times New Roman" w:eastAsia="宋体" w:cs="Times New Roman"/>
          <w:i w:val="0"/>
          <w:color w:val="1F2937"/>
          <w:sz w:val="24"/>
          <w:szCs w:val="24"/>
        </w:rPr>
        <w:t>：所有对比必须在同一特征量口径下进行，严禁跨特征量（如 kVA 与 km）直接对比。</w:t>
      </w:r>
    </w:p>
    <w:p w14:paraId="2F88FED2">
      <w:pPr>
        <w:pStyle w:val="19"/>
        <w:widowControl/>
        <w:numPr>
          <w:ilvl w:val="0"/>
          <w:numId w:val="15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基准口径</w:t>
      </w:r>
      <w:r>
        <w:rPr>
          <w:rFonts w:ascii="Times New Roman" w:hAnsi="Times New Roman" w:eastAsia="宋体" w:cs="Times New Roman"/>
          <w:i w:val="0"/>
          <w:color w:val="1F2937"/>
          <w:sz w:val="24"/>
          <w:szCs w:val="24"/>
        </w:rPr>
        <w:t>：基准线取自基准管理配置，超基准柱标红。</w:t>
      </w:r>
    </w:p>
    <w:p w14:paraId="6D197E35">
      <w:pPr>
        <w:pStyle w:val="19"/>
        <w:widowControl/>
        <w:numPr>
          <w:ilvl w:val="0"/>
          <w:numId w:val="15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排名口径</w:t>
      </w:r>
      <w:r>
        <w:rPr>
          <w:rFonts w:ascii="Times New Roman" w:hAnsi="Times New Roman" w:eastAsia="宋体" w:cs="Times New Roman"/>
          <w:i w:val="0"/>
          <w:color w:val="1F2937"/>
          <w:sz w:val="24"/>
          <w:szCs w:val="24"/>
        </w:rPr>
        <w:t>：按单位产品碳足迹升序排名，第 1 名为低碳标杆；项目公司行置灰且不计入排名序号。</w:t>
      </w:r>
    </w:p>
    <w:p w14:paraId="5D14D410">
      <w:pPr>
        <w:pStyle w:val="19"/>
        <w:widowControl/>
        <w:numPr>
          <w:ilvl w:val="0"/>
          <w:numId w:val="15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筛级口径</w:t>
      </w:r>
      <w:r>
        <w:rPr>
          <w:rFonts w:ascii="Times New Roman" w:hAnsi="Times New Roman" w:eastAsia="宋体" w:cs="Times New Roman"/>
          <w:i w:val="0"/>
          <w:color w:val="1F2937"/>
          <w:sz w:val="24"/>
          <w:szCs w:val="24"/>
        </w:rPr>
        <w:t>：上级筛选变更时逐级重置下级到首项，避免残留无效组合。</w:t>
      </w:r>
    </w:p>
    <w:p w14:paraId="109B6DB8">
      <w:pPr>
        <w:pStyle w:val="6"/>
        <w:numPr>
          <w:ilvl w:val="0"/>
          <w:numId w:val="15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29983ABF">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3C086B8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特征量为 0 或缺失：单位产品碳足迹显示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，该实体不参与排名与均值计算。</w:t>
            </w:r>
          </w:p>
          <w:p w14:paraId="3432C40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筛选组合无数据：主对比图与排名表输出客观空态"当前条件下无可比数据"，不显示空白占位卡片。</w:t>
            </w:r>
          </w:p>
          <w:p w14:paraId="1349904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跨特征量对比：前端禁止（下拉互斥），后端 API 拒绝混合特征量请求。</w:t>
            </w:r>
          </w:p>
          <w:p w14:paraId="4175B91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项目公司：强制置灰并排除排名统计。</w:t>
            </w:r>
          </w:p>
        </w:tc>
      </w:tr>
    </w:tbl>
    <w:p w14:paraId="1B565982">
      <w:pPr>
        <w:spacing w:after="40"/>
        <w:rPr>
          <w:rFonts w:hint="eastAsia" w:ascii="宋体" w:hAnsi="宋体" w:eastAsia="宋体" w:cs="宋体"/>
          <w:i w:val="0"/>
          <w:iCs w:val="0"/>
          <w:sz w:val="24"/>
          <w:szCs w:val="24"/>
        </w:rPr>
      </w:pPr>
    </w:p>
    <w:p w14:paraId="425806EB">
      <w:pPr>
        <w:pStyle w:val="6"/>
        <w:numPr>
          <w:ilvl w:val="0"/>
          <w:numId w:val="152"/>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4DBCF7F3">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025DE5F6">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碳排横向对比分析</w:t>
            </w:r>
          </w:p>
          <w:p w14:paraId="70D0C93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级联筛选器逐级重置</w:t>
            </w:r>
          </w:p>
          <w:p w14:paraId="3951E04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用户已在级联筛选器中选定"变压器产业 / 高压产线 / 220kV 油浸式变压器"</w:t>
            </w:r>
          </w:p>
          <w:p w14:paraId="3F719B5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用户将产业改为"线缆产业"</w:t>
            </w:r>
          </w:p>
          <w:p w14:paraId="4CD2406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产线、产品类别、产品型号、经营单位等下级筛选器逐级重置到首项</w:t>
            </w:r>
          </w:p>
          <w:p w14:paraId="19BC8ED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主对比图与排名表同步刷新</w:t>
            </w:r>
          </w:p>
          <w:p w14:paraId="1EF889B1">
            <w:pPr>
              <w:spacing w:before="0" w:after="20" w:line="264" w:lineRule="auto"/>
              <w:rPr>
                <w:rFonts w:hint="eastAsia" w:ascii="宋体" w:hAnsi="宋体" w:eastAsia="宋体" w:cs="宋体"/>
                <w:i w:val="0"/>
                <w:iCs w:val="0"/>
                <w:sz w:val="24"/>
                <w:szCs w:val="24"/>
              </w:rPr>
            </w:pPr>
          </w:p>
          <w:p w14:paraId="4E14921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项目公司排除排名</w:t>
            </w:r>
          </w:p>
          <w:p w14:paraId="6FAE970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对比范围中包含项目公司</w:t>
            </w:r>
          </w:p>
          <w:p w14:paraId="445CF8F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系统生成经营单位排名表</w:t>
            </w:r>
          </w:p>
          <w:p w14:paraId="4EC7CF8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项目公司行置灰且不计入排名序号</w:t>
            </w:r>
          </w:p>
          <w:p w14:paraId="60C01C8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不参与单位产品碳足迹均值计算</w:t>
            </w:r>
          </w:p>
          <w:p w14:paraId="3EA4206A">
            <w:pPr>
              <w:spacing w:before="0" w:after="20" w:line="264" w:lineRule="auto"/>
              <w:rPr>
                <w:rFonts w:hint="eastAsia" w:ascii="宋体" w:hAnsi="宋体" w:eastAsia="宋体" w:cs="宋体"/>
                <w:i w:val="0"/>
                <w:iCs w:val="0"/>
                <w:sz w:val="24"/>
                <w:szCs w:val="24"/>
              </w:rPr>
            </w:pPr>
          </w:p>
          <w:p w14:paraId="6DE07AF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特征量为零安全兜底</w:t>
            </w:r>
          </w:p>
          <w:p w14:paraId="4E133FC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某经营单位某型号产品的特征量数值缺失</w:t>
            </w:r>
          </w:p>
          <w:p w14:paraId="086A558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页面渲染该行的单位产品碳足迹</w:t>
            </w:r>
          </w:p>
          <w:p w14:paraId="1778681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该值显示为 "--"</w:t>
            </w:r>
          </w:p>
          <w:p w14:paraId="05AF32D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该行不参与降序排名与均值统计</w:t>
            </w:r>
          </w:p>
        </w:tc>
      </w:tr>
    </w:tbl>
    <w:p w14:paraId="304D430B">
      <w:pPr>
        <w:spacing w:after="40"/>
        <w:rPr>
          <w:rFonts w:hint="eastAsia" w:ascii="宋体" w:hAnsi="宋体" w:eastAsia="宋体" w:cs="宋体"/>
          <w:i w:val="0"/>
          <w:iCs w:val="0"/>
          <w:sz w:val="24"/>
          <w:szCs w:val="24"/>
        </w:rPr>
      </w:pPr>
    </w:p>
    <w:p w14:paraId="435205D0">
      <w:pPr>
        <w:pStyle w:val="5"/>
        <w:numPr>
          <w:ilvl w:val="0"/>
          <w:numId w:val="151"/>
        </w:numPr>
        <w:ind w:left="0" w:leftChars="0" w:firstLine="0" w:firstLineChars="0"/>
        <w:outlineLvl w:val="1"/>
        <w:rPr>
          <w:rFonts w:eastAsia="黑体"/>
          <w:b w:val="0"/>
          <w:bCs w:val="0"/>
          <w:sz w:val="30"/>
          <w:szCs w:val="24"/>
        </w:rPr>
      </w:pPr>
      <w:bookmarkStart w:id="45" w:name="_Toc28114"/>
      <w:r>
        <w:rPr>
          <w:rFonts w:ascii="Times New Roman" w:hAnsi="Times New Roman" w:eastAsia="黑体" w:cs="Times New Roman"/>
          <w:b w:val="0"/>
          <w:bCs w:val="0"/>
          <w:sz w:val="30"/>
          <w:szCs w:val="24"/>
        </w:rPr>
        <w:t>纵向</w:t>
      </w:r>
      <w:r>
        <w:rPr>
          <w:rFonts w:hint="eastAsia" w:cs="Times New Roman"/>
          <w:b w:val="0"/>
          <w:bCs w:val="0"/>
          <w:sz w:val="30"/>
          <w:szCs w:val="24"/>
          <w:lang w:val="en-US" w:eastAsia="zh-CN"/>
        </w:rPr>
        <w:t>对比</w:t>
      </w:r>
      <w:bookmarkEnd w:id="45"/>
    </w:p>
    <w:p w14:paraId="244118AD">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2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5"/>
                    <pic:cNvPicPr>
                      <a:picLocks noChangeAspect="1"/>
                    </pic:cNvPicPr>
                  </pic:nvPicPr>
                  <pic:blipFill>
                    <a:blip r:embed="rId40"/>
                    <a:stretch>
                      <a:fillRect/>
                    </a:stretch>
                  </pic:blipFill>
                  <pic:spPr>
                    <a:xfrm>
                      <a:off x="0" y="0"/>
                      <a:ext cx="6210300" cy="3079115"/>
                    </a:xfrm>
                    <a:prstGeom prst="rect">
                      <a:avLst/>
                    </a:prstGeom>
                    <a:noFill/>
                    <a:ln>
                      <a:noFill/>
                    </a:ln>
                  </pic:spPr>
                </pic:pic>
              </a:graphicData>
            </a:graphic>
          </wp:inline>
        </w:drawing>
      </w:r>
    </w:p>
    <w:p w14:paraId="27195640">
      <w:pPr>
        <w:pStyle w:val="6"/>
        <w:numPr>
          <w:ilvl w:val="0"/>
          <w:numId w:val="15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7D1A5ACF">
      <w:pPr>
        <w:pStyle w:val="19"/>
        <w:widowControl/>
        <w:numPr>
          <w:ilvl w:val="0"/>
          <w:numId w:val="15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：按批次号追踪同一产品历年碳足迹演变趋势，提供原材料替代、绿电消纳提升及工艺优化的敏感性归因瀑布图。</w:t>
      </w:r>
    </w:p>
    <w:p w14:paraId="42571D17">
      <w:pPr>
        <w:pStyle w:val="19"/>
        <w:widowControl/>
        <w:numPr>
          <w:ilvl w:val="0"/>
          <w:numId w:val="15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碳核算工程师、技改项目经理。</w:t>
      </w:r>
    </w:p>
    <w:p w14:paraId="71219C10">
      <w:pPr>
        <w:pStyle w:val="19"/>
        <w:widowControl/>
        <w:numPr>
          <w:ilvl w:val="0"/>
          <w:numId w:val="15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/carbon-footprint/analysis/ranking </w:t>
      </w:r>
      <w:r>
        <w:rPr>
          <w:rFonts w:ascii="Times New Roman" w:hAnsi="Times New Roman" w:eastAsia="宋体" w:cs="Times New Roman"/>
          <w:i w:val="0"/>
          <w:color w:val="1F2937"/>
          <w:sz w:val="24"/>
          <w:szCs w:val="24"/>
        </w:rPr>
        <w:t>。</w:t>
      </w:r>
    </w:p>
    <w:p w14:paraId="759C4010">
      <w:pPr>
        <w:pStyle w:val="19"/>
        <w:widowControl/>
        <w:numPr>
          <w:ilvl w:val="0"/>
          <w:numId w:val="15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：批次级 LCA 核算结果、生产计划与销售订单、原材料替换记录。</w:t>
      </w:r>
    </w:p>
    <w:p w14:paraId="44583EE9">
      <w:pPr>
        <w:pStyle w:val="19"/>
        <w:widowControl/>
        <w:numPr>
          <w:ilvl w:val="0"/>
          <w:numId w:val="15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：减碳路径建议、技改立项依据。</w:t>
      </w:r>
    </w:p>
    <w:p w14:paraId="465D9A17">
      <w:pPr>
        <w:pStyle w:val="6"/>
        <w:numPr>
          <w:ilvl w:val="0"/>
          <w:numId w:val="15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740E3985">
      <w:pPr>
        <w:pStyle w:val="19"/>
        <w:widowControl/>
        <w:numPr>
          <w:ilvl w:val="0"/>
          <w:numId w:val="15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：追踪某主力型号变压器近 3 年碳足迹下降路径，量化高磁感取向硅钢片替代与绿电接入各自的贡献度。</w:t>
      </w:r>
    </w:p>
    <w:p w14:paraId="63CBA23C">
      <w:pPr>
        <w:pStyle w:val="19"/>
        <w:widowControl/>
        <w:numPr>
          <w:ilvl w:val="0"/>
          <w:numId w:val="15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4E2FD851">
      <w:pPr>
        <w:pStyle w:val="19"/>
        <w:widowControl/>
        <w:numPr>
          <w:ilvl w:val="0"/>
          <w:numId w:val="15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碳核算与认证工程师 (Persona P4)</w:t>
      </w:r>
      <w:r>
        <w:rPr>
          <w:rFonts w:ascii="Times New Roman" w:hAnsi="Times New Roman" w:eastAsia="宋体" w:cs="Times New Roman"/>
          <w:i w:val="0"/>
          <w:color w:val="1F2937"/>
          <w:sz w:val="24"/>
          <w:szCs w:val="24"/>
        </w:rPr>
        <w:t>，</w:t>
      </w:r>
    </w:p>
    <w:p w14:paraId="1262B508">
      <w:pPr>
        <w:pStyle w:val="19"/>
        <w:widowControl/>
        <w:numPr>
          <w:ilvl w:val="0"/>
          <w:numId w:val="15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按批次追踪同型号产品碳足迹演变，并以瀑布图量化各减碳举措的贡献度</w:t>
      </w:r>
      <w:r>
        <w:rPr>
          <w:rFonts w:ascii="Times New Roman" w:hAnsi="Times New Roman" w:eastAsia="宋体" w:cs="Times New Roman"/>
          <w:i w:val="0"/>
          <w:color w:val="1F2937"/>
          <w:sz w:val="24"/>
          <w:szCs w:val="24"/>
        </w:rPr>
        <w:t>，</w:t>
      </w:r>
    </w:p>
    <w:p w14:paraId="3FCAFA43">
      <w:pPr>
        <w:pStyle w:val="19"/>
        <w:widowControl/>
        <w:numPr>
          <w:ilvl w:val="0"/>
          <w:numId w:val="15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我能识别最有效的减碳路径并复制到其他产线</w:t>
      </w:r>
      <w:r>
        <w:rPr>
          <w:rFonts w:ascii="Times New Roman" w:hAnsi="Times New Roman" w:eastAsia="宋体" w:cs="Times New Roman"/>
          <w:i w:val="0"/>
          <w:color w:val="1F2937"/>
          <w:sz w:val="24"/>
          <w:szCs w:val="24"/>
        </w:rPr>
        <w:t>。</w:t>
      </w:r>
    </w:p>
    <w:p w14:paraId="45A0DCCC">
      <w:pPr>
        <w:pStyle w:val="6"/>
        <w:numPr>
          <w:ilvl w:val="0"/>
          <w:numId w:val="15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0B63DF2B">
      <w:pPr>
        <w:pStyle w:val="19"/>
        <w:widowControl/>
        <w:numPr>
          <w:ilvl w:val="0"/>
          <w:numId w:val="1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左侧经营单位组织树</w:t>
      </w:r>
      <w:r>
        <w:rPr>
          <w:rFonts w:ascii="Times New Roman" w:hAnsi="Times New Roman" w:eastAsia="宋体" w:cs="Times New Roman"/>
          <w:i w:val="0"/>
          <w:color w:val="1F2937"/>
          <w:sz w:val="24"/>
          <w:szCs w:val="24"/>
        </w:rPr>
        <w:t>：集团 → 板块 → 经营单位，可展开/收起；项目公司置灰；点击切换 scope（默认"全部经营单位" = 跨单位均值）。</w:t>
      </w:r>
    </w:p>
    <w:p w14:paraId="7EE865FA">
      <w:pPr>
        <w:pStyle w:val="19"/>
        <w:widowControl/>
        <w:numPr>
          <w:ilvl w:val="0"/>
          <w:numId w:val="1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级联筛选</w:t>
      </w:r>
      <w:r>
        <w:rPr>
          <w:rFonts w:ascii="Times New Roman" w:hAnsi="Times New Roman" w:eastAsia="宋体" w:cs="Times New Roman"/>
          <w:i w:val="0"/>
          <w:color w:val="1F2937"/>
          <w:sz w:val="24"/>
          <w:szCs w:val="24"/>
        </w:rPr>
        <w:t>：产业 / 产线 / 类别 / 时间。</w:t>
      </w:r>
    </w:p>
    <w:p w14:paraId="39D9F2F6">
      <w:pPr>
        <w:pStyle w:val="19"/>
        <w:widowControl/>
        <w:numPr>
          <w:ilvl w:val="0"/>
          <w:numId w:val="1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重点指标区</w:t>
      </w:r>
      <w:r>
        <w:rPr>
          <w:rFonts w:ascii="Times New Roman" w:hAnsi="Times New Roman" w:eastAsia="宋体" w:cs="Times New Roman"/>
          <w:i w:val="0"/>
          <w:color w:val="1F2937"/>
          <w:sz w:val="24"/>
          <w:szCs w:val="24"/>
        </w:rPr>
        <w:t>：3 张 KpiCard（型号数量、生产总数、单位产品碳足迹均值，随 scope 重算）。</w:t>
      </w:r>
    </w:p>
    <w:p w14:paraId="1A36A312">
      <w:pPr>
        <w:pStyle w:val="19"/>
        <w:widowControl/>
        <w:numPr>
          <w:ilvl w:val="0"/>
          <w:numId w:val="1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红榜 Top5 / 黑榜 Top5</w:t>
      </w:r>
      <w:r>
        <w:rPr>
          <w:rFonts w:ascii="Times New Roman" w:hAnsi="Times New Roman" w:eastAsia="宋体" w:cs="Times New Roman"/>
          <w:i w:val="0"/>
          <w:color w:val="1F2937"/>
          <w:sz w:val="24"/>
          <w:szCs w:val="24"/>
        </w:rPr>
        <w:t>：型号按单位产品碳足迹升序，前 n 入红榜（低碳标杆），后 n 入黑榜（改进对象）；红榜第 1 挂 Award、黑榜第 1 挂 TriangleAlert。</w:t>
      </w:r>
    </w:p>
    <w:p w14:paraId="754E84B3">
      <w:pPr>
        <w:pStyle w:val="19"/>
        <w:widowControl/>
        <w:numPr>
          <w:ilvl w:val="0"/>
          <w:numId w:val="1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点击榜单卡片下钻（Modal）</w:t>
      </w:r>
      <w:r>
        <w:rPr>
          <w:rFonts w:ascii="Times New Roman" w:hAnsi="Times New Roman" w:eastAsia="宋体" w:cs="Times New Roman"/>
          <w:i w:val="0"/>
          <w:color w:val="1F2937"/>
          <w:sz w:val="24"/>
          <w:szCs w:val="24"/>
        </w:rPr>
        <w:t>：各生产计划单台碳足迹对比条形（同型号不同生产计划 = 不同时间生产的横向对比）+ 销售订单及拆分生产计划表。</w:t>
      </w:r>
    </w:p>
    <w:p w14:paraId="30878C12">
      <w:pPr>
        <w:pStyle w:val="19"/>
        <w:widowControl/>
        <w:numPr>
          <w:ilvl w:val="0"/>
          <w:numId w:val="1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场景定位</w:t>
      </w:r>
      <w:r>
        <w:rPr>
          <w:rFonts w:ascii="Times New Roman" w:hAnsi="Times New Roman" w:eastAsia="宋体" w:cs="Times New Roman"/>
          <w:i w:val="0"/>
          <w:color w:val="1F2937"/>
          <w:sz w:val="24"/>
          <w:szCs w:val="24"/>
        </w:rPr>
        <w:t>：按组织范围对同类别各型号做红黑榜，锁定改进对象。</w:t>
      </w:r>
    </w:p>
    <w:p w14:paraId="6479C57C">
      <w:pPr>
        <w:pStyle w:val="19"/>
        <w:widowControl/>
        <w:numPr>
          <w:ilvl w:val="0"/>
          <w:numId w:val="1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归因瀑布图</w:t>
      </w:r>
      <w:r>
        <w:rPr>
          <w:rFonts w:ascii="Times New Roman" w:hAnsi="Times New Roman" w:eastAsia="宋体" w:cs="Times New Roman"/>
          <w:i w:val="0"/>
          <w:color w:val="1F2937"/>
          <w:sz w:val="24"/>
          <w:szCs w:val="24"/>
        </w:rPr>
        <w:t>：以瀑布图形呈现原材料替代、绿电接入、工艺优化等因素对碳足迹变动的贡献量与贡献率。</w:t>
      </w:r>
    </w:p>
    <w:p w14:paraId="56244E3B">
      <w:pPr>
        <w:pStyle w:val="6"/>
        <w:numPr>
          <w:ilvl w:val="0"/>
          <w:numId w:val="15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91"/>
        <w:gridCol w:w="2030"/>
        <w:gridCol w:w="1373"/>
        <w:gridCol w:w="1480"/>
        <w:gridCol w:w="4010"/>
      </w:tblGrid>
      <w:tr w14:paraId="4B41067F">
        <w:tblPrEx>
          <w:tblCellMar>
            <w:top w:w="0" w:type="dxa"/>
            <w:left w:w="108" w:type="dxa"/>
            <w:bottom w:w="0" w:type="dxa"/>
            <w:right w:w="108" w:type="dxa"/>
          </w:tblCellMar>
        </w:tblPrEx>
        <w:trPr>
          <w:jc w:val="center"/>
        </w:trPr>
        <w:tc>
          <w:tcPr>
            <w:tcW w:w="89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8BDEE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203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135FF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7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10F50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48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69CB7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00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E475D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201F8895">
        <w:tblPrEx>
          <w:tblCellMar>
            <w:top w:w="0" w:type="dxa"/>
            <w:left w:w="108" w:type="dxa"/>
            <w:bottom w:w="0" w:type="dxa"/>
            <w:right w:w="108" w:type="dxa"/>
          </w:tblCellMar>
        </w:tblPrEx>
        <w:trPr>
          <w:jc w:val="center"/>
        </w:trPr>
        <w:tc>
          <w:tcPr>
            <w:tcW w:w="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796CA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20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9A1A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产品型号</w:t>
            </w:r>
          </w:p>
        </w:tc>
        <w:tc>
          <w:tcPr>
            <w:tcW w:w="137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78BE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4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060E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42A9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唯一主数据编码</w:t>
            </w:r>
          </w:p>
        </w:tc>
      </w:tr>
      <w:tr w14:paraId="757FE82C">
        <w:tblPrEx>
          <w:tblCellMar>
            <w:top w:w="0" w:type="dxa"/>
            <w:left w:w="108" w:type="dxa"/>
            <w:bottom w:w="0" w:type="dxa"/>
            <w:right w:w="108" w:type="dxa"/>
          </w:tblCellMar>
        </w:tblPrEx>
        <w:trPr>
          <w:jc w:val="center"/>
        </w:trPr>
        <w:tc>
          <w:tcPr>
            <w:tcW w:w="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B2EC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20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AF39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生产批次流水号</w:t>
            </w:r>
          </w:p>
        </w:tc>
        <w:tc>
          <w:tcPr>
            <w:tcW w:w="137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16EC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4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0C2D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F308F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MES 制造工单流水号</w:t>
            </w:r>
          </w:p>
        </w:tc>
      </w:tr>
      <w:tr w14:paraId="048F2B3F">
        <w:tblPrEx>
          <w:tblCellMar>
            <w:top w:w="0" w:type="dxa"/>
            <w:left w:w="108" w:type="dxa"/>
            <w:bottom w:w="0" w:type="dxa"/>
            <w:right w:w="108" w:type="dxa"/>
          </w:tblCellMar>
        </w:tblPrEx>
        <w:trPr>
          <w:jc w:val="center"/>
        </w:trPr>
        <w:tc>
          <w:tcPr>
            <w:tcW w:w="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960F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20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6D9E8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生产计划标识</w:t>
            </w:r>
          </w:p>
        </w:tc>
        <w:tc>
          <w:tcPr>
            <w:tcW w:w="137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506B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4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49F38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6BF87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同一型号下按时间拆分的生产计划</w:t>
            </w:r>
          </w:p>
        </w:tc>
      </w:tr>
      <w:tr w14:paraId="7944E406">
        <w:tblPrEx>
          <w:tblCellMar>
            <w:top w:w="0" w:type="dxa"/>
            <w:left w:w="108" w:type="dxa"/>
            <w:bottom w:w="0" w:type="dxa"/>
            <w:right w:w="108" w:type="dxa"/>
          </w:tblCellMar>
        </w:tblPrEx>
        <w:trPr>
          <w:jc w:val="center"/>
        </w:trPr>
        <w:tc>
          <w:tcPr>
            <w:tcW w:w="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BCCA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20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4466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单位产品碳足迹</w:t>
            </w:r>
          </w:p>
        </w:tc>
        <w:tc>
          <w:tcPr>
            <w:tcW w:w="137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2B02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B90F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kgCO2e/特征量</w:t>
            </w:r>
          </w:p>
        </w:tc>
        <w:tc>
          <w:tcPr>
            <w:tcW w:w="400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335A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0，空值显示 </w:t>
            </w:r>
            <w:r>
              <w:rPr>
                <w:rFonts w:hint="eastAsia" w:ascii="宋体" w:hAnsi="宋体" w:eastAsia="宋体" w:cs="宋体"/>
                <w:b w:val="0"/>
                <w:i w:val="0"/>
                <w:iCs w:val="0"/>
                <w:color w:val="0284C7"/>
                <w:sz w:val="24"/>
                <w:szCs w:val="24"/>
              </w:rPr>
              <w:t xml:space="preserve"> -- </w:t>
            </w:r>
          </w:p>
        </w:tc>
      </w:tr>
      <w:tr w14:paraId="25D0E2CB">
        <w:tblPrEx>
          <w:tblCellMar>
            <w:top w:w="0" w:type="dxa"/>
            <w:left w:w="108" w:type="dxa"/>
            <w:bottom w:w="0" w:type="dxa"/>
            <w:right w:w="108" w:type="dxa"/>
          </w:tblCellMar>
        </w:tblPrEx>
        <w:trPr>
          <w:jc w:val="center"/>
        </w:trPr>
        <w:tc>
          <w:tcPr>
            <w:tcW w:w="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492F7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20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98F2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碳足迹变动量</w:t>
            </w:r>
          </w:p>
        </w:tc>
        <w:tc>
          <w:tcPr>
            <w:tcW w:w="137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0AB3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91D92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kgCO2e/特征量</w:t>
            </w:r>
          </w:p>
        </w:tc>
        <w:tc>
          <w:tcPr>
            <w:tcW w:w="40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DC69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 − 基期，可正可负</w:t>
            </w:r>
          </w:p>
        </w:tc>
      </w:tr>
      <w:tr w14:paraId="3207E953">
        <w:tblPrEx>
          <w:tblCellMar>
            <w:top w:w="0" w:type="dxa"/>
            <w:left w:w="108" w:type="dxa"/>
            <w:bottom w:w="0" w:type="dxa"/>
            <w:right w:w="108" w:type="dxa"/>
          </w:tblCellMar>
        </w:tblPrEx>
        <w:trPr>
          <w:jc w:val="center"/>
        </w:trPr>
        <w:tc>
          <w:tcPr>
            <w:tcW w:w="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90FA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20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ADCE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归因贡献率</w:t>
            </w:r>
          </w:p>
        </w:tc>
        <w:tc>
          <w:tcPr>
            <w:tcW w:w="137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C9C9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0956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A2E2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各因素贡献量 / 总变动量 × 100%</w:t>
            </w:r>
          </w:p>
        </w:tc>
      </w:tr>
      <w:tr w14:paraId="5397C319">
        <w:tblPrEx>
          <w:tblCellMar>
            <w:top w:w="0" w:type="dxa"/>
            <w:left w:w="108" w:type="dxa"/>
            <w:bottom w:w="0" w:type="dxa"/>
            <w:right w:w="108" w:type="dxa"/>
          </w:tblCellMar>
        </w:tblPrEx>
        <w:trPr>
          <w:jc w:val="center"/>
        </w:trPr>
        <w:tc>
          <w:tcPr>
            <w:tcW w:w="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A8E5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20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8FA0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红榜排名</w:t>
            </w:r>
          </w:p>
        </w:tc>
        <w:tc>
          <w:tcPr>
            <w:tcW w:w="137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5D45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Integer</w:t>
            </w:r>
          </w:p>
        </w:tc>
        <w:tc>
          <w:tcPr>
            <w:tcW w:w="14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DCC9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名次</w:t>
            </w:r>
          </w:p>
        </w:tc>
        <w:tc>
          <w:tcPr>
            <w:tcW w:w="40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B9E5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升序取前 5，第 1 名挂标杆徽标</w:t>
            </w:r>
          </w:p>
        </w:tc>
      </w:tr>
      <w:tr w14:paraId="403B3F21">
        <w:tblPrEx>
          <w:tblCellMar>
            <w:top w:w="0" w:type="dxa"/>
            <w:left w:w="108" w:type="dxa"/>
            <w:bottom w:w="0" w:type="dxa"/>
            <w:right w:w="108" w:type="dxa"/>
          </w:tblCellMar>
        </w:tblPrEx>
        <w:trPr>
          <w:jc w:val="center"/>
        </w:trPr>
        <w:tc>
          <w:tcPr>
            <w:tcW w:w="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F7BF5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0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D66B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黑榜排名</w:t>
            </w:r>
          </w:p>
        </w:tc>
        <w:tc>
          <w:tcPr>
            <w:tcW w:w="137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CFFF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Integer</w:t>
            </w:r>
          </w:p>
        </w:tc>
        <w:tc>
          <w:tcPr>
            <w:tcW w:w="14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16BA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名次</w:t>
            </w:r>
          </w:p>
        </w:tc>
        <w:tc>
          <w:tcPr>
            <w:tcW w:w="400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A709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升序取后 5，第 1 名挂警示徽标</w:t>
            </w:r>
          </w:p>
        </w:tc>
      </w:tr>
      <w:tr w14:paraId="7B68A82D">
        <w:tblPrEx>
          <w:tblCellMar>
            <w:top w:w="0" w:type="dxa"/>
            <w:left w:w="108" w:type="dxa"/>
            <w:bottom w:w="0" w:type="dxa"/>
            <w:right w:w="108" w:type="dxa"/>
          </w:tblCellMar>
        </w:tblPrEx>
        <w:trPr>
          <w:jc w:val="center"/>
        </w:trPr>
        <w:tc>
          <w:tcPr>
            <w:tcW w:w="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FCF4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20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ED9B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组织范围（scope）</w:t>
            </w:r>
          </w:p>
        </w:tc>
        <w:tc>
          <w:tcPr>
            <w:tcW w:w="137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67D7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4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7D9D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3355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具体经营单位 / 全部经营单位（跨单位均值）</w:t>
            </w:r>
          </w:p>
        </w:tc>
      </w:tr>
    </w:tbl>
    <w:p w14:paraId="1D4E3FCE">
      <w:pPr>
        <w:spacing w:after="60"/>
        <w:rPr>
          <w:rFonts w:hint="eastAsia" w:ascii="宋体" w:hAnsi="宋体" w:eastAsia="宋体" w:cs="宋体"/>
          <w:i w:val="0"/>
          <w:iCs w:val="0"/>
          <w:sz w:val="24"/>
          <w:szCs w:val="24"/>
        </w:rPr>
      </w:pPr>
    </w:p>
    <w:p w14:paraId="6FA0F738">
      <w:pPr>
        <w:pStyle w:val="6"/>
        <w:numPr>
          <w:ilvl w:val="0"/>
          <w:numId w:val="15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66477CE2">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390973F7">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ΔCF = CF_t - CF_base                             碳足迹变动量</w:t>
            </w:r>
          </w:p>
          <w:p w14:paraId="713B6112">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Con_i = ΔCF_i / ΔCF × 100%                     各因素归因贡献率</w:t>
            </w:r>
          </w:p>
          <w:p w14:paraId="73BA16F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CF_scope_all = Σ CF_unit,i / N                   跨单位均值</w:t>
            </w:r>
          </w:p>
          <w:p w14:paraId="548EFD1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Top_red = ORDER_BY( CF_unit ) ASC LIMIT 5         红榜（低碳标杆）</w:t>
            </w:r>
          </w:p>
          <w:p w14:paraId="06338365">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Top_black = ORDER_BY( CF_unit ) DESC LIMIT 5      黑榜（改进对象）</w:t>
            </w:r>
          </w:p>
        </w:tc>
      </w:tr>
    </w:tbl>
    <w:p w14:paraId="2C6D282B">
      <w:pPr>
        <w:spacing w:after="40"/>
        <w:rPr>
          <w:rFonts w:hint="eastAsia" w:ascii="宋体" w:hAnsi="宋体" w:eastAsia="宋体" w:cs="宋体"/>
          <w:i w:val="0"/>
          <w:iCs w:val="0"/>
          <w:sz w:val="24"/>
          <w:szCs w:val="24"/>
        </w:rPr>
      </w:pPr>
    </w:p>
    <w:p w14:paraId="0FC4E39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ΔCF_i </w:t>
      </w:r>
      <w:r>
        <w:rPr>
          <w:rFonts w:ascii="Times New Roman" w:hAnsi="Times New Roman" w:eastAsia="宋体" w:cs="Times New Roman"/>
          <w:i w:val="0"/>
          <w:color w:val="1F2937"/>
          <w:sz w:val="24"/>
          <w:szCs w:val="24"/>
        </w:rPr>
        <w:t xml:space="preserve"> 为第 i 项减碳举措（原材料替代、绿电接入、工艺优化）带来的碳足迹变化量；归因贡献率之和应为 100%，偏差超 ±1% 提示归因不完整。</w:t>
      </w:r>
    </w:p>
    <w:p w14:paraId="2F766CF1">
      <w:pPr>
        <w:pStyle w:val="6"/>
        <w:numPr>
          <w:ilvl w:val="0"/>
          <w:numId w:val="15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2B7004D8">
      <w:pPr>
        <w:pStyle w:val="19"/>
        <w:widowControl/>
        <w:numPr>
          <w:ilvl w:val="0"/>
          <w:numId w:val="16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时间口径</w:t>
      </w:r>
      <w:r>
        <w:rPr>
          <w:rFonts w:ascii="Times New Roman" w:hAnsi="Times New Roman" w:eastAsia="宋体" w:cs="Times New Roman"/>
          <w:i w:val="0"/>
          <w:color w:val="1F2937"/>
          <w:sz w:val="24"/>
          <w:szCs w:val="24"/>
        </w:rPr>
        <w:t>：纵向追溯以生产批次时间轴为准，不以销售订单时间为准。</w:t>
      </w:r>
    </w:p>
    <w:p w14:paraId="66D51FF4">
      <w:pPr>
        <w:pStyle w:val="19"/>
        <w:widowControl/>
        <w:numPr>
          <w:ilvl w:val="0"/>
          <w:numId w:val="16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均值口径</w:t>
      </w:r>
      <w:r>
        <w:rPr>
          <w:rFonts w:ascii="Times New Roman" w:hAnsi="Times New Roman" w:eastAsia="宋体" w:cs="Times New Roman"/>
          <w:i w:val="0"/>
          <w:color w:val="1F2937"/>
          <w:sz w:val="24"/>
          <w:szCs w:val="24"/>
        </w:rPr>
        <w:t>：scope 为"全部经营单位"时采用跨单位算术平均，非加权。</w:t>
      </w:r>
    </w:p>
    <w:p w14:paraId="408C0D49">
      <w:pPr>
        <w:pStyle w:val="19"/>
        <w:widowControl/>
        <w:numPr>
          <w:ilvl w:val="0"/>
          <w:numId w:val="16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红黑榜口径</w:t>
      </w:r>
      <w:r>
        <w:rPr>
          <w:rFonts w:ascii="Times New Roman" w:hAnsi="Times New Roman" w:eastAsia="宋体" w:cs="Times New Roman"/>
          <w:i w:val="0"/>
          <w:color w:val="1F2937"/>
          <w:sz w:val="24"/>
          <w:szCs w:val="24"/>
        </w:rPr>
        <w:t>：红黑榜基于同类别内各型号升序排序，前 5 与后 5，型号数少于 10 时不重复上榜。</w:t>
      </w:r>
    </w:p>
    <w:p w14:paraId="183BA9D9">
      <w:pPr>
        <w:pStyle w:val="19"/>
        <w:widowControl/>
        <w:numPr>
          <w:ilvl w:val="0"/>
          <w:numId w:val="16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归因口径</w:t>
      </w:r>
      <w:r>
        <w:rPr>
          <w:rFonts w:ascii="Times New Roman" w:hAnsi="Times New Roman" w:eastAsia="宋体" w:cs="Times New Roman"/>
          <w:i w:val="0"/>
          <w:color w:val="1F2937"/>
          <w:sz w:val="24"/>
          <w:szCs w:val="24"/>
        </w:rPr>
        <w:t>：归因须完整覆盖全部减碳举措，贡献率之和强制配平至 100%。</w:t>
      </w:r>
    </w:p>
    <w:p w14:paraId="6AB4D60A">
      <w:pPr>
        <w:pStyle w:val="6"/>
        <w:numPr>
          <w:ilvl w:val="0"/>
          <w:numId w:val="15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667FE8DF">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317C21F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同型号历史批次少于 2 个：不绘制归因瀑布图，输出客观提示"历史批次不足，暂不支持归因"。</w:t>
            </w:r>
          </w:p>
          <w:p w14:paraId="06129C3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归属贡献率之和不等于 100%：标注"归因待补充"并列出未归因残差。</w:t>
            </w:r>
          </w:p>
          <w:p w14:paraId="437FBA0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项目公司：置灰且不参与红黑榜。</w:t>
            </w:r>
          </w:p>
          <w:p w14:paraId="14FD721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除零兜底：总变动量为 0 时贡献率显示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tc>
      </w:tr>
    </w:tbl>
    <w:p w14:paraId="6BCA6FF7">
      <w:pPr>
        <w:spacing w:after="40"/>
        <w:rPr>
          <w:rFonts w:hint="eastAsia" w:ascii="宋体" w:hAnsi="宋体" w:eastAsia="宋体" w:cs="宋体"/>
          <w:i w:val="0"/>
          <w:iCs w:val="0"/>
          <w:sz w:val="24"/>
          <w:szCs w:val="24"/>
        </w:rPr>
      </w:pPr>
    </w:p>
    <w:p w14:paraId="394D55FC">
      <w:pPr>
        <w:pStyle w:val="6"/>
        <w:numPr>
          <w:ilvl w:val="0"/>
          <w:numId w:val="157"/>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074B4271">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084D879F">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碳排纵向追溯与归因分析</w:t>
            </w:r>
          </w:p>
          <w:p w14:paraId="443CD99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归因贡献率配平</w:t>
            </w:r>
          </w:p>
          <w:p w14:paraId="04016F6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某型号变压器存在两个及以上生产批次的碳足迹数据</w:t>
            </w:r>
          </w:p>
          <w:p w14:paraId="3D3DE29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系统生成减碳归因瀑布图</w:t>
            </w:r>
          </w:p>
          <w:p w14:paraId="7261731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各因素贡献率之和等于 100%</w:t>
            </w:r>
          </w:p>
          <w:p w14:paraId="1500E7F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偏差超过 ±1% 时标注"归因待补充"并列出未归因残差</w:t>
            </w:r>
          </w:p>
          <w:p w14:paraId="3A8A34BF">
            <w:pPr>
              <w:spacing w:before="0" w:after="20" w:line="264" w:lineRule="auto"/>
              <w:rPr>
                <w:rFonts w:hint="eastAsia" w:ascii="宋体" w:hAnsi="宋体" w:eastAsia="宋体" w:cs="宋体"/>
                <w:i w:val="0"/>
                <w:iCs w:val="0"/>
                <w:sz w:val="24"/>
                <w:szCs w:val="24"/>
              </w:rPr>
            </w:pPr>
          </w:p>
          <w:p w14:paraId="381DBD9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红黑榜不重复上榜</w:t>
            </w:r>
          </w:p>
          <w:p w14:paraId="17AA540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同类别内共有 6 个产品型号</w:t>
            </w:r>
          </w:p>
          <w:p w14:paraId="4F625CC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系统生成红榜 Top5 与黑榜 Top5</w:t>
            </w:r>
          </w:p>
          <w:p w14:paraId="0A88FC5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同一型号不同时出现在红榜与黑榜中</w:t>
            </w:r>
          </w:p>
          <w:p w14:paraId="114C1CE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红榜第 1 名挂 Award 徽标、黑榜第 1 名挂 TriangleAlert 徽标</w:t>
            </w:r>
          </w:p>
          <w:p w14:paraId="178DB680">
            <w:pPr>
              <w:spacing w:before="0" w:after="20" w:line="264" w:lineRule="auto"/>
              <w:rPr>
                <w:rFonts w:hint="eastAsia" w:ascii="宋体" w:hAnsi="宋体" w:eastAsia="宋体" w:cs="宋体"/>
                <w:i w:val="0"/>
                <w:iCs w:val="0"/>
                <w:sz w:val="24"/>
                <w:szCs w:val="24"/>
              </w:rPr>
            </w:pPr>
          </w:p>
          <w:p w14:paraId="45A62C3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历史批次不足的处理</w:t>
            </w:r>
          </w:p>
          <w:p w14:paraId="27F7F78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某型号仅有 1 个生产批次的碳足迹数据</w:t>
            </w:r>
          </w:p>
          <w:p w14:paraId="1FA8894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用户请求查看归因瀑布图</w:t>
            </w:r>
          </w:p>
          <w:p w14:paraId="066F34B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不绘制瀑布图并输出"历史批次不足，暂不支持归因"</w:t>
            </w:r>
          </w:p>
          <w:p w14:paraId="16E2BB8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页面不显示空白图表容器</w:t>
            </w:r>
          </w:p>
        </w:tc>
      </w:tr>
    </w:tbl>
    <w:p w14:paraId="188330CC">
      <w:pPr>
        <w:spacing w:after="40"/>
        <w:rPr>
          <w:rFonts w:hint="eastAsia" w:ascii="宋体" w:hAnsi="宋体" w:eastAsia="宋体" w:cs="宋体"/>
          <w:i w:val="0"/>
          <w:iCs w:val="0"/>
          <w:sz w:val="24"/>
          <w:szCs w:val="24"/>
        </w:rPr>
      </w:pPr>
    </w:p>
    <w:p w14:paraId="7E8EB1C9">
      <w:pPr>
        <w:pStyle w:val="4"/>
        <w:numPr>
          <w:ilvl w:val="0"/>
          <w:numId w:val="144"/>
        </w:numPr>
        <w:topLinePunct w:val="0"/>
        <w:ind w:left="0" w:leftChars="0" w:firstLine="0" w:firstLineChars="0"/>
        <w:outlineLvl w:val="0"/>
        <w:rPr>
          <w:rFonts w:hint="eastAsia" w:eastAsia="黑体"/>
          <w:b w:val="0"/>
          <w:bCs w:val="0"/>
          <w:sz w:val="30"/>
          <w:szCs w:val="32"/>
        </w:rPr>
      </w:pPr>
      <w:bookmarkStart w:id="46" w:name="_Toc31107"/>
      <w:r>
        <w:rPr>
          <w:rFonts w:ascii="Times New Roman" w:hAnsi="Times New Roman" w:eastAsia="黑体" w:cs="Times New Roman"/>
          <w:b w:val="0"/>
          <w:bCs w:val="0"/>
          <w:sz w:val="30"/>
          <w:szCs w:val="32"/>
        </w:rPr>
        <w:t>实景数据库与碳足迹核算</w:t>
      </w:r>
      <w:bookmarkEnd w:id="46"/>
    </w:p>
    <w:p w14:paraId="64D449FD">
      <w:pPr>
        <w:pStyle w:val="5"/>
        <w:numPr>
          <w:ilvl w:val="0"/>
          <w:numId w:val="162"/>
        </w:numPr>
        <w:ind w:left="0" w:leftChars="0" w:firstLine="0" w:firstLineChars="0"/>
        <w:outlineLvl w:val="1"/>
        <w:rPr>
          <w:rFonts w:eastAsia="黑体"/>
          <w:b w:val="0"/>
          <w:bCs w:val="0"/>
          <w:sz w:val="30"/>
          <w:szCs w:val="24"/>
        </w:rPr>
      </w:pPr>
      <w:bookmarkStart w:id="47" w:name="_Toc19441"/>
      <w:r>
        <w:rPr>
          <w:rFonts w:ascii="Times New Roman" w:hAnsi="Times New Roman" w:eastAsia="黑体" w:cs="Times New Roman"/>
          <w:b w:val="0"/>
          <w:bCs w:val="0"/>
          <w:sz w:val="30"/>
          <w:szCs w:val="24"/>
        </w:rPr>
        <w:t>实景数据库</w:t>
      </w:r>
      <w:bookmarkEnd w:id="47"/>
    </w:p>
    <w:p w14:paraId="63C76D9A">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2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6"/>
                    <pic:cNvPicPr>
                      <a:picLocks noChangeAspect="1"/>
                    </pic:cNvPicPr>
                  </pic:nvPicPr>
                  <pic:blipFill>
                    <a:blip r:embed="rId41"/>
                    <a:stretch>
                      <a:fillRect/>
                    </a:stretch>
                  </pic:blipFill>
                  <pic:spPr>
                    <a:xfrm>
                      <a:off x="0" y="0"/>
                      <a:ext cx="6210300" cy="3079115"/>
                    </a:xfrm>
                    <a:prstGeom prst="rect">
                      <a:avLst/>
                    </a:prstGeom>
                    <a:noFill/>
                    <a:ln>
                      <a:noFill/>
                    </a:ln>
                  </pic:spPr>
                </pic:pic>
              </a:graphicData>
            </a:graphic>
          </wp:inline>
        </w:drawing>
      </w:r>
    </w:p>
    <w:p w14:paraId="143BD801">
      <w:pPr>
        <w:pStyle w:val="6"/>
        <w:numPr>
          <w:ilvl w:val="0"/>
          <w:numId w:val="16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4756D9C1">
      <w:pPr>
        <w:pStyle w:val="19"/>
        <w:widowControl/>
        <w:numPr>
          <w:ilvl w:val="0"/>
          <w:numId w:val="16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：汇聚硅钢片、电解铜、变压器油、绝缘纸板、结构钢材等重点原材料本土实测碳排放因子图谱，每个物料节点均具备完整的供应链溯源链条、实测检测报告附件与第三方认证声明编号。</w:t>
      </w:r>
    </w:p>
    <w:p w14:paraId="7F86C474">
      <w:pPr>
        <w:pStyle w:val="19"/>
        <w:widowControl/>
        <w:numPr>
          <w:ilvl w:val="0"/>
          <w:numId w:val="16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碳核算工程师（主维护）、P6 外部独立审计机构（只读核验）。</w:t>
      </w:r>
    </w:p>
    <w:p w14:paraId="5979702A">
      <w:pPr>
        <w:pStyle w:val="19"/>
        <w:widowControl/>
        <w:numPr>
          <w:ilvl w:val="0"/>
          <w:numId w:val="16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/carbon-footprint/database/realscene </w:t>
      </w:r>
      <w:r>
        <w:rPr>
          <w:rFonts w:ascii="Times New Roman" w:hAnsi="Times New Roman" w:eastAsia="宋体" w:cs="Times New Roman"/>
          <w:i w:val="0"/>
          <w:color w:val="1F2937"/>
          <w:sz w:val="24"/>
          <w:szCs w:val="24"/>
        </w:rPr>
        <w:t>。</w:t>
      </w:r>
    </w:p>
    <w:p w14:paraId="486D6355">
      <w:pPr>
        <w:pStyle w:val="19"/>
        <w:widowControl/>
        <w:numPr>
          <w:ilvl w:val="0"/>
          <w:numId w:val="16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：供应商检测报告、第三方认证声明、因子库匹配结果。</w:t>
      </w:r>
    </w:p>
    <w:p w14:paraId="21661C91">
      <w:pPr>
        <w:pStyle w:val="19"/>
        <w:widowControl/>
        <w:numPr>
          <w:ilvl w:val="0"/>
          <w:numId w:val="16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：LCA 核算引擎的物料因子输入、CBAM 隐含碳核算底数。</w:t>
      </w:r>
    </w:p>
    <w:p w14:paraId="79F084A6">
      <w:pPr>
        <w:pStyle w:val="6"/>
        <w:numPr>
          <w:ilvl w:val="0"/>
          <w:numId w:val="16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190CF7EC">
      <w:pPr>
        <w:pStyle w:val="19"/>
        <w:widowControl/>
        <w:numPr>
          <w:ilvl w:val="0"/>
          <w:numId w:val="16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：碳核算工程师需为高磁感取向硅钢片等高碳主材建立本土实测因子档案，并附具完整溯源证据以支撑第三方认证。</w:t>
      </w:r>
    </w:p>
    <w:p w14:paraId="029B899B">
      <w:pPr>
        <w:pStyle w:val="19"/>
        <w:widowControl/>
        <w:numPr>
          <w:ilvl w:val="0"/>
          <w:numId w:val="16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74E7D87D">
      <w:pPr>
        <w:pStyle w:val="19"/>
        <w:widowControl/>
        <w:numPr>
          <w:ilvl w:val="0"/>
          <w:numId w:val="16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碳核算与认证工程师 (Persona P4)</w:t>
      </w:r>
      <w:r>
        <w:rPr>
          <w:rFonts w:ascii="Times New Roman" w:hAnsi="Times New Roman" w:eastAsia="宋体" w:cs="Times New Roman"/>
          <w:i w:val="0"/>
          <w:color w:val="1F2937"/>
          <w:sz w:val="24"/>
          <w:szCs w:val="24"/>
        </w:rPr>
        <w:t>，</w:t>
      </w:r>
    </w:p>
    <w:p w14:paraId="293C5805">
      <w:pPr>
        <w:pStyle w:val="19"/>
        <w:widowControl/>
        <w:numPr>
          <w:ilvl w:val="0"/>
          <w:numId w:val="16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在实景数据库中按物料维护本土实测碳因子并关联供应链溯源链条与检测报告附件</w:t>
      </w:r>
      <w:r>
        <w:rPr>
          <w:rFonts w:ascii="Times New Roman" w:hAnsi="Times New Roman" w:eastAsia="宋体" w:cs="Times New Roman"/>
          <w:i w:val="0"/>
          <w:color w:val="1F2937"/>
          <w:sz w:val="24"/>
          <w:szCs w:val="24"/>
        </w:rPr>
        <w:t>，</w:t>
      </w:r>
    </w:p>
    <w:p w14:paraId="32D9BE9E">
      <w:pPr>
        <w:pStyle w:val="19"/>
        <w:widowControl/>
        <w:numPr>
          <w:ilvl w:val="0"/>
          <w:numId w:val="16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LCA 核算所引用的每一项因子都可被第三方审计追溯至原始证据</w:t>
      </w:r>
      <w:r>
        <w:rPr>
          <w:rFonts w:ascii="Times New Roman" w:hAnsi="Times New Roman" w:eastAsia="宋体" w:cs="Times New Roman"/>
          <w:i w:val="0"/>
          <w:color w:val="1F2937"/>
          <w:sz w:val="24"/>
          <w:szCs w:val="24"/>
        </w:rPr>
        <w:t>。</w:t>
      </w:r>
    </w:p>
    <w:p w14:paraId="336290D9">
      <w:pPr>
        <w:pStyle w:val="6"/>
        <w:numPr>
          <w:ilvl w:val="0"/>
          <w:numId w:val="16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7FC5D3D4">
      <w:pPr>
        <w:pStyle w:val="19"/>
        <w:widowControl/>
        <w:numPr>
          <w:ilvl w:val="0"/>
          <w:numId w:val="16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物料节点结构</w:t>
      </w:r>
      <w:r>
        <w:rPr>
          <w:rFonts w:ascii="Times New Roman" w:hAnsi="Times New Roman" w:eastAsia="宋体" w:cs="Times New Roman"/>
          <w:i w:val="0"/>
          <w:color w:val="1F2937"/>
          <w:sz w:val="24"/>
          <w:szCs w:val="24"/>
        </w:rPr>
        <w:t>：每节点包含物料编码、名称、规格、实测因子值、检测报告附件、第三方认证声明编号、供应链溯源链条（供应商 → 生产地 → 运输方式与距离）。</w:t>
      </w:r>
    </w:p>
    <w:p w14:paraId="46A15F9D">
      <w:pPr>
        <w:pStyle w:val="19"/>
        <w:widowControl/>
        <w:numPr>
          <w:ilvl w:val="0"/>
          <w:numId w:val="16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检索与筛选</w:t>
      </w:r>
      <w:r>
        <w:rPr>
          <w:rFonts w:ascii="Times New Roman" w:hAnsi="Times New Roman" w:eastAsia="宋体" w:cs="Times New Roman"/>
          <w:i w:val="0"/>
          <w:color w:val="1F2937"/>
          <w:sz w:val="24"/>
          <w:szCs w:val="24"/>
        </w:rPr>
        <w:t>：支持按物料大类（金属 / 绝缘材料 / 化工辅料 / 包装材料）、因子来源（实测 / Ecoinvent / CLCD）、有效期状态筛选。</w:t>
      </w:r>
    </w:p>
    <w:p w14:paraId="3D7570E4">
      <w:pPr>
        <w:pStyle w:val="19"/>
        <w:widowControl/>
        <w:numPr>
          <w:ilvl w:val="0"/>
          <w:numId w:val="16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溯源链条可视化</w:t>
      </w:r>
      <w:r>
        <w:rPr>
          <w:rFonts w:ascii="Times New Roman" w:hAnsi="Times New Roman" w:eastAsia="宋体" w:cs="Times New Roman"/>
          <w:i w:val="0"/>
          <w:color w:val="1F2937"/>
          <w:sz w:val="24"/>
          <w:szCs w:val="24"/>
        </w:rPr>
        <w:t>：以链路图呈现从供应商到工厂的完整溯源路径，节点可点击查看佐证文件。</w:t>
      </w:r>
    </w:p>
    <w:p w14:paraId="53C70B14">
      <w:pPr>
        <w:pStyle w:val="19"/>
        <w:widowControl/>
        <w:numPr>
          <w:ilvl w:val="0"/>
          <w:numId w:val="16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因子匹配优先级展示</w:t>
      </w:r>
      <w:r>
        <w:rPr>
          <w:rFonts w:ascii="Times New Roman" w:hAnsi="Times New Roman" w:eastAsia="宋体" w:cs="Times New Roman"/>
          <w:i w:val="0"/>
          <w:color w:val="1F2937"/>
          <w:sz w:val="24"/>
          <w:szCs w:val="24"/>
        </w:rPr>
        <w:t>：对每个物料展示当前匹配到的因子来源与匹配层级，便于核对兜底逻辑。</w:t>
      </w:r>
    </w:p>
    <w:p w14:paraId="79DD000F">
      <w:pPr>
        <w:pStyle w:val="6"/>
        <w:numPr>
          <w:ilvl w:val="0"/>
          <w:numId w:val="16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7"/>
        <w:gridCol w:w="1900"/>
        <w:gridCol w:w="1444"/>
        <w:gridCol w:w="1271"/>
        <w:gridCol w:w="4282"/>
      </w:tblGrid>
      <w:tr w14:paraId="0AFD7A9F">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B88EA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DAFF3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44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86897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9203B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28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F7B07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4497F0A6">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4852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CF87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物料唯一编码</w:t>
            </w:r>
          </w:p>
        </w:tc>
        <w:tc>
          <w:tcPr>
            <w:tcW w:w="14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3B54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707A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4320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唯一主键，与 ERP 主数据一致</w:t>
            </w:r>
          </w:p>
        </w:tc>
      </w:tr>
      <w:tr w14:paraId="1DE823E2">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1A9E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0748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物料中文名称</w:t>
            </w:r>
          </w:p>
        </w:tc>
        <w:tc>
          <w:tcPr>
            <w:tcW w:w="14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AB10D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5B56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12C8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非空，最长 128 字符</w:t>
            </w:r>
          </w:p>
        </w:tc>
      </w:tr>
      <w:tr w14:paraId="381DD7B0">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958E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12B1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物料大类</w:t>
            </w:r>
          </w:p>
        </w:tc>
        <w:tc>
          <w:tcPr>
            <w:tcW w:w="14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728C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6EA1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49662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金属/绝缘材料/化工辅料/包装材料</w:t>
            </w:r>
          </w:p>
        </w:tc>
      </w:tr>
      <w:tr w14:paraId="250B0A91">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C68E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A44D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实测碳因子</w:t>
            </w:r>
          </w:p>
        </w:tc>
        <w:tc>
          <w:tcPr>
            <w:tcW w:w="14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C941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7835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kgCO2e/kg</w:t>
            </w:r>
          </w:p>
        </w:tc>
        <w:tc>
          <w:tcPr>
            <w:tcW w:w="42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ECA7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&gt; 0.0000，缺失时使用兜底因子并标注</w:t>
            </w:r>
          </w:p>
        </w:tc>
      </w:tr>
      <w:tr w14:paraId="55D28A05">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18B2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F077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因子来源</w:t>
            </w:r>
          </w:p>
        </w:tc>
        <w:tc>
          <w:tcPr>
            <w:tcW w:w="14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7AF7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B1E5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09BF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本土实测 / Ecoinvent 3.8 / CLCD 0.2 / 国家发改委折标</w:t>
            </w:r>
          </w:p>
        </w:tc>
      </w:tr>
      <w:tr w14:paraId="6AA1C4F2">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8EA2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A534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检测报告附件</w:t>
            </w:r>
          </w:p>
        </w:tc>
        <w:tc>
          <w:tcPr>
            <w:tcW w:w="14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B24F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File</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78BE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F16E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本土实测因子强制上传，缺失即不可发布</w:t>
            </w:r>
          </w:p>
        </w:tc>
      </w:tr>
      <w:tr w14:paraId="2DFC3299">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6F78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B804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第三方认证声明编号</w:t>
            </w:r>
          </w:p>
        </w:tc>
        <w:tc>
          <w:tcPr>
            <w:tcW w:w="14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B4DD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2374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41D7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非空（本土实测因子）</w:t>
            </w:r>
          </w:p>
        </w:tc>
      </w:tr>
      <w:tr w14:paraId="4CC31048">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F43A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7464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供应链溯源链条</w:t>
            </w:r>
          </w:p>
        </w:tc>
        <w:tc>
          <w:tcPr>
            <w:tcW w:w="14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4141C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JSON</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BFE1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AF9D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至少含一级供应商与生产地</w:t>
            </w:r>
          </w:p>
        </w:tc>
      </w:tr>
      <w:tr w14:paraId="02F35035">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447A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EC93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运输方式与距离</w:t>
            </w:r>
          </w:p>
        </w:tc>
        <w:tc>
          <w:tcPr>
            <w:tcW w:w="14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E6E6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 / 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F057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km</w:t>
            </w:r>
          </w:p>
        </w:tc>
        <w:tc>
          <w:tcPr>
            <w:tcW w:w="42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5278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运输距离 ≥ 0</w:t>
            </w:r>
          </w:p>
        </w:tc>
      </w:tr>
      <w:tr w14:paraId="109020B4">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05F6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7C8A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因子有效期</w:t>
            </w:r>
          </w:p>
        </w:tc>
        <w:tc>
          <w:tcPr>
            <w:tcW w:w="14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76EE7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DC79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2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4C9C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生效期外拦截选用（E_VAL_FACTOR_EXPIRED）</w:t>
            </w:r>
          </w:p>
        </w:tc>
      </w:tr>
      <w:tr w14:paraId="2A724162">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DDC9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C216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数据分级</w:t>
            </w:r>
          </w:p>
        </w:tc>
        <w:tc>
          <w:tcPr>
            <w:tcW w:w="14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992F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AAB7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0340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INTERNAL / SENSITIVE</w:t>
            </w:r>
          </w:p>
        </w:tc>
      </w:tr>
      <w:tr w14:paraId="6AE735AD">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2B77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19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2A43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生命周期状态</w:t>
            </w:r>
          </w:p>
        </w:tc>
        <w:tc>
          <w:tcPr>
            <w:tcW w:w="14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66DF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2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8F1F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20D94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草稿 / 待审 / 生效中 / 历史废止</w:t>
            </w:r>
          </w:p>
        </w:tc>
      </w:tr>
    </w:tbl>
    <w:p w14:paraId="6361C421">
      <w:pPr>
        <w:spacing w:after="60"/>
        <w:rPr>
          <w:rFonts w:hint="eastAsia" w:ascii="宋体" w:hAnsi="宋体" w:eastAsia="宋体" w:cs="宋体"/>
          <w:i w:val="0"/>
          <w:iCs w:val="0"/>
          <w:sz w:val="24"/>
          <w:szCs w:val="24"/>
        </w:rPr>
      </w:pPr>
    </w:p>
    <w:p w14:paraId="08468AAF">
      <w:pPr>
        <w:pStyle w:val="6"/>
        <w:numPr>
          <w:ilvl w:val="0"/>
          <w:numId w:val="16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60387F25">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27DFBE1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EF_match = PRIORITY( Ecoinvent_exact, CLCD_approx, NDRC_fallback )</w:t>
            </w:r>
          </w:p>
          <w:p w14:paraId="7AA265D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Q_mat_actual = Q_bom × ( 1 + R_loss )           实际物料需求量（含工艺损耗）</w:t>
            </w:r>
          </w:p>
          <w:p w14:paraId="0EB19D0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E_raw = Σ ( Q_mat_actual × EF_mat )            原材料阶段碳排</w:t>
            </w:r>
          </w:p>
          <w:p w14:paraId="64BAACA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EF_match_level = LEVEL( EF_match )                  因子匹配层级（1=精确，3=兜底）</w:t>
            </w:r>
          </w:p>
        </w:tc>
      </w:tr>
    </w:tbl>
    <w:p w14:paraId="0ED84183">
      <w:pPr>
        <w:spacing w:after="40"/>
        <w:rPr>
          <w:rFonts w:hint="eastAsia" w:ascii="宋体" w:hAnsi="宋体" w:eastAsia="宋体" w:cs="宋体"/>
          <w:i w:val="0"/>
          <w:iCs w:val="0"/>
          <w:sz w:val="24"/>
          <w:szCs w:val="24"/>
        </w:rPr>
      </w:pPr>
    </w:p>
    <w:p w14:paraId="16B4161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EF_match </w:t>
      </w:r>
      <w:r>
        <w:rPr>
          <w:rFonts w:ascii="Times New Roman" w:hAnsi="Times New Roman" w:eastAsia="宋体" w:cs="Times New Roman"/>
          <w:i w:val="0"/>
          <w:color w:val="1F2937"/>
          <w:sz w:val="24"/>
          <w:szCs w:val="24"/>
        </w:rPr>
        <w:t xml:space="preserve"> 遵循精确物料优先、本土近似次之、国家折标兜底的匹配优先级；匹配层级 1 为精确匹配，2 为本土近似，3 为兜底匹配，层级 3 时页面须标注"兜底因子"。</w:t>
      </w:r>
    </w:p>
    <w:p w14:paraId="5E943D67">
      <w:pPr>
        <w:pStyle w:val="6"/>
        <w:numPr>
          <w:ilvl w:val="0"/>
          <w:numId w:val="16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20BD4C62">
      <w:pPr>
        <w:pStyle w:val="19"/>
        <w:widowControl/>
        <w:numPr>
          <w:ilvl w:val="0"/>
          <w:numId w:val="16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分级口径</w:t>
      </w:r>
      <w:r>
        <w:rPr>
          <w:rFonts w:ascii="Times New Roman" w:hAnsi="Times New Roman" w:eastAsia="宋体" w:cs="Times New Roman"/>
          <w:i w:val="0"/>
          <w:color w:val="1F2937"/>
          <w:sz w:val="24"/>
          <w:szCs w:val="24"/>
        </w:rPr>
        <w:t>：原辅料因子标为 INTERNAL，Ecoinvent 跨境因子标为 SENSITIVE（含供应商来源）。</w:t>
      </w:r>
    </w:p>
    <w:p w14:paraId="4DEA949C">
      <w:pPr>
        <w:pStyle w:val="19"/>
        <w:widowControl/>
        <w:numPr>
          <w:ilvl w:val="0"/>
          <w:numId w:val="16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匹配口径</w:t>
      </w:r>
      <w:r>
        <w:rPr>
          <w:rFonts w:ascii="Times New Roman" w:hAnsi="Times New Roman" w:eastAsia="宋体" w:cs="Times New Roman"/>
          <w:i w:val="0"/>
          <w:color w:val="1F2937"/>
          <w:sz w:val="24"/>
          <w:szCs w:val="24"/>
        </w:rPr>
        <w:t>：匹配优先级固定为 Ecoinvent v3.8（精确物料）→ CLCD 0.2（本土近似）→ 国家发改委折标（兜底）。</w:t>
      </w:r>
    </w:p>
    <w:p w14:paraId="5B03B650">
      <w:pPr>
        <w:pStyle w:val="19"/>
        <w:widowControl/>
        <w:numPr>
          <w:ilvl w:val="0"/>
          <w:numId w:val="16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证据口径</w:t>
      </w:r>
      <w:r>
        <w:rPr>
          <w:rFonts w:ascii="Times New Roman" w:hAnsi="Times New Roman" w:eastAsia="宋体" w:cs="Times New Roman"/>
          <w:i w:val="0"/>
          <w:color w:val="1F2937"/>
          <w:sz w:val="24"/>
          <w:szCs w:val="24"/>
        </w:rPr>
        <w:t>：本土实测因子必须附检测报告与第三方认证声明编号，二者缺一不可发布。</w:t>
      </w:r>
    </w:p>
    <w:p w14:paraId="3F2CF92B">
      <w:pPr>
        <w:pStyle w:val="19"/>
        <w:widowControl/>
        <w:numPr>
          <w:ilvl w:val="0"/>
          <w:numId w:val="16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时效口径</w:t>
      </w:r>
      <w:r>
        <w:rPr>
          <w:rFonts w:ascii="Times New Roman" w:hAnsi="Times New Roman" w:eastAsia="宋体" w:cs="Times New Roman"/>
          <w:i w:val="0"/>
          <w:color w:val="1F2937"/>
          <w:sz w:val="24"/>
          <w:szCs w:val="24"/>
        </w:rPr>
        <w:t>：因子条目含 version_id、effective_from、effective_to，生效期外拦截选用。</w:t>
      </w:r>
    </w:p>
    <w:p w14:paraId="70DAEA95">
      <w:pPr>
        <w:pStyle w:val="6"/>
        <w:numPr>
          <w:ilvl w:val="0"/>
          <w:numId w:val="16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75E5A4DA">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12CCE71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实测因子缺失检测报告或认证声明编号：发布按钮置灰，仅可保存为草稿。</w:t>
            </w:r>
          </w:p>
          <w:p w14:paraId="354AC89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因子超出有效期：触发 </w:t>
            </w:r>
            <w:r>
              <w:rPr>
                <w:rFonts w:hint="eastAsia" w:ascii="宋体" w:hAnsi="宋体" w:eastAsia="宋体" w:cs="宋体"/>
                <w:b w:val="0"/>
                <w:i w:val="0"/>
                <w:iCs w:val="0"/>
                <w:color w:val="0284C7"/>
                <w:sz w:val="24"/>
                <w:szCs w:val="24"/>
              </w:rPr>
              <w:t xml:space="preserve"> E_VAL_FACTOR_EXPIRED </w:t>
            </w:r>
            <w:r>
              <w:rPr>
                <w:rFonts w:hint="eastAsia" w:ascii="宋体" w:hAnsi="宋体" w:eastAsia="宋体" w:cs="宋体"/>
                <w:i w:val="0"/>
                <w:iCs w:val="0"/>
                <w:color w:val="1F2937"/>
                <w:sz w:val="24"/>
                <w:szCs w:val="24"/>
              </w:rPr>
              <w:t>，标注"因子待升级"并禁用选用。</w:t>
            </w:r>
          </w:p>
          <w:p w14:paraId="501EAFF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Ecoinvent 授权到期：触发 </w:t>
            </w:r>
            <w:r>
              <w:rPr>
                <w:rFonts w:hint="eastAsia" w:ascii="宋体" w:hAnsi="宋体" w:eastAsia="宋体" w:cs="宋体"/>
                <w:b w:val="0"/>
                <w:i w:val="0"/>
                <w:iCs w:val="0"/>
                <w:color w:val="0284C7"/>
                <w:sz w:val="24"/>
                <w:szCs w:val="24"/>
              </w:rPr>
              <w:t xml:space="preserve"> E_EXT_ECOINVENT_LICENSE </w:t>
            </w:r>
            <w:r>
              <w:rPr>
                <w:rFonts w:hint="eastAsia" w:ascii="宋体" w:hAnsi="宋体" w:eastAsia="宋体" w:cs="宋体"/>
                <w:i w:val="0"/>
                <w:iCs w:val="0"/>
                <w:color w:val="1F2937"/>
                <w:sz w:val="24"/>
                <w:szCs w:val="24"/>
              </w:rPr>
              <w:t>，自动降级使用 CLCD 因子兜底。</w:t>
            </w:r>
          </w:p>
          <w:p w14:paraId="44291C3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溯源链条不完整（仅一级供应商以上为空）：标注"溯源待补充"，并降低该因子的可信度标识。</w:t>
            </w:r>
          </w:p>
        </w:tc>
      </w:tr>
    </w:tbl>
    <w:p w14:paraId="325D296C">
      <w:pPr>
        <w:spacing w:after="40"/>
        <w:rPr>
          <w:rFonts w:hint="eastAsia" w:ascii="宋体" w:hAnsi="宋体" w:eastAsia="宋体" w:cs="宋体"/>
          <w:i w:val="0"/>
          <w:iCs w:val="0"/>
          <w:sz w:val="24"/>
          <w:szCs w:val="24"/>
        </w:rPr>
      </w:pPr>
    </w:p>
    <w:p w14:paraId="2D310810">
      <w:pPr>
        <w:pStyle w:val="6"/>
        <w:numPr>
          <w:ilvl w:val="0"/>
          <w:numId w:val="163"/>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61CE1B5A">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270A5CE6">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工业实景数据库因子管理</w:t>
            </w:r>
          </w:p>
          <w:p w14:paraId="06CFD2B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本土实测因子发布前置校验</w:t>
            </w:r>
          </w:p>
          <w:p w14:paraId="2052472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P4 正在维护一个硅钢片物料的本土实测碳因子</w:t>
            </w:r>
          </w:p>
          <w:p w14:paraId="4397CF4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未上传检测报告或未填写第三方认证声明编号即点击发布</w:t>
            </w:r>
          </w:p>
          <w:p w14:paraId="2C7B807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发布按钮置灰不可点击</w:t>
            </w:r>
          </w:p>
          <w:p w14:paraId="1F5ED52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该因子仅能以草稿状态保存</w:t>
            </w:r>
          </w:p>
          <w:p w14:paraId="3E97F875">
            <w:pPr>
              <w:spacing w:before="0" w:after="20" w:line="264" w:lineRule="auto"/>
              <w:rPr>
                <w:rFonts w:hint="eastAsia" w:ascii="宋体" w:hAnsi="宋体" w:eastAsia="宋体" w:cs="宋体"/>
                <w:i w:val="0"/>
                <w:iCs w:val="0"/>
                <w:sz w:val="24"/>
                <w:szCs w:val="24"/>
              </w:rPr>
            </w:pPr>
          </w:p>
          <w:p w14:paraId="04E6972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因子匹配优先级兜底</w:t>
            </w:r>
          </w:p>
          <w:p w14:paraId="371B086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Ecoinvent 库中不存在某物料的精确匹配条目</w:t>
            </w:r>
          </w:p>
          <w:p w14:paraId="328E894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系统为该物料匹配碳因子</w:t>
            </w:r>
          </w:p>
          <w:p w14:paraId="76467B4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依次尝试 CLCD 0.2 本土近似因子</w:t>
            </w:r>
          </w:p>
          <w:p w14:paraId="0EE6F80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均无匹配时使用国家发改委折标因子兜底并标注"兜底因子"</w:t>
            </w:r>
          </w:p>
        </w:tc>
      </w:tr>
    </w:tbl>
    <w:p w14:paraId="28885A2A">
      <w:pPr>
        <w:spacing w:after="40"/>
        <w:rPr>
          <w:rFonts w:hint="eastAsia" w:ascii="宋体" w:hAnsi="宋体" w:eastAsia="宋体" w:cs="宋体"/>
          <w:i w:val="0"/>
          <w:iCs w:val="0"/>
          <w:sz w:val="24"/>
          <w:szCs w:val="24"/>
        </w:rPr>
      </w:pPr>
    </w:p>
    <w:p w14:paraId="3BCFD703">
      <w:pPr>
        <w:pStyle w:val="5"/>
        <w:numPr>
          <w:ilvl w:val="0"/>
          <w:numId w:val="162"/>
        </w:numPr>
        <w:ind w:left="0" w:leftChars="0" w:firstLine="0" w:firstLineChars="0"/>
        <w:outlineLvl w:val="1"/>
        <w:rPr>
          <w:rFonts w:eastAsia="黑体"/>
          <w:b w:val="0"/>
          <w:bCs w:val="0"/>
          <w:sz w:val="30"/>
          <w:szCs w:val="24"/>
        </w:rPr>
      </w:pPr>
      <w:bookmarkStart w:id="48" w:name="_Toc21717"/>
      <w:r>
        <w:rPr>
          <w:rFonts w:ascii="Times New Roman" w:hAnsi="Times New Roman" w:eastAsia="黑体" w:cs="Times New Roman"/>
          <w:b w:val="0"/>
          <w:bCs w:val="0"/>
          <w:sz w:val="30"/>
          <w:szCs w:val="24"/>
        </w:rPr>
        <w:t>碳足迹核算</w:t>
      </w:r>
      <w:bookmarkEnd w:id="48"/>
    </w:p>
    <w:p w14:paraId="4A228A9B">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2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7"/>
                    <pic:cNvPicPr>
                      <a:picLocks noChangeAspect="1"/>
                    </pic:cNvPicPr>
                  </pic:nvPicPr>
                  <pic:blipFill>
                    <a:blip r:embed="rId42"/>
                    <a:stretch>
                      <a:fillRect/>
                    </a:stretch>
                  </pic:blipFill>
                  <pic:spPr>
                    <a:xfrm>
                      <a:off x="0" y="0"/>
                      <a:ext cx="6210300" cy="3079115"/>
                    </a:xfrm>
                    <a:prstGeom prst="rect">
                      <a:avLst/>
                    </a:prstGeom>
                    <a:noFill/>
                    <a:ln>
                      <a:noFill/>
                    </a:ln>
                  </pic:spPr>
                </pic:pic>
              </a:graphicData>
            </a:graphic>
          </wp:inline>
        </w:drawing>
      </w:r>
    </w:p>
    <w:p w14:paraId="7C75CDAA">
      <w:pPr>
        <w:pStyle w:val="6"/>
        <w:numPr>
          <w:ilvl w:val="0"/>
          <w:numId w:val="16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541B5BDC">
      <w:pPr>
        <w:pStyle w:val="19"/>
        <w:widowControl/>
        <w:numPr>
          <w:ilvl w:val="0"/>
          <w:numId w:val="16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：产品全生命周期碳足迹核算的核心算法与状态机中枢，实现 BOM 层级自动展开、五大阶段滚算、工艺能耗分摊、报告状态流转与审计哈希存证。</w:t>
      </w:r>
    </w:p>
    <w:p w14:paraId="4F575FBD">
      <w:pPr>
        <w:pStyle w:val="19"/>
        <w:widowControl/>
        <w:numPr>
          <w:ilvl w:val="0"/>
          <w:numId w:val="16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碳核算工程师（主操作）、P6 外部独立审计机构（核验）。</w:t>
      </w:r>
    </w:p>
    <w:p w14:paraId="57EABF14">
      <w:pPr>
        <w:pStyle w:val="19"/>
        <w:widowControl/>
        <w:numPr>
          <w:ilvl w:val="0"/>
          <w:numId w:val="16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/carbon-footprint/database/accounting </w:t>
      </w:r>
      <w:r>
        <w:rPr>
          <w:rFonts w:ascii="Times New Roman" w:hAnsi="Times New Roman" w:eastAsia="宋体" w:cs="Times New Roman"/>
          <w:i w:val="0"/>
          <w:color w:val="1F2937"/>
          <w:sz w:val="24"/>
          <w:szCs w:val="24"/>
        </w:rPr>
        <w:t>。</w:t>
      </w:r>
    </w:p>
    <w:p w14:paraId="66B76980">
      <w:pPr>
        <w:pStyle w:val="19"/>
        <w:widowControl/>
        <w:numPr>
          <w:ilvl w:val="0"/>
          <w:numId w:val="16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：ERP/PLM BOM、MES 工序四元组、实景数据库因子、因子库版本、审计哈希链。</w:t>
      </w:r>
    </w:p>
    <w:p w14:paraId="56A29064">
      <w:pPr>
        <w:pStyle w:val="19"/>
        <w:widowControl/>
        <w:numPr>
          <w:ilvl w:val="0"/>
          <w:numId w:val="16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：LCA 报告、数字碳标签、CBAM 申报底数。</w:t>
      </w:r>
    </w:p>
    <w:p w14:paraId="65BEA47B">
      <w:pPr>
        <w:pStyle w:val="6"/>
        <w:numPr>
          <w:ilvl w:val="0"/>
          <w:numId w:val="16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1B7A0962">
      <w:pPr>
        <w:pStyle w:val="19"/>
        <w:widowControl/>
        <w:numPr>
          <w:ilvl w:val="0"/>
          <w:numId w:val="17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：为出口欧盟的 220kV 变压器完成从 BOM 展开到五阶段滚算、再到内审核验与认证签发的全流程核算。</w:t>
      </w:r>
    </w:p>
    <w:p w14:paraId="2F512071">
      <w:pPr>
        <w:pStyle w:val="19"/>
        <w:widowControl/>
        <w:numPr>
          <w:ilvl w:val="0"/>
          <w:numId w:val="17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69959BCA">
      <w:pPr>
        <w:pStyle w:val="19"/>
        <w:widowControl/>
        <w:numPr>
          <w:ilvl w:val="0"/>
          <w:numId w:val="17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碳核算与认证工程师 (Persona P4)</w:t>
      </w:r>
      <w:r>
        <w:rPr>
          <w:rFonts w:ascii="Times New Roman" w:hAnsi="Times New Roman" w:eastAsia="宋体" w:cs="Times New Roman"/>
          <w:i w:val="0"/>
          <w:color w:val="1F2937"/>
          <w:sz w:val="24"/>
          <w:szCs w:val="24"/>
        </w:rPr>
        <w:t>，</w:t>
      </w:r>
    </w:p>
    <w:p w14:paraId="66B5D367">
      <w:pPr>
        <w:pStyle w:val="19"/>
        <w:widowControl/>
        <w:numPr>
          <w:ilvl w:val="0"/>
          <w:numId w:val="17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一键展开 BOM 并完成 ISO 14067 五阶段滚算，系统自动校验加总一致性与因子有效期</w:t>
      </w:r>
      <w:r>
        <w:rPr>
          <w:rFonts w:ascii="Times New Roman" w:hAnsi="Times New Roman" w:eastAsia="宋体" w:cs="Times New Roman"/>
          <w:i w:val="0"/>
          <w:color w:val="1F2937"/>
          <w:sz w:val="24"/>
          <w:szCs w:val="24"/>
        </w:rPr>
        <w:t>，</w:t>
      </w:r>
    </w:p>
    <w:p w14:paraId="5CC6406C">
      <w:pPr>
        <w:pStyle w:val="19"/>
        <w:widowControl/>
        <w:numPr>
          <w:ilvl w:val="0"/>
          <w:numId w:val="17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我能快速产出经得起第三方审计与欧盟审查的碳足迹报告</w:t>
      </w:r>
      <w:r>
        <w:rPr>
          <w:rFonts w:ascii="Times New Roman" w:hAnsi="Times New Roman" w:eastAsia="宋体" w:cs="Times New Roman"/>
          <w:i w:val="0"/>
          <w:color w:val="1F2937"/>
          <w:sz w:val="24"/>
          <w:szCs w:val="24"/>
        </w:rPr>
        <w:t>。</w:t>
      </w:r>
    </w:p>
    <w:p w14:paraId="1DEF708B">
      <w:pPr>
        <w:pStyle w:val="6"/>
        <w:numPr>
          <w:ilvl w:val="0"/>
          <w:numId w:val="16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00766C8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核心业务逻辑：</w:t>
      </w:r>
    </w:p>
    <w:p w14:paraId="54DF0E00">
      <w:pPr>
        <w:pStyle w:val="19"/>
        <w:widowControl/>
        <w:numPr>
          <w:ilvl w:val="0"/>
          <w:numId w:val="17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BOM 层级自动展开</w:t>
      </w:r>
      <w:r>
        <w:rPr>
          <w:rFonts w:ascii="Times New Roman" w:hAnsi="Times New Roman" w:eastAsia="宋体" w:cs="Times New Roman"/>
          <w:i w:val="0"/>
          <w:color w:val="1F2937"/>
          <w:sz w:val="24"/>
          <w:szCs w:val="24"/>
        </w:rPr>
        <w:t xml:space="preserve">：从 ERP/PLM 自动拉取多级产品工程物料清单 (BOM)，计算物料损耗系数 </w:t>
      </w:r>
      <w:r>
        <w:rPr>
          <w:rFonts w:ascii="Times New Roman" w:hAnsi="Times New Roman" w:eastAsia="宋体" w:cs="Times New Roman"/>
          <w:i w:val="0"/>
          <w:color w:val="15803D"/>
          <w:sz w:val="24"/>
          <w:szCs w:val="24"/>
        </w:rPr>
        <w:t>Q_{mat} = Q_{bom} × (1 + R_{loss})</w:t>
      </w:r>
      <w:r>
        <w:rPr>
          <w:rFonts w:ascii="Times New Roman" w:hAnsi="Times New Roman" w:eastAsia="宋体" w:cs="Times New Roman"/>
          <w:i w:val="0"/>
          <w:color w:val="1F2937"/>
          <w:sz w:val="24"/>
          <w:szCs w:val="24"/>
        </w:rPr>
        <w:t>。</w:t>
      </w:r>
    </w:p>
    <w:p w14:paraId="3F943EF2">
      <w:pPr>
        <w:pStyle w:val="19"/>
        <w:widowControl/>
        <w:numPr>
          <w:ilvl w:val="0"/>
          <w:numId w:val="171"/>
        </w:numPr>
        <w:ind w:left="0" w:leftChars="0" w:firstLine="482" w:firstLineChars="0"/>
        <w:outlineLvl w:val="3"/>
        <w:rPr>
          <w:rFonts w:eastAsia="宋体"/>
          <w:b/>
          <w:i w:val="0"/>
          <w:color w:val="0284C7"/>
          <w:sz w:val="24"/>
          <w:szCs w:val="24"/>
        </w:rPr>
      </w:pPr>
      <w:r>
        <w:rPr>
          <w:rFonts w:ascii="Times New Roman" w:hAnsi="Times New Roman" w:eastAsia="宋体" w:cs="Times New Roman"/>
          <w:b/>
          <w:i w:val="0"/>
          <w:color w:val="1E3A8A"/>
          <w:sz w:val="24"/>
          <w:szCs w:val="24"/>
        </w:rPr>
        <w:t>5 大阶段 LCA 滚算模型</w:t>
      </w:r>
      <w:r>
        <w:rPr>
          <w:rFonts w:ascii="Times New Roman" w:hAnsi="Times New Roman" w:eastAsia="宋体" w:cs="Times New Roman"/>
          <w:i w:val="0"/>
          <w:color w:val="1F2937"/>
          <w:sz w:val="24"/>
          <w:szCs w:val="24"/>
        </w:rPr>
        <w:t>：严格依照 ISO 14067 标准执行生命周期评价滚算。</w:t>
      </w:r>
    </w:p>
    <w:p w14:paraId="41BAE6E0">
      <w:pPr>
        <w:pStyle w:val="19"/>
        <w:widowControl/>
        <w:numPr>
          <w:ilvl w:val="0"/>
          <w:numId w:val="17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工艺能耗分摊</w:t>
      </w:r>
      <w:r>
        <w:rPr>
          <w:rFonts w:ascii="Times New Roman" w:hAnsi="Times New Roman" w:eastAsia="宋体" w:cs="Times New Roman"/>
          <w:i w:val="0"/>
          <w:color w:val="1F2937"/>
          <w:sz w:val="24"/>
          <w:szCs w:val="24"/>
        </w:rPr>
        <w:t>：基于工时或产量权重分摊真空干燥、退火炉等公共工序的水电气能耗。</w:t>
      </w:r>
    </w:p>
    <w:p w14:paraId="58DA80D3">
      <w:pPr>
        <w:pStyle w:val="19"/>
        <w:widowControl/>
        <w:numPr>
          <w:ilvl w:val="0"/>
          <w:numId w:val="17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状态机可视化</w:t>
      </w:r>
      <w:r>
        <w:rPr>
          <w:rFonts w:ascii="Times New Roman" w:hAnsi="Times New Roman" w:eastAsia="宋体" w:cs="Times New Roman"/>
          <w:i w:val="0"/>
          <w:color w:val="1F2937"/>
          <w:sz w:val="24"/>
          <w:szCs w:val="24"/>
        </w:rPr>
        <w:t>：以泳道图呈现 DRAFT → SUBMITTED → CERTIFYING → CERTIFIED → PUBLISHED → ARCHIVED 全链路。</w:t>
      </w:r>
    </w:p>
    <w:p w14:paraId="358A1681">
      <w:pPr>
        <w:pStyle w:val="19"/>
        <w:widowControl/>
        <w:numPr>
          <w:ilvl w:val="0"/>
          <w:numId w:val="17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审计哈希链展示</w:t>
      </w:r>
      <w:r>
        <w:rPr>
          <w:rFonts w:ascii="Times New Roman" w:hAnsi="Times New Roman" w:eastAsia="宋体" w:cs="Times New Roman"/>
          <w:i w:val="0"/>
          <w:color w:val="1F2937"/>
          <w:sz w:val="24"/>
          <w:szCs w:val="24"/>
        </w:rPr>
        <w:t>：逐节点展示计算过程哈希，尾节点校验 prev 引用，可在页面直观看到链条完整性。</w:t>
      </w:r>
    </w:p>
    <w:p w14:paraId="11A68DBE">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LCA 报告状态机（回捞 PRD-07）：</w:t>
      </w:r>
    </w:p>
    <w:tbl>
      <w:tblPr>
        <w:tblStyle w:val="38"/>
        <w:tblW w:w="9784" w:type="dxa"/>
        <w:jc w:val="center"/>
        <w:tblLayout w:type="autofit"/>
        <w:tblCellMar>
          <w:top w:w="0" w:type="dxa"/>
          <w:left w:w="108" w:type="dxa"/>
          <w:bottom w:w="0" w:type="dxa"/>
          <w:right w:w="108" w:type="dxa"/>
        </w:tblCellMar>
      </w:tblPr>
      <w:tblGrid>
        <w:gridCol w:w="2701"/>
        <w:gridCol w:w="3752"/>
        <w:gridCol w:w="1950"/>
        <w:gridCol w:w="1381"/>
      </w:tblGrid>
      <w:tr w14:paraId="61FF4140">
        <w:tblPrEx>
          <w:tblCellMar>
            <w:top w:w="0" w:type="dxa"/>
            <w:left w:w="108" w:type="dxa"/>
            <w:bottom w:w="0" w:type="dxa"/>
            <w:right w:w="108" w:type="dxa"/>
          </w:tblCellMar>
        </w:tblPrEx>
        <w:trPr>
          <w:jc w:val="center"/>
        </w:trPr>
        <w:tc>
          <w:tcPr>
            <w:tcW w:w="270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D27426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当前状态</w:t>
            </w:r>
          </w:p>
        </w:tc>
        <w:tc>
          <w:tcPr>
            <w:tcW w:w="375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8DA83F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可触发动作</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3E43D7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触发角色</w:t>
            </w:r>
          </w:p>
        </w:tc>
        <w:tc>
          <w:tcPr>
            <w:tcW w:w="138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BCF378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审计写入</w:t>
            </w:r>
          </w:p>
        </w:tc>
      </w:tr>
      <w:tr w14:paraId="71CBFD8F">
        <w:tblPrEx>
          <w:tblCellMar>
            <w:top w:w="0" w:type="dxa"/>
            <w:left w:w="108" w:type="dxa"/>
            <w:bottom w:w="0" w:type="dxa"/>
            <w:right w:w="108" w:type="dxa"/>
          </w:tblCellMar>
        </w:tblPrEx>
        <w:trPr>
          <w:jc w:val="center"/>
        </w:trPr>
        <w:tc>
          <w:tcPr>
            <w:tcW w:w="270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D2E1C8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DRAFT 草稿</w:t>
            </w:r>
          </w:p>
        </w:tc>
        <w:tc>
          <w:tcPr>
            <w:tcW w:w="37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B1B84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提交内审 / 废弃</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80B7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P4</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D550C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是</w:t>
            </w:r>
          </w:p>
        </w:tc>
      </w:tr>
      <w:tr w14:paraId="65CD4CAC">
        <w:tblPrEx>
          <w:tblCellMar>
            <w:top w:w="0" w:type="dxa"/>
            <w:left w:w="108" w:type="dxa"/>
            <w:bottom w:w="0" w:type="dxa"/>
            <w:right w:w="108" w:type="dxa"/>
          </w:tblCellMar>
        </w:tblPrEx>
        <w:trPr>
          <w:jc w:val="center"/>
        </w:trPr>
        <w:tc>
          <w:tcPr>
            <w:tcW w:w="270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8E4C02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SUBMITTED 送审</w:t>
            </w:r>
          </w:p>
        </w:tc>
        <w:tc>
          <w:tcPr>
            <w:tcW w:w="37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810EE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撤回（限内审驳回）/ 受理</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45E6F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P4 + 机构</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15D0B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是</w:t>
            </w:r>
          </w:p>
        </w:tc>
      </w:tr>
      <w:tr w14:paraId="4FB9C8B2">
        <w:tblPrEx>
          <w:tblCellMar>
            <w:top w:w="0" w:type="dxa"/>
            <w:left w:w="108" w:type="dxa"/>
            <w:bottom w:w="0" w:type="dxa"/>
            <w:right w:w="108" w:type="dxa"/>
          </w:tblCellMar>
        </w:tblPrEx>
        <w:trPr>
          <w:jc w:val="center"/>
        </w:trPr>
        <w:tc>
          <w:tcPr>
            <w:tcW w:w="270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E469CE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CERTIFYING 认证中</w:t>
            </w:r>
          </w:p>
        </w:tc>
        <w:tc>
          <w:tcPr>
            <w:tcW w:w="37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0796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不可编辑，仅审批</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9BFE8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08759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是</w:t>
            </w:r>
          </w:p>
        </w:tc>
      </w:tr>
      <w:tr w14:paraId="6F218626">
        <w:tblPrEx>
          <w:tblCellMar>
            <w:top w:w="0" w:type="dxa"/>
            <w:left w:w="108" w:type="dxa"/>
            <w:bottom w:w="0" w:type="dxa"/>
            <w:right w:w="108" w:type="dxa"/>
          </w:tblCellMar>
        </w:tblPrEx>
        <w:trPr>
          <w:jc w:val="center"/>
        </w:trPr>
        <w:tc>
          <w:tcPr>
            <w:tcW w:w="270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26702C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CERTIFIED 已认证</w:t>
            </w:r>
          </w:p>
        </w:tc>
        <w:tc>
          <w:tcPr>
            <w:tcW w:w="37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5943C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一键发布 / 归档</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A8415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P4 + PM 联合</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ADD31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是</w:t>
            </w:r>
          </w:p>
        </w:tc>
      </w:tr>
      <w:tr w14:paraId="1E8A90A3">
        <w:tblPrEx>
          <w:tblCellMar>
            <w:top w:w="0" w:type="dxa"/>
            <w:left w:w="108" w:type="dxa"/>
            <w:bottom w:w="0" w:type="dxa"/>
            <w:right w:w="108" w:type="dxa"/>
          </w:tblCellMar>
        </w:tblPrEx>
        <w:trPr>
          <w:jc w:val="center"/>
        </w:trPr>
        <w:tc>
          <w:tcPr>
            <w:tcW w:w="270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96EBC6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PUBLISHED 已发布</w:t>
            </w:r>
          </w:p>
        </w:tc>
        <w:tc>
          <w:tcPr>
            <w:tcW w:w="37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1D0B3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归档</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DB7E9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PM</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47B98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是</w:t>
            </w:r>
          </w:p>
        </w:tc>
      </w:tr>
      <w:tr w14:paraId="11CBF1D3">
        <w:tblPrEx>
          <w:tblCellMar>
            <w:top w:w="0" w:type="dxa"/>
            <w:left w:w="108" w:type="dxa"/>
            <w:bottom w:w="0" w:type="dxa"/>
            <w:right w:w="108" w:type="dxa"/>
          </w:tblCellMar>
        </w:tblPrEx>
        <w:trPr>
          <w:jc w:val="center"/>
        </w:trPr>
        <w:tc>
          <w:tcPr>
            <w:tcW w:w="270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B287E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ARCHIVED 已归档</w:t>
            </w:r>
          </w:p>
        </w:tc>
        <w:tc>
          <w:tcPr>
            <w:tcW w:w="37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27882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不可变</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1F1CB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09986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r>
    </w:tbl>
    <w:p w14:paraId="3EFABC7A">
      <w:pPr>
        <w:spacing w:after="60"/>
        <w:rPr>
          <w:rFonts w:hint="eastAsia" w:ascii="宋体" w:hAnsi="宋体" w:eastAsia="宋体" w:cs="宋体"/>
          <w:i w:val="0"/>
          <w:iCs w:val="0"/>
          <w:sz w:val="24"/>
          <w:szCs w:val="24"/>
        </w:rPr>
      </w:pPr>
    </w:p>
    <w:p w14:paraId="1ED6F20A">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计算正确性规则（BR）与错误码：</w:t>
      </w:r>
    </w:p>
    <w:tbl>
      <w:tblPr>
        <w:tblStyle w:val="38"/>
        <w:tblW w:w="9784" w:type="dxa"/>
        <w:jc w:val="center"/>
        <w:tblLayout w:type="autofit"/>
        <w:tblCellMar>
          <w:top w:w="0" w:type="dxa"/>
          <w:left w:w="108" w:type="dxa"/>
          <w:bottom w:w="0" w:type="dxa"/>
          <w:right w:w="108" w:type="dxa"/>
        </w:tblCellMar>
      </w:tblPr>
      <w:tblGrid>
        <w:gridCol w:w="1533"/>
        <w:gridCol w:w="3241"/>
        <w:gridCol w:w="1770"/>
        <w:gridCol w:w="3240"/>
      </w:tblGrid>
      <w:tr w14:paraId="26581FA0">
        <w:tblPrEx>
          <w:tblCellMar>
            <w:top w:w="0" w:type="dxa"/>
            <w:left w:w="108" w:type="dxa"/>
            <w:bottom w:w="0" w:type="dxa"/>
            <w:right w:w="108" w:type="dxa"/>
          </w:tblCellMar>
        </w:tblPrEx>
        <w:trPr>
          <w:jc w:val="center"/>
        </w:trPr>
        <w:tc>
          <w:tcPr>
            <w:tcW w:w="154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2F8D3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BR编号</w:t>
            </w:r>
          </w:p>
        </w:tc>
        <w:tc>
          <w:tcPr>
            <w:tcW w:w="324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0A2F3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规则</w:t>
            </w:r>
          </w:p>
        </w:tc>
        <w:tc>
          <w:tcPr>
            <w:tcW w:w="17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EBED8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触发时机</w:t>
            </w:r>
          </w:p>
        </w:tc>
        <w:tc>
          <w:tcPr>
            <w:tcW w:w="32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580CA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错误码</w:t>
            </w:r>
          </w:p>
        </w:tc>
      </w:tr>
      <w:tr w14:paraId="047EF8A8">
        <w:tblPrEx>
          <w:tblCellMar>
            <w:top w:w="0" w:type="dxa"/>
            <w:left w:w="108" w:type="dxa"/>
            <w:bottom w:w="0" w:type="dxa"/>
            <w:right w:w="108" w:type="dxa"/>
          </w:tblCellMar>
        </w:tblPrEx>
        <w:trPr>
          <w:jc w:val="center"/>
        </w:trPr>
        <w:tc>
          <w:tcPr>
            <w:tcW w:w="154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9DCF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BR-LCA-001</w:t>
            </w:r>
          </w:p>
        </w:tc>
        <w:tc>
          <w:tcPr>
            <w:tcW w:w="324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3AE7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C_{total} = ΣC_{stage}</w:t>
            </w:r>
            <w:r>
              <w:rPr>
                <w:rFonts w:hint="eastAsia" w:ascii="宋体" w:hAnsi="宋体" w:eastAsia="宋体" w:cs="宋体"/>
                <w:i w:val="0"/>
                <w:iCs w:val="0"/>
                <w:color w:val="1F2937"/>
                <w:sz w:val="24"/>
                <w:szCs w:val="24"/>
              </w:rPr>
              <w:t>，容差 ≤ 0.01 kgCO2e</w:t>
            </w:r>
          </w:p>
        </w:tc>
        <w:tc>
          <w:tcPr>
            <w:tcW w:w="17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8703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任意时刻后台自检</w:t>
            </w:r>
          </w:p>
        </w:tc>
        <w:tc>
          <w:tcPr>
            <w:tcW w:w="32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64F9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E_CALC_LCA_SUM_MISMATCH</w:t>
            </w:r>
          </w:p>
        </w:tc>
      </w:tr>
      <w:tr w14:paraId="65BA3C60">
        <w:tblPrEx>
          <w:tblCellMar>
            <w:top w:w="0" w:type="dxa"/>
            <w:left w:w="108" w:type="dxa"/>
            <w:bottom w:w="0" w:type="dxa"/>
            <w:right w:w="108" w:type="dxa"/>
          </w:tblCellMar>
        </w:tblPrEx>
        <w:trPr>
          <w:jc w:val="center"/>
        </w:trPr>
        <w:tc>
          <w:tcPr>
            <w:tcW w:w="154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874A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BR-LCA-002</w:t>
            </w:r>
          </w:p>
        </w:tc>
        <w:tc>
          <w:tcPr>
            <w:tcW w:w="324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C322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C_{total} ≥ 0</w:t>
            </w:r>
          </w:p>
        </w:tc>
        <w:tc>
          <w:tcPr>
            <w:tcW w:w="17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A189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保存</w:t>
            </w:r>
          </w:p>
        </w:tc>
        <w:tc>
          <w:tcPr>
            <w:tcW w:w="32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D9C5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E_VAL_LCA_TOTAL_NEGATIVE</w:t>
            </w:r>
          </w:p>
        </w:tc>
      </w:tr>
      <w:tr w14:paraId="317ADAE0">
        <w:tblPrEx>
          <w:tblCellMar>
            <w:top w:w="0" w:type="dxa"/>
            <w:left w:w="108" w:type="dxa"/>
            <w:bottom w:w="0" w:type="dxa"/>
            <w:right w:w="108" w:type="dxa"/>
          </w:tblCellMar>
        </w:tblPrEx>
        <w:trPr>
          <w:jc w:val="center"/>
        </w:trPr>
        <w:tc>
          <w:tcPr>
            <w:tcW w:w="154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BE32D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BR-LCA-003</w:t>
            </w:r>
          </w:p>
        </w:tc>
        <w:tc>
          <w:tcPr>
            <w:tcW w:w="324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5A06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工时 </w:t>
            </w:r>
            <w:r>
              <w:rPr>
                <w:rFonts w:hint="eastAsia" w:ascii="宋体" w:hAnsi="宋体" w:eastAsia="宋体" w:cs="宋体"/>
                <w:i w:val="0"/>
                <w:iCs w:val="0"/>
                <w:color w:val="15803D"/>
                <w:sz w:val="24"/>
                <w:szCs w:val="24"/>
              </w:rPr>
              <w:t>T_m &gt; 0</w:t>
            </w:r>
          </w:p>
        </w:tc>
        <w:tc>
          <w:tcPr>
            <w:tcW w:w="17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A406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制造加工阶段</w:t>
            </w:r>
          </w:p>
        </w:tc>
        <w:tc>
          <w:tcPr>
            <w:tcW w:w="32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1E84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E_CALC_LCA_TDIV_ZERO</w:t>
            </w:r>
          </w:p>
        </w:tc>
      </w:tr>
      <w:tr w14:paraId="1B322CD1">
        <w:tblPrEx>
          <w:tblCellMar>
            <w:top w:w="0" w:type="dxa"/>
            <w:left w:w="108" w:type="dxa"/>
            <w:bottom w:w="0" w:type="dxa"/>
            <w:right w:w="108" w:type="dxa"/>
          </w:tblCellMar>
        </w:tblPrEx>
        <w:trPr>
          <w:jc w:val="center"/>
        </w:trPr>
        <w:tc>
          <w:tcPr>
            <w:tcW w:w="154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3666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BR-LCA-004</w:t>
            </w:r>
          </w:p>
        </w:tc>
        <w:tc>
          <w:tcPr>
            <w:tcW w:w="324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D949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因子版本有效期 </w:t>
            </w:r>
            <w:r>
              <w:rPr>
                <w:rFonts w:hint="eastAsia" w:ascii="宋体" w:hAnsi="宋体" w:eastAsia="宋体" w:cs="宋体"/>
                <w:i w:val="0"/>
                <w:iCs w:val="0"/>
                <w:color w:val="15803D"/>
                <w:sz w:val="24"/>
                <w:szCs w:val="24"/>
              </w:rPr>
              <w:t>today ∈ [effective\_from, effective\_to]</w:t>
            </w:r>
          </w:p>
        </w:tc>
        <w:tc>
          <w:tcPr>
            <w:tcW w:w="17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6A7F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因子选用</w:t>
            </w:r>
          </w:p>
        </w:tc>
        <w:tc>
          <w:tcPr>
            <w:tcW w:w="32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D22C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E_VAL_FACTOR_EXPIRED</w:t>
            </w:r>
          </w:p>
        </w:tc>
      </w:tr>
      <w:tr w14:paraId="01A9A5C4">
        <w:tblPrEx>
          <w:tblCellMar>
            <w:top w:w="0" w:type="dxa"/>
            <w:left w:w="108" w:type="dxa"/>
            <w:bottom w:w="0" w:type="dxa"/>
            <w:right w:w="108" w:type="dxa"/>
          </w:tblCellMar>
        </w:tblPrEx>
        <w:trPr>
          <w:jc w:val="center"/>
        </w:trPr>
        <w:tc>
          <w:tcPr>
            <w:tcW w:w="154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74E6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BR-LCA-005</w:t>
            </w:r>
          </w:p>
        </w:tc>
        <w:tc>
          <w:tcPr>
            <w:tcW w:w="324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0B21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工序四元组（设备/工时/介质/数量）齐备</w:t>
            </w:r>
          </w:p>
        </w:tc>
        <w:tc>
          <w:tcPr>
            <w:tcW w:w="17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5373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保存</w:t>
            </w:r>
          </w:p>
        </w:tc>
        <w:tc>
          <w:tcPr>
            <w:tcW w:w="32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C5EF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E_VAL_LCA_STAGE_INCOMPLETE</w:t>
            </w:r>
          </w:p>
        </w:tc>
      </w:tr>
      <w:tr w14:paraId="699430E6">
        <w:tblPrEx>
          <w:tblCellMar>
            <w:top w:w="0" w:type="dxa"/>
            <w:left w:w="108" w:type="dxa"/>
            <w:bottom w:w="0" w:type="dxa"/>
            <w:right w:w="108" w:type="dxa"/>
          </w:tblCellMar>
        </w:tblPrEx>
        <w:trPr>
          <w:jc w:val="center"/>
        </w:trPr>
        <w:tc>
          <w:tcPr>
            <w:tcW w:w="154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F4DD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BR-LCA-006</w:t>
            </w:r>
          </w:p>
        </w:tc>
        <w:tc>
          <w:tcPr>
            <w:tcW w:w="324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2AF0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哈希链尾节点 prev = 前一节点</w:t>
            </w:r>
          </w:p>
        </w:tc>
        <w:tc>
          <w:tcPr>
            <w:tcW w:w="17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093C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审计存证</w:t>
            </w:r>
          </w:p>
        </w:tc>
        <w:tc>
          <w:tcPr>
            <w:tcW w:w="32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7EAC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E_AUDIT_HASH_BROKEN</w:t>
            </w:r>
          </w:p>
        </w:tc>
      </w:tr>
    </w:tbl>
    <w:p w14:paraId="7F255AB8">
      <w:pPr>
        <w:spacing w:after="60"/>
        <w:rPr>
          <w:rFonts w:hint="eastAsia" w:ascii="宋体" w:hAnsi="宋体" w:eastAsia="宋体" w:cs="宋体"/>
          <w:i w:val="0"/>
          <w:iCs w:val="0"/>
          <w:sz w:val="24"/>
          <w:szCs w:val="24"/>
        </w:rPr>
      </w:pPr>
    </w:p>
    <w:p w14:paraId="4F94D2D1">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接口与降级策略（回捞 PRD-07 §9）：</w:t>
      </w:r>
    </w:p>
    <w:p w14:paraId="0D7CE047">
      <w:pPr>
        <w:pStyle w:val="19"/>
        <w:widowControl/>
        <w:numPr>
          <w:ilvl w:val="0"/>
          <w:numId w:val="17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OpenAPI 3.0：</w:t>
      </w:r>
      <w:r>
        <w:rPr>
          <w:rFonts w:ascii="Times New Roman" w:hAnsi="Times New Roman" w:eastAsia="宋体" w:cs="Times New Roman"/>
          <w:b w:val="0"/>
          <w:i w:val="0"/>
          <w:color w:val="0284C7"/>
          <w:sz w:val="24"/>
          <w:szCs w:val="24"/>
        </w:rPr>
        <w:t xml:space="preserve"> /cf/v1/lca/reports </w:t>
      </w:r>
      <w:r>
        <w:rPr>
          <w:rFonts w:ascii="Times New Roman" w:hAnsi="Times New Roman" w:eastAsia="宋体" w:cs="Times New Roman"/>
          <w:i w:val="0"/>
          <w:color w:val="1F2937"/>
          <w:sz w:val="24"/>
          <w:szCs w:val="24"/>
        </w:rPr>
        <w:t>（LCA 报告查询/提交/状态流转，状态枚举 DRAFT/SUBMITTED/CERTIFYING/CERTIFIED/PUBLISHED/ARCHIVED）。</w:t>
      </w:r>
    </w:p>
    <w:p w14:paraId="4E4EB248">
      <w:pPr>
        <w:pStyle w:val="19"/>
        <w:widowControl/>
        <w:numPr>
          <w:ilvl w:val="0"/>
          <w:numId w:val="17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ERP BOM：</w:t>
      </w:r>
      <w:r>
        <w:rPr>
          <w:rFonts w:ascii="Times New Roman" w:hAnsi="Times New Roman" w:eastAsia="宋体" w:cs="Times New Roman"/>
          <w:b w:val="0"/>
          <w:i w:val="0"/>
          <w:color w:val="0284C7"/>
          <w:sz w:val="24"/>
          <w:szCs w:val="24"/>
        </w:rPr>
        <w:t xml:space="preserve"> /mes/v1/boms/{sku}/tree </w:t>
      </w:r>
      <w:r>
        <w:rPr>
          <w:rFonts w:ascii="Times New Roman" w:hAnsi="Times New Roman" w:eastAsia="宋体" w:cs="Times New Roman"/>
          <w:i w:val="0"/>
          <w:color w:val="1F2937"/>
          <w:sz w:val="24"/>
          <w:szCs w:val="24"/>
        </w:rPr>
        <w:t xml:space="preserve">，超时 5s 自动重试 3 次后触发 </w:t>
      </w:r>
      <w:r>
        <w:rPr>
          <w:rFonts w:ascii="Times New Roman" w:hAnsi="Times New Roman" w:eastAsia="宋体" w:cs="Times New Roman"/>
          <w:b w:val="0"/>
          <w:i w:val="0"/>
          <w:color w:val="0284C7"/>
          <w:sz w:val="24"/>
          <w:szCs w:val="24"/>
        </w:rPr>
        <w:t xml:space="preserve"> E_EXT_ERP_BOM_TIMEOUT </w:t>
      </w:r>
      <w:r>
        <w:rPr>
          <w:rFonts w:ascii="Times New Roman" w:hAnsi="Times New Roman" w:eastAsia="宋体" w:cs="Times New Roman"/>
          <w:i w:val="0"/>
          <w:color w:val="1F2937"/>
          <w:sz w:val="24"/>
          <w:szCs w:val="24"/>
        </w:rPr>
        <w:t>；ERP 不可达时允许 P4 手动上传 Excel BOM 模板（仅 INV-FALLBACK 模式）。</w:t>
      </w:r>
    </w:p>
    <w:p w14:paraId="286327AF">
      <w:pPr>
        <w:pStyle w:val="19"/>
        <w:widowControl/>
        <w:numPr>
          <w:ilvl w:val="0"/>
          <w:numId w:val="17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MES 工序：</w:t>
      </w:r>
      <w:r>
        <w:rPr>
          <w:rFonts w:ascii="Times New Roman" w:hAnsi="Times New Roman" w:eastAsia="宋体" w:cs="Times New Roman"/>
          <w:b w:val="0"/>
          <w:i w:val="0"/>
          <w:color w:val="0284C7"/>
          <w:sz w:val="24"/>
          <w:szCs w:val="24"/>
        </w:rPr>
        <w:t xml:space="preserve"> /mes/v1/processes/{bom_id} </w:t>
      </w:r>
      <w:r>
        <w:rPr>
          <w:rFonts w:ascii="Times New Roman" w:hAnsi="Times New Roman" w:eastAsia="宋体" w:cs="Times New Roman"/>
          <w:i w:val="0"/>
          <w:color w:val="1F2937"/>
          <w:sz w:val="24"/>
          <w:szCs w:val="24"/>
        </w:rPr>
        <w:t>（工序四元组：设备编号/工时/介质/数量）。</w:t>
      </w:r>
    </w:p>
    <w:p w14:paraId="37AB974F">
      <w:pPr>
        <w:pStyle w:val="19"/>
        <w:widowControl/>
        <w:numPr>
          <w:ilvl w:val="0"/>
          <w:numId w:val="17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Ecoinvent v3.8 License API：</w:t>
      </w:r>
      <w:r>
        <w:rPr>
          <w:rFonts w:ascii="Times New Roman" w:hAnsi="Times New Roman" w:eastAsia="宋体" w:cs="Times New Roman"/>
          <w:b w:val="0"/>
          <w:i w:val="0"/>
          <w:color w:val="0284C7"/>
          <w:sz w:val="24"/>
          <w:szCs w:val="24"/>
        </w:rPr>
        <w:t xml:space="preserve"> /lic/v3/factors/search </w:t>
      </w:r>
      <w:r>
        <w:rPr>
          <w:rFonts w:ascii="Times New Roman" w:hAnsi="Times New Roman" w:eastAsia="宋体" w:cs="Times New Roman"/>
          <w:i w:val="0"/>
          <w:color w:val="1F2937"/>
          <w:sz w:val="24"/>
          <w:szCs w:val="24"/>
        </w:rPr>
        <w:t xml:space="preserve">，License 过期触发 </w:t>
      </w:r>
      <w:r>
        <w:rPr>
          <w:rFonts w:ascii="Times New Roman" w:hAnsi="Times New Roman" w:eastAsia="宋体" w:cs="Times New Roman"/>
          <w:b w:val="0"/>
          <w:i w:val="0"/>
          <w:color w:val="0284C7"/>
          <w:sz w:val="24"/>
          <w:szCs w:val="24"/>
        </w:rPr>
        <w:t xml:space="preserve"> E_EXT_ECOINVENT_LICENSE </w:t>
      </w:r>
      <w:r>
        <w:rPr>
          <w:rFonts w:ascii="Times New Roman" w:hAnsi="Times New Roman" w:eastAsia="宋体" w:cs="Times New Roman"/>
          <w:i w:val="0"/>
          <w:color w:val="1F2937"/>
          <w:sz w:val="24"/>
          <w:szCs w:val="24"/>
        </w:rPr>
        <w:t xml:space="preserve"> 并切换 CLCD 兜底因子。</w:t>
      </w:r>
    </w:p>
    <w:p w14:paraId="0130C53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审计与防伪存证（回捞 PRD-07 §8）：</w:t>
      </w:r>
    </w:p>
    <w:p w14:paraId="171BAD5B">
      <w:pPr>
        <w:pStyle w:val="19"/>
        <w:widowControl/>
        <w:numPr>
          <w:ilvl w:val="0"/>
          <w:numId w:val="17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审计哈希链（ADR-CF-003）：LCA 计算过程逐节点哈希存证，前一 hash 写入后一 hash 头部，尾节点校验 prev 引用，断裂触发 </w:t>
      </w:r>
      <w:r>
        <w:rPr>
          <w:rFonts w:ascii="Times New Roman" w:hAnsi="Times New Roman" w:eastAsia="宋体" w:cs="Times New Roman"/>
          <w:b w:val="0"/>
          <w:i w:val="0"/>
          <w:color w:val="0284C7"/>
          <w:sz w:val="24"/>
          <w:szCs w:val="24"/>
        </w:rPr>
        <w:t xml:space="preserve"> E_AUDIT_HASH_BROKEN </w:t>
      </w:r>
      <w:r>
        <w:rPr>
          <w:rFonts w:ascii="Times New Roman" w:hAnsi="Times New Roman" w:eastAsia="宋体" w:cs="Times New Roman"/>
          <w:i w:val="0"/>
          <w:color w:val="1F2937"/>
          <w:sz w:val="24"/>
          <w:szCs w:val="24"/>
        </w:rPr>
        <w:t>。</w:t>
      </w:r>
    </w:p>
    <w:p w14:paraId="379DE02A">
      <w:pPr>
        <w:pStyle w:val="19"/>
        <w:widowControl/>
        <w:numPr>
          <w:ilvl w:val="0"/>
          <w:numId w:val="17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报告导出（ADR-CF-005）：强制水印 + 操作员工号 + 时间戳嵌入导出 PDF。</w:t>
      </w:r>
    </w:p>
    <w:p w14:paraId="7A4A609E">
      <w:pPr>
        <w:pStyle w:val="19"/>
        <w:widowControl/>
        <w:numPr>
          <w:ilvl w:val="0"/>
          <w:numId w:val="17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因子数据分级：原辅料因子 INTERNAL、电力因子 INTERNAL、Ecoinvent 跨境因子 SENSITIVE（含供应商来源）。</w:t>
      </w:r>
    </w:p>
    <w:p w14:paraId="31E2F2EE">
      <w:pPr>
        <w:pStyle w:val="19"/>
        <w:widowControl/>
        <w:numPr>
          <w:ilvl w:val="0"/>
          <w:numId w:val="17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因子匹配优先级：Ecoinvent v3.8（精确物料）→ CLCD 0.2（本土近似）→ 国家发改委折标（兜底）。</w:t>
      </w:r>
    </w:p>
    <w:p w14:paraId="0C5D681C">
      <w:pPr>
        <w:pStyle w:val="6"/>
        <w:numPr>
          <w:ilvl w:val="0"/>
          <w:numId w:val="16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1"/>
        <w:gridCol w:w="2040"/>
        <w:gridCol w:w="1363"/>
        <w:gridCol w:w="1363"/>
        <w:gridCol w:w="4137"/>
      </w:tblGrid>
      <w:tr w14:paraId="7ECF8F0C">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E5EC9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3D5F4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6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3285E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6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E8506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13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04591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核算来源与约束规则</w:t>
            </w:r>
          </w:p>
        </w:tc>
      </w:tr>
      <w:tr w14:paraId="042193BC">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EB90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750C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产品唯一物料号</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875D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F751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738D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ERP/PLM 主物料编号，唯一主键</w:t>
            </w:r>
          </w:p>
        </w:tc>
      </w:tr>
      <w:tr w14:paraId="7F8907DC">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7A74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650F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BOM 清单版本号</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0F80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F637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49BC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工程技术部生效版本，如 REV-C</w:t>
            </w:r>
          </w:p>
        </w:tc>
      </w:tr>
      <w:tr w14:paraId="5F54337F">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8B88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31BE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生产批次流水号</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1325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174D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4051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MES 制造工单流水号</w:t>
            </w:r>
          </w:p>
        </w:tc>
      </w:tr>
      <w:tr w14:paraId="4F87E7F6">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A98E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A78D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原材料阶段碳排</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550B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2344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kgCO2e</w:t>
            </w:r>
          </w:p>
        </w:tc>
        <w:tc>
          <w:tcPr>
            <w:tcW w:w="41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0D17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Σ(物料重量 × 实测因子)</w:t>
            </w:r>
            <w:r>
              <w:rPr>
                <w:rFonts w:hint="eastAsia" w:ascii="宋体" w:hAnsi="宋体" w:eastAsia="宋体" w:cs="宋体"/>
                <w:i w:val="0"/>
                <w:iCs w:val="0"/>
                <w:color w:val="1F2937"/>
                <w:sz w:val="24"/>
                <w:szCs w:val="24"/>
              </w:rPr>
              <w:t>，占比通常超 70%</w:t>
            </w:r>
          </w:p>
        </w:tc>
      </w:tr>
      <w:tr w14:paraId="7962C273">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55EA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8CE1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上游运输阶段碳排</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6F88A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044F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kgCO2e</w:t>
            </w:r>
          </w:p>
        </w:tc>
        <w:tc>
          <w:tcPr>
            <w:tcW w:w="41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BB5B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Σ(吨公里 × 运输工具排放因子)</w:t>
            </w:r>
          </w:p>
        </w:tc>
      </w:tr>
      <w:tr w14:paraId="62D6F8EC">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DE0F8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E13E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生产加工阶段碳排</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6F2B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5F78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kgCO2e</w:t>
            </w:r>
          </w:p>
        </w:tc>
        <w:tc>
          <w:tcPr>
            <w:tcW w:w="41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DD3D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制造工序电/汽/气消耗公摊碳排</w:t>
            </w:r>
          </w:p>
        </w:tc>
      </w:tr>
      <w:tr w14:paraId="49E37903">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239D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C8ED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试验检测阶段碳排</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ABB2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4C80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kgCO2e</w:t>
            </w:r>
          </w:p>
        </w:tc>
        <w:tc>
          <w:tcPr>
            <w:tcW w:w="41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B95E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出厂耐压/温升试验用电碳排</w:t>
            </w:r>
          </w:p>
        </w:tc>
      </w:tr>
      <w:tr w14:paraId="4AAAE311">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7B6F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C73B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包装出厂阶段碳排</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BE8D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4407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kgCO2e</w:t>
            </w:r>
          </w:p>
        </w:tc>
        <w:tc>
          <w:tcPr>
            <w:tcW w:w="41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88EA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包装箱木材/缠绕膜碳排</w:t>
            </w:r>
          </w:p>
        </w:tc>
      </w:tr>
      <w:tr w14:paraId="6D2E49A2">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69B7B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56D7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总碳足迹数值</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9897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A39B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kgCO2e</w:t>
            </w:r>
          </w:p>
        </w:tc>
        <w:tc>
          <w:tcPr>
            <w:tcW w:w="41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1AB6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 大阶段排放量严密累加和</w:t>
            </w:r>
          </w:p>
        </w:tc>
      </w:tr>
      <w:tr w14:paraId="50F9F9DC">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5734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3187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核算审批状态</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C35A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9F0F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D844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草稿/已提交/认证中/已签发/已归档</w:t>
            </w:r>
          </w:p>
        </w:tc>
      </w:tr>
      <w:tr w14:paraId="111F4A02">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80A7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CB34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审计哈希链尾节点</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F1E6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F530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SHA-256</w:t>
            </w:r>
          </w:p>
        </w:tc>
        <w:tc>
          <w:tcPr>
            <w:tcW w:w="41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B0DC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尾节点 prev 须指向上一节点哈希</w:t>
            </w:r>
          </w:p>
        </w:tc>
      </w:tr>
      <w:tr w14:paraId="57688787">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8370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204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DED26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工艺损耗率</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F716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A3EEE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E013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0 ≤ R_loss &lt; 100%</w:t>
            </w:r>
          </w:p>
        </w:tc>
      </w:tr>
    </w:tbl>
    <w:p w14:paraId="4EFEF9B5">
      <w:pPr>
        <w:spacing w:after="60"/>
        <w:rPr>
          <w:rFonts w:hint="eastAsia" w:ascii="宋体" w:hAnsi="宋体" w:eastAsia="宋体" w:cs="宋体"/>
          <w:i w:val="0"/>
          <w:iCs w:val="0"/>
          <w:sz w:val="24"/>
          <w:szCs w:val="24"/>
        </w:rPr>
      </w:pPr>
    </w:p>
    <w:p w14:paraId="212C9E6D">
      <w:pPr>
        <w:pStyle w:val="6"/>
        <w:numPr>
          <w:ilvl w:val="0"/>
          <w:numId w:val="16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0AA056B3">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6B494082">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E_PCF = E_raw + E_trans + E_manuf + E_test + E_pack</w:t>
            </w:r>
          </w:p>
          <w:p w14:paraId="4211E0F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E_raw = Σ [ M_i × (1 + R_loss_i) × EF_mat_i ]                    原材料获取</w:t>
            </w:r>
          </w:p>
          <w:p w14:paraId="2E8C772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E_trans = Σ [ M_i × D_i × EF_trans_mode ]                        上游运输</w:t>
            </w:r>
          </w:p>
          <w:p w14:paraId="24B84A5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E_manuf = Σ [ ( E_process_energy / Batch_Output ) × EF_energy ]  制造加工</w:t>
            </w:r>
          </w:p>
          <w:p w14:paraId="61C1A7A2">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E_test = ( Q_test_elec / Test_Capacity ) × EF_grid               试验检测</w:t>
            </w:r>
          </w:p>
          <w:p w14:paraId="469F66CB">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E_pack = Σ [ M_pack_k × EF_pack_k ]                              包装出厂</w:t>
            </w:r>
          </w:p>
          <w:p w14:paraId="0790F14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Q_mat = Q_bom × ( 1 + R_loss )                                   物料损耗系数</w:t>
            </w:r>
          </w:p>
          <w:p w14:paraId="3A1BFF2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Check: ABS( C_total - Σ C_stage ) &lt;= 0.01 kgCO2e                    加总一致性自检</w:t>
            </w:r>
          </w:p>
        </w:tc>
      </w:tr>
    </w:tbl>
    <w:p w14:paraId="52AA1190">
      <w:pPr>
        <w:spacing w:after="40"/>
        <w:rPr>
          <w:rFonts w:hint="eastAsia" w:ascii="宋体" w:hAnsi="宋体" w:eastAsia="宋体" w:cs="宋体"/>
          <w:i w:val="0"/>
          <w:iCs w:val="0"/>
          <w:sz w:val="24"/>
          <w:szCs w:val="24"/>
        </w:rPr>
      </w:pPr>
    </w:p>
    <w:p w14:paraId="5D94D12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M_i </w:t>
      </w:r>
      <w:r>
        <w:rPr>
          <w:rFonts w:ascii="Times New Roman" w:hAnsi="Times New Roman" w:eastAsia="宋体" w:cs="Times New Roman"/>
          <w:i w:val="0"/>
          <w:color w:val="1F2937"/>
          <w:sz w:val="24"/>
          <w:szCs w:val="24"/>
        </w:rPr>
        <w:t xml:space="preserve"> 为物料净重（t）；</w:t>
      </w:r>
      <w:r>
        <w:rPr>
          <w:rFonts w:ascii="Times New Roman" w:hAnsi="Times New Roman" w:eastAsia="宋体" w:cs="Times New Roman"/>
          <w:b w:val="0"/>
          <w:i w:val="0"/>
          <w:color w:val="0284C7"/>
          <w:sz w:val="24"/>
          <w:szCs w:val="24"/>
        </w:rPr>
        <w:t xml:space="preserve"> R_loss_i </w:t>
      </w:r>
      <w:r>
        <w:rPr>
          <w:rFonts w:ascii="Times New Roman" w:hAnsi="Times New Roman" w:eastAsia="宋体" w:cs="Times New Roman"/>
          <w:i w:val="0"/>
          <w:color w:val="1F2937"/>
          <w:sz w:val="24"/>
          <w:szCs w:val="24"/>
        </w:rPr>
        <w:t xml:space="preserve"> 为工艺损耗率（%）；</w:t>
      </w:r>
      <w:r>
        <w:rPr>
          <w:rFonts w:ascii="Times New Roman" w:hAnsi="Times New Roman" w:eastAsia="宋体" w:cs="Times New Roman"/>
          <w:b w:val="0"/>
          <w:i w:val="0"/>
          <w:color w:val="0284C7"/>
          <w:sz w:val="24"/>
          <w:szCs w:val="24"/>
        </w:rPr>
        <w:t xml:space="preserve"> EF_mat_i </w:t>
      </w:r>
      <w:r>
        <w:rPr>
          <w:rFonts w:ascii="Times New Roman" w:hAnsi="Times New Roman" w:eastAsia="宋体" w:cs="Times New Roman"/>
          <w:i w:val="0"/>
          <w:color w:val="1F2937"/>
          <w:sz w:val="24"/>
          <w:szCs w:val="24"/>
        </w:rPr>
        <w:t xml:space="preserve"> 为物料实测碳因子（kgCO2e/kg）；</w:t>
      </w:r>
      <w:r>
        <w:rPr>
          <w:rFonts w:ascii="Times New Roman" w:hAnsi="Times New Roman" w:eastAsia="宋体" w:cs="Times New Roman"/>
          <w:b w:val="0"/>
          <w:i w:val="0"/>
          <w:color w:val="0284C7"/>
          <w:sz w:val="24"/>
          <w:szCs w:val="24"/>
        </w:rPr>
        <w:t xml:space="preserve"> D_i </w:t>
      </w:r>
      <w:r>
        <w:rPr>
          <w:rFonts w:ascii="Times New Roman" w:hAnsi="Times New Roman" w:eastAsia="宋体" w:cs="Times New Roman"/>
          <w:i w:val="0"/>
          <w:color w:val="1F2937"/>
          <w:sz w:val="24"/>
          <w:szCs w:val="24"/>
        </w:rPr>
        <w:t xml:space="preserve"> 为运输距离（km）；</w:t>
      </w:r>
      <w:r>
        <w:rPr>
          <w:rFonts w:ascii="Times New Roman" w:hAnsi="Times New Roman" w:eastAsia="宋体" w:cs="Times New Roman"/>
          <w:b w:val="0"/>
          <w:i w:val="0"/>
          <w:color w:val="0284C7"/>
          <w:sz w:val="24"/>
          <w:szCs w:val="24"/>
        </w:rPr>
        <w:t xml:space="preserve"> EF_trans_mode </w:t>
      </w:r>
      <w:r>
        <w:rPr>
          <w:rFonts w:ascii="Times New Roman" w:hAnsi="Times New Roman" w:eastAsia="宋体" w:cs="Times New Roman"/>
          <w:i w:val="0"/>
          <w:color w:val="1F2937"/>
          <w:sz w:val="24"/>
          <w:szCs w:val="24"/>
        </w:rPr>
        <w:t xml:space="preserve"> 为吨公里运输因子；</w:t>
      </w:r>
      <w:r>
        <w:rPr>
          <w:rFonts w:ascii="Times New Roman" w:hAnsi="Times New Roman" w:eastAsia="宋体" w:cs="Times New Roman"/>
          <w:b w:val="0"/>
          <w:i w:val="0"/>
          <w:color w:val="0284C7"/>
          <w:sz w:val="24"/>
          <w:szCs w:val="24"/>
        </w:rPr>
        <w:t xml:space="preserve"> Q_test_elec </w:t>
      </w:r>
      <w:r>
        <w:rPr>
          <w:rFonts w:ascii="Times New Roman" w:hAnsi="Times New Roman" w:eastAsia="宋体" w:cs="Times New Roman"/>
          <w:i w:val="0"/>
          <w:color w:val="1F2937"/>
          <w:sz w:val="24"/>
          <w:szCs w:val="24"/>
        </w:rPr>
        <w:t xml:space="preserve"> 为出厂试验用电量；</w:t>
      </w:r>
      <w:r>
        <w:rPr>
          <w:rFonts w:ascii="Times New Roman" w:hAnsi="Times New Roman" w:eastAsia="宋体" w:cs="Times New Roman"/>
          <w:b w:val="0"/>
          <w:i w:val="0"/>
          <w:color w:val="0284C7"/>
          <w:sz w:val="24"/>
          <w:szCs w:val="24"/>
        </w:rPr>
        <w:t xml:space="preserve"> Test_Capacity </w:t>
      </w:r>
      <w:r>
        <w:rPr>
          <w:rFonts w:ascii="Times New Roman" w:hAnsi="Times New Roman" w:eastAsia="宋体" w:cs="Times New Roman"/>
          <w:i w:val="0"/>
          <w:color w:val="1F2937"/>
          <w:sz w:val="24"/>
          <w:szCs w:val="24"/>
        </w:rPr>
        <w:t xml:space="preserve"> 为试验容量。核算边界为摇篮到大门（Cradle-to-Gate）。</w:t>
      </w:r>
    </w:p>
    <w:p w14:paraId="76FDE32E">
      <w:pPr>
        <w:pStyle w:val="6"/>
        <w:numPr>
          <w:ilvl w:val="0"/>
          <w:numId w:val="16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70E46A8E">
      <w:pPr>
        <w:pStyle w:val="19"/>
        <w:widowControl/>
        <w:numPr>
          <w:ilvl w:val="0"/>
          <w:numId w:val="17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边界口径</w:t>
      </w:r>
      <w:r>
        <w:rPr>
          <w:rFonts w:ascii="Times New Roman" w:hAnsi="Times New Roman" w:eastAsia="宋体" w:cs="Times New Roman"/>
          <w:i w:val="0"/>
          <w:color w:val="1F2937"/>
          <w:sz w:val="24"/>
          <w:szCs w:val="24"/>
        </w:rPr>
        <w:t>：严格 Cradle-to-Gate 五阶段，阶段定义不可增减。</w:t>
      </w:r>
    </w:p>
    <w:p w14:paraId="71F01ABA">
      <w:pPr>
        <w:pStyle w:val="19"/>
        <w:widowControl/>
        <w:numPr>
          <w:ilvl w:val="0"/>
          <w:numId w:val="17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分配口径</w:t>
      </w:r>
      <w:r>
        <w:rPr>
          <w:rFonts w:ascii="Times New Roman" w:hAnsi="Times New Roman" w:eastAsia="宋体" w:cs="Times New Roman"/>
          <w:i w:val="0"/>
          <w:color w:val="1F2937"/>
          <w:sz w:val="24"/>
          <w:szCs w:val="24"/>
        </w:rPr>
        <w:t>：公共工序（真空干燥、退火炉）水电气能耗按工时或产量权重分摊，分配方法须在报告中声明。</w:t>
      </w:r>
    </w:p>
    <w:p w14:paraId="72785A71">
      <w:pPr>
        <w:pStyle w:val="19"/>
        <w:widowControl/>
        <w:numPr>
          <w:ilvl w:val="0"/>
          <w:numId w:val="17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容差口径</w:t>
      </w:r>
      <w:r>
        <w:rPr>
          <w:rFonts w:ascii="Times New Roman" w:hAnsi="Times New Roman" w:eastAsia="宋体" w:cs="Times New Roman"/>
          <w:i w:val="0"/>
          <w:color w:val="1F2937"/>
          <w:sz w:val="24"/>
          <w:szCs w:val="24"/>
        </w:rPr>
        <w:t>：总碳足迹与五阶段加总的容差上限 0.01 kgCO2e，超差即阻断证书签发。</w:t>
      </w:r>
    </w:p>
    <w:p w14:paraId="4681D8F2">
      <w:pPr>
        <w:pStyle w:val="19"/>
        <w:widowControl/>
        <w:numPr>
          <w:ilvl w:val="0"/>
          <w:numId w:val="17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状态口径</w:t>
      </w:r>
      <w:r>
        <w:rPr>
          <w:rFonts w:ascii="Times New Roman" w:hAnsi="Times New Roman" w:eastAsia="宋体" w:cs="Times New Roman"/>
          <w:i w:val="0"/>
          <w:color w:val="1F2937"/>
          <w:sz w:val="24"/>
          <w:szCs w:val="24"/>
        </w:rPr>
        <w:t>：认证中状态不可编辑；发布须 P4 + PM 联合签字。</w:t>
      </w:r>
    </w:p>
    <w:p w14:paraId="40F05193">
      <w:pPr>
        <w:pStyle w:val="6"/>
        <w:numPr>
          <w:ilvl w:val="0"/>
          <w:numId w:val="16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6A6502FD">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276C9B0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五阶段加总与总碳排容差超出 0.01 kgCO2e：触发 </w:t>
            </w:r>
            <w:r>
              <w:rPr>
                <w:rFonts w:hint="eastAsia" w:ascii="宋体" w:hAnsi="宋体" w:eastAsia="宋体" w:cs="宋体"/>
                <w:b w:val="0"/>
                <w:i w:val="0"/>
                <w:iCs w:val="0"/>
                <w:color w:val="0284C7"/>
                <w:sz w:val="24"/>
                <w:szCs w:val="24"/>
              </w:rPr>
              <w:t xml:space="preserve"> E_CALC_LCA_SUM_MISMATCH </w:t>
            </w:r>
            <w:r>
              <w:rPr>
                <w:rFonts w:hint="eastAsia" w:ascii="宋体" w:hAnsi="宋体" w:eastAsia="宋体" w:cs="宋体"/>
                <w:i w:val="0"/>
                <w:iCs w:val="0"/>
                <w:color w:val="1F2937"/>
                <w:sz w:val="24"/>
                <w:szCs w:val="24"/>
              </w:rPr>
              <w:t>，后台阻断证书签发与对外发布并触发引擎重算。</w:t>
            </w:r>
          </w:p>
          <w:p w14:paraId="2BF366E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总碳足迹为负：触发 </w:t>
            </w:r>
            <w:r>
              <w:rPr>
                <w:rFonts w:hint="eastAsia" w:ascii="宋体" w:hAnsi="宋体" w:eastAsia="宋体" w:cs="宋体"/>
                <w:b w:val="0"/>
                <w:i w:val="0"/>
                <w:iCs w:val="0"/>
                <w:color w:val="0284C7"/>
                <w:sz w:val="24"/>
                <w:szCs w:val="24"/>
              </w:rPr>
              <w:t xml:space="preserve"> E_VAL_LCA_TOTAL_NEGATIVE </w:t>
            </w:r>
            <w:r>
              <w:rPr>
                <w:rFonts w:hint="eastAsia" w:ascii="宋体" w:hAnsi="宋体" w:eastAsia="宋体" w:cs="宋体"/>
                <w:i w:val="0"/>
                <w:iCs w:val="0"/>
                <w:color w:val="1F2937"/>
                <w:sz w:val="24"/>
                <w:szCs w:val="24"/>
              </w:rPr>
              <w:t>，阻断保存。</w:t>
            </w:r>
          </w:p>
          <w:p w14:paraId="0619C29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试验工时 </w:t>
            </w:r>
            <w:r>
              <w:rPr>
                <w:rFonts w:hint="eastAsia" w:ascii="宋体" w:hAnsi="宋体" w:eastAsia="宋体" w:cs="宋体"/>
                <w:i w:val="0"/>
                <w:iCs w:val="0"/>
                <w:color w:val="15803D"/>
                <w:sz w:val="24"/>
                <w:szCs w:val="24"/>
              </w:rPr>
              <w:t>T_m = 0</w:t>
            </w:r>
            <w:r>
              <w:rPr>
                <w:rFonts w:hint="eastAsia" w:ascii="宋体" w:hAnsi="宋体" w:eastAsia="宋体" w:cs="宋体"/>
                <w:i w:val="0"/>
                <w:iCs w:val="0"/>
                <w:color w:val="1F2937"/>
                <w:sz w:val="24"/>
                <w:szCs w:val="24"/>
              </w:rPr>
              <w:t xml:space="preserve">：触发 </w:t>
            </w:r>
            <w:r>
              <w:rPr>
                <w:rFonts w:hint="eastAsia" w:ascii="宋体" w:hAnsi="宋体" w:eastAsia="宋体" w:cs="宋体"/>
                <w:b w:val="0"/>
                <w:i w:val="0"/>
                <w:iCs w:val="0"/>
                <w:color w:val="0284C7"/>
                <w:sz w:val="24"/>
                <w:szCs w:val="24"/>
              </w:rPr>
              <w:t xml:space="preserve"> E_CALC_LCA_TDIV_ZERO </w:t>
            </w:r>
            <w:r>
              <w:rPr>
                <w:rFonts w:hint="eastAsia" w:ascii="宋体" w:hAnsi="宋体" w:eastAsia="宋体" w:cs="宋体"/>
                <w:i w:val="0"/>
                <w:iCs w:val="0"/>
                <w:color w:val="1F2937"/>
                <w:sz w:val="24"/>
                <w:szCs w:val="24"/>
              </w:rPr>
              <w:t>，阻断阶段算式生成。</w:t>
            </w:r>
          </w:p>
          <w:p w14:paraId="0C38F99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工序四元组不齐备：触发 </w:t>
            </w:r>
            <w:r>
              <w:rPr>
                <w:rFonts w:hint="eastAsia" w:ascii="宋体" w:hAnsi="宋体" w:eastAsia="宋体" w:cs="宋体"/>
                <w:b w:val="0"/>
                <w:i w:val="0"/>
                <w:iCs w:val="0"/>
                <w:color w:val="0284C7"/>
                <w:sz w:val="24"/>
                <w:szCs w:val="24"/>
              </w:rPr>
              <w:t xml:space="preserve"> E_VAL_LCA_STAGE_INCOMPLETE </w:t>
            </w:r>
            <w:r>
              <w:rPr>
                <w:rFonts w:hint="eastAsia" w:ascii="宋体" w:hAnsi="宋体" w:eastAsia="宋体" w:cs="宋体"/>
                <w:i w:val="0"/>
                <w:iCs w:val="0"/>
                <w:color w:val="1F2937"/>
                <w:sz w:val="24"/>
                <w:szCs w:val="24"/>
              </w:rPr>
              <w:t>，阻断保存。</w:t>
            </w:r>
          </w:p>
          <w:p w14:paraId="546EFBC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ERP BOM 超时：重试 3 次后降级使用本地缓存 BOM 快照，仅在 INV-FALLBACK 模式下允许手工上传 Excel BOM。</w:t>
            </w:r>
          </w:p>
          <w:p w14:paraId="6E7B7F6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哈希链断裂：触发 </w:t>
            </w:r>
            <w:r>
              <w:rPr>
                <w:rFonts w:hint="eastAsia" w:ascii="宋体" w:hAnsi="宋体" w:eastAsia="宋体" w:cs="宋体"/>
                <w:b w:val="0"/>
                <w:i w:val="0"/>
                <w:iCs w:val="0"/>
                <w:color w:val="0284C7"/>
                <w:sz w:val="24"/>
                <w:szCs w:val="24"/>
              </w:rPr>
              <w:t xml:space="preserve"> E_AUDIT_HASH_BROKEN </w:t>
            </w:r>
            <w:r>
              <w:rPr>
                <w:rFonts w:hint="eastAsia" w:ascii="宋体" w:hAnsi="宋体" w:eastAsia="宋体" w:cs="宋体"/>
                <w:i w:val="0"/>
                <w:iCs w:val="0"/>
                <w:color w:val="1F2937"/>
                <w:sz w:val="24"/>
                <w:szCs w:val="24"/>
              </w:rPr>
              <w:t>，锁定当事单据并标记数据篡改。</w:t>
            </w:r>
          </w:p>
        </w:tc>
      </w:tr>
    </w:tbl>
    <w:p w14:paraId="79EEA5D1">
      <w:pPr>
        <w:spacing w:after="40"/>
        <w:rPr>
          <w:rFonts w:hint="eastAsia" w:ascii="宋体" w:hAnsi="宋体" w:eastAsia="宋体" w:cs="宋体"/>
          <w:i w:val="0"/>
          <w:iCs w:val="0"/>
          <w:sz w:val="24"/>
          <w:szCs w:val="24"/>
        </w:rPr>
      </w:pPr>
    </w:p>
    <w:p w14:paraId="623A9220">
      <w:pPr>
        <w:pStyle w:val="6"/>
        <w:numPr>
          <w:ilvl w:val="0"/>
          <w:numId w:val="168"/>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25F4C976">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0FFB9C32">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LCA 碳足迹核算引擎</w:t>
            </w:r>
          </w:p>
          <w:p w14:paraId="1364BBC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五阶段滚算与加总一致性自检</w:t>
            </w:r>
          </w:p>
          <w:p w14:paraId="65E69B0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某变压器产品 BOM 已完成展开且各阶段工序四元组齐备</w:t>
            </w:r>
          </w:p>
          <w:p w14:paraId="7E757B9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系统执行 ISO 14067 五阶段滚算</w:t>
            </w:r>
          </w:p>
          <w:p w14:paraId="51FD77D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总碳足迹等于原材料、运输、制造、试验、包装五阶段之和</w:t>
            </w:r>
          </w:p>
          <w:p w14:paraId="63BB63A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加总容差不超过 0.01 kgCO2e</w:t>
            </w:r>
          </w:p>
          <w:p w14:paraId="54BBA3A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超差时阻断证书签发并返回 E_CALC_LCA_SUM_MISMATCH</w:t>
            </w:r>
          </w:p>
          <w:p w14:paraId="3EAC97EC">
            <w:pPr>
              <w:spacing w:before="0" w:after="20" w:line="264" w:lineRule="auto"/>
              <w:rPr>
                <w:rFonts w:hint="eastAsia" w:ascii="宋体" w:hAnsi="宋体" w:eastAsia="宋体" w:cs="宋体"/>
                <w:i w:val="0"/>
                <w:iCs w:val="0"/>
                <w:sz w:val="24"/>
                <w:szCs w:val="24"/>
              </w:rPr>
            </w:pPr>
          </w:p>
          <w:p w14:paraId="1B9A02B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试验工时除零防御</w:t>
            </w:r>
          </w:p>
          <w:p w14:paraId="662167A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试验检测阶段录入的工时 T_m 为 0</w:t>
            </w:r>
          </w:p>
          <w:p w14:paraId="73BCE74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系统尝试生成该阶段算式</w:t>
            </w:r>
          </w:p>
          <w:p w14:paraId="510A225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阻断算式生成并返回 E_CALC_LCA_TDIV_ZERO</w:t>
            </w:r>
          </w:p>
          <w:p w14:paraId="55BA62D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页面提示"试验工时不可为0"</w:t>
            </w:r>
          </w:p>
          <w:p w14:paraId="7CB6030F">
            <w:pPr>
              <w:spacing w:before="0" w:after="20" w:line="264" w:lineRule="auto"/>
              <w:rPr>
                <w:rFonts w:hint="eastAsia" w:ascii="宋体" w:hAnsi="宋体" w:eastAsia="宋体" w:cs="宋体"/>
                <w:i w:val="0"/>
                <w:iCs w:val="0"/>
                <w:sz w:val="24"/>
                <w:szCs w:val="24"/>
              </w:rPr>
            </w:pPr>
          </w:p>
          <w:p w14:paraId="667E63C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ERP BOM 超时降级</w:t>
            </w:r>
          </w:p>
          <w:p w14:paraId="3D38685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ERP 系统 BOM 查询接口连续 5 秒未响应</w:t>
            </w:r>
          </w:p>
          <w:p w14:paraId="488D82C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LCA 引擎请求 BOM 树</w:t>
            </w:r>
          </w:p>
          <w:p w14:paraId="00E9F8B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自动重试 3 次</w:t>
            </w:r>
          </w:p>
          <w:p w14:paraId="577B254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仍失败时降级使用本地缓存 BOM 历史快照</w:t>
            </w:r>
          </w:p>
          <w:p w14:paraId="013AFFA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返回 E_EXT_ERP_BOM_TIMEOUT 并标注降级来源</w:t>
            </w:r>
          </w:p>
          <w:p w14:paraId="3C1C0EEB">
            <w:pPr>
              <w:spacing w:before="0" w:after="20" w:line="264" w:lineRule="auto"/>
              <w:rPr>
                <w:rFonts w:hint="eastAsia" w:ascii="宋体" w:hAnsi="宋体" w:eastAsia="宋体" w:cs="宋体"/>
                <w:i w:val="0"/>
                <w:iCs w:val="0"/>
                <w:sz w:val="24"/>
                <w:szCs w:val="24"/>
              </w:rPr>
            </w:pPr>
          </w:p>
          <w:p w14:paraId="3E13F28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审计哈希链完整性</w:t>
            </w:r>
          </w:p>
          <w:p w14:paraId="3F2BB05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LCA 计算过程已生成逐节点哈希链</w:t>
            </w:r>
          </w:p>
          <w:p w14:paraId="47ED71D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后台执行尾节点 prev 引用校验</w:t>
            </w:r>
          </w:p>
          <w:p w14:paraId="63DC1C2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尾节点哈希的 prev 指向前一节点哈希时校验通过</w:t>
            </w:r>
          </w:p>
          <w:p w14:paraId="60975C9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断裂时触发 E_AUDIT_HASH_BROKEN 并锁定当事单据</w:t>
            </w:r>
          </w:p>
          <w:p w14:paraId="24C4B974">
            <w:pPr>
              <w:spacing w:before="0" w:after="20" w:line="264" w:lineRule="auto"/>
              <w:rPr>
                <w:rFonts w:hint="eastAsia" w:ascii="宋体" w:hAnsi="宋体" w:eastAsia="宋体" w:cs="宋体"/>
                <w:i w:val="0"/>
                <w:iCs w:val="0"/>
                <w:sz w:val="24"/>
                <w:szCs w:val="24"/>
              </w:rPr>
            </w:pPr>
          </w:p>
          <w:p w14:paraId="54938D1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状态机流转与角色边界</w:t>
            </w:r>
          </w:p>
          <w:p w14:paraId="79F3F74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 LCA 报告处于 DRAFT 草稿状态</w:t>
            </w:r>
          </w:p>
          <w:p w14:paraId="680FCB2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P4 提交内审</w:t>
            </w:r>
          </w:p>
          <w:p w14:paraId="699B14E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状态流转至 SUBMITTED 且报告锁定编辑</w:t>
            </w:r>
          </w:p>
          <w:p w14:paraId="703C22C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流转动作写入审计日志</w:t>
            </w:r>
          </w:p>
          <w:p w14:paraId="5A8051D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报告进入 CERTIFYING 认证中状态</w:t>
            </w:r>
          </w:p>
          <w:p w14:paraId="40DE7CA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任何角色均不可编辑报告内容</w:t>
            </w:r>
          </w:p>
        </w:tc>
      </w:tr>
    </w:tbl>
    <w:p w14:paraId="0C3B6364">
      <w:pPr>
        <w:spacing w:after="40"/>
        <w:rPr>
          <w:rFonts w:hint="eastAsia" w:ascii="宋体" w:hAnsi="宋体" w:eastAsia="宋体" w:cs="宋体"/>
          <w:i w:val="0"/>
          <w:iCs w:val="0"/>
          <w:sz w:val="24"/>
          <w:szCs w:val="24"/>
        </w:rPr>
      </w:pPr>
    </w:p>
    <w:p w14:paraId="66341356">
      <w:pPr>
        <w:pStyle w:val="5"/>
        <w:numPr>
          <w:ilvl w:val="0"/>
          <w:numId w:val="162"/>
        </w:numPr>
        <w:ind w:left="0" w:leftChars="0" w:firstLine="0" w:firstLineChars="0"/>
        <w:outlineLvl w:val="1"/>
        <w:rPr>
          <w:rFonts w:eastAsia="黑体"/>
          <w:b w:val="0"/>
          <w:bCs w:val="0"/>
          <w:sz w:val="30"/>
          <w:szCs w:val="24"/>
        </w:rPr>
      </w:pPr>
      <w:bookmarkStart w:id="49" w:name="_Toc22414"/>
      <w:r>
        <w:rPr>
          <w:rFonts w:ascii="Times New Roman" w:hAnsi="Times New Roman" w:eastAsia="黑体" w:cs="Times New Roman"/>
          <w:b w:val="0"/>
          <w:bCs w:val="0"/>
          <w:sz w:val="30"/>
          <w:szCs w:val="24"/>
        </w:rPr>
        <w:t>碳足迹报告</w:t>
      </w:r>
      <w:bookmarkEnd w:id="49"/>
    </w:p>
    <w:p w14:paraId="506950BB">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3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8"/>
                    <pic:cNvPicPr>
                      <a:picLocks noChangeAspect="1"/>
                    </pic:cNvPicPr>
                  </pic:nvPicPr>
                  <pic:blipFill>
                    <a:blip r:embed="rId43"/>
                    <a:stretch>
                      <a:fillRect/>
                    </a:stretch>
                  </pic:blipFill>
                  <pic:spPr>
                    <a:xfrm>
                      <a:off x="0" y="0"/>
                      <a:ext cx="6210300" cy="3079115"/>
                    </a:xfrm>
                    <a:prstGeom prst="rect">
                      <a:avLst/>
                    </a:prstGeom>
                    <a:noFill/>
                    <a:ln>
                      <a:noFill/>
                    </a:ln>
                  </pic:spPr>
                </pic:pic>
              </a:graphicData>
            </a:graphic>
          </wp:inline>
        </w:drawing>
      </w:r>
    </w:p>
    <w:p w14:paraId="5660250F">
      <w:pPr>
        <w:pStyle w:val="6"/>
        <w:numPr>
          <w:ilvl w:val="0"/>
          <w:numId w:val="17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69970951">
      <w:pPr>
        <w:pStyle w:val="19"/>
        <w:widowControl/>
        <w:numPr>
          <w:ilvl w:val="0"/>
          <w:numId w:val="17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：一键导出符合 ISO 14067:2018 规范的双语碳足迹核算报告，并生成含产品唯一 EPC 编码与防伪签名哈希的二维码数字碳标签。</w:t>
      </w:r>
    </w:p>
    <w:p w14:paraId="6ABF3838">
      <w:pPr>
        <w:pStyle w:val="19"/>
        <w:widowControl/>
        <w:numPr>
          <w:ilvl w:val="0"/>
          <w:numId w:val="17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碳核算工程师、P6 外部独立审计机构（扫码核验）。</w:t>
      </w:r>
    </w:p>
    <w:p w14:paraId="55838465">
      <w:pPr>
        <w:pStyle w:val="19"/>
        <w:widowControl/>
        <w:numPr>
          <w:ilvl w:val="0"/>
          <w:numId w:val="17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/carbon-footprint/database/report </w:t>
      </w:r>
      <w:r>
        <w:rPr>
          <w:rFonts w:ascii="Times New Roman" w:hAnsi="Times New Roman" w:eastAsia="宋体" w:cs="Times New Roman"/>
          <w:i w:val="0"/>
          <w:color w:val="1F2937"/>
          <w:sz w:val="24"/>
          <w:szCs w:val="24"/>
        </w:rPr>
        <w:t>。</w:t>
      </w:r>
    </w:p>
    <w:p w14:paraId="49DAFDF4">
      <w:pPr>
        <w:pStyle w:val="19"/>
        <w:widowControl/>
        <w:numPr>
          <w:ilvl w:val="0"/>
          <w:numId w:val="17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：已认证的 LCA 报告、认证机构签章、报告哈希存证。</w:t>
      </w:r>
    </w:p>
    <w:p w14:paraId="3736BCDE">
      <w:pPr>
        <w:pStyle w:val="19"/>
        <w:widowControl/>
        <w:numPr>
          <w:ilvl w:val="0"/>
          <w:numId w:val="17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：对外交付的认证报告 PDF、产品数字碳标签二维码。</w:t>
      </w:r>
    </w:p>
    <w:p w14:paraId="2E8AC537">
      <w:pPr>
        <w:pStyle w:val="6"/>
        <w:numPr>
          <w:ilvl w:val="0"/>
          <w:numId w:val="17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09EC7AAF">
      <w:pPr>
        <w:pStyle w:val="19"/>
        <w:widowControl/>
        <w:numPr>
          <w:ilvl w:val="0"/>
          <w:numId w:val="17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：产品出口发运前需随货提供双语碳足迹报告与可扫码验证的碳标签，供海外客户与海关查验。</w:t>
      </w:r>
    </w:p>
    <w:p w14:paraId="23FAE84B">
      <w:pPr>
        <w:pStyle w:val="19"/>
        <w:widowControl/>
        <w:numPr>
          <w:ilvl w:val="0"/>
          <w:numId w:val="17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500E8447">
      <w:pPr>
        <w:pStyle w:val="19"/>
        <w:widowControl/>
        <w:numPr>
          <w:ilvl w:val="0"/>
          <w:numId w:val="17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碳核算与认证工程师 (Persona P4)</w:t>
      </w:r>
      <w:r>
        <w:rPr>
          <w:rFonts w:ascii="Times New Roman" w:hAnsi="Times New Roman" w:eastAsia="宋体" w:cs="Times New Roman"/>
          <w:i w:val="0"/>
          <w:color w:val="1F2937"/>
          <w:sz w:val="24"/>
          <w:szCs w:val="24"/>
        </w:rPr>
        <w:t>，</w:t>
      </w:r>
    </w:p>
    <w:p w14:paraId="3201B7D7">
      <w:pPr>
        <w:pStyle w:val="19"/>
        <w:widowControl/>
        <w:numPr>
          <w:ilvl w:val="0"/>
          <w:numId w:val="17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一键导出中英双语 ISO 14067 报告并生成可扫码验真的数字碳标签二维码</w:t>
      </w:r>
      <w:r>
        <w:rPr>
          <w:rFonts w:ascii="Times New Roman" w:hAnsi="Times New Roman" w:eastAsia="宋体" w:cs="Times New Roman"/>
          <w:i w:val="0"/>
          <w:color w:val="1F2937"/>
          <w:sz w:val="24"/>
          <w:szCs w:val="24"/>
        </w:rPr>
        <w:t>，</w:t>
      </w:r>
    </w:p>
    <w:p w14:paraId="4B7939FF">
      <w:pPr>
        <w:pStyle w:val="19"/>
        <w:widowControl/>
        <w:numPr>
          <w:ilvl w:val="0"/>
          <w:numId w:val="17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产品出口时能即时提供具备防伪能力的碳足迹证明</w:t>
      </w:r>
      <w:r>
        <w:rPr>
          <w:rFonts w:ascii="Times New Roman" w:hAnsi="Times New Roman" w:eastAsia="宋体" w:cs="Times New Roman"/>
          <w:i w:val="0"/>
          <w:color w:val="1F2937"/>
          <w:sz w:val="24"/>
          <w:szCs w:val="24"/>
        </w:rPr>
        <w:t>。</w:t>
      </w:r>
    </w:p>
    <w:p w14:paraId="3995A684">
      <w:pPr>
        <w:pStyle w:val="6"/>
        <w:numPr>
          <w:ilvl w:val="0"/>
          <w:numId w:val="17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272CDD41">
      <w:pPr>
        <w:pStyle w:val="19"/>
        <w:widowControl/>
        <w:numPr>
          <w:ilvl w:val="0"/>
          <w:numId w:val="176"/>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双语报告导出</w:t>
      </w:r>
      <w:r>
        <w:rPr>
          <w:rFonts w:ascii="Times New Roman" w:hAnsi="Times New Roman" w:eastAsia="宋体" w:cs="Times New Roman"/>
          <w:i w:val="0"/>
          <w:color w:val="1F2937"/>
          <w:sz w:val="24"/>
          <w:szCs w:val="24"/>
        </w:rPr>
        <w:t>：一键导出符合 ISO 14067:2018 规范的双语（中、英文）官方碳足迹核算报告。</w:t>
      </w:r>
    </w:p>
    <w:p w14:paraId="23A3C143">
      <w:pPr>
        <w:pStyle w:val="19"/>
        <w:widowControl/>
        <w:numPr>
          <w:ilvl w:val="0"/>
          <w:numId w:val="176"/>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数字碳标签</w:t>
      </w:r>
      <w:r>
        <w:rPr>
          <w:rFonts w:ascii="Times New Roman" w:hAnsi="Times New Roman" w:eastAsia="宋体" w:cs="Times New Roman"/>
          <w:i w:val="0"/>
          <w:color w:val="1F2937"/>
          <w:sz w:val="24"/>
          <w:szCs w:val="24"/>
        </w:rPr>
        <w:t>：生成包含产品唯一 EPC 编码与防伪签名哈希的二维码标签，支持手机扫码穿透查验原材料来源与第三方证书。</w:t>
      </w:r>
    </w:p>
    <w:p w14:paraId="7BE89D43">
      <w:pPr>
        <w:pStyle w:val="19"/>
        <w:widowControl/>
        <w:numPr>
          <w:ilvl w:val="0"/>
          <w:numId w:val="176"/>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报告水印</w:t>
      </w:r>
      <w:r>
        <w:rPr>
          <w:rFonts w:ascii="Times New Roman" w:hAnsi="Times New Roman" w:eastAsia="宋体" w:cs="Times New Roman"/>
          <w:i w:val="0"/>
          <w:color w:val="1F2937"/>
          <w:sz w:val="24"/>
          <w:szCs w:val="24"/>
        </w:rPr>
        <w:t>：导出 PDF 强制注入操作员工号与时间戳水印。</w:t>
      </w:r>
    </w:p>
    <w:p w14:paraId="6138962F">
      <w:pPr>
        <w:pStyle w:val="19"/>
        <w:widowControl/>
        <w:numPr>
          <w:ilvl w:val="0"/>
          <w:numId w:val="176"/>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标签批量生成</w:t>
      </w:r>
      <w:r>
        <w:rPr>
          <w:rFonts w:ascii="Times New Roman" w:hAnsi="Times New Roman" w:eastAsia="宋体" w:cs="Times New Roman"/>
          <w:i w:val="0"/>
          <w:color w:val="1F2937"/>
          <w:sz w:val="24"/>
          <w:szCs w:val="24"/>
        </w:rPr>
        <w:t>：支持按生产批次批量生成二维码标签并导出为可打印文件。</w:t>
      </w:r>
    </w:p>
    <w:p w14:paraId="36F02BED">
      <w:pPr>
        <w:pStyle w:val="19"/>
        <w:widowControl/>
        <w:numPr>
          <w:ilvl w:val="0"/>
          <w:numId w:val="176"/>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验真弹窗</w:t>
      </w:r>
      <w:r>
        <w:rPr>
          <w:rFonts w:ascii="Times New Roman" w:hAnsi="Times New Roman" w:eastAsia="宋体" w:cs="Times New Roman"/>
          <w:i w:val="0"/>
          <w:color w:val="1F2937"/>
          <w:sz w:val="24"/>
          <w:szCs w:val="24"/>
        </w:rPr>
        <w:t>：扫码后弹窗呈现 EPC 编码、防伪签名哈希、溯源链摘要与认证证书有效期。</w:t>
      </w:r>
    </w:p>
    <w:p w14:paraId="051A82C1">
      <w:pPr>
        <w:pStyle w:val="6"/>
        <w:numPr>
          <w:ilvl w:val="0"/>
          <w:numId w:val="17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718"/>
        <w:gridCol w:w="1946"/>
        <w:gridCol w:w="1279"/>
        <w:gridCol w:w="1529"/>
        <w:gridCol w:w="4312"/>
      </w:tblGrid>
      <w:tr w14:paraId="390B959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BB2364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6E5AA2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3DEC86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5B493B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31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13B43C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45763B5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82586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EDD1C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报告编号</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84DC6D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D19FC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ABC55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唯一，格式 </w:t>
            </w:r>
            <w:r>
              <w:rPr>
                <w:rFonts w:hint="eastAsia" w:ascii="宋体" w:hAnsi="宋体" w:eastAsia="宋体" w:cs="宋体"/>
                <w:b w:val="0"/>
                <w:i w:val="0"/>
                <w:iCs w:val="0"/>
                <w:color w:val="0284C7"/>
                <w:sz w:val="24"/>
                <w:szCs w:val="24"/>
              </w:rPr>
              <w:t xml:space="preserve"> CF-RPT-&lt;年&gt;-&lt;序号&gt; </w:t>
            </w:r>
          </w:p>
        </w:tc>
      </w:tr>
      <w:tr w14:paraId="223BFDE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858AFF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32050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报告语言版本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6046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E75E4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11190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中文 / 英文 / 双语</w:t>
            </w:r>
          </w:p>
        </w:tc>
      </w:tr>
      <w:tr w14:paraId="5FFD6F5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DCF666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FC51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核算标准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E556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44C22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58990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固定 ISO 14067:2018</w:t>
            </w:r>
          </w:p>
        </w:tc>
      </w:tr>
      <w:tr w14:paraId="24C1D99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0840A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6243F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 EPC 编码</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B2FDB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CCC64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574C9D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全球唯一，非空</w:t>
            </w:r>
          </w:p>
        </w:tc>
      </w:tr>
      <w:tr w14:paraId="482BC83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0F4CF1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ED33D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防伪签名哈希</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A5B68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37B34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SHA-256</w:t>
            </w:r>
          </w:p>
        </w:tc>
        <w:tc>
          <w:tcPr>
            <w:tcW w:w="43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E9ADF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产品批次 + 认证机构私钥签名</w:t>
            </w:r>
          </w:p>
        </w:tc>
      </w:tr>
      <w:tr w14:paraId="20850BF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8E0682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B0025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二维码图像</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F7F75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Binary</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D92C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A1C0A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分辨率 ≥ 300dpi，支持矢量导出</w:t>
            </w:r>
          </w:p>
        </w:tc>
      </w:tr>
      <w:tr w14:paraId="2F56F91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CF99F3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DF8F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认证机构</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32A6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E67F6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E893A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SGS / TÜV 南德 / 中国方圆</w:t>
            </w:r>
          </w:p>
        </w:tc>
      </w:tr>
      <w:tr w14:paraId="2179ADE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CA68D2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2E246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证书有效期</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06FC7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925FC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3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4548B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到期后标签自动标注"已过期"</w:t>
            </w:r>
          </w:p>
        </w:tc>
      </w:tr>
      <w:tr w14:paraId="78B3E50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590B3A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93680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导出水印信息</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BE4A8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2AF9C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B7198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操作员工号 + 时间戳，强制注入</w:t>
            </w:r>
          </w:p>
        </w:tc>
      </w:tr>
      <w:tr w14:paraId="48B266BB">
        <w:tblPrEx>
          <w:tblCellMar>
            <w:top w:w="0" w:type="dxa"/>
            <w:left w:w="108" w:type="dxa"/>
            <w:bottom w:w="0" w:type="dxa"/>
            <w:right w:w="108" w:type="dxa"/>
          </w:tblCellMar>
        </w:tblPrEx>
        <w:trPr>
          <w:jc w:val="center"/>
        </w:trPr>
        <w:tc>
          <w:tcPr>
            <w:tcW w:w="71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C2BB3F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94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1C7FB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报告哈希存证</w:t>
            </w:r>
          </w:p>
        </w:tc>
        <w:tc>
          <w:tcPr>
            <w:tcW w:w="12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F6414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5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2ADCC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SHA-256</w:t>
            </w:r>
          </w:p>
        </w:tc>
        <w:tc>
          <w:tcPr>
            <w:tcW w:w="43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18464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与报告内容绑定，供完整性校验</w:t>
            </w:r>
          </w:p>
        </w:tc>
      </w:tr>
    </w:tbl>
    <w:p w14:paraId="3D43A91A">
      <w:pPr>
        <w:spacing w:after="60"/>
        <w:rPr>
          <w:rFonts w:hint="eastAsia" w:ascii="宋体" w:hAnsi="宋体" w:eastAsia="宋体" w:cs="宋体"/>
          <w:i w:val="0"/>
          <w:iCs w:val="0"/>
          <w:sz w:val="24"/>
          <w:szCs w:val="24"/>
        </w:rPr>
      </w:pPr>
    </w:p>
    <w:p w14:paraId="617FF1E0">
      <w:pPr>
        <w:pStyle w:val="6"/>
        <w:numPr>
          <w:ilvl w:val="0"/>
          <w:numId w:val="17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35F3409E">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40E7302B">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Hash_sign = SIGN_SHA256( BatchNo + PrivateKey_CA )              防伪签名哈希</w:t>
            </w:r>
          </w:p>
          <w:p w14:paraId="76BD1A6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QR_payload = ENCODE( EPC + Hash_sign + CertNo + ValidUntil )    二维码载荷</w:t>
            </w:r>
          </w:p>
          <w:p w14:paraId="1E7A0592">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Verify = HASH( ReportContent ) == Report_hash ? 通过 : 篡改     报告完整性校验</w:t>
            </w:r>
          </w:p>
          <w:p w14:paraId="45CDB17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Label_status = today &lt;= ValidUntil ? 有效 : 已过期              标签有效性</w:t>
            </w:r>
          </w:p>
        </w:tc>
      </w:tr>
    </w:tbl>
    <w:p w14:paraId="049664A3">
      <w:pPr>
        <w:spacing w:after="40"/>
        <w:rPr>
          <w:rFonts w:hint="eastAsia" w:ascii="宋体" w:hAnsi="宋体" w:eastAsia="宋体" w:cs="宋体"/>
          <w:i w:val="0"/>
          <w:iCs w:val="0"/>
          <w:sz w:val="24"/>
          <w:szCs w:val="24"/>
        </w:rPr>
      </w:pPr>
    </w:p>
    <w:p w14:paraId="1B0F0E4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PrivateKey_CA </w:t>
      </w:r>
      <w:r>
        <w:rPr>
          <w:rFonts w:ascii="Times New Roman" w:hAnsi="Times New Roman" w:eastAsia="宋体" w:cs="Times New Roman"/>
          <w:i w:val="0"/>
          <w:color w:val="1F2937"/>
          <w:sz w:val="24"/>
          <w:szCs w:val="24"/>
        </w:rPr>
        <w:t xml:space="preserve"> 为认证机构签发私钥；</w:t>
      </w:r>
      <w:r>
        <w:rPr>
          <w:rFonts w:ascii="Times New Roman" w:hAnsi="Times New Roman" w:eastAsia="宋体" w:cs="Times New Roman"/>
          <w:b w:val="0"/>
          <w:i w:val="0"/>
          <w:color w:val="0284C7"/>
          <w:sz w:val="24"/>
          <w:szCs w:val="24"/>
        </w:rPr>
        <w:t xml:space="preserve"> ValidUntil </w:t>
      </w:r>
      <w:r>
        <w:rPr>
          <w:rFonts w:ascii="Times New Roman" w:hAnsi="Times New Roman" w:eastAsia="宋体" w:cs="Times New Roman"/>
          <w:i w:val="0"/>
          <w:color w:val="1F2937"/>
          <w:sz w:val="24"/>
          <w:szCs w:val="24"/>
        </w:rPr>
        <w:t xml:space="preserve"> 为认证证书有效期；标签有效性随证书有效期自动更新。</w:t>
      </w:r>
    </w:p>
    <w:p w14:paraId="29A347E6">
      <w:pPr>
        <w:pStyle w:val="6"/>
        <w:numPr>
          <w:ilvl w:val="0"/>
          <w:numId w:val="17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02942165">
      <w:pPr>
        <w:pStyle w:val="19"/>
        <w:widowControl/>
        <w:numPr>
          <w:ilvl w:val="0"/>
          <w:numId w:val="17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报告口径</w:t>
      </w:r>
      <w:r>
        <w:rPr>
          <w:rFonts w:ascii="Times New Roman" w:hAnsi="Times New Roman" w:eastAsia="宋体" w:cs="Times New Roman"/>
          <w:i w:val="0"/>
          <w:color w:val="1F2937"/>
          <w:sz w:val="24"/>
          <w:szCs w:val="24"/>
        </w:rPr>
        <w:t>：仅状态为"已认证/已发布"的报告可导出，草稿与送审态禁止导出。</w:t>
      </w:r>
    </w:p>
    <w:p w14:paraId="3CF8188D">
      <w:pPr>
        <w:pStyle w:val="19"/>
        <w:widowControl/>
        <w:numPr>
          <w:ilvl w:val="0"/>
          <w:numId w:val="17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水印口径</w:t>
      </w:r>
      <w:r>
        <w:rPr>
          <w:rFonts w:ascii="Times New Roman" w:hAnsi="Times New Roman" w:eastAsia="宋体" w:cs="Times New Roman"/>
          <w:i w:val="0"/>
          <w:color w:val="1F2937"/>
          <w:sz w:val="24"/>
          <w:szCs w:val="24"/>
        </w:rPr>
        <w:t>：任何导出行为强制注入水印，无豁免通道。</w:t>
      </w:r>
    </w:p>
    <w:p w14:paraId="5942603E">
      <w:pPr>
        <w:pStyle w:val="19"/>
        <w:widowControl/>
        <w:numPr>
          <w:ilvl w:val="0"/>
          <w:numId w:val="17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标签口径</w:t>
      </w:r>
      <w:r>
        <w:rPr>
          <w:rFonts w:ascii="Times New Roman" w:hAnsi="Times New Roman" w:eastAsia="宋体" w:cs="Times New Roman"/>
          <w:i w:val="0"/>
          <w:color w:val="1F2937"/>
          <w:sz w:val="24"/>
          <w:szCs w:val="24"/>
        </w:rPr>
        <w:t>：证书过期后标签自动标记"已过期"并暂停对应产品碳标签发布。</w:t>
      </w:r>
    </w:p>
    <w:p w14:paraId="449E8174">
      <w:pPr>
        <w:pStyle w:val="19"/>
        <w:widowControl/>
        <w:numPr>
          <w:ilvl w:val="0"/>
          <w:numId w:val="17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存证口径</w:t>
      </w:r>
      <w:r>
        <w:rPr>
          <w:rFonts w:ascii="Times New Roman" w:hAnsi="Times New Roman" w:eastAsia="宋体" w:cs="Times New Roman"/>
          <w:i w:val="0"/>
          <w:color w:val="1F2937"/>
          <w:sz w:val="24"/>
          <w:szCs w:val="24"/>
        </w:rPr>
        <w:t>：导出报告须包含报告哈希，支持事后完整性校验。</w:t>
      </w:r>
    </w:p>
    <w:p w14:paraId="2402F5E8">
      <w:pPr>
        <w:pStyle w:val="6"/>
        <w:numPr>
          <w:ilvl w:val="0"/>
          <w:numId w:val="17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09CDC4D1">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19E3ADE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草稿或送审态报告：导出按钮置灰。</w:t>
            </w:r>
          </w:p>
          <w:p w14:paraId="778921C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报告哈希比对失败：触发 </w:t>
            </w:r>
            <w:r>
              <w:rPr>
                <w:rFonts w:hint="eastAsia" w:ascii="宋体" w:hAnsi="宋体" w:eastAsia="宋体" w:cs="宋体"/>
                <w:b w:val="0"/>
                <w:i w:val="0"/>
                <w:iCs w:val="0"/>
                <w:color w:val="0284C7"/>
                <w:sz w:val="24"/>
                <w:szCs w:val="24"/>
              </w:rPr>
              <w:t xml:space="preserve"> E_AUDIT_HASH_BROKEN </w:t>
            </w:r>
            <w:r>
              <w:rPr>
                <w:rFonts w:hint="eastAsia" w:ascii="宋体" w:hAnsi="宋体" w:eastAsia="宋体" w:cs="宋体"/>
                <w:i w:val="0"/>
                <w:iCs w:val="0"/>
                <w:color w:val="1F2937"/>
                <w:sz w:val="24"/>
                <w:szCs w:val="24"/>
              </w:rPr>
              <w:t>，强制阻断导出并标记数据篡改。</w:t>
            </w:r>
          </w:p>
          <w:p w14:paraId="3AFE3E5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证书已过期：标签生成按钮置灰，提示需先完成证书续期（到期前 90/30/7 天分级预警）。</w:t>
            </w:r>
          </w:p>
          <w:p w14:paraId="470E1B1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二维码签名密钥不可用：标签生成失败并告警，不输出无签名标签。</w:t>
            </w:r>
          </w:p>
        </w:tc>
      </w:tr>
    </w:tbl>
    <w:p w14:paraId="100ECC46">
      <w:pPr>
        <w:spacing w:after="40"/>
        <w:rPr>
          <w:rFonts w:hint="eastAsia" w:ascii="宋体" w:hAnsi="宋体" w:eastAsia="宋体" w:cs="宋体"/>
          <w:i w:val="0"/>
          <w:iCs w:val="0"/>
          <w:sz w:val="24"/>
          <w:szCs w:val="24"/>
        </w:rPr>
      </w:pPr>
    </w:p>
    <w:p w14:paraId="0E73562B">
      <w:pPr>
        <w:pStyle w:val="6"/>
        <w:numPr>
          <w:ilvl w:val="0"/>
          <w:numId w:val="173"/>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60EBF7B5">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14D491FA">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碳足迹报告与数字碳标签</w:t>
            </w:r>
          </w:p>
          <w:p w14:paraId="4B66F7E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双语报告导出与水印注入</w:t>
            </w:r>
          </w:p>
          <w:p w14:paraId="17C0DB4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 LCA 报告状态为"已认证"</w:t>
            </w:r>
          </w:p>
          <w:p w14:paraId="64B78A8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P4 一键导出双语碳足迹报告</w:t>
            </w:r>
          </w:p>
          <w:p w14:paraId="45481D1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生成符合 ISO 14067:2018 规范的中英双语 PDF</w:t>
            </w:r>
          </w:p>
          <w:p w14:paraId="6FD4882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文件中注入操作员工号与时间戳水印</w:t>
            </w:r>
          </w:p>
          <w:p w14:paraId="7AB2DEA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文件内包含与内容绑定的报告哈希</w:t>
            </w:r>
          </w:p>
          <w:p w14:paraId="4E9389F6">
            <w:pPr>
              <w:spacing w:before="0" w:after="20" w:line="264" w:lineRule="auto"/>
              <w:rPr>
                <w:rFonts w:hint="eastAsia" w:ascii="宋体" w:hAnsi="宋体" w:eastAsia="宋体" w:cs="宋体"/>
                <w:i w:val="0"/>
                <w:iCs w:val="0"/>
                <w:sz w:val="24"/>
                <w:szCs w:val="24"/>
              </w:rPr>
            </w:pPr>
          </w:p>
          <w:p w14:paraId="1242438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草稿态报告禁止导出</w:t>
            </w:r>
          </w:p>
          <w:p w14:paraId="79D880F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 LCA 报告状态为 DRAFT 草稿</w:t>
            </w:r>
          </w:p>
          <w:p w14:paraId="69F7C15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用户点击导出报告</w:t>
            </w:r>
          </w:p>
          <w:p w14:paraId="75D8057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导出按钮置灰不可点击</w:t>
            </w:r>
          </w:p>
          <w:p w14:paraId="453CFD2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系统不生成任何文件</w:t>
            </w:r>
          </w:p>
          <w:p w14:paraId="0CB7B9AC">
            <w:pPr>
              <w:spacing w:before="0" w:after="20" w:line="264" w:lineRule="auto"/>
              <w:rPr>
                <w:rFonts w:hint="eastAsia" w:ascii="宋体" w:hAnsi="宋体" w:eastAsia="宋体" w:cs="宋体"/>
                <w:i w:val="0"/>
                <w:iCs w:val="0"/>
                <w:sz w:val="24"/>
                <w:szCs w:val="24"/>
              </w:rPr>
            </w:pPr>
          </w:p>
          <w:p w14:paraId="6AE29BC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证书过期的标签管控</w:t>
            </w:r>
          </w:p>
          <w:p w14:paraId="007819A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某产品认证证书已于昨日到期</w:t>
            </w:r>
          </w:p>
          <w:p w14:paraId="1DC3CAE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系统尝试生成该产品的数字碳标签</w:t>
            </w:r>
          </w:p>
          <w:p w14:paraId="0FC4C35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标签生成按钮置灰并提示需完成证书续期</w:t>
            </w:r>
          </w:p>
          <w:p w14:paraId="2A0B818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已生成的存量标签自动标注"已过期"</w:t>
            </w:r>
          </w:p>
        </w:tc>
      </w:tr>
    </w:tbl>
    <w:p w14:paraId="4FD04470">
      <w:pPr>
        <w:spacing w:after="40"/>
        <w:rPr>
          <w:rFonts w:hint="eastAsia" w:ascii="宋体" w:hAnsi="宋体" w:eastAsia="宋体" w:cs="宋体"/>
          <w:i w:val="0"/>
          <w:iCs w:val="0"/>
          <w:sz w:val="24"/>
          <w:szCs w:val="24"/>
        </w:rPr>
      </w:pPr>
    </w:p>
    <w:p w14:paraId="2B21B588">
      <w:pPr>
        <w:pStyle w:val="4"/>
        <w:numPr>
          <w:ilvl w:val="0"/>
          <w:numId w:val="144"/>
        </w:numPr>
        <w:topLinePunct w:val="0"/>
        <w:ind w:left="0" w:leftChars="0" w:firstLine="0" w:firstLineChars="0"/>
        <w:outlineLvl w:val="0"/>
        <w:rPr>
          <w:rFonts w:hint="eastAsia" w:eastAsia="黑体"/>
          <w:b w:val="0"/>
          <w:bCs w:val="0"/>
          <w:sz w:val="30"/>
          <w:szCs w:val="32"/>
        </w:rPr>
      </w:pPr>
      <w:bookmarkStart w:id="50" w:name="_Toc23911"/>
      <w:r>
        <w:rPr>
          <w:rFonts w:ascii="Times New Roman" w:hAnsi="Times New Roman" w:eastAsia="黑体" w:cs="Times New Roman"/>
          <w:b w:val="0"/>
          <w:bCs w:val="0"/>
          <w:sz w:val="30"/>
          <w:szCs w:val="32"/>
        </w:rPr>
        <w:t>CBAM 管理</w:t>
      </w:r>
      <w:bookmarkEnd w:id="50"/>
    </w:p>
    <w:p w14:paraId="6B198EB8">
      <w:pPr>
        <w:pStyle w:val="5"/>
        <w:numPr>
          <w:ilvl w:val="0"/>
          <w:numId w:val="178"/>
        </w:numPr>
        <w:ind w:left="0" w:leftChars="0" w:firstLine="0" w:firstLineChars="0"/>
        <w:outlineLvl w:val="1"/>
        <w:rPr>
          <w:rFonts w:eastAsia="黑体"/>
          <w:b w:val="0"/>
          <w:bCs w:val="0"/>
          <w:sz w:val="30"/>
          <w:szCs w:val="24"/>
        </w:rPr>
      </w:pPr>
      <w:bookmarkStart w:id="51" w:name="_Toc12094"/>
      <w:r>
        <w:rPr>
          <w:rFonts w:ascii="Times New Roman" w:hAnsi="Times New Roman" w:eastAsia="黑体" w:cs="Times New Roman"/>
          <w:b w:val="0"/>
          <w:bCs w:val="0"/>
          <w:sz w:val="30"/>
          <w:szCs w:val="24"/>
        </w:rPr>
        <w:t>合规管理</w:t>
      </w:r>
      <w:bookmarkEnd w:id="51"/>
    </w:p>
    <w:p w14:paraId="045B11AD">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31"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9"/>
                    <pic:cNvPicPr>
                      <a:picLocks noChangeAspect="1"/>
                    </pic:cNvPicPr>
                  </pic:nvPicPr>
                  <pic:blipFill>
                    <a:blip r:embed="rId44"/>
                    <a:stretch>
                      <a:fillRect/>
                    </a:stretch>
                  </pic:blipFill>
                  <pic:spPr>
                    <a:xfrm>
                      <a:off x="0" y="0"/>
                      <a:ext cx="6210300" cy="3079115"/>
                    </a:xfrm>
                    <a:prstGeom prst="rect">
                      <a:avLst/>
                    </a:prstGeom>
                    <a:noFill/>
                    <a:ln>
                      <a:noFill/>
                    </a:ln>
                  </pic:spPr>
                </pic:pic>
              </a:graphicData>
            </a:graphic>
          </wp:inline>
        </w:drawing>
      </w:r>
    </w:p>
    <w:p w14:paraId="4ED66580">
      <w:pPr>
        <w:pStyle w:val="6"/>
        <w:numPr>
          <w:ilvl w:val="0"/>
          <w:numId w:val="17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7ADE23B5">
      <w:pPr>
        <w:pStyle w:val="19"/>
        <w:widowControl/>
        <w:numPr>
          <w:ilvl w:val="0"/>
          <w:numId w:val="18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：维护出口欧盟电气装备海关 CN 税号白名单，明确直接排放与前驱物隐含间接排放的法定边界，并承载 CBAM 申报状态机。</w:t>
      </w:r>
    </w:p>
    <w:p w14:paraId="11C25A74">
      <w:pPr>
        <w:pStyle w:val="19"/>
        <w:widowControl/>
        <w:numPr>
          <w:ilvl w:val="0"/>
          <w:numId w:val="18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：P5 报关与关税专家（主操作）、P1 集团决策层（终审双签）。</w:t>
      </w:r>
    </w:p>
    <w:p w14:paraId="3EBA219A">
      <w:pPr>
        <w:pStyle w:val="19"/>
        <w:widowControl/>
        <w:numPr>
          <w:ilvl w:val="0"/>
          <w:numId w:val="18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/carbon-footprint/cbam/compliance </w:t>
      </w:r>
      <w:r>
        <w:rPr>
          <w:rFonts w:ascii="Times New Roman" w:hAnsi="Times New Roman" w:eastAsia="宋体" w:cs="Times New Roman"/>
          <w:i w:val="0"/>
          <w:color w:val="1F2937"/>
          <w:sz w:val="24"/>
          <w:szCs w:val="24"/>
        </w:rPr>
        <w:t>。</w:t>
      </w:r>
    </w:p>
    <w:p w14:paraId="27406144">
      <w:pPr>
        <w:pStyle w:val="19"/>
        <w:widowControl/>
        <w:numPr>
          <w:ilvl w:val="0"/>
          <w:numId w:val="18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：已认证 LCA 报告、海关税则编码库、CBAM 法规知识库。</w:t>
      </w:r>
    </w:p>
    <w:p w14:paraId="6A94F06C">
      <w:pPr>
        <w:pStyle w:val="19"/>
        <w:widowControl/>
        <w:numPr>
          <w:ilvl w:val="0"/>
          <w:numId w:val="18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：CBAM 申报状态流转记录、申报包生成前置校验结果。</w:t>
      </w:r>
    </w:p>
    <w:p w14:paraId="3642F735">
      <w:pPr>
        <w:pStyle w:val="6"/>
        <w:numPr>
          <w:ilvl w:val="0"/>
          <w:numId w:val="17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5FA845EA">
      <w:pPr>
        <w:pStyle w:val="19"/>
        <w:widowControl/>
        <w:numPr>
          <w:ilvl w:val="0"/>
          <w:numId w:val="18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：对出口欧盟的变压器与电缆产品执行 CBAM 合规前置管理，确认产品是否落入税号白名单并界定排放核算边界。</w:t>
      </w:r>
    </w:p>
    <w:p w14:paraId="70445C12">
      <w:pPr>
        <w:pStyle w:val="19"/>
        <w:widowControl/>
        <w:numPr>
          <w:ilvl w:val="0"/>
          <w:numId w:val="18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6838191D">
      <w:pPr>
        <w:pStyle w:val="19"/>
        <w:widowControl/>
        <w:numPr>
          <w:ilvl w:val="0"/>
          <w:numId w:val="18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国际贸易与关税专家 (Persona P5)</w:t>
      </w:r>
      <w:r>
        <w:rPr>
          <w:rFonts w:ascii="Times New Roman" w:hAnsi="Times New Roman" w:eastAsia="宋体" w:cs="Times New Roman"/>
          <w:i w:val="0"/>
          <w:color w:val="1F2937"/>
          <w:sz w:val="24"/>
          <w:szCs w:val="24"/>
        </w:rPr>
        <w:t>，</w:t>
      </w:r>
    </w:p>
    <w:p w14:paraId="604C87B5">
      <w:pPr>
        <w:pStyle w:val="19"/>
        <w:widowControl/>
        <w:numPr>
          <w:ilvl w:val="0"/>
          <w:numId w:val="18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维护海关 CN 税号白名单并确认产品直接排放与前驱物隐含间接排放的法定边界</w:t>
      </w:r>
      <w:r>
        <w:rPr>
          <w:rFonts w:ascii="Times New Roman" w:hAnsi="Times New Roman" w:eastAsia="宋体" w:cs="Times New Roman"/>
          <w:i w:val="0"/>
          <w:color w:val="1F2937"/>
          <w:sz w:val="24"/>
          <w:szCs w:val="24"/>
        </w:rPr>
        <w:t>，</w:t>
      </w:r>
    </w:p>
    <w:p w14:paraId="3E197760">
      <w:pPr>
        <w:pStyle w:val="19"/>
        <w:widowControl/>
        <w:numPr>
          <w:ilvl w:val="0"/>
          <w:numId w:val="18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我能确保 CBAM 申报范围准确、不多报不漏报</w:t>
      </w:r>
      <w:r>
        <w:rPr>
          <w:rFonts w:ascii="Times New Roman" w:hAnsi="Times New Roman" w:eastAsia="宋体" w:cs="Times New Roman"/>
          <w:i w:val="0"/>
          <w:color w:val="1F2937"/>
          <w:sz w:val="24"/>
          <w:szCs w:val="24"/>
        </w:rPr>
        <w:t>。</w:t>
      </w:r>
    </w:p>
    <w:p w14:paraId="755BEF72">
      <w:pPr>
        <w:pStyle w:val="6"/>
        <w:numPr>
          <w:ilvl w:val="0"/>
          <w:numId w:val="17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7DD3D4FE">
      <w:pPr>
        <w:pStyle w:val="19"/>
        <w:widowControl/>
        <w:numPr>
          <w:ilvl w:val="0"/>
          <w:numId w:val="1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合规规则</w:t>
      </w:r>
      <w:r>
        <w:rPr>
          <w:rFonts w:ascii="Times New Roman" w:hAnsi="Times New Roman" w:eastAsia="宋体" w:cs="Times New Roman"/>
          <w:i w:val="0"/>
          <w:color w:val="1F2937"/>
          <w:sz w:val="24"/>
          <w:szCs w:val="24"/>
        </w:rPr>
        <w:t>：维护特变电工出口欧盟电气装备海关 CN 税号白名单（变压器 CN 85042100、85042200、85042300；电缆 CN 85444920 等），明确直接排放与前驱物隐含间接排放的法定边界。</w:t>
      </w:r>
    </w:p>
    <w:p w14:paraId="7BEA3E13">
      <w:pPr>
        <w:pStyle w:val="19"/>
        <w:widowControl/>
        <w:numPr>
          <w:ilvl w:val="0"/>
          <w:numId w:val="1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申报状态机（回捞 PRD-07）</w:t>
      </w:r>
      <w:r>
        <w:rPr>
          <w:rFonts w:ascii="Times New Roman" w:hAnsi="Times New Roman" w:eastAsia="宋体" w:cs="Times New Roman"/>
          <w:i w:val="0"/>
          <w:color w:val="1F2937"/>
          <w:sz w:val="24"/>
          <w:szCs w:val="24"/>
        </w:rPr>
        <w:t>：</w:t>
      </w:r>
    </w:p>
    <w:p w14:paraId="3C2D906F">
      <w:pPr>
        <w:pStyle w:val="19"/>
        <w:widowControl/>
        <w:numPr>
          <w:ilvl w:val="0"/>
          <w:numId w:val="182"/>
        </w:numPr>
        <w:ind w:left="0" w:leftChars="0" w:firstLine="482" w:firstLineChars="0"/>
        <w:rPr>
          <w:rFonts w:eastAsia="宋体"/>
          <w:b/>
          <w:i w:val="0"/>
          <w:color w:val="0284C7"/>
          <w:sz w:val="24"/>
          <w:szCs w:val="24"/>
        </w:rPr>
      </w:pPr>
      <w:r>
        <w:rPr>
          <w:rFonts w:ascii="Times New Roman" w:hAnsi="Times New Roman" w:eastAsia="宋体" w:cs="Times New Roman"/>
          <w:b w:val="0"/>
          <w:i w:val="0"/>
          <w:color w:val="0284C7"/>
          <w:sz w:val="24"/>
          <w:szCs w:val="24"/>
        </w:rPr>
        <w:t xml:space="preserve">LCA_CERTIFIED </w:t>
      </w:r>
      <w:r>
        <w:rPr>
          <w:rFonts w:ascii="Times New Roman" w:hAnsi="Times New Roman" w:eastAsia="宋体" w:cs="Times New Roman"/>
          <w:i w:val="0"/>
          <w:color w:val="1F2937"/>
          <w:sz w:val="24"/>
          <w:szCs w:val="24"/>
        </w:rPr>
        <w:t xml:space="preserve"> --P5 触发申报--&gt; </w:t>
      </w:r>
      <w:r>
        <w:rPr>
          <w:rFonts w:ascii="Times New Roman" w:hAnsi="Times New Roman" w:eastAsia="宋体" w:cs="Times New Roman"/>
          <w:b w:val="0"/>
          <w:i w:val="0"/>
          <w:color w:val="0284C7"/>
          <w:sz w:val="24"/>
          <w:szCs w:val="24"/>
        </w:rPr>
        <w:t xml:space="preserve"> CBAM_DECL_PENDING </w:t>
      </w:r>
      <w:r>
        <w:rPr>
          <w:rFonts w:ascii="Times New Roman" w:hAnsi="Times New Roman" w:eastAsia="宋体" w:cs="Times New Roman"/>
          <w:i w:val="0"/>
          <w:color w:val="1F2937"/>
          <w:sz w:val="24"/>
          <w:szCs w:val="24"/>
        </w:rPr>
        <w:t>；</w:t>
      </w:r>
    </w:p>
    <w:p w14:paraId="5651B556">
      <w:pPr>
        <w:pStyle w:val="19"/>
        <w:widowControl/>
        <w:numPr>
          <w:ilvl w:val="0"/>
          <w:numId w:val="182"/>
        </w:numPr>
        <w:ind w:left="0" w:leftChars="0" w:firstLine="482" w:firstLineChars="0"/>
        <w:rPr>
          <w:rFonts w:eastAsia="宋体"/>
          <w:b/>
          <w:i w:val="0"/>
          <w:color w:val="0284C7"/>
          <w:sz w:val="24"/>
          <w:szCs w:val="24"/>
        </w:rPr>
      </w:pPr>
      <w:r>
        <w:rPr>
          <w:rFonts w:ascii="Times New Roman" w:hAnsi="Times New Roman" w:eastAsia="宋体" w:cs="Times New Roman"/>
          <w:b w:val="0"/>
          <w:i w:val="0"/>
          <w:color w:val="0284C7"/>
          <w:sz w:val="24"/>
          <w:szCs w:val="24"/>
        </w:rPr>
        <w:t xml:space="preserve">CBAM_DECL_PENDING </w:t>
      </w:r>
      <w:r>
        <w:rPr>
          <w:rFonts w:ascii="Times New Roman" w:hAnsi="Times New Roman" w:eastAsia="宋体" w:cs="Times New Roman"/>
          <w:i w:val="0"/>
          <w:color w:val="1F2937"/>
          <w:sz w:val="24"/>
          <w:szCs w:val="24"/>
        </w:rPr>
        <w:t xml:space="preserve"> --P5 + P1 双签--&gt; </w:t>
      </w:r>
      <w:r>
        <w:rPr>
          <w:rFonts w:ascii="Times New Roman" w:hAnsi="Times New Roman" w:eastAsia="宋体" w:cs="Times New Roman"/>
          <w:b w:val="0"/>
          <w:i w:val="0"/>
          <w:color w:val="0284C7"/>
          <w:sz w:val="24"/>
          <w:szCs w:val="24"/>
        </w:rPr>
        <w:t xml:space="preserve"> CBAM_DECL_SUBMITTED </w:t>
      </w:r>
      <w:r>
        <w:rPr>
          <w:rFonts w:ascii="Times New Roman" w:hAnsi="Times New Roman" w:eastAsia="宋体" w:cs="Times New Roman"/>
          <w:i w:val="0"/>
          <w:color w:val="1F2937"/>
          <w:sz w:val="24"/>
          <w:szCs w:val="24"/>
        </w:rPr>
        <w:t>；</w:t>
      </w:r>
    </w:p>
    <w:p w14:paraId="68F6100F">
      <w:pPr>
        <w:pStyle w:val="19"/>
        <w:widowControl/>
        <w:numPr>
          <w:ilvl w:val="0"/>
          <w:numId w:val="182"/>
        </w:numPr>
        <w:ind w:left="0" w:leftChars="0" w:firstLine="482" w:firstLineChars="0"/>
        <w:rPr>
          <w:rFonts w:eastAsia="宋体"/>
          <w:b/>
          <w:i w:val="0"/>
          <w:color w:val="0284C7"/>
          <w:sz w:val="24"/>
          <w:szCs w:val="24"/>
        </w:rPr>
      </w:pPr>
      <w:r>
        <w:rPr>
          <w:rFonts w:ascii="Times New Roman" w:hAnsi="Times New Roman" w:eastAsia="宋体" w:cs="Times New Roman"/>
          <w:b w:val="0"/>
          <w:i w:val="0"/>
          <w:color w:val="0284C7"/>
          <w:sz w:val="24"/>
          <w:szCs w:val="24"/>
        </w:rPr>
        <w:t xml:space="preserve">CBAM_DECL_SUBMITTED </w:t>
      </w:r>
      <w:r>
        <w:rPr>
          <w:rFonts w:ascii="Times New Roman" w:hAnsi="Times New Roman" w:eastAsia="宋体" w:cs="Times New Roman"/>
          <w:i w:val="0"/>
          <w:color w:val="1F2937"/>
          <w:sz w:val="24"/>
          <w:szCs w:val="24"/>
        </w:rPr>
        <w:t xml:space="preserve"> --海关反馈--&gt; </w:t>
      </w:r>
      <w:r>
        <w:rPr>
          <w:rFonts w:ascii="Times New Roman" w:hAnsi="Times New Roman" w:eastAsia="宋体" w:cs="Times New Roman"/>
          <w:b w:val="0"/>
          <w:i w:val="0"/>
          <w:color w:val="0284C7"/>
          <w:sz w:val="24"/>
          <w:szCs w:val="24"/>
        </w:rPr>
        <w:t xml:space="preserve"> CBAM_DECL_FEEDBACK </w:t>
      </w:r>
      <w:r>
        <w:rPr>
          <w:rFonts w:ascii="Times New Roman" w:hAnsi="Times New Roman" w:eastAsia="宋体" w:cs="Times New Roman"/>
          <w:i w:val="0"/>
          <w:color w:val="1F2937"/>
          <w:sz w:val="24"/>
          <w:szCs w:val="24"/>
        </w:rPr>
        <w:t>（补正后回到 SUBMITTED）；</w:t>
      </w:r>
    </w:p>
    <w:p w14:paraId="6D5EB87E">
      <w:pPr>
        <w:pStyle w:val="19"/>
        <w:widowControl/>
        <w:numPr>
          <w:ilvl w:val="0"/>
          <w:numId w:val="182"/>
        </w:numPr>
        <w:ind w:left="0" w:leftChars="0" w:firstLine="482" w:firstLineChars="0"/>
        <w:rPr>
          <w:rFonts w:eastAsia="宋体"/>
          <w:b/>
          <w:i w:val="0"/>
          <w:color w:val="0284C7"/>
          <w:sz w:val="24"/>
          <w:szCs w:val="24"/>
        </w:rPr>
      </w:pPr>
      <w:r>
        <w:rPr>
          <w:rFonts w:ascii="Times New Roman" w:hAnsi="Times New Roman" w:eastAsia="宋体" w:cs="Times New Roman"/>
          <w:b w:val="0"/>
          <w:i w:val="0"/>
          <w:color w:val="0284C7"/>
          <w:sz w:val="24"/>
          <w:szCs w:val="24"/>
        </w:rPr>
        <w:t xml:space="preserve">CBAM_DECL_SUBMITTED </w:t>
      </w:r>
      <w:r>
        <w:rPr>
          <w:rFonts w:ascii="Times New Roman" w:hAnsi="Times New Roman" w:eastAsia="宋体" w:cs="Times New Roman"/>
          <w:i w:val="0"/>
          <w:color w:val="1F2937"/>
          <w:sz w:val="24"/>
          <w:szCs w:val="24"/>
        </w:rPr>
        <w:t xml:space="preserve"> --年度归档--&gt; </w:t>
      </w:r>
      <w:r>
        <w:rPr>
          <w:rFonts w:ascii="Times New Roman" w:hAnsi="Times New Roman" w:eastAsia="宋体" w:cs="Times New Roman"/>
          <w:b w:val="0"/>
          <w:i w:val="0"/>
          <w:color w:val="0284C7"/>
          <w:sz w:val="24"/>
          <w:szCs w:val="24"/>
        </w:rPr>
        <w:t xml:space="preserve"> CBAM_DECL_ARCHIVED </w:t>
      </w:r>
      <w:r>
        <w:rPr>
          <w:rFonts w:ascii="Times New Roman" w:hAnsi="Times New Roman" w:eastAsia="宋体" w:cs="Times New Roman"/>
          <w:i w:val="0"/>
          <w:color w:val="1F2937"/>
          <w:sz w:val="24"/>
          <w:szCs w:val="24"/>
        </w:rPr>
        <w:t>。</w:t>
      </w:r>
    </w:p>
    <w:p w14:paraId="1B476301">
      <w:pPr>
        <w:pStyle w:val="19"/>
        <w:widowControl/>
        <w:numPr>
          <w:ilvl w:val="0"/>
          <w:numId w:val="1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白名单校验</w:t>
      </w:r>
      <w:r>
        <w:rPr>
          <w:rFonts w:ascii="Times New Roman" w:hAnsi="Times New Roman" w:eastAsia="宋体" w:cs="Times New Roman"/>
          <w:i w:val="0"/>
          <w:color w:val="1F2937"/>
          <w:sz w:val="24"/>
          <w:szCs w:val="24"/>
        </w:rPr>
        <w:t>：非白名单税号产品在申报入口被拦截，并提示不在 CBAM 涵盖范围。</w:t>
      </w:r>
    </w:p>
    <w:p w14:paraId="2AA933DA">
      <w:pPr>
        <w:pStyle w:val="19"/>
        <w:widowControl/>
        <w:numPr>
          <w:ilvl w:val="0"/>
          <w:numId w:val="1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边界声明</w:t>
      </w:r>
      <w:r>
        <w:rPr>
          <w:rFonts w:ascii="Times New Roman" w:hAnsi="Times New Roman" w:eastAsia="宋体" w:cs="Times New Roman"/>
          <w:i w:val="0"/>
          <w:color w:val="1F2937"/>
          <w:sz w:val="24"/>
          <w:szCs w:val="24"/>
        </w:rPr>
        <w:t>：每个税号展示其涵盖的排放边界（直接排放 / 前驱物隐含间接排放）与证据要求。</w:t>
      </w:r>
    </w:p>
    <w:p w14:paraId="667F539E">
      <w:pPr>
        <w:pStyle w:val="6"/>
        <w:numPr>
          <w:ilvl w:val="0"/>
          <w:numId w:val="17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98"/>
        <w:gridCol w:w="1862"/>
        <w:gridCol w:w="1079"/>
        <w:gridCol w:w="855"/>
        <w:gridCol w:w="5090"/>
      </w:tblGrid>
      <w:tr w14:paraId="66CF0EB2">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14A3F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6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CC80B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0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18F2C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85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EDCDD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509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AEFBD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28DD5A0B">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1DC8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6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6D26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欧盟海关 CN 税号</w:t>
            </w:r>
          </w:p>
        </w:tc>
        <w:tc>
          <w:tcPr>
            <w:tcW w:w="10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E7DB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8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5C83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50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2EB5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 位数字，须在白名单内</w:t>
            </w:r>
          </w:p>
        </w:tc>
      </w:tr>
      <w:tr w14:paraId="48C17117">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1368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6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AE2F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产品名称</w:t>
            </w:r>
          </w:p>
        </w:tc>
        <w:tc>
          <w:tcPr>
            <w:tcW w:w="10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3DCF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8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1248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50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7DCF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与税号对应的产品类别名称</w:t>
            </w:r>
          </w:p>
        </w:tc>
      </w:tr>
      <w:tr w14:paraId="78BD2746">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FEC0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6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B4F6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排放边界类型</w:t>
            </w:r>
          </w:p>
        </w:tc>
        <w:tc>
          <w:tcPr>
            <w:tcW w:w="10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69B0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8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D207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50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E462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直接排放 / 前驱物隐含间接排放 / 二者兼具</w:t>
            </w:r>
          </w:p>
        </w:tc>
      </w:tr>
      <w:tr w14:paraId="097B7387">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1D79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6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22B4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关联 LCA 报告编号</w:t>
            </w:r>
          </w:p>
        </w:tc>
        <w:tc>
          <w:tcPr>
            <w:tcW w:w="10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B228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8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979F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50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D5B8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报告状态必须为已认证</w:t>
            </w:r>
          </w:p>
        </w:tc>
      </w:tr>
      <w:tr w14:paraId="74A3601B">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47B7D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6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5516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申报状态</w:t>
            </w:r>
          </w:p>
        </w:tc>
        <w:tc>
          <w:tcPr>
            <w:tcW w:w="10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E735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8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3697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50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8980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LCA_CERTIFIED / CBAM_DECL_PENDING / SUBMITTED / FEEDBACK / ARCHIVED</w:t>
            </w:r>
          </w:p>
        </w:tc>
      </w:tr>
      <w:tr w14:paraId="1A5AAE51">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E36E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86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FDDA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双签人信息</w:t>
            </w:r>
          </w:p>
        </w:tc>
        <w:tc>
          <w:tcPr>
            <w:tcW w:w="10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B7F2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8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057C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50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42D3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P5 与 P1 电子签章记录，缺一不可提交</w:t>
            </w:r>
          </w:p>
        </w:tc>
      </w:tr>
      <w:tr w14:paraId="1D36BD0B">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F462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86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0FA5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海关反馈意见</w:t>
            </w:r>
          </w:p>
        </w:tc>
        <w:tc>
          <w:tcPr>
            <w:tcW w:w="10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5CF3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Text</w:t>
            </w:r>
          </w:p>
        </w:tc>
        <w:tc>
          <w:tcPr>
            <w:tcW w:w="8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6EC6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50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A39E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海关质询时必填，补正依据</w:t>
            </w:r>
          </w:p>
        </w:tc>
      </w:tr>
      <w:tr w14:paraId="581C74FB">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7C8B5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86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FFDF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修订流水号</w:t>
            </w:r>
          </w:p>
        </w:tc>
        <w:tc>
          <w:tcPr>
            <w:tcW w:w="10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8F52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8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87B4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50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91E3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每次补正重新生成</w:t>
            </w:r>
          </w:p>
        </w:tc>
      </w:tr>
      <w:tr w14:paraId="54049CF2">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2D80B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86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EB6D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申报年度</w:t>
            </w:r>
          </w:p>
        </w:tc>
        <w:tc>
          <w:tcPr>
            <w:tcW w:w="10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909F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Integer</w:t>
            </w:r>
          </w:p>
        </w:tc>
        <w:tc>
          <w:tcPr>
            <w:tcW w:w="8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AB39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年</w:t>
            </w:r>
          </w:p>
        </w:tc>
        <w:tc>
          <w:tcPr>
            <w:tcW w:w="50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D465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不得晚于当前年度</w:t>
            </w:r>
          </w:p>
        </w:tc>
      </w:tr>
    </w:tbl>
    <w:p w14:paraId="0E3C95D3">
      <w:pPr>
        <w:spacing w:after="60"/>
        <w:rPr>
          <w:rFonts w:hint="eastAsia" w:ascii="宋体" w:hAnsi="宋体" w:eastAsia="宋体" w:cs="宋体"/>
          <w:i w:val="0"/>
          <w:iCs w:val="0"/>
          <w:sz w:val="24"/>
          <w:szCs w:val="24"/>
        </w:rPr>
      </w:pPr>
    </w:p>
    <w:p w14:paraId="5EDB2B0A">
      <w:pPr>
        <w:pStyle w:val="6"/>
        <w:numPr>
          <w:ilvl w:val="0"/>
          <w:numId w:val="17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3C302E6D">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29C7680F">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In_Scope = CN_Code ∈ Whitelist                             税号涵盖判定</w:t>
            </w:r>
          </w:p>
          <w:p w14:paraId="79AF2968">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Boundary = f( CN_Code )                                     排放边界映射</w:t>
            </w:r>
          </w:p>
          <w:p w14:paraId="6694597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Gate_Submit = ( Sign_P5 == true ) AND ( Sign_P1 == true )   双签门禁</w:t>
            </w:r>
          </w:p>
          <w:p w14:paraId="624B596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State_next = Transitions( State_current, Action )           状态机流转</w:t>
            </w:r>
          </w:p>
        </w:tc>
      </w:tr>
    </w:tbl>
    <w:p w14:paraId="6ED7E9C3">
      <w:pPr>
        <w:spacing w:after="40"/>
        <w:rPr>
          <w:rFonts w:hint="eastAsia" w:ascii="宋体" w:hAnsi="宋体" w:eastAsia="宋体" w:cs="宋体"/>
          <w:i w:val="0"/>
          <w:iCs w:val="0"/>
          <w:sz w:val="24"/>
          <w:szCs w:val="24"/>
        </w:rPr>
      </w:pPr>
    </w:p>
    <w:p w14:paraId="1E128700">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双签门禁为硬约束，任一签章缺失则提交动作不可执行；状态流转遵循既定转移表，非法转移一律拒绝。</w:t>
      </w:r>
    </w:p>
    <w:p w14:paraId="6D848AE1">
      <w:pPr>
        <w:pStyle w:val="6"/>
        <w:numPr>
          <w:ilvl w:val="0"/>
          <w:numId w:val="17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5C860932">
      <w:pPr>
        <w:pStyle w:val="19"/>
        <w:widowControl/>
        <w:numPr>
          <w:ilvl w:val="0"/>
          <w:numId w:val="18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范围口径</w:t>
      </w:r>
      <w:r>
        <w:rPr>
          <w:rFonts w:ascii="Times New Roman" w:hAnsi="Times New Roman" w:eastAsia="宋体" w:cs="Times New Roman"/>
          <w:i w:val="0"/>
          <w:color w:val="1F2937"/>
          <w:sz w:val="24"/>
          <w:szCs w:val="24"/>
        </w:rPr>
        <w:t>：仅白名单税号产品可发起申报，非白名单产品入口不出现。</w:t>
      </w:r>
    </w:p>
    <w:p w14:paraId="00B32865">
      <w:pPr>
        <w:pStyle w:val="19"/>
        <w:widowControl/>
        <w:numPr>
          <w:ilvl w:val="0"/>
          <w:numId w:val="18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边界口径</w:t>
      </w:r>
      <w:r>
        <w:rPr>
          <w:rFonts w:ascii="Times New Roman" w:hAnsi="Times New Roman" w:eastAsia="宋体" w:cs="Times New Roman"/>
          <w:i w:val="0"/>
          <w:color w:val="1F2937"/>
          <w:sz w:val="24"/>
          <w:szCs w:val="24"/>
        </w:rPr>
        <w:t>：排放边界按税号固定映射，不允许逐单自定义。</w:t>
      </w:r>
    </w:p>
    <w:p w14:paraId="33CCB2B1">
      <w:pPr>
        <w:pStyle w:val="19"/>
        <w:widowControl/>
        <w:numPr>
          <w:ilvl w:val="0"/>
          <w:numId w:val="18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签批口径</w:t>
      </w:r>
      <w:r>
        <w:rPr>
          <w:rFonts w:ascii="Times New Roman" w:hAnsi="Times New Roman" w:eastAsia="宋体" w:cs="Times New Roman"/>
          <w:i w:val="0"/>
          <w:color w:val="1F2937"/>
          <w:sz w:val="24"/>
          <w:szCs w:val="24"/>
        </w:rPr>
        <w:t>：提交必须经 P5 报关专家与 P1 集团决策层双重电子签章。</w:t>
      </w:r>
    </w:p>
    <w:p w14:paraId="63F5227A">
      <w:pPr>
        <w:pStyle w:val="19"/>
        <w:widowControl/>
        <w:numPr>
          <w:ilvl w:val="0"/>
          <w:numId w:val="18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回退口径</w:t>
      </w:r>
      <w:r>
        <w:rPr>
          <w:rFonts w:ascii="Times New Roman" w:hAnsi="Times New Roman" w:eastAsia="宋体" w:cs="Times New Roman"/>
          <w:i w:val="0"/>
          <w:color w:val="1F2937"/>
          <w:sz w:val="24"/>
          <w:szCs w:val="24"/>
        </w:rPr>
        <w:t>：海关质询时转入"海关反馈"，补正后重新提交并生成新修订流水号。</w:t>
      </w:r>
    </w:p>
    <w:p w14:paraId="2987E91D">
      <w:pPr>
        <w:pStyle w:val="6"/>
        <w:numPr>
          <w:ilvl w:val="0"/>
          <w:numId w:val="17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33C67148">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1C3E240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非白名单税号：申报入口拦截并提示不在 CBAM 涵盖范围。</w:t>
            </w:r>
          </w:p>
          <w:p w14:paraId="7CDC482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关联 LCA 报告非已认证状态：申报按钮置灰。</w:t>
            </w:r>
          </w:p>
          <w:p w14:paraId="1587BA8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双签不完整：提交动作不可执行，页面明确标注缺失签章方。</w:t>
            </w:r>
          </w:p>
          <w:p w14:paraId="7D948FA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已归档申报：只读锁定，不允许再流转。</w:t>
            </w:r>
          </w:p>
        </w:tc>
      </w:tr>
    </w:tbl>
    <w:p w14:paraId="7FF0DA89">
      <w:pPr>
        <w:spacing w:after="40"/>
        <w:rPr>
          <w:rFonts w:hint="eastAsia" w:ascii="宋体" w:hAnsi="宋体" w:eastAsia="宋体" w:cs="宋体"/>
          <w:i w:val="0"/>
          <w:iCs w:val="0"/>
          <w:sz w:val="24"/>
          <w:szCs w:val="24"/>
        </w:rPr>
      </w:pPr>
    </w:p>
    <w:p w14:paraId="52E3C63C">
      <w:pPr>
        <w:pStyle w:val="6"/>
        <w:numPr>
          <w:ilvl w:val="0"/>
          <w:numId w:val="179"/>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68D27A06">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061341C0">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CBAM 欧盟合规管理</w:t>
            </w:r>
          </w:p>
          <w:p w14:paraId="2E74025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税号白名单校验</w:t>
            </w:r>
          </w:p>
          <w:p w14:paraId="343861C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某产品的海关 CN 税号未包含在 CBAM 白名单内</w:t>
            </w:r>
          </w:p>
          <w:p w14:paraId="2468619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P5 尝试对该产品发起 CBAM 申报</w:t>
            </w:r>
          </w:p>
          <w:p w14:paraId="0F384AA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申报入口被拦截并提示该产品不在 CBAM 涵盖范围</w:t>
            </w:r>
          </w:p>
          <w:p w14:paraId="7233E6F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不生成任何申报单据</w:t>
            </w:r>
          </w:p>
          <w:p w14:paraId="5FDCFA59">
            <w:pPr>
              <w:spacing w:before="0" w:after="20" w:line="264" w:lineRule="auto"/>
              <w:rPr>
                <w:rFonts w:hint="eastAsia" w:ascii="宋体" w:hAnsi="宋体" w:eastAsia="宋体" w:cs="宋体"/>
                <w:i w:val="0"/>
                <w:iCs w:val="0"/>
                <w:sz w:val="24"/>
                <w:szCs w:val="24"/>
              </w:rPr>
            </w:pPr>
          </w:p>
          <w:p w14:paraId="619285A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双签门禁校验</w:t>
            </w:r>
          </w:p>
          <w:p w14:paraId="739223C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某申报单已获得 P5 报关专家电子签章</w:t>
            </w:r>
          </w:p>
          <w:p w14:paraId="42661A0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尚未获得 P1 集团决策层签章即尝试提交</w:t>
            </w:r>
          </w:p>
          <w:p w14:paraId="4F1957A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提交动作不可执行</w:t>
            </w:r>
          </w:p>
          <w:p w14:paraId="4413DC5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页面明确标注缺失的签章方为 P1 集团决策层</w:t>
            </w:r>
          </w:p>
          <w:p w14:paraId="52620EE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返回 E_AUTH_RBAC_FORBIDDEN 或对应的签批缺失提示</w:t>
            </w:r>
          </w:p>
          <w:p w14:paraId="7798A731">
            <w:pPr>
              <w:spacing w:before="0" w:after="20" w:line="264" w:lineRule="auto"/>
              <w:rPr>
                <w:rFonts w:hint="eastAsia" w:ascii="宋体" w:hAnsi="宋体" w:eastAsia="宋体" w:cs="宋体"/>
                <w:i w:val="0"/>
                <w:iCs w:val="0"/>
                <w:sz w:val="24"/>
                <w:szCs w:val="24"/>
              </w:rPr>
            </w:pPr>
          </w:p>
          <w:p w14:paraId="778662F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海关反馈回退流程</w:t>
            </w:r>
          </w:p>
          <w:p w14:paraId="199900C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申报单已提交至海关并收到质询</w:t>
            </w:r>
          </w:p>
          <w:p w14:paraId="52027E6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系统将申报状态流转为 CBAM_DECL_FEEDBACK</w:t>
            </w:r>
          </w:p>
          <w:p w14:paraId="06A2C32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补正完成后可重新提交</w:t>
            </w:r>
          </w:p>
          <w:p w14:paraId="2385730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重新提交时生成新的修订流水号</w:t>
            </w:r>
          </w:p>
        </w:tc>
      </w:tr>
    </w:tbl>
    <w:p w14:paraId="79D7FBBF">
      <w:pPr>
        <w:spacing w:after="40"/>
        <w:rPr>
          <w:rFonts w:hint="eastAsia" w:ascii="宋体" w:hAnsi="宋体" w:eastAsia="宋体" w:cs="宋体"/>
          <w:i w:val="0"/>
          <w:iCs w:val="0"/>
          <w:sz w:val="24"/>
          <w:szCs w:val="24"/>
        </w:rPr>
      </w:pPr>
    </w:p>
    <w:p w14:paraId="164E7AC9">
      <w:pPr>
        <w:pStyle w:val="5"/>
        <w:numPr>
          <w:ilvl w:val="0"/>
          <w:numId w:val="178"/>
        </w:numPr>
        <w:ind w:left="0" w:leftChars="0" w:firstLine="0" w:firstLineChars="0"/>
        <w:outlineLvl w:val="1"/>
        <w:rPr>
          <w:rFonts w:eastAsia="黑体"/>
          <w:b w:val="0"/>
          <w:bCs w:val="0"/>
          <w:sz w:val="30"/>
          <w:szCs w:val="24"/>
        </w:rPr>
      </w:pPr>
      <w:bookmarkStart w:id="52" w:name="_Toc10052"/>
      <w:r>
        <w:rPr>
          <w:rFonts w:ascii="Times New Roman" w:hAnsi="Times New Roman" w:eastAsia="黑体" w:cs="Times New Roman"/>
          <w:b w:val="0"/>
          <w:bCs w:val="0"/>
          <w:sz w:val="30"/>
          <w:szCs w:val="24"/>
        </w:rPr>
        <w:t>申报模拟</w:t>
      </w:r>
      <w:bookmarkEnd w:id="52"/>
    </w:p>
    <w:p w14:paraId="60E23358">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bidi="ar-SA"/>
        </w:rPr>
      </w:pPr>
      <w:r>
        <w:rPr>
          <w:rFonts w:ascii="Times New Roman" w:hAnsi="Times New Roman" w:eastAsia="黑体" w:cs="Times New Roman"/>
          <w:bCs/>
          <w:kern w:val="2"/>
          <w:sz w:val="28"/>
          <w:szCs w:val="28"/>
          <w:lang w:bidi="ar-SA"/>
        </w:rPr>
        <w:drawing>
          <wp:inline distT="0" distB="0" distL="114300" distR="114300">
            <wp:extent cx="6118860" cy="3034030"/>
            <wp:effectExtent l="0" t="0" r="15240" b="1397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45"/>
                    <a:stretch>
                      <a:fillRect/>
                    </a:stretch>
                  </pic:blipFill>
                  <pic:spPr>
                    <a:xfrm>
                      <a:off x="0" y="0"/>
                      <a:ext cx="6118860" cy="3034030"/>
                    </a:xfrm>
                    <a:prstGeom prst="rect">
                      <a:avLst/>
                    </a:prstGeom>
                    <a:noFill/>
                    <a:ln>
                      <a:noFill/>
                    </a:ln>
                  </pic:spPr>
                </pic:pic>
              </a:graphicData>
            </a:graphic>
          </wp:inline>
        </w:drawing>
      </w:r>
    </w:p>
    <w:p w14:paraId="4952D40F">
      <w:pPr>
        <w:pStyle w:val="6"/>
        <w:numPr>
          <w:ilvl w:val="0"/>
          <w:numId w:val="18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489A1858">
      <w:pPr>
        <w:pStyle w:val="19"/>
        <w:widowControl/>
        <w:numPr>
          <w:ilvl w:val="0"/>
          <w:numId w:val="18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：基于欧盟 ETS 碳价与国内已支付碳成本抵扣，测算出口欧盟产品的 CBAM 应缴碳关税，并支持多情景模拟与官方 XML 申报包导出。</w:t>
      </w:r>
    </w:p>
    <w:p w14:paraId="33A5E227">
      <w:pPr>
        <w:pStyle w:val="19"/>
        <w:widowControl/>
        <w:numPr>
          <w:ilvl w:val="0"/>
          <w:numId w:val="18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：P5 报关与关税专家。</w:t>
      </w:r>
    </w:p>
    <w:p w14:paraId="135A3A53">
      <w:pPr>
        <w:pStyle w:val="19"/>
        <w:widowControl/>
        <w:numPr>
          <w:ilvl w:val="0"/>
          <w:numId w:val="18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/carbon-footprint/cbam/declaration </w:t>
      </w:r>
      <w:r>
        <w:rPr>
          <w:rFonts w:ascii="Times New Roman" w:hAnsi="Times New Roman" w:eastAsia="宋体" w:cs="Times New Roman"/>
          <w:i w:val="0"/>
          <w:color w:val="1F2937"/>
          <w:sz w:val="24"/>
          <w:szCs w:val="24"/>
        </w:rPr>
        <w:t>。</w:t>
      </w:r>
    </w:p>
    <w:p w14:paraId="72684711">
      <w:pPr>
        <w:pStyle w:val="19"/>
        <w:widowControl/>
        <w:numPr>
          <w:ilvl w:val="0"/>
          <w:numId w:val="18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：已认证 LCA 报告、EEX 碳价接口、国内碳市场价格、CBAM 官方默认值库。</w:t>
      </w:r>
    </w:p>
    <w:p w14:paraId="778513CD">
      <w:pPr>
        <w:pStyle w:val="19"/>
        <w:widowControl/>
        <w:numPr>
          <w:ilvl w:val="0"/>
          <w:numId w:val="18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：CBAM Communication Template v2.1 官方 XML 申报包、关税成本测算报告。</w:t>
      </w:r>
    </w:p>
    <w:p w14:paraId="2C5F1259">
      <w:pPr>
        <w:pStyle w:val="6"/>
        <w:numPr>
          <w:ilvl w:val="0"/>
          <w:numId w:val="18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76D691CE">
      <w:pPr>
        <w:pStyle w:val="19"/>
        <w:widowControl/>
        <w:numPr>
          <w:ilvl w:val="0"/>
          <w:numId w:val="18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：向欧盟出口前测算碳关税成本，并在乐观/基准/悲观三种碳价情景下评估成本敞口与国内碳成本抵扣收益。</w:t>
      </w:r>
    </w:p>
    <w:p w14:paraId="6E7299FD">
      <w:pPr>
        <w:pStyle w:val="19"/>
        <w:widowControl/>
        <w:numPr>
          <w:ilvl w:val="0"/>
          <w:numId w:val="18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3E70A991">
      <w:pPr>
        <w:pStyle w:val="19"/>
        <w:widowControl/>
        <w:numPr>
          <w:ilvl w:val="0"/>
          <w:numId w:val="18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国际贸易与关税专家 (Persona P5)</w:t>
      </w:r>
      <w:r>
        <w:rPr>
          <w:rFonts w:ascii="Times New Roman" w:hAnsi="Times New Roman" w:eastAsia="宋体" w:cs="Times New Roman"/>
          <w:i w:val="0"/>
          <w:color w:val="1F2937"/>
          <w:sz w:val="24"/>
          <w:szCs w:val="24"/>
        </w:rPr>
        <w:t>，</w:t>
      </w:r>
    </w:p>
    <w:p w14:paraId="644CA053">
      <w:pPr>
        <w:pStyle w:val="19"/>
        <w:widowControl/>
        <w:numPr>
          <w:ilvl w:val="0"/>
          <w:numId w:val="18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基于实时 ETS 碳价与国内已付碳成本测算应缴 CBAM 关税，并在多情景下对比成本敞口</w:t>
      </w:r>
      <w:r>
        <w:rPr>
          <w:rFonts w:ascii="Times New Roman" w:hAnsi="Times New Roman" w:eastAsia="宋体" w:cs="Times New Roman"/>
          <w:i w:val="0"/>
          <w:color w:val="1F2937"/>
          <w:sz w:val="24"/>
          <w:szCs w:val="24"/>
        </w:rPr>
        <w:t>，</w:t>
      </w:r>
    </w:p>
    <w:p w14:paraId="278717EB">
      <w:pPr>
        <w:pStyle w:val="19"/>
        <w:widowControl/>
        <w:numPr>
          <w:ilvl w:val="0"/>
          <w:numId w:val="18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我能优化出口定价与国内碳成本抵扣策略，实现关税成本最小化</w:t>
      </w:r>
      <w:r>
        <w:rPr>
          <w:rFonts w:ascii="Times New Roman" w:hAnsi="Times New Roman" w:eastAsia="宋体" w:cs="Times New Roman"/>
          <w:i w:val="0"/>
          <w:color w:val="1F2937"/>
          <w:sz w:val="24"/>
          <w:szCs w:val="24"/>
        </w:rPr>
        <w:t>。</w:t>
      </w:r>
    </w:p>
    <w:p w14:paraId="6B682C46">
      <w:pPr>
        <w:pStyle w:val="6"/>
        <w:numPr>
          <w:ilvl w:val="0"/>
          <w:numId w:val="18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51332FC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关税模型：</w:t>
      </w:r>
    </w:p>
    <w:p w14:paraId="273FE06E">
      <w:pPr>
        <w:pStyle w:val="19"/>
        <w:widowControl/>
        <w:numPr>
          <w:ilvl w:val="0"/>
          <w:numId w:val="18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ETS 联动与情景模拟</w:t>
      </w:r>
      <w:r>
        <w:rPr>
          <w:rFonts w:ascii="Times New Roman" w:hAnsi="Times New Roman" w:eastAsia="宋体" w:cs="Times New Roman"/>
          <w:i w:val="0"/>
          <w:color w:val="1F2937"/>
          <w:sz w:val="24"/>
          <w:szCs w:val="24"/>
        </w:rPr>
        <w:t>（回捞 PRD-07 /《集采中心功能梳理 V1.0》"成本测算"）：</w:t>
      </w:r>
    </w:p>
    <w:p w14:paraId="1BE297C6">
      <w:pPr>
        <w:pStyle w:val="19"/>
        <w:widowControl/>
        <w:numPr>
          <w:ilvl w:val="0"/>
          <w:numId w:val="18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ETS 碳价联动</w:t>
      </w:r>
      <w:r>
        <w:rPr>
          <w:rFonts w:ascii="Times New Roman" w:hAnsi="Times New Roman" w:eastAsia="宋体" w:cs="Times New Roman"/>
          <w:i w:val="0"/>
          <w:color w:val="1F2937"/>
          <w:sz w:val="24"/>
          <w:szCs w:val="24"/>
        </w:rPr>
        <w:t>：API 动态对接欧洲能源交易所（EEX）碳配额拍卖结算均价，刷新频率固定为小时级（每小时第 5 分钟拉取，失败重试 3 次后标注「碳价滞后」）。</w:t>
      </w:r>
    </w:p>
    <w:p w14:paraId="388F9C1D">
      <w:pPr>
        <w:pStyle w:val="19"/>
        <w:widowControl/>
        <w:numPr>
          <w:ilvl w:val="0"/>
          <w:numId w:val="18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多情景碳价模拟</w:t>
      </w:r>
      <w:r>
        <w:rPr>
          <w:rFonts w:ascii="Times New Roman" w:hAnsi="Times New Roman" w:eastAsia="宋体" w:cs="Times New Roman"/>
          <w:i w:val="0"/>
          <w:color w:val="1F2937"/>
          <w:sz w:val="24"/>
          <w:szCs w:val="24"/>
        </w:rPr>
        <w:t>：按欧盟当期碳价与情景碳价（乐观/基准/悲观）测算出口欧盟产品碳关税成本并对比。</w:t>
      </w:r>
    </w:p>
    <w:p w14:paraId="6A1EAE40">
      <w:pPr>
        <w:pStyle w:val="19"/>
        <w:widowControl/>
        <w:numPr>
          <w:ilvl w:val="0"/>
          <w:numId w:val="18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默认值回退</w:t>
      </w:r>
      <w:r>
        <w:rPr>
          <w:rFonts w:ascii="Times New Roman" w:hAnsi="Times New Roman" w:eastAsia="宋体" w:cs="Times New Roman"/>
          <w:i w:val="0"/>
          <w:color w:val="1F2937"/>
          <w:sz w:val="24"/>
          <w:szCs w:val="24"/>
        </w:rPr>
        <w:t>：无实测数据时一键套用 CBAM 官方各行业默认排放因子库完成估算。</w:t>
      </w:r>
    </w:p>
    <w:p w14:paraId="6705AEDB">
      <w:pPr>
        <w:pStyle w:val="19"/>
        <w:widowControl/>
        <w:numPr>
          <w:ilvl w:val="0"/>
          <w:numId w:val="18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数据出境合规</w:t>
      </w:r>
      <w:r>
        <w:rPr>
          <w:rFonts w:ascii="Times New Roman" w:hAnsi="Times New Roman" w:eastAsia="宋体" w:cs="Times New Roman"/>
          <w:i w:val="0"/>
          <w:color w:val="1F2937"/>
          <w:sz w:val="24"/>
          <w:szCs w:val="24"/>
        </w:rPr>
        <w:t>：CBAM 申报数据跨境传输路径与审批已明确，全部出境流量须经信安合规前置网关并执行严格字段白名单，详见第十章「CBAM 数据出境安全合规前置方案」。</w:t>
      </w:r>
    </w:p>
    <w:p w14:paraId="470F023A">
      <w:pPr>
        <w:pStyle w:val="19"/>
        <w:widowControl/>
        <w:numPr>
          <w:ilvl w:val="0"/>
          <w:numId w:val="18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核算流程</w:t>
      </w:r>
      <w:r>
        <w:rPr>
          <w:rFonts w:ascii="Times New Roman" w:hAnsi="Times New Roman" w:eastAsia="宋体" w:cs="Times New Roman"/>
          <w:i w:val="0"/>
          <w:color w:val="1F2937"/>
          <w:sz w:val="24"/>
          <w:szCs w:val="24"/>
        </w:rPr>
        <w:t>：</w:t>
      </w:r>
    </w:p>
    <w:p w14:paraId="625BA757">
      <w:pPr>
        <w:pStyle w:val="19"/>
        <w:widowControl/>
        <w:numPr>
          <w:ilvl w:val="0"/>
          <w:numId w:val="188"/>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隐含碳强度核算</w:t>
      </w:r>
      <w:r>
        <w:rPr>
          <w:rFonts w:ascii="Times New Roman" w:hAnsi="Times New Roman" w:eastAsia="宋体" w:cs="Times New Roman"/>
          <w:i w:val="0"/>
          <w:color w:val="1F2937"/>
          <w:sz w:val="24"/>
          <w:szCs w:val="24"/>
        </w:rPr>
        <w:t xml:space="preserve">：测算出口单位产品直接与间接隐含碳强度 </w:t>
      </w:r>
      <w:r>
        <w:rPr>
          <w:rFonts w:ascii="Times New Roman" w:hAnsi="Times New Roman" w:eastAsia="宋体" w:cs="Times New Roman"/>
          <w:i w:val="0"/>
          <w:color w:val="15803D"/>
          <w:sz w:val="24"/>
          <w:szCs w:val="24"/>
        </w:rPr>
        <w:t>Embedded\_Carbon</w:t>
      </w:r>
      <w:r>
        <w:rPr>
          <w:rFonts w:ascii="Times New Roman" w:hAnsi="Times New Roman" w:eastAsia="宋体" w:cs="Times New Roman"/>
          <w:i w:val="0"/>
          <w:color w:val="1F2937"/>
          <w:sz w:val="24"/>
          <w:szCs w:val="24"/>
        </w:rPr>
        <w:t xml:space="preserve"> (tCO2e/t)。</w:t>
      </w:r>
    </w:p>
    <w:p w14:paraId="4E358A4E">
      <w:pPr>
        <w:pStyle w:val="19"/>
        <w:widowControl/>
        <w:numPr>
          <w:ilvl w:val="0"/>
          <w:numId w:val="188"/>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欧盟 ETS 实时碳价联动</w:t>
      </w:r>
      <w:r>
        <w:rPr>
          <w:rFonts w:ascii="Times New Roman" w:hAnsi="Times New Roman" w:eastAsia="宋体" w:cs="Times New Roman"/>
          <w:i w:val="0"/>
          <w:color w:val="1F2937"/>
          <w:sz w:val="24"/>
          <w:szCs w:val="24"/>
        </w:rPr>
        <w:t>：API 动态对接欧洲能源交易所 (EEX) 碳配额拍卖结算均价（€75 ~ €95/tCO2e）。</w:t>
      </w:r>
    </w:p>
    <w:p w14:paraId="186F5E58">
      <w:pPr>
        <w:pStyle w:val="19"/>
        <w:widowControl/>
        <w:numPr>
          <w:ilvl w:val="0"/>
          <w:numId w:val="188"/>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国内已支付碳成本抵扣</w:t>
      </w:r>
      <w:r>
        <w:rPr>
          <w:rFonts w:ascii="Times New Roman" w:hAnsi="Times New Roman" w:eastAsia="宋体" w:cs="Times New Roman"/>
          <w:i w:val="0"/>
          <w:color w:val="1F2937"/>
          <w:sz w:val="24"/>
          <w:szCs w:val="24"/>
        </w:rPr>
        <w:t>：严格计算在国内已承担的全国碳市场配额费用或绿电附加成本，依法申请等额抵扣。</w:t>
      </w:r>
    </w:p>
    <w:p w14:paraId="689BFC46">
      <w:pPr>
        <w:pStyle w:val="19"/>
        <w:widowControl/>
        <w:numPr>
          <w:ilvl w:val="0"/>
          <w:numId w:val="188"/>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官方 XML 申报包导出</w:t>
      </w:r>
      <w:r>
        <w:rPr>
          <w:rFonts w:ascii="Times New Roman" w:hAnsi="Times New Roman" w:eastAsia="宋体" w:cs="Times New Roman"/>
          <w:i w:val="0"/>
          <w:color w:val="1F2937"/>
          <w:sz w:val="24"/>
          <w:szCs w:val="24"/>
        </w:rPr>
        <w:t>：生成完全符合欧盟委员会 CBAM Communication Template v2.1 规范的结构化 XML 申报包。</w:t>
      </w:r>
    </w:p>
    <w:p w14:paraId="7AA52E63">
      <w:pPr>
        <w:pStyle w:val="6"/>
        <w:numPr>
          <w:ilvl w:val="0"/>
          <w:numId w:val="18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52"/>
        <w:gridCol w:w="2468"/>
        <w:gridCol w:w="1334"/>
        <w:gridCol w:w="1572"/>
        <w:gridCol w:w="3558"/>
      </w:tblGrid>
      <w:tr w14:paraId="6B16FEF0">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6DDB2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E5E2E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3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6A30A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5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9C76B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55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CBDC4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核算模型与业务规则</w:t>
            </w:r>
          </w:p>
        </w:tc>
      </w:tr>
      <w:tr w14:paraId="0ECA6CFB">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D88A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65AD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欧盟海关 CN 税号</w:t>
            </w:r>
          </w:p>
        </w:tc>
        <w:tc>
          <w:tcPr>
            <w:tcW w:w="13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9107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5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814E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F707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欧盟海关税则编码，如 85042100</w:t>
            </w:r>
          </w:p>
        </w:tc>
      </w:tr>
      <w:tr w14:paraId="55D01E68">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46C4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89BF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申报出口数量</w:t>
            </w:r>
          </w:p>
        </w:tc>
        <w:tc>
          <w:tcPr>
            <w:tcW w:w="13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12CA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5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A3E0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台/km/t</w:t>
            </w:r>
          </w:p>
        </w:tc>
        <w:tc>
          <w:tcPr>
            <w:tcW w:w="35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2C72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国际贸易报关单提单实际数量</w:t>
            </w:r>
          </w:p>
        </w:tc>
      </w:tr>
      <w:tr w14:paraId="08D24106">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9A99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705D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制造直接排放量</w:t>
            </w:r>
          </w:p>
        </w:tc>
        <w:tc>
          <w:tcPr>
            <w:tcW w:w="13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89DF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5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7A97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35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8871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厂内燃烧直接排放总量</w:t>
            </w:r>
          </w:p>
        </w:tc>
      </w:tr>
      <w:tr w14:paraId="01F6C36A">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D306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B4C0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外购电热间接排放量</w:t>
            </w:r>
          </w:p>
        </w:tc>
        <w:tc>
          <w:tcPr>
            <w:tcW w:w="13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D604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5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5E4C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35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3F69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外购电力及前驱物隐含间接排放</w:t>
            </w:r>
          </w:p>
        </w:tc>
      </w:tr>
      <w:tr w14:paraId="41FF2C0C">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4F17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3407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单位产品隐含碳强度</w:t>
            </w:r>
          </w:p>
        </w:tc>
        <w:tc>
          <w:tcPr>
            <w:tcW w:w="13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3D71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5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17A03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tCO2e/单位</w:t>
            </w:r>
          </w:p>
        </w:tc>
        <w:tc>
          <w:tcPr>
            <w:tcW w:w="35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42A6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(Direct + Indirect) / 总产量</w:t>
            </w:r>
          </w:p>
        </w:tc>
      </w:tr>
      <w:tr w14:paraId="12622C97">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53E2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8F75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 ETS 结算碳价</w:t>
            </w:r>
          </w:p>
        </w:tc>
        <w:tc>
          <w:tcPr>
            <w:tcW w:w="13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15B9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5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573F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35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5CB8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EEX 官方接口实时拉取最新周结算均价</w:t>
            </w:r>
          </w:p>
        </w:tc>
      </w:tr>
      <w:tr w14:paraId="184FEC8D">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2321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5999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国内已付碳成本折算</w:t>
            </w:r>
          </w:p>
        </w:tc>
        <w:tc>
          <w:tcPr>
            <w:tcW w:w="13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ACEC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5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085E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35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E41E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中国碳市场价格汇率折算（€）</w:t>
            </w:r>
          </w:p>
        </w:tc>
      </w:tr>
      <w:tr w14:paraId="34FE2DC4">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5B27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59229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应缴 CBAM 凭证数</w:t>
            </w:r>
          </w:p>
        </w:tc>
        <w:tc>
          <w:tcPr>
            <w:tcW w:w="13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34F0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5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2342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张</w:t>
            </w:r>
          </w:p>
        </w:tc>
        <w:tc>
          <w:tcPr>
            <w:tcW w:w="35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BBE1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每张对应 1 tCO2e 需清缴凭证</w:t>
            </w:r>
          </w:p>
        </w:tc>
      </w:tr>
      <w:tr w14:paraId="713BF8BC">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3311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D522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预计应纳 CBAM 关税</w:t>
            </w:r>
          </w:p>
        </w:tc>
        <w:tc>
          <w:tcPr>
            <w:tcW w:w="13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9CD4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5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588E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€（欧元）</w:t>
            </w:r>
          </w:p>
        </w:tc>
        <w:tc>
          <w:tcPr>
            <w:tcW w:w="35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7D8F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应缴凭证数 ×（ETS 碳价 − 国内已付成本）</w:t>
            </w:r>
          </w:p>
        </w:tc>
      </w:tr>
      <w:tr w14:paraId="2DE55B6D">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41436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5F56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情景类型</w:t>
            </w:r>
          </w:p>
        </w:tc>
        <w:tc>
          <w:tcPr>
            <w:tcW w:w="13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9A90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5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0F09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8926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乐观 / 基准 / 悲观</w:t>
            </w:r>
          </w:p>
        </w:tc>
      </w:tr>
      <w:tr w14:paraId="3F66DDEB">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6A85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2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3569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申报包 Schema 校验结果</w:t>
            </w:r>
          </w:p>
        </w:tc>
        <w:tc>
          <w:tcPr>
            <w:tcW w:w="13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6884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5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F1F0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290B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通过 / 违规（含节点级违规信息）</w:t>
            </w:r>
          </w:p>
        </w:tc>
      </w:tr>
    </w:tbl>
    <w:p w14:paraId="006854D3">
      <w:pPr>
        <w:spacing w:after="60"/>
        <w:rPr>
          <w:rFonts w:hint="eastAsia" w:ascii="宋体" w:hAnsi="宋体" w:eastAsia="宋体" w:cs="宋体"/>
          <w:i w:val="0"/>
          <w:iCs w:val="0"/>
          <w:sz w:val="24"/>
          <w:szCs w:val="24"/>
        </w:rPr>
      </w:pPr>
    </w:p>
    <w:p w14:paraId="0497D3B1">
      <w:pPr>
        <w:pStyle w:val="6"/>
        <w:numPr>
          <w:ilvl w:val="0"/>
          <w:numId w:val="18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401966A1">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1B05F2A7">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Cost_CBAM = [ (Direct_Em + Indirect_Em) / Output ] × Export_Qty × ( Price_EU_ETS - Price_Domestic_Paid )</w:t>
            </w:r>
          </w:p>
          <w:p w14:paraId="20BFB04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Embedded_Carbon = ( Direct_Em + Indirect_Em ) / Output</w:t>
            </w:r>
          </w:p>
          <w:p w14:paraId="4FE2BF4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Cert_Count = Export_Qty × Embedded_Carbon</w:t>
            </w:r>
          </w:p>
          <w:p w14:paraId="303D0E15">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Duty_payable = MAX( 0, Cert_Count × ( Price_EU_ETS - Price_Domestic_Paid ) )</w:t>
            </w:r>
          </w:p>
          <w:p w14:paraId="08F03F2A">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Scenario = { 乐观: P_ETS × 0.85, 基准: P_ETS, 悲观: P_ETS × 1.15 }</w:t>
            </w:r>
          </w:p>
        </w:tc>
      </w:tr>
    </w:tbl>
    <w:p w14:paraId="603C795C">
      <w:pPr>
        <w:spacing w:after="40"/>
        <w:rPr>
          <w:rFonts w:hint="eastAsia" w:ascii="宋体" w:hAnsi="宋体" w:eastAsia="宋体" w:cs="宋体"/>
          <w:i w:val="0"/>
          <w:iCs w:val="0"/>
          <w:sz w:val="24"/>
          <w:szCs w:val="24"/>
        </w:rPr>
      </w:pPr>
    </w:p>
    <w:p w14:paraId="3C1656E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符合欧盟正式法规 EU 2023/956 条例；</w:t>
      </w:r>
      <w:r>
        <w:rPr>
          <w:rFonts w:ascii="Times New Roman" w:hAnsi="Times New Roman" w:eastAsia="宋体" w:cs="Times New Roman"/>
          <w:b w:val="0"/>
          <w:i w:val="0"/>
          <w:color w:val="0284C7"/>
          <w:sz w:val="24"/>
          <w:szCs w:val="24"/>
        </w:rPr>
        <w:t xml:space="preserve"> Direct_Em </w:t>
      </w:r>
      <w:r>
        <w:rPr>
          <w:rFonts w:ascii="Times New Roman" w:hAnsi="Times New Roman" w:eastAsia="宋体" w:cs="Times New Roman"/>
          <w:i w:val="0"/>
          <w:color w:val="1F2937"/>
          <w:sz w:val="24"/>
          <w:szCs w:val="24"/>
        </w:rPr>
        <w:t xml:space="preserve"> 为工厂直接化石燃烧排放；</w:t>
      </w:r>
      <w:r>
        <w:rPr>
          <w:rFonts w:ascii="Times New Roman" w:hAnsi="Times New Roman" w:eastAsia="宋体" w:cs="Times New Roman"/>
          <w:b w:val="0"/>
          <w:i w:val="0"/>
          <w:color w:val="0284C7"/>
          <w:sz w:val="24"/>
          <w:szCs w:val="24"/>
        </w:rPr>
        <w:t xml:space="preserve"> Indirect_Em </w:t>
      </w:r>
      <w:r>
        <w:rPr>
          <w:rFonts w:ascii="Times New Roman" w:hAnsi="Times New Roman" w:eastAsia="宋体" w:cs="Times New Roman"/>
          <w:i w:val="0"/>
          <w:color w:val="1F2937"/>
          <w:sz w:val="24"/>
          <w:szCs w:val="24"/>
        </w:rPr>
        <w:t xml:space="preserve"> 为外购电热及前驱物间接排放；</w:t>
      </w:r>
      <w:r>
        <w:rPr>
          <w:rFonts w:ascii="Times New Roman" w:hAnsi="Times New Roman" w:eastAsia="宋体" w:cs="Times New Roman"/>
          <w:b w:val="0"/>
          <w:i w:val="0"/>
          <w:color w:val="0284C7"/>
          <w:sz w:val="24"/>
          <w:szCs w:val="24"/>
        </w:rPr>
        <w:t xml:space="preserve"> Export_Qty </w:t>
      </w:r>
      <w:r>
        <w:rPr>
          <w:rFonts w:ascii="Times New Roman" w:hAnsi="Times New Roman" w:eastAsia="宋体" w:cs="Times New Roman"/>
          <w:i w:val="0"/>
          <w:color w:val="1F2937"/>
          <w:sz w:val="24"/>
          <w:szCs w:val="24"/>
        </w:rPr>
        <w:t xml:space="preserve"> 为出口实物总量；</w:t>
      </w:r>
      <w:r>
        <w:rPr>
          <w:rFonts w:ascii="Times New Roman" w:hAnsi="Times New Roman" w:eastAsia="宋体" w:cs="Times New Roman"/>
          <w:b w:val="0"/>
          <w:i w:val="0"/>
          <w:color w:val="0284C7"/>
          <w:sz w:val="24"/>
          <w:szCs w:val="24"/>
        </w:rPr>
        <w:t xml:space="preserve"> Price_EU_ETS </w:t>
      </w:r>
      <w:r>
        <w:rPr>
          <w:rFonts w:ascii="Times New Roman" w:hAnsi="Times New Roman" w:eastAsia="宋体" w:cs="Times New Roman"/>
          <w:i w:val="0"/>
          <w:color w:val="1F2937"/>
          <w:sz w:val="24"/>
          <w:szCs w:val="24"/>
        </w:rPr>
        <w:t xml:space="preserve"> 为欧盟碳价；</w:t>
      </w:r>
      <w:r>
        <w:rPr>
          <w:rFonts w:ascii="Times New Roman" w:hAnsi="Times New Roman" w:eastAsia="宋体" w:cs="Times New Roman"/>
          <w:b w:val="0"/>
          <w:i w:val="0"/>
          <w:color w:val="0284C7"/>
          <w:sz w:val="24"/>
          <w:szCs w:val="24"/>
        </w:rPr>
        <w:t xml:space="preserve"> Price_Domestic_Paid </w:t>
      </w:r>
      <w:r>
        <w:rPr>
          <w:rFonts w:ascii="Times New Roman" w:hAnsi="Times New Roman" w:eastAsia="宋体" w:cs="Times New Roman"/>
          <w:i w:val="0"/>
          <w:color w:val="1F2937"/>
          <w:sz w:val="24"/>
          <w:szCs w:val="24"/>
        </w:rPr>
        <w:t xml:space="preserve"> 为国内已付碳价。</w:t>
      </w:r>
      <w:r>
        <w:rPr>
          <w:rFonts w:ascii="Times New Roman" w:hAnsi="Times New Roman" w:eastAsia="宋体" w:cs="Times New Roman"/>
          <w:b/>
          <w:i w:val="0"/>
          <w:color w:val="1E3A8A"/>
          <w:sz w:val="24"/>
          <w:szCs w:val="24"/>
        </w:rPr>
        <w:t>若国内已支付碳成本等于或高于欧盟 ETS 碳价，则当期应缴 CBAM 关税凭证金额为 0（零关税入欧）</w:t>
      </w:r>
      <w:r>
        <w:rPr>
          <w:rFonts w:ascii="Times New Roman" w:hAnsi="Times New Roman" w:eastAsia="宋体" w:cs="Times New Roman"/>
          <w:i w:val="0"/>
          <w:color w:val="1F2937"/>
          <w:sz w:val="24"/>
          <w:szCs w:val="24"/>
        </w:rPr>
        <w:t>。</w:t>
      </w:r>
    </w:p>
    <w:p w14:paraId="00F76F51">
      <w:pPr>
        <w:pStyle w:val="6"/>
        <w:numPr>
          <w:ilvl w:val="0"/>
          <w:numId w:val="18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246638A8">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碳价口径</w:t>
      </w:r>
      <w:r>
        <w:rPr>
          <w:rFonts w:ascii="Times New Roman" w:hAnsi="Times New Roman" w:eastAsia="宋体" w:cs="Times New Roman"/>
          <w:i w:val="0"/>
          <w:color w:val="1F2937"/>
          <w:sz w:val="24"/>
          <w:szCs w:val="24"/>
        </w:rPr>
        <w:t>：ETS 碳价以 EEX 官方接口最新周结算均价为准；碳价滞后超 24h 须标注时间戳。</w:t>
      </w:r>
    </w:p>
    <w:p w14:paraId="2A105093">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抵扣口径</w:t>
      </w:r>
      <w:r>
        <w:rPr>
          <w:rFonts w:ascii="Times New Roman" w:hAnsi="Times New Roman" w:eastAsia="宋体" w:cs="Times New Roman"/>
          <w:i w:val="0"/>
          <w:color w:val="1F2937"/>
          <w:sz w:val="24"/>
          <w:szCs w:val="24"/>
        </w:rPr>
        <w:t>：国内已付碳成本须为可凭证明的全国碳市场配额费用或绿电附加成本。</w:t>
      </w:r>
    </w:p>
    <w:p w14:paraId="7A187377">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零关税口径</w:t>
      </w:r>
      <w:r>
        <w:rPr>
          <w:rFonts w:ascii="Times New Roman" w:hAnsi="Times New Roman" w:eastAsia="宋体" w:cs="Times New Roman"/>
          <w:i w:val="0"/>
          <w:color w:val="1F2937"/>
          <w:sz w:val="24"/>
          <w:szCs w:val="24"/>
        </w:rPr>
        <w:t>：国内已付成本 ≥ 欧盟 ETS 碳价时应缴金额为 0，不允许出现负值退税。</w:t>
      </w:r>
    </w:p>
    <w:p w14:paraId="4F8EDAB7">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情景口径</w:t>
      </w:r>
      <w:r>
        <w:rPr>
          <w:rFonts w:ascii="Times New Roman" w:hAnsi="Times New Roman" w:eastAsia="宋体" w:cs="Times New Roman"/>
          <w:i w:val="0"/>
          <w:color w:val="1F2937"/>
          <w:sz w:val="24"/>
          <w:szCs w:val="24"/>
        </w:rPr>
        <w:t>：情景碳价以当期价为基准按固定系数上下浮动，系数须在页面明示。</w:t>
      </w:r>
    </w:p>
    <w:p w14:paraId="2EB3DAC4">
      <w:pPr>
        <w:pStyle w:val="6"/>
        <w:numPr>
          <w:ilvl w:val="0"/>
          <w:numId w:val="18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42EE2DF9">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7CA087E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ETS 碳价超 24 小时未同步：触发 </w:t>
            </w:r>
            <w:r>
              <w:rPr>
                <w:rFonts w:hint="eastAsia" w:ascii="宋体" w:hAnsi="宋体" w:eastAsia="宋体" w:cs="宋体"/>
                <w:b w:val="0"/>
                <w:i w:val="0"/>
                <w:iCs w:val="0"/>
                <w:color w:val="0284C7"/>
                <w:sz w:val="24"/>
                <w:szCs w:val="24"/>
              </w:rPr>
              <w:t xml:space="preserve"> E_EXT_ETS_PRICE_STALE </w:t>
            </w:r>
            <w:r>
              <w:rPr>
                <w:rFonts w:hint="eastAsia" w:ascii="宋体" w:hAnsi="宋体" w:eastAsia="宋体" w:cs="宋体"/>
                <w:i w:val="0"/>
                <w:iCs w:val="0"/>
                <w:color w:val="1F2937"/>
                <w:sz w:val="24"/>
                <w:szCs w:val="24"/>
              </w:rPr>
              <w:t>，界面标黄标注价格时间戳，允许基于最近有效历史均价测算。</w:t>
            </w:r>
          </w:p>
          <w:p w14:paraId="12F4085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申报 XML 不符合欧盟 XSD 规范：触发 </w:t>
            </w:r>
            <w:r>
              <w:rPr>
                <w:rFonts w:hint="eastAsia" w:ascii="宋体" w:hAnsi="宋体" w:eastAsia="宋体" w:cs="宋体"/>
                <w:b w:val="0"/>
                <w:i w:val="0"/>
                <w:iCs w:val="0"/>
                <w:color w:val="0284C7"/>
                <w:sz w:val="24"/>
                <w:szCs w:val="24"/>
              </w:rPr>
              <w:t xml:space="preserve"> E_VAL_CBAM_SCHEMA_INVALID </w:t>
            </w:r>
            <w:r>
              <w:rPr>
                <w:rFonts w:hint="eastAsia" w:ascii="宋体" w:hAnsi="宋体" w:eastAsia="宋体" w:cs="宋体"/>
                <w:i w:val="0"/>
                <w:iCs w:val="0"/>
                <w:color w:val="1F2937"/>
                <w:sz w:val="24"/>
                <w:szCs w:val="24"/>
              </w:rPr>
              <w:t>，提示具体节点 Schema 违规信息并</w:t>
            </w:r>
            <w:r>
              <w:rPr>
                <w:rFonts w:hint="eastAsia" w:ascii="宋体" w:hAnsi="宋体" w:eastAsia="宋体" w:cs="宋体"/>
                <w:b/>
                <w:i w:val="0"/>
                <w:iCs w:val="0"/>
                <w:color w:val="1E3A8A"/>
                <w:sz w:val="24"/>
                <w:szCs w:val="24"/>
              </w:rPr>
              <w:t>阻断申报包导出出境</w:t>
            </w:r>
            <w:r>
              <w:rPr>
                <w:rFonts w:hint="eastAsia" w:ascii="宋体" w:hAnsi="宋体" w:eastAsia="宋体" w:cs="宋体"/>
                <w:i w:val="0"/>
                <w:iCs w:val="0"/>
                <w:color w:val="1F2937"/>
                <w:sz w:val="24"/>
                <w:szCs w:val="24"/>
              </w:rPr>
              <w:t>。</w:t>
            </w:r>
          </w:p>
          <w:p w14:paraId="763C607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无实测排放数据：可一键套用 CBAM 官方默认排放因子库估算，但须显著标注"默认值估算"。</w:t>
            </w:r>
          </w:p>
          <w:p w14:paraId="7C56954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计算结果为负：按 0 兜底，不产生退税逻辑。</w:t>
            </w:r>
          </w:p>
          <w:p w14:paraId="63E7545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数据出境：跨境传输路径未经信息安全合规组审批前，导出功能保持关闭。</w:t>
            </w:r>
          </w:p>
        </w:tc>
      </w:tr>
    </w:tbl>
    <w:p w14:paraId="4F721D9C">
      <w:pPr>
        <w:spacing w:after="40"/>
        <w:rPr>
          <w:rFonts w:hint="eastAsia" w:ascii="宋体" w:hAnsi="宋体" w:eastAsia="宋体" w:cs="宋体"/>
          <w:i w:val="0"/>
          <w:iCs w:val="0"/>
          <w:sz w:val="24"/>
          <w:szCs w:val="24"/>
        </w:rPr>
      </w:pPr>
    </w:p>
    <w:p w14:paraId="057E6050">
      <w:pPr>
        <w:pStyle w:val="6"/>
        <w:numPr>
          <w:ilvl w:val="0"/>
          <w:numId w:val="184"/>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1B72645B">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2310A638">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CBAM 关税申报模拟器</w:t>
            </w:r>
          </w:p>
          <w:p w14:paraId="685D4F4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关税测算与零关税兜底</w:t>
            </w:r>
          </w:p>
          <w:p w14:paraId="4B058B5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某出口产品的直接排放、间接排放与出口数量均已录入</w:t>
            </w:r>
          </w:p>
          <w:p w14:paraId="2F6480F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国内已付碳成本折算价高于欧盟 ETS 当期碳价</w:t>
            </w:r>
          </w:p>
          <w:p w14:paraId="044D4B8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系统测算应纳 CBAM 关税</w:t>
            </w:r>
          </w:p>
          <w:p w14:paraId="0850F61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应缴 CBAM 关税凭证金额为 0</w:t>
            </w:r>
          </w:p>
          <w:p w14:paraId="27CFF66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系统不产生负值退税逻辑</w:t>
            </w:r>
          </w:p>
          <w:p w14:paraId="7048A674">
            <w:pPr>
              <w:spacing w:before="0" w:after="20" w:line="264" w:lineRule="auto"/>
              <w:rPr>
                <w:rFonts w:hint="eastAsia" w:ascii="宋体" w:hAnsi="宋体" w:eastAsia="宋体" w:cs="宋体"/>
                <w:i w:val="0"/>
                <w:iCs w:val="0"/>
                <w:sz w:val="24"/>
                <w:szCs w:val="24"/>
              </w:rPr>
            </w:pPr>
          </w:p>
          <w:p w14:paraId="2E58E7A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碳价滞后的客观提示</w:t>
            </w:r>
          </w:p>
          <w:p w14:paraId="0E15E1C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欧洲能源交易所 ETS 价格超过 24 小时未同步</w:t>
            </w:r>
          </w:p>
          <w:p w14:paraId="2E78AA9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用户发起关税测算</w:t>
            </w:r>
          </w:p>
          <w:p w14:paraId="18CE2B8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结果上方以黄色提示框标注碳价滞后与价格时间戳</w:t>
            </w:r>
          </w:p>
          <w:p w14:paraId="7B4A73B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允许用户基于最近有效历史均价继续测算</w:t>
            </w:r>
          </w:p>
          <w:p w14:paraId="77FA7DC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返回 E_EXT_ETS_PRICE_STALE</w:t>
            </w:r>
          </w:p>
          <w:p w14:paraId="41026103">
            <w:pPr>
              <w:spacing w:before="0" w:after="20" w:line="264" w:lineRule="auto"/>
              <w:rPr>
                <w:rFonts w:hint="eastAsia" w:ascii="宋体" w:hAnsi="宋体" w:eastAsia="宋体" w:cs="宋体"/>
                <w:i w:val="0"/>
                <w:iCs w:val="0"/>
                <w:sz w:val="24"/>
                <w:szCs w:val="24"/>
              </w:rPr>
            </w:pPr>
          </w:p>
          <w:p w14:paraId="5649A27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申报包 Schema 校验阻断</w:t>
            </w:r>
          </w:p>
          <w:p w14:paraId="38BA3BE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生成的 XML 申报包存在节点不符合欧盟 XSD 规范</w:t>
            </w:r>
          </w:p>
          <w:p w14:paraId="5165072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用户尝试导出申报包</w:t>
            </w:r>
          </w:p>
          <w:p w14:paraId="78EB4D4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系统返回 E_VAL_CBAM_SCHEMA_INVALID 并列出具体违规节点</w:t>
            </w:r>
          </w:p>
          <w:p w14:paraId="1E5B9C5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阻断申报包导出出境</w:t>
            </w:r>
          </w:p>
          <w:p w14:paraId="6850254C">
            <w:pPr>
              <w:spacing w:before="0" w:after="20" w:line="264" w:lineRule="auto"/>
              <w:rPr>
                <w:rFonts w:hint="eastAsia" w:ascii="宋体" w:hAnsi="宋体" w:eastAsia="宋体" w:cs="宋体"/>
                <w:i w:val="0"/>
                <w:iCs w:val="0"/>
                <w:sz w:val="24"/>
                <w:szCs w:val="24"/>
              </w:rPr>
            </w:pPr>
          </w:p>
          <w:p w14:paraId="32C4EAD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多情景碳价对比</w:t>
            </w:r>
          </w:p>
          <w:p w14:paraId="0819FB1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欧盟当期碳价为 P</w:t>
            </w:r>
          </w:p>
          <w:p w14:paraId="7E148C2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系统测算乐观、基准、悲观三情景关税成本</w:t>
            </w:r>
          </w:p>
          <w:p w14:paraId="4D1037A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三情景碳价分别为 P×0.85、P、P×1.15</w:t>
            </w:r>
          </w:p>
          <w:p w14:paraId="721350A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页面以对比表呈现三种情景下的关税成本差额</w:t>
            </w:r>
          </w:p>
        </w:tc>
      </w:tr>
    </w:tbl>
    <w:p w14:paraId="22AD017B">
      <w:pPr>
        <w:spacing w:after="40"/>
        <w:rPr>
          <w:rFonts w:hint="eastAsia" w:ascii="宋体" w:hAnsi="宋体" w:eastAsia="宋体" w:cs="宋体"/>
          <w:i w:val="0"/>
          <w:iCs w:val="0"/>
          <w:sz w:val="24"/>
          <w:szCs w:val="24"/>
        </w:rPr>
      </w:pPr>
    </w:p>
    <w:p w14:paraId="452F02D7">
      <w:pPr>
        <w:pStyle w:val="5"/>
        <w:numPr>
          <w:ilvl w:val="0"/>
          <w:numId w:val="178"/>
        </w:numPr>
        <w:ind w:left="0" w:leftChars="0" w:firstLine="0" w:firstLineChars="0"/>
        <w:outlineLvl w:val="1"/>
        <w:rPr>
          <w:rFonts w:eastAsia="黑体"/>
          <w:b w:val="0"/>
          <w:bCs w:val="0"/>
          <w:sz w:val="30"/>
          <w:szCs w:val="24"/>
        </w:rPr>
      </w:pPr>
      <w:bookmarkStart w:id="53" w:name="_Toc28549"/>
      <w:r>
        <w:rPr>
          <w:rFonts w:ascii="Times New Roman" w:hAnsi="Times New Roman" w:eastAsia="黑体" w:cs="Times New Roman"/>
          <w:b w:val="0"/>
          <w:bCs w:val="0"/>
          <w:sz w:val="30"/>
          <w:szCs w:val="24"/>
        </w:rPr>
        <w:t>知识库</w:t>
      </w:r>
      <w:bookmarkEnd w:id="53"/>
    </w:p>
    <w:p w14:paraId="0670009D">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33"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1"/>
                    <pic:cNvPicPr>
                      <a:picLocks noChangeAspect="1"/>
                    </pic:cNvPicPr>
                  </pic:nvPicPr>
                  <pic:blipFill>
                    <a:blip r:embed="rId46"/>
                    <a:stretch>
                      <a:fillRect/>
                    </a:stretch>
                  </pic:blipFill>
                  <pic:spPr>
                    <a:xfrm>
                      <a:off x="0" y="0"/>
                      <a:ext cx="6210300" cy="3079115"/>
                    </a:xfrm>
                    <a:prstGeom prst="rect">
                      <a:avLst/>
                    </a:prstGeom>
                    <a:noFill/>
                    <a:ln>
                      <a:noFill/>
                    </a:ln>
                  </pic:spPr>
                </pic:pic>
              </a:graphicData>
            </a:graphic>
          </wp:inline>
        </w:drawing>
      </w:r>
    </w:p>
    <w:p w14:paraId="0C78B61B">
      <w:pPr>
        <w:pStyle w:val="6"/>
        <w:numPr>
          <w:ilvl w:val="0"/>
          <w:numId w:val="19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695E1F79">
      <w:pPr>
        <w:pStyle w:val="19"/>
        <w:widowControl/>
        <w:numPr>
          <w:ilvl w:val="0"/>
          <w:numId w:val="19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：集中收录欧盟委员会官方最新发布的行业填报指引、默认值清单、过渡期质询问答库与豁免条款法规释义，实现法规知识的版本化管理。</w:t>
      </w:r>
    </w:p>
    <w:p w14:paraId="78005D13">
      <w:pPr>
        <w:pStyle w:val="19"/>
        <w:widowControl/>
        <w:numPr>
          <w:ilvl w:val="0"/>
          <w:numId w:val="19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：P5 报关与关税专家、P4 碳核算工程师。</w:t>
      </w:r>
    </w:p>
    <w:p w14:paraId="079D3975">
      <w:pPr>
        <w:pStyle w:val="19"/>
        <w:widowControl/>
        <w:numPr>
          <w:ilvl w:val="0"/>
          <w:numId w:val="19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/carbon-footprint/cbam/knowledge </w:t>
      </w:r>
      <w:r>
        <w:rPr>
          <w:rFonts w:ascii="Times New Roman" w:hAnsi="Times New Roman" w:eastAsia="宋体" w:cs="Times New Roman"/>
          <w:i w:val="0"/>
          <w:color w:val="1F2937"/>
          <w:sz w:val="24"/>
          <w:szCs w:val="24"/>
        </w:rPr>
        <w:t>。</w:t>
      </w:r>
    </w:p>
    <w:p w14:paraId="000C59EC">
      <w:pPr>
        <w:pStyle w:val="19"/>
        <w:widowControl/>
        <w:numPr>
          <w:ilvl w:val="0"/>
          <w:numId w:val="19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：欧盟委员会官方发布源、CBAM 法规文本。</w:t>
      </w:r>
    </w:p>
    <w:p w14:paraId="180BF1CE">
      <w:pPr>
        <w:pStyle w:val="19"/>
        <w:widowControl/>
        <w:numPr>
          <w:ilvl w:val="0"/>
          <w:numId w:val="19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：申报核算的规则依据、默认值库引用来源。</w:t>
      </w:r>
    </w:p>
    <w:p w14:paraId="1824E87C">
      <w:pPr>
        <w:pStyle w:val="6"/>
        <w:numPr>
          <w:ilvl w:val="0"/>
          <w:numId w:val="19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3C73F198">
      <w:pPr>
        <w:pStyle w:val="19"/>
        <w:widowControl/>
        <w:numPr>
          <w:ilvl w:val="0"/>
          <w:numId w:val="19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：CBAM 过渡期政策频繁更新，报关专家需快速定位最新适用的填报口径与默认值清单。</w:t>
      </w:r>
    </w:p>
    <w:p w14:paraId="7C031BAE">
      <w:pPr>
        <w:pStyle w:val="19"/>
        <w:widowControl/>
        <w:numPr>
          <w:ilvl w:val="0"/>
          <w:numId w:val="19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2E142F32">
      <w:pPr>
        <w:pStyle w:val="19"/>
        <w:widowControl/>
        <w:numPr>
          <w:ilvl w:val="0"/>
          <w:numId w:val="19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国际贸易与关税专家 (Persona P5)</w:t>
      </w:r>
      <w:r>
        <w:rPr>
          <w:rFonts w:ascii="Times New Roman" w:hAnsi="Times New Roman" w:eastAsia="宋体" w:cs="Times New Roman"/>
          <w:i w:val="0"/>
          <w:color w:val="1F2937"/>
          <w:sz w:val="24"/>
          <w:szCs w:val="24"/>
        </w:rPr>
        <w:t>，</w:t>
      </w:r>
    </w:p>
    <w:p w14:paraId="6C1C02C3">
      <w:pPr>
        <w:pStyle w:val="19"/>
        <w:widowControl/>
        <w:numPr>
          <w:ilvl w:val="0"/>
          <w:numId w:val="19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按生效日期检索官方填报指引、默认值清单与豁免条款，并查看历史版本对照</w:t>
      </w:r>
      <w:r>
        <w:rPr>
          <w:rFonts w:ascii="Times New Roman" w:hAnsi="Times New Roman" w:eastAsia="宋体" w:cs="Times New Roman"/>
          <w:i w:val="0"/>
          <w:color w:val="1F2937"/>
          <w:sz w:val="24"/>
          <w:szCs w:val="24"/>
        </w:rPr>
        <w:t>，</w:t>
      </w:r>
    </w:p>
    <w:p w14:paraId="6CE8F032">
      <w:pPr>
        <w:pStyle w:val="19"/>
        <w:widowControl/>
        <w:numPr>
          <w:ilvl w:val="0"/>
          <w:numId w:val="19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我能确保每次申报都依据当时生效的官方规则</w:t>
      </w:r>
      <w:r>
        <w:rPr>
          <w:rFonts w:ascii="Times New Roman" w:hAnsi="Times New Roman" w:eastAsia="宋体" w:cs="Times New Roman"/>
          <w:i w:val="0"/>
          <w:color w:val="1F2937"/>
          <w:sz w:val="24"/>
          <w:szCs w:val="24"/>
        </w:rPr>
        <w:t>。</w:t>
      </w:r>
    </w:p>
    <w:p w14:paraId="575162D8">
      <w:pPr>
        <w:pStyle w:val="6"/>
        <w:numPr>
          <w:ilvl w:val="0"/>
          <w:numId w:val="19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6E95BABA">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知识库结构与版本化：</w:t>
      </w:r>
    </w:p>
    <w:p w14:paraId="0DCEE4A4">
      <w:pPr>
        <w:pStyle w:val="19"/>
        <w:widowControl/>
        <w:numPr>
          <w:ilvl w:val="0"/>
          <w:numId w:val="19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内容分类</w:t>
      </w:r>
      <w:r>
        <w:rPr>
          <w:rFonts w:ascii="Times New Roman" w:hAnsi="Times New Roman" w:eastAsia="宋体" w:cs="Times New Roman"/>
          <w:i w:val="0"/>
          <w:color w:val="1F2937"/>
          <w:sz w:val="24"/>
          <w:szCs w:val="24"/>
        </w:rPr>
        <w:t>：欧盟委员会官方行业填报指引、默认值清单、过渡期质询问答库、豁免条款与法规释义。</w:t>
      </w:r>
    </w:p>
    <w:p w14:paraId="4EE32120">
      <w:pPr>
        <w:pStyle w:val="19"/>
        <w:widowControl/>
        <w:numPr>
          <w:ilvl w:val="0"/>
          <w:numId w:val="19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版本化</w:t>
      </w:r>
      <w:r>
        <w:rPr>
          <w:rFonts w:ascii="Times New Roman" w:hAnsi="Times New Roman" w:eastAsia="宋体" w:cs="Times New Roman"/>
          <w:i w:val="0"/>
          <w:color w:val="1F2937"/>
          <w:sz w:val="24"/>
          <w:szCs w:val="24"/>
        </w:rPr>
        <w:t>：法规与默认值按生效日期版本化管理，历史版本可查、变更留痕。</w:t>
      </w:r>
    </w:p>
    <w:p w14:paraId="200C3750">
      <w:pPr>
        <w:pStyle w:val="19"/>
        <w:widowControl/>
        <w:numPr>
          <w:ilvl w:val="0"/>
          <w:numId w:val="19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更新订阅机制</w:t>
      </w:r>
      <w:r>
        <w:rPr>
          <w:rFonts w:ascii="Times New Roman" w:hAnsi="Times New Roman" w:eastAsia="宋体" w:cs="Times New Roman"/>
          <w:i w:val="0"/>
          <w:color w:val="1F2937"/>
          <w:sz w:val="24"/>
          <w:szCs w:val="24"/>
        </w:rPr>
        <w:t>：对接官方发布源（国家发展改革委、生态环境部、欧盟 CBAM 门户、ISO 标准发布页）按周轮询比对新版本，命中更新时自动生成因子库「待审」版本并推送 P4 复核，同步频率为每 7 日一次。</w:t>
      </w:r>
    </w:p>
    <w:p w14:paraId="073A8082">
      <w:pPr>
        <w:pStyle w:val="19"/>
        <w:widowControl/>
        <w:numPr>
          <w:ilvl w:val="0"/>
          <w:numId w:val="19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检索</w:t>
      </w:r>
      <w:r>
        <w:rPr>
          <w:rFonts w:ascii="Times New Roman" w:hAnsi="Times New Roman" w:eastAsia="宋体" w:cs="Times New Roman"/>
          <w:i w:val="0"/>
          <w:color w:val="1F2937"/>
          <w:sz w:val="24"/>
          <w:szCs w:val="24"/>
        </w:rPr>
        <w:t>：支持按关键词、税号、生效日期范围、内容分类多维检索。</w:t>
      </w:r>
    </w:p>
    <w:p w14:paraId="7D13111E">
      <w:pPr>
        <w:pStyle w:val="19"/>
        <w:widowControl/>
        <w:numPr>
          <w:ilvl w:val="0"/>
          <w:numId w:val="19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版本对照</w:t>
      </w:r>
      <w:r>
        <w:rPr>
          <w:rFonts w:ascii="Times New Roman" w:hAnsi="Times New Roman" w:eastAsia="宋体" w:cs="Times New Roman"/>
          <w:i w:val="0"/>
          <w:color w:val="1F2937"/>
          <w:sz w:val="24"/>
          <w:szCs w:val="24"/>
        </w:rPr>
        <w:t>：支持两版本并排对照查看差异段落。</w:t>
      </w:r>
    </w:p>
    <w:p w14:paraId="3C2303E7">
      <w:pPr>
        <w:pStyle w:val="6"/>
        <w:numPr>
          <w:ilvl w:val="0"/>
          <w:numId w:val="19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903"/>
        <w:gridCol w:w="1864"/>
        <w:gridCol w:w="1820"/>
        <w:gridCol w:w="1193"/>
        <w:gridCol w:w="4004"/>
      </w:tblGrid>
      <w:tr w14:paraId="0DB2E276">
        <w:tblPrEx>
          <w:tblCellMar>
            <w:top w:w="0" w:type="dxa"/>
            <w:left w:w="108" w:type="dxa"/>
            <w:bottom w:w="0" w:type="dxa"/>
            <w:right w:w="108" w:type="dxa"/>
          </w:tblCellMar>
        </w:tblPrEx>
        <w:trPr>
          <w:jc w:val="center"/>
        </w:trPr>
        <w:tc>
          <w:tcPr>
            <w:tcW w:w="90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E3B43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6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540F0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82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78023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6D477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00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2DB44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531800EF">
        <w:tblPrEx>
          <w:tblCellMar>
            <w:top w:w="0" w:type="dxa"/>
            <w:left w:w="108" w:type="dxa"/>
            <w:bottom w:w="0" w:type="dxa"/>
            <w:right w:w="108" w:type="dxa"/>
          </w:tblCellMar>
        </w:tblPrEx>
        <w:trPr>
          <w:jc w:val="center"/>
        </w:trPr>
        <w:tc>
          <w:tcPr>
            <w:tcW w:w="90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9A03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849E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文档编号</w:t>
            </w:r>
          </w:p>
        </w:tc>
        <w:tc>
          <w:tcPr>
            <w:tcW w:w="18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1B33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0B3A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07B4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唯一主键</w:t>
            </w:r>
          </w:p>
        </w:tc>
      </w:tr>
      <w:tr w14:paraId="4DC98FFA">
        <w:tblPrEx>
          <w:tblCellMar>
            <w:top w:w="0" w:type="dxa"/>
            <w:left w:w="108" w:type="dxa"/>
            <w:bottom w:w="0" w:type="dxa"/>
            <w:right w:w="108" w:type="dxa"/>
          </w:tblCellMar>
        </w:tblPrEx>
        <w:trPr>
          <w:jc w:val="center"/>
        </w:trPr>
        <w:tc>
          <w:tcPr>
            <w:tcW w:w="90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9125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F081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文档标题</w:t>
            </w:r>
          </w:p>
        </w:tc>
        <w:tc>
          <w:tcPr>
            <w:tcW w:w="18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8AAE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FBAD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FE46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非空，最长 256 字符</w:t>
            </w:r>
          </w:p>
        </w:tc>
      </w:tr>
      <w:tr w14:paraId="5F3A5195">
        <w:tblPrEx>
          <w:tblCellMar>
            <w:top w:w="0" w:type="dxa"/>
            <w:left w:w="108" w:type="dxa"/>
            <w:bottom w:w="0" w:type="dxa"/>
            <w:right w:w="108" w:type="dxa"/>
          </w:tblCellMar>
        </w:tblPrEx>
        <w:trPr>
          <w:jc w:val="center"/>
        </w:trPr>
        <w:tc>
          <w:tcPr>
            <w:tcW w:w="90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0DAE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8814E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内容分类</w:t>
            </w:r>
          </w:p>
        </w:tc>
        <w:tc>
          <w:tcPr>
            <w:tcW w:w="18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9032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5052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25A5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填报指引 / 默认值清单 / 质询问答 / 豁免条款</w:t>
            </w:r>
          </w:p>
        </w:tc>
      </w:tr>
      <w:tr w14:paraId="2E81D83B">
        <w:tblPrEx>
          <w:tblCellMar>
            <w:top w:w="0" w:type="dxa"/>
            <w:left w:w="108" w:type="dxa"/>
            <w:bottom w:w="0" w:type="dxa"/>
            <w:right w:w="108" w:type="dxa"/>
          </w:tblCellMar>
        </w:tblPrEx>
        <w:trPr>
          <w:jc w:val="center"/>
        </w:trPr>
        <w:tc>
          <w:tcPr>
            <w:tcW w:w="90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F50B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6138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适用税号</w:t>
            </w:r>
          </w:p>
        </w:tc>
        <w:tc>
          <w:tcPr>
            <w:tcW w:w="18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4966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9116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79F1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可为空表示通用</w:t>
            </w:r>
          </w:p>
        </w:tc>
      </w:tr>
      <w:tr w14:paraId="796E54FC">
        <w:tblPrEx>
          <w:tblCellMar>
            <w:top w:w="0" w:type="dxa"/>
            <w:left w:w="108" w:type="dxa"/>
            <w:bottom w:w="0" w:type="dxa"/>
            <w:right w:w="108" w:type="dxa"/>
          </w:tblCellMar>
        </w:tblPrEx>
        <w:trPr>
          <w:jc w:val="center"/>
        </w:trPr>
        <w:tc>
          <w:tcPr>
            <w:tcW w:w="90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26C7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661F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版本号</w:t>
            </w:r>
          </w:p>
        </w:tc>
        <w:tc>
          <w:tcPr>
            <w:tcW w:w="18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1D832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E3B6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A555D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唯一，按生效日期递增</w:t>
            </w:r>
          </w:p>
        </w:tc>
      </w:tr>
      <w:tr w14:paraId="5806FE56">
        <w:tblPrEx>
          <w:tblCellMar>
            <w:top w:w="0" w:type="dxa"/>
            <w:left w:w="108" w:type="dxa"/>
            <w:bottom w:w="0" w:type="dxa"/>
            <w:right w:w="108" w:type="dxa"/>
          </w:tblCellMar>
        </w:tblPrEx>
        <w:trPr>
          <w:jc w:val="center"/>
        </w:trPr>
        <w:tc>
          <w:tcPr>
            <w:tcW w:w="90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A8BB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8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43AF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生效开始日期</w:t>
            </w:r>
          </w:p>
        </w:tc>
        <w:tc>
          <w:tcPr>
            <w:tcW w:w="18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52FA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7697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0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9223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w:t>
            </w:r>
          </w:p>
        </w:tc>
      </w:tr>
      <w:tr w14:paraId="0AFD2664">
        <w:tblPrEx>
          <w:tblCellMar>
            <w:top w:w="0" w:type="dxa"/>
            <w:left w:w="108" w:type="dxa"/>
            <w:bottom w:w="0" w:type="dxa"/>
            <w:right w:w="108" w:type="dxa"/>
          </w:tblCellMar>
        </w:tblPrEx>
        <w:trPr>
          <w:jc w:val="center"/>
        </w:trPr>
        <w:tc>
          <w:tcPr>
            <w:tcW w:w="90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FC92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8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8ECD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生效结束日期</w:t>
            </w:r>
          </w:p>
        </w:tc>
        <w:tc>
          <w:tcPr>
            <w:tcW w:w="18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308F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635C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0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2A66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可空表示当前有效</w:t>
            </w:r>
          </w:p>
        </w:tc>
      </w:tr>
      <w:tr w14:paraId="29C929E5">
        <w:tblPrEx>
          <w:tblCellMar>
            <w:top w:w="0" w:type="dxa"/>
            <w:left w:w="108" w:type="dxa"/>
            <w:bottom w:w="0" w:type="dxa"/>
            <w:right w:w="108" w:type="dxa"/>
          </w:tblCellMar>
        </w:tblPrEx>
        <w:trPr>
          <w:jc w:val="center"/>
        </w:trPr>
        <w:tc>
          <w:tcPr>
            <w:tcW w:w="90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91D0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8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43FD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法规原文附件</w:t>
            </w:r>
          </w:p>
        </w:tc>
        <w:tc>
          <w:tcPr>
            <w:tcW w:w="18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6ADB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File</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C594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8FBC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PDF，单个不超过 30MB</w:t>
            </w:r>
          </w:p>
        </w:tc>
      </w:tr>
      <w:tr w14:paraId="0D04DB81">
        <w:tblPrEx>
          <w:tblCellMar>
            <w:top w:w="0" w:type="dxa"/>
            <w:left w:w="108" w:type="dxa"/>
            <w:bottom w:w="0" w:type="dxa"/>
            <w:right w:w="108" w:type="dxa"/>
          </w:tblCellMar>
        </w:tblPrEx>
        <w:trPr>
          <w:jc w:val="center"/>
        </w:trPr>
        <w:tc>
          <w:tcPr>
            <w:tcW w:w="90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7ADF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8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22B2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录入人 / 录入时间</w:t>
            </w:r>
          </w:p>
        </w:tc>
        <w:tc>
          <w:tcPr>
            <w:tcW w:w="18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203F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 / DateTime</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D8C7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443C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系统自动记录</w:t>
            </w:r>
          </w:p>
        </w:tc>
      </w:tr>
      <w:tr w14:paraId="7C1E80C4">
        <w:tblPrEx>
          <w:tblCellMar>
            <w:top w:w="0" w:type="dxa"/>
            <w:left w:w="108" w:type="dxa"/>
            <w:bottom w:w="0" w:type="dxa"/>
            <w:right w:w="108" w:type="dxa"/>
          </w:tblCellMar>
        </w:tblPrEx>
        <w:trPr>
          <w:jc w:val="center"/>
        </w:trPr>
        <w:tc>
          <w:tcPr>
            <w:tcW w:w="90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A1D5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8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DE31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引用状态</w:t>
            </w:r>
          </w:p>
        </w:tc>
        <w:tc>
          <w:tcPr>
            <w:tcW w:w="18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6DCC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1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3AAE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B98A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生效中 / 历史版本 / 已废止</w:t>
            </w:r>
          </w:p>
        </w:tc>
      </w:tr>
    </w:tbl>
    <w:p w14:paraId="0368285C">
      <w:pPr>
        <w:spacing w:after="60"/>
        <w:rPr>
          <w:rFonts w:hint="eastAsia" w:ascii="宋体" w:hAnsi="宋体" w:eastAsia="宋体" w:cs="宋体"/>
          <w:i w:val="0"/>
          <w:iCs w:val="0"/>
          <w:sz w:val="24"/>
          <w:szCs w:val="24"/>
        </w:rPr>
      </w:pPr>
    </w:p>
    <w:p w14:paraId="0320C0FB">
      <w:pPr>
        <w:pStyle w:val="6"/>
        <w:numPr>
          <w:ilvl w:val="0"/>
          <w:numId w:val="19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6F5D657A">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721E4A28">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Version_active = { doc ∣ today ∈ [ effective_from, effective_to ] }   当前生效版本集合</w:t>
            </w:r>
          </w:p>
          <w:p w14:paraId="65EB165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Match = FILTER( Docs, keyword ∧ CN_Code ∧ Date_Range )         多维检索命中</w:t>
            </w:r>
          </w:p>
          <w:p w14:paraId="780BF6B4">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Diff = COMPARE( Doc_v1, Doc_v2 )                                 版本差异对照</w:t>
            </w:r>
          </w:p>
        </w:tc>
      </w:tr>
    </w:tbl>
    <w:p w14:paraId="2C3008D2">
      <w:pPr>
        <w:spacing w:after="40"/>
        <w:rPr>
          <w:rFonts w:hint="eastAsia" w:ascii="宋体" w:hAnsi="宋体" w:eastAsia="宋体" w:cs="宋体"/>
          <w:i w:val="0"/>
          <w:iCs w:val="0"/>
          <w:sz w:val="24"/>
          <w:szCs w:val="24"/>
        </w:rPr>
      </w:pPr>
    </w:p>
    <w:p w14:paraId="586610B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版本生效区间有序且不可重叠；申报核算默认引用当前生效版本，历史版本仅供追溯。</w:t>
      </w:r>
    </w:p>
    <w:p w14:paraId="699E9769">
      <w:pPr>
        <w:pStyle w:val="6"/>
        <w:numPr>
          <w:ilvl w:val="0"/>
          <w:numId w:val="19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4D64BC9D">
      <w:pPr>
        <w:pStyle w:val="19"/>
        <w:widowControl/>
        <w:numPr>
          <w:ilvl w:val="0"/>
          <w:numId w:val="19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版本口径</w:t>
      </w:r>
      <w:r>
        <w:rPr>
          <w:rFonts w:ascii="Times New Roman" w:hAnsi="Times New Roman" w:eastAsia="宋体" w:cs="Times New Roman"/>
          <w:i w:val="0"/>
          <w:color w:val="1F2937"/>
          <w:sz w:val="24"/>
          <w:szCs w:val="24"/>
        </w:rPr>
        <w:t>：申报核算默认引用当前生效版本，可手动指定历史版本做追溯核验。</w:t>
      </w:r>
    </w:p>
    <w:p w14:paraId="38C5CAC7">
      <w:pPr>
        <w:pStyle w:val="19"/>
        <w:widowControl/>
        <w:numPr>
          <w:ilvl w:val="0"/>
          <w:numId w:val="19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变更口径</w:t>
      </w:r>
      <w:r>
        <w:rPr>
          <w:rFonts w:ascii="Times New Roman" w:hAnsi="Times New Roman" w:eastAsia="宋体" w:cs="Times New Roman"/>
          <w:i w:val="0"/>
          <w:color w:val="1F2937"/>
          <w:sz w:val="24"/>
          <w:szCs w:val="24"/>
        </w:rPr>
        <w:t>：法规与默认值变更全程留痕，可追溯变更内容、时间与录入人。</w:t>
      </w:r>
    </w:p>
    <w:p w14:paraId="3164D39D">
      <w:pPr>
        <w:pStyle w:val="19"/>
        <w:widowControl/>
        <w:numPr>
          <w:ilvl w:val="0"/>
          <w:numId w:val="19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引用口径</w:t>
      </w:r>
      <w:r>
        <w:rPr>
          <w:rFonts w:ascii="Times New Roman" w:hAnsi="Times New Roman" w:eastAsia="宋体" w:cs="Times New Roman"/>
          <w:i w:val="0"/>
          <w:color w:val="1F2937"/>
          <w:sz w:val="24"/>
          <w:szCs w:val="24"/>
        </w:rPr>
        <w:t>：知识库条目被核算引擎引用时记录引用日志，保证口径可追溯。</w:t>
      </w:r>
    </w:p>
    <w:p w14:paraId="1DF42277">
      <w:pPr>
        <w:pStyle w:val="6"/>
        <w:numPr>
          <w:ilvl w:val="0"/>
          <w:numId w:val="19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5A46CE7F">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56F5666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版本生效区间重叠：前端即时拦截并阻断保存。</w:t>
            </w:r>
          </w:p>
          <w:p w14:paraId="7F45C35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无当前生效版本：核算引擎提示"适用法规版本缺失"，阻断使用默认值。</w:t>
            </w:r>
          </w:p>
          <w:p w14:paraId="010EDD3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附件超限或格式不符：上传即时拒绝。</w:t>
            </w:r>
          </w:p>
          <w:p w14:paraId="1CE88DA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已废止版本被引用：标注"已废止法规"并提示核对最新版本。</w:t>
            </w:r>
          </w:p>
        </w:tc>
      </w:tr>
    </w:tbl>
    <w:p w14:paraId="6ABDADC5">
      <w:pPr>
        <w:spacing w:after="40"/>
        <w:rPr>
          <w:rFonts w:hint="eastAsia" w:ascii="宋体" w:hAnsi="宋体" w:eastAsia="宋体" w:cs="宋体"/>
          <w:i w:val="0"/>
          <w:iCs w:val="0"/>
          <w:sz w:val="24"/>
          <w:szCs w:val="24"/>
        </w:rPr>
      </w:pPr>
    </w:p>
    <w:p w14:paraId="51F08793">
      <w:pPr>
        <w:pStyle w:val="6"/>
        <w:numPr>
          <w:ilvl w:val="0"/>
          <w:numId w:val="190"/>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21252E6B">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2FE9A26F">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CBAM 法规知识库版本化管理</w:t>
            </w:r>
          </w:p>
          <w:p w14:paraId="7FBFEA2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版本生效区间不可重叠</w:t>
            </w:r>
          </w:p>
          <w:p w14:paraId="1FD36AF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某填报指引已存在生效区间为 2026-01-01 至 2026-12-31 的版本</w:t>
            </w:r>
          </w:p>
          <w:p w14:paraId="3E9B7BE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录入人员新增一个生效开始日期落在该区间内的版本</w:t>
            </w:r>
          </w:p>
          <w:p w14:paraId="1D06E69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前端即时拦截并阻断保存</w:t>
            </w:r>
          </w:p>
          <w:p w14:paraId="19462C2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页面提示版本生效区间不可重叠</w:t>
            </w:r>
          </w:p>
          <w:p w14:paraId="00CA6302">
            <w:pPr>
              <w:spacing w:before="0" w:after="20" w:line="264" w:lineRule="auto"/>
              <w:rPr>
                <w:rFonts w:hint="eastAsia" w:ascii="宋体" w:hAnsi="宋体" w:eastAsia="宋体" w:cs="宋体"/>
                <w:i w:val="0"/>
                <w:iCs w:val="0"/>
                <w:sz w:val="24"/>
                <w:szCs w:val="24"/>
              </w:rPr>
            </w:pPr>
          </w:p>
          <w:p w14:paraId="0C4A46B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多维检索命中</w:t>
            </w:r>
          </w:p>
          <w:p w14:paraId="432680C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知识库中存在多条适用不同税号的法规文档</w:t>
            </w:r>
          </w:p>
          <w:p w14:paraId="29B9A88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P5 按关键词与 CN 税号 85042100 组合检索</w:t>
            </w:r>
          </w:p>
          <w:p w14:paraId="7E287A1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仅返回适用该税号的文档</w:t>
            </w:r>
          </w:p>
          <w:p w14:paraId="3DB5BF3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结果按生效日期倒序排列</w:t>
            </w:r>
          </w:p>
          <w:p w14:paraId="3FB7C0FB">
            <w:pPr>
              <w:spacing w:before="0" w:after="20" w:line="264" w:lineRule="auto"/>
              <w:rPr>
                <w:rFonts w:hint="eastAsia" w:ascii="宋体" w:hAnsi="宋体" w:eastAsia="宋体" w:cs="宋体"/>
                <w:i w:val="0"/>
                <w:iCs w:val="0"/>
                <w:sz w:val="24"/>
                <w:szCs w:val="24"/>
              </w:rPr>
            </w:pPr>
          </w:p>
          <w:p w14:paraId="0482ADE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版本差异对照</w:t>
            </w:r>
          </w:p>
          <w:p w14:paraId="038F68C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某默认值清单存在 v2026.1 与 v2026.2 两个版本</w:t>
            </w:r>
          </w:p>
          <w:p w14:paraId="6CBC757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用户选择两版本进行对照</w:t>
            </w:r>
          </w:p>
          <w:p w14:paraId="3492273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并排呈现差异段落并高亮变更内容</w:t>
            </w:r>
          </w:p>
          <w:p w14:paraId="57F5953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变更内容标注对应的生效日期</w:t>
            </w:r>
          </w:p>
        </w:tc>
      </w:tr>
    </w:tbl>
    <w:p w14:paraId="111CC11B">
      <w:pPr>
        <w:spacing w:after="40"/>
        <w:rPr>
          <w:rFonts w:hint="eastAsia" w:ascii="宋体" w:hAnsi="宋体" w:eastAsia="宋体" w:cs="宋体"/>
          <w:i w:val="0"/>
          <w:iCs w:val="0"/>
          <w:sz w:val="24"/>
          <w:szCs w:val="24"/>
        </w:rPr>
      </w:pPr>
    </w:p>
    <w:p w14:paraId="6E555475">
      <w:pPr>
        <w:spacing w:after="40"/>
        <w:rPr>
          <w:rFonts w:hint="eastAsia" w:ascii="宋体" w:hAnsi="宋体" w:eastAsia="宋体" w:cs="宋体"/>
          <w:i w:val="0"/>
          <w:iCs w:val="0"/>
          <w:sz w:val="24"/>
          <w:szCs w:val="24"/>
        </w:rPr>
      </w:pPr>
    </w:p>
    <w:p w14:paraId="4C42EB5D">
      <w:pPr>
        <w:spacing w:after="40"/>
        <w:rPr>
          <w:rFonts w:hint="eastAsia" w:ascii="宋体" w:hAnsi="宋体" w:eastAsia="宋体" w:cs="宋体"/>
          <w:i w:val="0"/>
          <w:iCs w:val="0"/>
          <w:sz w:val="24"/>
          <w:szCs w:val="24"/>
        </w:rPr>
      </w:pPr>
    </w:p>
    <w:p w14:paraId="1793BA14">
      <w:pPr>
        <w:spacing w:after="40"/>
        <w:rPr>
          <w:rFonts w:hint="eastAsia" w:ascii="宋体" w:hAnsi="宋体" w:eastAsia="宋体" w:cs="宋体"/>
          <w:i w:val="0"/>
          <w:iCs w:val="0"/>
          <w:sz w:val="24"/>
          <w:szCs w:val="24"/>
        </w:rPr>
      </w:pPr>
    </w:p>
    <w:p w14:paraId="45F7FC88">
      <w:pPr>
        <w:pStyle w:val="4"/>
        <w:numPr>
          <w:ilvl w:val="0"/>
          <w:numId w:val="144"/>
        </w:numPr>
        <w:topLinePunct w:val="0"/>
        <w:ind w:left="0" w:leftChars="0" w:firstLine="0" w:firstLineChars="0"/>
        <w:outlineLvl w:val="0"/>
        <w:rPr>
          <w:rFonts w:hint="eastAsia" w:eastAsia="黑体"/>
          <w:b w:val="0"/>
          <w:bCs w:val="0"/>
          <w:sz w:val="30"/>
          <w:szCs w:val="32"/>
        </w:rPr>
      </w:pPr>
      <w:bookmarkStart w:id="54" w:name="_Toc23286"/>
      <w:r>
        <w:rPr>
          <w:rFonts w:ascii="Times New Roman" w:hAnsi="Times New Roman" w:eastAsia="黑体" w:cs="Times New Roman"/>
          <w:b w:val="0"/>
          <w:bCs w:val="0"/>
          <w:sz w:val="30"/>
          <w:szCs w:val="32"/>
        </w:rPr>
        <w:t>第三方认证管理</w:t>
      </w:r>
      <w:bookmarkEnd w:id="54"/>
    </w:p>
    <w:p w14:paraId="5123E682">
      <w:pPr>
        <w:pStyle w:val="5"/>
        <w:numPr>
          <w:ilvl w:val="0"/>
          <w:numId w:val="145"/>
        </w:numPr>
        <w:ind w:left="0" w:leftChars="0" w:firstLine="0" w:firstLineChars="0"/>
        <w:outlineLvl w:val="1"/>
        <w:rPr>
          <w:rFonts w:ascii="Times New Roman" w:hAnsi="Times New Roman" w:eastAsia="黑体" w:cs="Times New Roman"/>
          <w:b w:val="0"/>
          <w:bCs w:val="0"/>
          <w:sz w:val="30"/>
          <w:szCs w:val="24"/>
        </w:rPr>
      </w:pPr>
      <w:bookmarkStart w:id="55" w:name="_Toc3187"/>
      <w:r>
        <w:rPr>
          <w:rFonts w:ascii="Times New Roman" w:hAnsi="Times New Roman" w:eastAsia="黑体" w:cs="Times New Roman"/>
          <w:b w:val="0"/>
          <w:bCs w:val="0"/>
          <w:sz w:val="30"/>
          <w:szCs w:val="24"/>
        </w:rPr>
        <w:t>认证资料维护</w:t>
      </w:r>
    </w:p>
    <w:p w14:paraId="183F5A4F">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34"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2"/>
                    <pic:cNvPicPr>
                      <a:picLocks noChangeAspect="1"/>
                    </pic:cNvPicPr>
                  </pic:nvPicPr>
                  <pic:blipFill>
                    <a:blip r:embed="rId47"/>
                    <a:stretch>
                      <a:fillRect/>
                    </a:stretch>
                  </pic:blipFill>
                  <pic:spPr>
                    <a:xfrm>
                      <a:off x="0" y="0"/>
                      <a:ext cx="6210300" cy="3079115"/>
                    </a:xfrm>
                    <a:prstGeom prst="rect">
                      <a:avLst/>
                    </a:prstGeom>
                    <a:noFill/>
                    <a:ln>
                      <a:noFill/>
                    </a:ln>
                  </pic:spPr>
                </pic:pic>
              </a:graphicData>
            </a:graphic>
          </wp:inline>
        </w:drawing>
      </w:r>
    </w:p>
    <w:p w14:paraId="3465176A">
      <w:pPr>
        <w:pStyle w:val="6"/>
        <w:numPr>
          <w:ilvl w:val="0"/>
          <w:numId w:val="19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1A9247AE">
      <w:pPr>
        <w:pStyle w:val="19"/>
        <w:widowControl/>
        <w:numPr>
          <w:ilvl w:val="0"/>
          <w:numId w:val="19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：LCA 报告原始凭证、物料平衡单、绿电发票与第三方检测报告的数字化封装归集库，为对外认证申报提供可核验、可追溯、可防篡改的证据链底座。</w:t>
      </w:r>
    </w:p>
    <w:p w14:paraId="080E8C54">
      <w:pPr>
        <w:pStyle w:val="19"/>
        <w:widowControl/>
        <w:numPr>
          <w:ilvl w:val="0"/>
          <w:numId w:val="19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碳核算与认证工程师（资料包组装与锁定）、P3 基层填报员（原始凭证上传）、P6 外部独立审计机构（只读核验）。</w:t>
      </w:r>
    </w:p>
    <w:p w14:paraId="510FC546">
      <w:pPr>
        <w:pStyle w:val="19"/>
        <w:widowControl/>
        <w:numPr>
          <w:ilvl w:val="0"/>
          <w:numId w:val="19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 /carbon-footprint/certification/material 。</w:t>
      </w:r>
    </w:p>
    <w:p w14:paraId="5E041BE6">
      <w:pPr>
        <w:pStyle w:val="19"/>
        <w:widowControl/>
        <w:numPr>
          <w:ilvl w:val="0"/>
          <w:numId w:val="19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：碳足迹核算模块（已内审通过的 LCA 报告）、实景数据库（BOM 物料凭证）、能源台账与绿证核销记录、第三方检测报告。</w:t>
      </w:r>
    </w:p>
    <w:p w14:paraId="0C31C995">
      <w:pPr>
        <w:pStyle w:val="19"/>
        <w:widowControl/>
        <w:numPr>
          <w:ilvl w:val="0"/>
          <w:numId w:val="19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：已锁定认证资料包（含逐件凭证 SHA-256 清单）→ 作为「认证申请」模块的唯一输入版本。</w:t>
      </w:r>
    </w:p>
    <w:p w14:paraId="25B0AF48">
      <w:pPr>
        <w:pStyle w:val="6"/>
        <w:numPr>
          <w:ilvl w:val="0"/>
          <w:numId w:val="19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6D96C196">
      <w:pPr>
        <w:pStyle w:val="19"/>
        <w:widowControl/>
        <w:numPr>
          <w:ilvl w:val="0"/>
          <w:numId w:val="19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：面向 SGS、TÜV 南德、中国方圆等机构的认证前证据归集环节，将分散在核算、采购、能源、质检各域的过程凭证，按认证标准模板一次性归集、校验、封装并锁定，杜绝机构形式审查阶段的反复补正。</w:t>
      </w:r>
    </w:p>
    <w:p w14:paraId="6CCE6037">
      <w:pPr>
        <w:pStyle w:val="19"/>
        <w:widowControl/>
        <w:numPr>
          <w:ilvl w:val="0"/>
          <w:numId w:val="19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2ED6C3D3">
      <w:pPr>
        <w:pStyle w:val="19"/>
        <w:widowControl/>
        <w:numPr>
          <w:ilvl w:val="0"/>
          <w:numId w:val="19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As a 碳核算与认证工程师 (Persona P4)，</w:t>
      </w:r>
    </w:p>
    <w:p w14:paraId="67770F0D">
      <w:pPr>
        <w:pStyle w:val="19"/>
        <w:widowControl/>
        <w:numPr>
          <w:ilvl w:val="0"/>
          <w:numId w:val="19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I want 按认证资料包模板在线组装 LCA 原始凭证、物料平衡单、绿电发票与检测报告，并由系统自动校验必传资料齐备率与凭证完整性，</w:t>
      </w:r>
    </w:p>
    <w:p w14:paraId="60D009DC">
      <w:pPr>
        <w:pStyle w:val="19"/>
        <w:widowControl/>
        <w:numPr>
          <w:ilvl w:val="0"/>
          <w:numId w:val="19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So that 我能一次性通过机构的形式审查，避免因资料缺项导致的发证周期延误。</w:t>
      </w:r>
    </w:p>
    <w:p w14:paraId="5DD5DAB2">
      <w:pPr>
        <w:pStyle w:val="6"/>
        <w:numPr>
          <w:ilvl w:val="0"/>
          <w:numId w:val="19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064A6C5A">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资料包组装向导</w:t>
      </w:r>
      <w:r>
        <w:rPr>
          <w:rFonts w:ascii="Times New Roman" w:hAnsi="Times New Roman" w:eastAsia="宋体" w:cs="Times New Roman"/>
          <w:i w:val="0"/>
          <w:color w:val="1F2937"/>
          <w:sz w:val="24"/>
          <w:szCs w:val="24"/>
        </w:rPr>
        <w:t>：按认证标准（ISO 14067:2018 / PAS 2050:2011）自动生成资料包骨架，左侧为必传与可选资料目录树，右侧为凭证上传与跨模块挂载区，支持从实景数据库、能源台账直接引用而无需重复上传。</w:t>
      </w:r>
    </w:p>
    <w:p w14:paraId="75DC466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缺失资料清单校验：实时计算必传资料齐备率与 BOM 物料凭证覆盖率，缺失项以红色徽标逐条列出，并同步给出补正责任角色与数据来源模块。</w:t>
      </w:r>
    </w:p>
    <w:p w14:paraId="7D9543EE">
      <w:pPr>
        <w:pStyle w:val="19"/>
        <w:widowControl/>
        <w:numPr>
          <w:ilvl w:val="0"/>
          <w:numId w:val="19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凭证 Hash 自动计算绑定：每件凭证上传即计算 SHA-256 并写入凭证清单，锁定文件与哈希的绑定关系；任何替换均生成新版本凭证并保留原版本与替换流水。</w:t>
      </w:r>
    </w:p>
    <w:p w14:paraId="39C88AD5">
      <w:pPr>
        <w:pStyle w:val="19"/>
        <w:widowControl/>
        <w:numPr>
          <w:ilvl w:val="0"/>
          <w:numId w:val="19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资料包锁定与解锁</w:t>
      </w:r>
      <w:r>
        <w:rPr>
          <w:rFonts w:ascii="Times New Roman" w:hAnsi="Times New Roman" w:eastAsia="宋体" w:cs="Times New Roman"/>
          <w:i w:val="0"/>
          <w:color w:val="1F2937"/>
          <w:sz w:val="24"/>
          <w:szCs w:val="24"/>
        </w:rPr>
        <w:t>：齐备率与覆盖率均达 100% 且绿电发票核验通过后方可锁定；锁定后资料包内容禁止修改，解锁须经 PM 审批并生成解锁流水号。</w:t>
      </w:r>
    </w:p>
    <w:p w14:paraId="1B1E8E95">
      <w:pPr>
        <w:pStyle w:val="19"/>
        <w:widowControl/>
        <w:numPr>
          <w:ilvl w:val="0"/>
          <w:numId w:val="19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凭证核验状态跟踪</w:t>
      </w:r>
      <w:r>
        <w:rPr>
          <w:rFonts w:ascii="Times New Roman" w:hAnsi="Times New Roman" w:eastAsia="宋体" w:cs="Times New Roman"/>
          <w:i w:val="0"/>
          <w:color w:val="1F2937"/>
          <w:sz w:val="24"/>
          <w:szCs w:val="24"/>
        </w:rPr>
        <w:t>：绿电发票、检测报告等需外部核验的凭证按「未核验 / 核验中 / 已核验 / 核验不通过」四态跟踪，核验不通过时冻结锁定入口。</w:t>
      </w:r>
    </w:p>
    <w:p w14:paraId="7D81E491">
      <w:pPr>
        <w:pStyle w:val="19"/>
        <w:widowControl/>
        <w:numPr>
          <w:ilvl w:val="0"/>
          <w:numId w:val="19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版本留痕与反向追溯</w:t>
      </w:r>
      <w:r>
        <w:rPr>
          <w:rFonts w:ascii="Times New Roman" w:hAnsi="Times New Roman" w:eastAsia="宋体" w:cs="Times New Roman"/>
          <w:i w:val="0"/>
          <w:color w:val="1F2937"/>
          <w:sz w:val="24"/>
          <w:szCs w:val="24"/>
        </w:rPr>
        <w:t>：资料包每一次组装、替换、锁定、解锁动作均写入操作流水（操作人、工号、时间戳、前后哈希），支持按凭证反向追溯至原始业务单据。</w:t>
      </w:r>
    </w:p>
    <w:p w14:paraId="33616CF1">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认证机构对接方式</w:t>
      </w:r>
      <w:r>
        <w:rPr>
          <w:rFonts w:ascii="Times New Roman" w:hAnsi="Times New Roman" w:eastAsia="宋体" w:cs="Times New Roman"/>
          <w:i w:val="0"/>
          <w:color w:val="1F2937"/>
          <w:sz w:val="24"/>
          <w:szCs w:val="24"/>
        </w:rPr>
        <w:t>：具备开放平台的机构采用 API 直连自动回传送达回执；不具备 API 条件的机构统一采用「加密邮件 + 机构门户上传」双通道，跨境传输须经数据出境合规网关（见第十章）。</w:t>
      </w:r>
    </w:p>
    <w:p w14:paraId="55D9DF47">
      <w:pPr>
        <w:pStyle w:val="6"/>
        <w:numPr>
          <w:ilvl w:val="0"/>
          <w:numId w:val="19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98"/>
        <w:gridCol w:w="2021"/>
        <w:gridCol w:w="1380"/>
        <w:gridCol w:w="1306"/>
        <w:gridCol w:w="4179"/>
      </w:tblGrid>
      <w:tr w14:paraId="05BB2006">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B733D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202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695A9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8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0FBB4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0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39822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1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F29E1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1763873A">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5CA3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21A2E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资料包编号</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7F7E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149E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1E31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唯一，格式  PKG-&lt;年&gt;-&lt;序号&gt;</w:t>
            </w:r>
          </w:p>
        </w:tc>
      </w:tr>
      <w:tr w14:paraId="0CDF0EA2">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77D0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2AE6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关联合算报告ID</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C292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8FCA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AA63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必须为已内审通过的 LCA 报告编号，非内审状态禁止关联</w:t>
            </w:r>
          </w:p>
        </w:tc>
      </w:tr>
      <w:tr w14:paraId="69FA846C">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E56C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7653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认证标准</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84AD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622F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E011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ISO 14067:2018 / PAS 2050:2011</w:t>
            </w:r>
          </w:p>
        </w:tc>
      </w:tr>
      <w:tr w14:paraId="080F1919">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AC8D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FEE4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BOM物料凭证覆盖率</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74A6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571B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4D2E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0.00~100.00，按金额加权；&lt; 100.00 时禁止锁定</w:t>
            </w:r>
          </w:p>
        </w:tc>
      </w:tr>
      <w:tr w14:paraId="17F6E4DB">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CADC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6565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绿电发票凭证核验状态</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CE5B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EDCA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63EB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未核验 / 核验中 / 已核验 / 核验不通过</w:t>
            </w:r>
          </w:p>
        </w:tc>
      </w:tr>
      <w:tr w14:paraId="73660696">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B4FA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EE49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必传资料齐备率</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5F6C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C4D9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BDB8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0.00~100.00，达 100.00 方可提交锁定</w:t>
            </w:r>
          </w:p>
        </w:tc>
      </w:tr>
      <w:tr w14:paraId="07AB21BF">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5A33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A645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缺失资料清单</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06F9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JSON</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FC50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77AF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校验不通过时非空，逐项含责任角色与来源模块</w:t>
            </w:r>
          </w:p>
        </w:tc>
      </w:tr>
      <w:tr w14:paraId="25FF5E17">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FE23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F84E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凭证清单</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A819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JSON</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1A2C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B2AC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每项含凭证类型、文件名、SHA-256、上传人、上传时间</w:t>
            </w:r>
          </w:p>
        </w:tc>
      </w:tr>
      <w:tr w14:paraId="500BDB6C">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D1E8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EB4E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资料包锁定状态</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EECE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E8C8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049BC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草稿 / 待锁定校验 / 已锁定 / 已解锁留痕</w:t>
            </w:r>
          </w:p>
        </w:tc>
      </w:tr>
      <w:tr w14:paraId="67164585">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0AA3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4F88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资料包封装时间</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FDF8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DateTime</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C214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 HH:mm:ss</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547A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锁定动作触发时写入，写入后不可修改</w:t>
            </w:r>
          </w:p>
        </w:tc>
      </w:tr>
      <w:tr w14:paraId="7525595E">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38F1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6CAB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解锁审批流水号</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0E59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8439F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5256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解锁时必填，关联统一工作流引擎实例号</w:t>
            </w:r>
          </w:p>
        </w:tc>
      </w:tr>
    </w:tbl>
    <w:p w14:paraId="3B71CF2D">
      <w:pPr>
        <w:spacing w:after="60"/>
        <w:rPr>
          <w:rFonts w:hint="eastAsia" w:ascii="宋体" w:hAnsi="宋体" w:eastAsia="宋体" w:cs="宋体"/>
          <w:i w:val="0"/>
          <w:iCs w:val="0"/>
          <w:sz w:val="24"/>
          <w:szCs w:val="24"/>
        </w:rPr>
      </w:pPr>
    </w:p>
    <w:p w14:paraId="285D52B7">
      <w:pPr>
        <w:pStyle w:val="6"/>
        <w:numPr>
          <w:ilvl w:val="0"/>
          <w:numId w:val="19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627496ED">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64E9327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资料包齐备率 = Σ( 已上传必传资料项 ) ÷ Σ( 必传资料项 ) × 100%                          必传资料齐备程度</w:t>
            </w:r>
          </w:p>
          <w:p w14:paraId="765644E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BOM物料凭证覆盖率 = Σ( 已绑定凭证的物料金额 ) ÷ Σ( BOM物料总金额 ) × 100%               按金额加权的凭证覆盖度</w:t>
            </w:r>
          </w:p>
          <w:p w14:paraId="29AA8F12">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Hash_bind = SHA256( File_Bytes )                          凭证文件与哈希绑定值</w:t>
            </w:r>
          </w:p>
          <w:p w14:paraId="6E1377C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Lock_Allowed = ( 资料包齐备率 == 100% ) AND ( BOM物料凭证覆盖率 == 100% ) AND ( 绿电发票核验状态 == 已核验 )                          锁定准入判定</w:t>
            </w:r>
          </w:p>
        </w:tc>
      </w:tr>
    </w:tbl>
    <w:p w14:paraId="74DA5391">
      <w:pPr>
        <w:spacing w:after="40"/>
        <w:rPr>
          <w:rFonts w:hint="eastAsia" w:ascii="宋体" w:hAnsi="宋体" w:eastAsia="宋体" w:cs="宋体"/>
          <w:i w:val="0"/>
          <w:iCs w:val="0"/>
          <w:sz w:val="24"/>
          <w:szCs w:val="24"/>
        </w:rPr>
      </w:pPr>
    </w:p>
    <w:p w14:paraId="3F650BC6">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：齐备率与覆盖率的分子分母均按资料项与物料条目自然汇总，不取项均值；分母为 0（无必传资料项或无 BOM 物料）时统一输出  --  并提示「无可校验对象」；覆盖率一律按金额加权，不采用物料条目数加权。</w:t>
      </w:r>
    </w:p>
    <w:p w14:paraId="1FCC03B9">
      <w:pPr>
        <w:pStyle w:val="6"/>
        <w:numPr>
          <w:ilvl w:val="0"/>
          <w:numId w:val="19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0E0A0F22">
      <w:pPr>
        <w:pStyle w:val="19"/>
        <w:widowControl/>
        <w:numPr>
          <w:ilvl w:val="0"/>
          <w:numId w:val="19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粒度口径</w:t>
      </w:r>
      <w:r>
        <w:rPr>
          <w:rFonts w:ascii="Times New Roman" w:hAnsi="Times New Roman" w:eastAsia="宋体" w:cs="Times New Roman"/>
          <w:i w:val="0"/>
          <w:color w:val="1F2937"/>
          <w:sz w:val="24"/>
          <w:szCs w:val="24"/>
        </w:rPr>
        <w:t>：认证资料包按「产品型号 × 认证标准」唯一，同一产品不同标准各自独立成包，禁止跨标准复用资料包。</w:t>
      </w:r>
    </w:p>
    <w:p w14:paraId="7E7C5845">
      <w:pPr>
        <w:pStyle w:val="19"/>
        <w:widowControl/>
        <w:numPr>
          <w:ilvl w:val="0"/>
          <w:numId w:val="19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覆盖率口径</w:t>
      </w:r>
      <w:r>
        <w:rPr>
          <w:rFonts w:ascii="Times New Roman" w:hAnsi="Times New Roman" w:eastAsia="宋体" w:cs="Times New Roman"/>
          <w:i w:val="0"/>
          <w:color w:val="1F2937"/>
          <w:sz w:val="24"/>
          <w:szCs w:val="24"/>
        </w:rPr>
        <w:t>：BOM 物料凭证覆盖率按金额加权计算，其分子分母口径与碳足迹核算模块的物料金额口径保持绝对一致。</w:t>
      </w:r>
    </w:p>
    <w:p w14:paraId="7041AD1A">
      <w:pPr>
        <w:pStyle w:val="19"/>
        <w:widowControl/>
        <w:numPr>
          <w:ilvl w:val="0"/>
          <w:numId w:val="19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锁定口径</w:t>
      </w:r>
      <w:r>
        <w:rPr>
          <w:rFonts w:ascii="Times New Roman" w:hAnsi="Times New Roman" w:eastAsia="宋体" w:cs="Times New Roman"/>
          <w:i w:val="0"/>
          <w:color w:val="1F2937"/>
          <w:sz w:val="24"/>
          <w:szCs w:val="24"/>
        </w:rPr>
        <w:t>：锁定后的资料包为认证申请的唯一输入版本；历史解锁版本仅存档留痕，不得被认证申请引用。</w:t>
      </w:r>
    </w:p>
    <w:p w14:paraId="17D8A242">
      <w:pPr>
        <w:pStyle w:val="19"/>
        <w:widowControl/>
        <w:numPr>
          <w:ilvl w:val="0"/>
          <w:numId w:val="19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除零口径</w:t>
      </w:r>
      <w:r>
        <w:rPr>
          <w:rFonts w:ascii="Times New Roman" w:hAnsi="Times New Roman" w:eastAsia="宋体" w:cs="Times New Roman"/>
          <w:i w:val="0"/>
          <w:color w:val="1F2937"/>
          <w:sz w:val="24"/>
          <w:szCs w:val="24"/>
        </w:rPr>
        <w:t>：齐备率与覆盖率的分母为 0 时统一输出  -- ，禁止输出 NaN / Infinity 或空白单元格。</w:t>
      </w:r>
    </w:p>
    <w:p w14:paraId="2152EEDC">
      <w:pPr>
        <w:pStyle w:val="6"/>
        <w:numPr>
          <w:ilvl w:val="0"/>
          <w:numId w:val="19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1EE0442E">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47D06B8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必传资料缺失或覆盖率 &lt; 100%：锁定按钮置灰并列出缺失清单（含责任角色与来源模块）。</w:t>
            </w:r>
          </w:p>
          <w:p w14:paraId="5F6FF49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凭证重复上传：同一凭证号重复上传触发  E_CERT_DUP_VOUCHER ，保留最新版本并标注重复记录。</w:t>
            </w:r>
          </w:p>
          <w:p w14:paraId="778BE50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凭证被替换导致哈希变更：触发  E_CERT_HASH_MISMATCH ，资料包自动回退至「草稿」状态并锁定待复核。</w:t>
            </w:r>
          </w:p>
          <w:p w14:paraId="364A88D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关联合算报告非已内审状态：资料包入口直接拦截，提示先完成碳足迹核算与内审。</w:t>
            </w:r>
          </w:p>
          <w:p w14:paraId="7199AE7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已锁定资料包被写入：拒绝写入并返回  E_CERT_PACKAGE_LOCKED ，须走解锁审批流程。</w:t>
            </w:r>
          </w:p>
          <w:p w14:paraId="536DA21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绿电发票核验不通过：禁止锁定，提示补正该凭证或剔除其对应的绿电抵扣量。</w:t>
            </w:r>
          </w:p>
        </w:tc>
      </w:tr>
    </w:tbl>
    <w:p w14:paraId="4088DA81">
      <w:pPr>
        <w:spacing w:after="40"/>
        <w:rPr>
          <w:rFonts w:hint="eastAsia" w:ascii="宋体" w:hAnsi="宋体" w:eastAsia="宋体" w:cs="宋体"/>
          <w:i w:val="0"/>
          <w:iCs w:val="0"/>
          <w:sz w:val="24"/>
          <w:szCs w:val="24"/>
        </w:rPr>
      </w:pPr>
    </w:p>
    <w:p w14:paraId="3F0D530C">
      <w:pPr>
        <w:pStyle w:val="6"/>
        <w:numPr>
          <w:ilvl w:val="0"/>
          <w:numId w:val="195"/>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6AD0D8B5">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3D75A4C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必传资料缺失禁止锁定</w:t>
            </w:r>
          </w:p>
          <w:p w14:paraId="67FB01B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Given 某产品认证资料包已上传原始凭证与物料平衡单但缺失绿电发票</w:t>
            </w:r>
          </w:p>
          <w:p w14:paraId="141B697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When P4 点击锁定资料包</w:t>
            </w:r>
          </w:p>
          <w:p w14:paraId="502B02C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Then 锁定按钮保持置灰不可点击</w:t>
            </w:r>
          </w:p>
          <w:p w14:paraId="5C3FE2A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And 缺失资料清单明确列出"绿电发票"及其责任角色与来源模块</w:t>
            </w:r>
          </w:p>
          <w:p w14:paraId="344184B0">
            <w:pPr>
              <w:spacing w:before="0" w:after="20" w:line="264" w:lineRule="auto"/>
              <w:rPr>
                <w:rFonts w:hint="eastAsia" w:ascii="宋体" w:hAnsi="宋体" w:eastAsia="宋体" w:cs="宋体"/>
                <w:i w:val="0"/>
                <w:iCs w:val="0"/>
                <w:sz w:val="24"/>
                <w:szCs w:val="24"/>
              </w:rPr>
            </w:pPr>
          </w:p>
          <w:p w14:paraId="57AC015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BOM 物料凭证覆盖率不足禁止锁定</w:t>
            </w:r>
          </w:p>
          <w:p w14:paraId="1228B77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Given 某资料包的 BOM 物料凭证覆盖率为 96.40%</w:t>
            </w:r>
          </w:p>
          <w:p w14:paraId="6F1F66B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When P4 尝试锁定该资料包</w:t>
            </w:r>
          </w:p>
          <w:p w14:paraId="49BB194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Then 系统拦截锁定动作</w:t>
            </w:r>
          </w:p>
          <w:p w14:paraId="5190F36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And 页面提示覆盖率未达 100.00% 并列出未绑定凭证的物料条目</w:t>
            </w:r>
          </w:p>
          <w:p w14:paraId="0BE7ABC0">
            <w:pPr>
              <w:spacing w:before="0" w:after="20" w:line="264" w:lineRule="auto"/>
              <w:rPr>
                <w:rFonts w:hint="eastAsia" w:ascii="宋体" w:hAnsi="宋体" w:eastAsia="宋体" w:cs="宋体"/>
                <w:i w:val="0"/>
                <w:iCs w:val="0"/>
                <w:sz w:val="24"/>
                <w:szCs w:val="24"/>
              </w:rPr>
            </w:pPr>
          </w:p>
          <w:p w14:paraId="26BF13A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凭证替换触发哈希变更回退</w:t>
            </w:r>
          </w:p>
          <w:p w14:paraId="7AEB8B4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Given 某资料包内的物料平衡单凭证已绑定 SHA-256</w:t>
            </w:r>
          </w:p>
          <w:p w14:paraId="07C14A3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When P4 上传同名新版本凭证替换原凭证</w:t>
            </w:r>
          </w:p>
          <w:p w14:paraId="6A1D6E4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Then 系统生成新版本凭证并保留原版本与替换流水</w:t>
            </w:r>
          </w:p>
          <w:p w14:paraId="3FEE3F1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And 资料包状态由"待锁定校验"自动回退至"草稿"</w:t>
            </w:r>
          </w:p>
          <w:p w14:paraId="2A8E64B0">
            <w:pPr>
              <w:spacing w:before="0" w:after="20" w:line="264" w:lineRule="auto"/>
              <w:rPr>
                <w:rFonts w:hint="eastAsia" w:ascii="宋体" w:hAnsi="宋体" w:eastAsia="宋体" w:cs="宋体"/>
                <w:i w:val="0"/>
                <w:iCs w:val="0"/>
                <w:sz w:val="24"/>
                <w:szCs w:val="24"/>
              </w:rPr>
            </w:pPr>
          </w:p>
          <w:p w14:paraId="3B00151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已锁定资料包禁止修改</w:t>
            </w:r>
          </w:p>
          <w:p w14:paraId="30FE3A4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Given 某资料包状态为"已锁定"</w:t>
            </w:r>
          </w:p>
          <w:p w14:paraId="3D1CCCA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When 任意角色尝试修改其凭证清单</w:t>
            </w:r>
          </w:p>
          <w:p w14:paraId="79CBE68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Then 写入被拒绝并返回错误码 E_CERT_PACKAGE_LOCKED</w:t>
            </w:r>
          </w:p>
          <w:p w14:paraId="77E18CC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And 系统提示须经 PM 审批解锁后方可修改</w:t>
            </w:r>
          </w:p>
          <w:p w14:paraId="6C235316">
            <w:pPr>
              <w:spacing w:before="0" w:after="20" w:line="264" w:lineRule="auto"/>
              <w:rPr>
                <w:rFonts w:hint="eastAsia" w:ascii="宋体" w:hAnsi="宋体" w:eastAsia="宋体" w:cs="宋体"/>
                <w:i w:val="0"/>
                <w:iCs w:val="0"/>
                <w:sz w:val="24"/>
                <w:szCs w:val="24"/>
              </w:rPr>
            </w:pPr>
          </w:p>
          <w:p w14:paraId="4B73BC7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绿电发票核验不通过冻结锁定</w:t>
            </w:r>
          </w:p>
          <w:p w14:paraId="16B1897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Given 某资料包的绿电发票凭证核验状态为"核验不通过"</w:t>
            </w:r>
          </w:p>
          <w:p w14:paraId="198147F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When P4 点击锁定资料包</w:t>
            </w:r>
          </w:p>
          <w:p w14:paraId="4187C77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Then 锁定入口被冻结</w:t>
            </w:r>
          </w:p>
          <w:p w14:paraId="3D74694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And 页面提示补正该凭证或剔除其对应的绿电抵扣量</w:t>
            </w:r>
          </w:p>
        </w:tc>
      </w:tr>
    </w:tbl>
    <w:p w14:paraId="5B348932">
      <w:pPr>
        <w:spacing w:after="40"/>
        <w:rPr>
          <w:rFonts w:hint="eastAsia" w:ascii="宋体" w:hAnsi="宋体" w:eastAsia="宋体" w:cs="宋体"/>
          <w:i w:val="0"/>
          <w:iCs w:val="0"/>
          <w:sz w:val="24"/>
          <w:szCs w:val="24"/>
        </w:rPr>
      </w:pPr>
    </w:p>
    <w:p w14:paraId="450C6CF4">
      <w:pPr>
        <w:pStyle w:val="5"/>
        <w:numPr>
          <w:ilvl w:val="0"/>
          <w:numId w:val="145"/>
        </w:numPr>
        <w:ind w:left="0" w:leftChars="0" w:firstLine="0" w:firstLineChars="0"/>
        <w:outlineLvl w:val="1"/>
        <w:rPr>
          <w:rFonts w:hint="eastAsia" w:ascii="Times New Roman" w:hAnsi="Times New Roman" w:eastAsia="黑体" w:cs="Times New Roman"/>
          <w:b w:val="0"/>
          <w:bCs w:val="0"/>
          <w:sz w:val="30"/>
          <w:szCs w:val="24"/>
          <w:lang w:val="en-US" w:eastAsia="zh-CN"/>
        </w:rPr>
      </w:pPr>
      <w:bookmarkStart w:id="56" w:name="_Toc6972"/>
      <w:r>
        <w:rPr>
          <w:rFonts w:hint="eastAsia" w:cs="Times New Roman"/>
          <w:b w:val="0"/>
          <w:bCs w:val="0"/>
          <w:sz w:val="30"/>
          <w:szCs w:val="24"/>
          <w:lang w:val="en-US" w:eastAsia="zh-CN"/>
        </w:rPr>
        <w:t>认证申请</w:t>
      </w:r>
      <w:bookmarkEnd w:id="56"/>
    </w:p>
    <w:p w14:paraId="0F304129">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bidi="ar-SA"/>
        </w:rPr>
      </w:pPr>
      <w:r>
        <w:rPr>
          <w:rFonts w:ascii="Times New Roman" w:hAnsi="Times New Roman" w:eastAsia="黑体" w:cs="Times New Roman"/>
          <w:bCs/>
          <w:kern w:val="2"/>
          <w:sz w:val="28"/>
          <w:szCs w:val="28"/>
          <w:lang w:bidi="ar-SA"/>
        </w:rPr>
        <w:drawing>
          <wp:inline distT="0" distB="0" distL="114300" distR="114300">
            <wp:extent cx="6118860" cy="3034030"/>
            <wp:effectExtent l="0" t="0" r="15240" b="13970"/>
            <wp:docPr id="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
                    <pic:cNvPicPr>
                      <a:picLocks noChangeAspect="1"/>
                    </pic:cNvPicPr>
                  </pic:nvPicPr>
                  <pic:blipFill>
                    <a:blip r:embed="rId48"/>
                    <a:stretch>
                      <a:fillRect/>
                    </a:stretch>
                  </pic:blipFill>
                  <pic:spPr>
                    <a:xfrm>
                      <a:off x="0" y="0"/>
                      <a:ext cx="6118860" cy="3034030"/>
                    </a:xfrm>
                    <a:prstGeom prst="rect">
                      <a:avLst/>
                    </a:prstGeom>
                    <a:noFill/>
                    <a:ln>
                      <a:noFill/>
                    </a:ln>
                  </pic:spPr>
                </pic:pic>
              </a:graphicData>
            </a:graphic>
          </wp:inline>
        </w:drawing>
      </w:r>
    </w:p>
    <w:p w14:paraId="3819448C">
      <w:pPr>
        <w:pStyle w:val="6"/>
        <w:numPr>
          <w:ilvl w:val="0"/>
          <w:numId w:val="20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6EE5C119">
      <w:pPr>
        <w:pStyle w:val="19"/>
        <w:widowControl/>
        <w:numPr>
          <w:ilvl w:val="0"/>
          <w:numId w:val="19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：向 SGS、TÜV 南德、中国方圆等外部机构在线发起认证委托、报价确认、排期协同、补正意见处理与审核进度跟踪的对外业务流程看板。</w:t>
      </w:r>
    </w:p>
    <w:p w14:paraId="7D29056A">
      <w:pPr>
        <w:pStyle w:val="19"/>
        <w:widowControl/>
        <w:numPr>
          <w:ilvl w:val="0"/>
          <w:numId w:val="19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碳核算与认证工程师（发起申请与补正答复）、PM（商务审批与流程管理）、P6 外部独立审计机构（排期与意见反馈）。</w:t>
      </w:r>
    </w:p>
    <w:p w14:paraId="3FDEC446">
      <w:pPr>
        <w:pStyle w:val="19"/>
        <w:widowControl/>
        <w:numPr>
          <w:ilvl w:val="0"/>
          <w:numId w:val="19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 /carbon-footprint/certification/apply 。</w:t>
      </w:r>
    </w:p>
    <w:p w14:paraId="5D0C7BB8">
      <w:pPr>
        <w:pStyle w:val="19"/>
        <w:widowControl/>
        <w:numPr>
          <w:ilvl w:val="0"/>
          <w:numId w:val="19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：已锁定认证资料包、认证机构白名单与报价库、框架协议与合同管理、统一工作流引擎。</w:t>
      </w:r>
    </w:p>
    <w:p w14:paraId="0E295AFF">
      <w:pPr>
        <w:pStyle w:val="19"/>
        <w:widowControl/>
        <w:numPr>
          <w:ilvl w:val="0"/>
          <w:numId w:val="19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：认证申请流水与审核里程碑记录 → 作为「认证结果管理」模块的证书登记依据。</w:t>
      </w:r>
    </w:p>
    <w:p w14:paraId="1A8E39B7">
      <w:pPr>
        <w:pStyle w:val="6"/>
        <w:numPr>
          <w:ilvl w:val="0"/>
          <w:numId w:val="20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2F6660D1">
      <w:pPr>
        <w:pStyle w:val="19"/>
        <w:widowControl/>
        <w:numPr>
          <w:ilvl w:val="0"/>
          <w:numId w:val="19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：产品碳足迹报告通过内审后，需在合规机构库中选择认证机构、确认报价与合同、预约现场或远程审核档期，并在机构提出补正意见时组织责任人在限定周期内闭环答复。</w:t>
      </w:r>
    </w:p>
    <w:p w14:paraId="0CA9D0E6">
      <w:pPr>
        <w:pStyle w:val="19"/>
        <w:widowControl/>
        <w:numPr>
          <w:ilvl w:val="0"/>
          <w:numId w:val="19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12CA32BB">
      <w:pPr>
        <w:pStyle w:val="19"/>
        <w:widowControl/>
        <w:numPr>
          <w:ilvl w:val="0"/>
          <w:numId w:val="19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As a 碳核算与认证工程师 (Persona P4)，</w:t>
      </w:r>
    </w:p>
    <w:p w14:paraId="64869F7B">
      <w:pPr>
        <w:pStyle w:val="19"/>
        <w:widowControl/>
        <w:numPr>
          <w:ilvl w:val="0"/>
          <w:numId w:val="19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I want 在线选择合规认证机构并锁定报价与审核排期、结构化跟踪审核里程碑与机构补正意见，</w:t>
      </w:r>
    </w:p>
    <w:p w14:paraId="5FA5621D">
      <w:pPr>
        <w:pStyle w:val="19"/>
        <w:widowControl/>
        <w:numPr>
          <w:ilvl w:val="0"/>
          <w:numId w:val="19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So that 我能把认证进度纳入可控排期，压缩平均发证周期并避免补正超期。</w:t>
      </w:r>
    </w:p>
    <w:p w14:paraId="03122919">
      <w:pPr>
        <w:pStyle w:val="6"/>
        <w:numPr>
          <w:ilvl w:val="0"/>
          <w:numId w:val="20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549B9BD0">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认证机构白名单选择器</w:t>
      </w:r>
      <w:r>
        <w:rPr>
          <w:rFonts w:ascii="Times New Roman" w:hAnsi="Times New Roman" w:eastAsia="宋体" w:cs="Times New Roman"/>
          <w:i w:val="0"/>
          <w:color w:val="1F2937"/>
          <w:sz w:val="24"/>
          <w:szCs w:val="24"/>
        </w:rPr>
        <w:t>：仅可选择已签署框架协议且资质在有效期内的机构；选择器同屏展示机构认可范围、历史平均发证周期、最近一次成交报价与近三年不良记录。</w:t>
      </w:r>
    </w:p>
    <w:p w14:paraId="6AF4F7A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委托与报价确认：生成委托单并录入合同金额与币种；报价较基准报价偏差超过 ±10% 时强制填写偏差说明，未完成 PM 复核不得向机构报送。</w:t>
      </w:r>
    </w:p>
    <w:p w14:paraId="5F1663C8">
      <w:pPr>
        <w:pStyle w:val="19"/>
        <w:widowControl/>
        <w:numPr>
          <w:ilvl w:val="0"/>
          <w:numId w:val="19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审核排期日历：以日历形式展示机构审核员可选档期与现场 / 远程审核方式，选定后在日历上锁定并自动生成现场准备任务与责任人。</w:t>
      </w:r>
    </w:p>
    <w:p w14:paraId="550B744B">
      <w:pPr>
        <w:pStyle w:val="19"/>
        <w:widowControl/>
        <w:numPr>
          <w:ilvl w:val="0"/>
          <w:numId w:val="19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机构补正意见通道</w:t>
      </w:r>
      <w:r>
        <w:rPr>
          <w:rFonts w:ascii="Times New Roman" w:hAnsi="Times New Roman" w:eastAsia="宋体" w:cs="Times New Roman"/>
          <w:i w:val="0"/>
          <w:color w:val="1F2937"/>
          <w:sz w:val="24"/>
          <w:szCs w:val="24"/>
        </w:rPr>
        <w:t>：机构退回意见按「意见条目 / 指向资料 / 严重级别」结构化登记，支持指派补正责任人与上传补正凭证，答复完成后一键回传机构并记录回传凭证。</w:t>
      </w:r>
    </w:p>
    <w:p w14:paraId="0CE6F3C8">
      <w:pPr>
        <w:pStyle w:val="19"/>
        <w:widowControl/>
        <w:numPr>
          <w:ilvl w:val="0"/>
          <w:numId w:val="19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审核进度里程碑流水线</w:t>
      </w:r>
      <w:r>
        <w:rPr>
          <w:rFonts w:ascii="Times New Roman" w:hAnsi="Times New Roman" w:eastAsia="宋体" w:cs="Times New Roman"/>
          <w:i w:val="0"/>
          <w:color w:val="1F2937"/>
          <w:sz w:val="24"/>
          <w:szCs w:val="24"/>
        </w:rPr>
        <w:t>：受理 → 排期中 → 现场核查 → 整改中 → 待签发 → 已签发，每个里程碑写入时间戳、操作人与附件；任何状态回退须填写回退原因。</w:t>
      </w:r>
    </w:p>
    <w:p w14:paraId="67FFE47E">
      <w:pPr>
        <w:pStyle w:val="19"/>
        <w:widowControl/>
        <w:numPr>
          <w:ilvl w:val="0"/>
          <w:numId w:val="19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补正超期升级</w:t>
      </w:r>
      <w:r>
        <w:rPr>
          <w:rFonts w:ascii="Times New Roman" w:hAnsi="Times New Roman" w:eastAsia="宋体" w:cs="Times New Roman"/>
          <w:i w:val="0"/>
          <w:color w:val="1F2937"/>
          <w:sz w:val="24"/>
          <w:szCs w:val="24"/>
        </w:rPr>
        <w:t>：补正期限按机构约定天数计算，剩余 3 天触发提醒，超期未闭环自动升级至 PM 待办。</w:t>
      </w:r>
    </w:p>
    <w:p w14:paraId="2F8E74B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认证机构对接方式</w:t>
      </w:r>
      <w:r>
        <w:rPr>
          <w:rFonts w:ascii="Times New Roman" w:hAnsi="Times New Roman" w:eastAsia="宋体" w:cs="Times New Roman"/>
          <w:i w:val="0"/>
          <w:color w:val="1F2937"/>
          <w:sz w:val="24"/>
          <w:szCs w:val="24"/>
        </w:rPr>
        <w:t>：具备开放平台的机构采用 API 直连回传受理号与审核结论；不具备 API 条件的机构采用「加密邮件 + 机构门户上传」双通道，全部跨境报文须经数据出境合规网关。</w:t>
      </w:r>
    </w:p>
    <w:p w14:paraId="0E860BD2">
      <w:pPr>
        <w:pStyle w:val="6"/>
        <w:numPr>
          <w:ilvl w:val="0"/>
          <w:numId w:val="20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98"/>
        <w:gridCol w:w="2021"/>
        <w:gridCol w:w="1380"/>
        <w:gridCol w:w="1306"/>
        <w:gridCol w:w="4179"/>
      </w:tblGrid>
      <w:tr w14:paraId="49E527A9">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94AF2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202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8CED6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8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D02B5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0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7237B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1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05AE8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1DBD37FB">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E709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89F53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认证申请流水号</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502F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B2DD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A30F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唯一，格式  APPLY-&lt;年&gt;-&lt;序号&gt;</w:t>
            </w:r>
          </w:p>
        </w:tc>
      </w:tr>
      <w:tr w14:paraId="0AC725BA">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064E6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15D9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委托机构编码</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2689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D625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9BC4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取自认证机构白名单，格式  ORG-&lt;3位流水&gt; ；机构资质过期不可选</w:t>
            </w:r>
          </w:p>
        </w:tc>
      </w:tr>
      <w:tr w14:paraId="5772DB48">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123E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FF27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认证标准</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6C459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7109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24382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ISO 14067:2018 / PAS 2050:2011</w:t>
            </w:r>
          </w:p>
        </w:tc>
      </w:tr>
      <w:tr w14:paraId="13ED955E">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8D05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103D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关联资料包编号</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3583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C2CF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F154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必须为「已锁定」状态的资料包编号，一包一申请</w:t>
            </w:r>
          </w:p>
        </w:tc>
      </w:tr>
      <w:tr w14:paraId="38C24DE6">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F705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A1BC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预计发证周期</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CED1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0A59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自然日</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5A83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&gt; 0；默认取机构历史均值，允许 ±20% 人工修正并留痕</w:t>
            </w:r>
          </w:p>
        </w:tc>
      </w:tr>
      <w:tr w14:paraId="12021793">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B1E3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5A63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合同金额</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CE88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68AF7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 / € / $</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37EE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保留 2 位小数，&gt; 0；币种须与合同一致</w:t>
            </w:r>
          </w:p>
        </w:tc>
      </w:tr>
      <w:tr w14:paraId="1AC7BE2A">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48F5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73A9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审核状态</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11B5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B155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2B01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待受理 / 排期中 / 现场核查 / 整改中 / 待签发 / 已签发 / 已终止</w:t>
            </w:r>
          </w:p>
        </w:tc>
      </w:tr>
      <w:tr w14:paraId="5904AAE3">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C0C3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438C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审核方式</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6ADD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77C6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7777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现场审核 / 远程审核</w:t>
            </w:r>
          </w:p>
        </w:tc>
      </w:tr>
      <w:tr w14:paraId="237091E2">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2C66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D6EA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排期日期</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38AF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634D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87B9F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非空，必须晚于申请提交日期</w:t>
            </w:r>
          </w:p>
        </w:tc>
      </w:tr>
      <w:tr w14:paraId="1F7A8C0C">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85C9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F0E8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报价偏差率</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9478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0500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44DB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ABS( 报价 − 基准报价 ) ÷ 基准报价 × 100%；&gt; 10.00 强制 PM 复核</w:t>
            </w:r>
          </w:p>
        </w:tc>
      </w:tr>
      <w:tr w14:paraId="345D7158">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3DC8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3A61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机构补正意见</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A05D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Text</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BFBD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4640B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审核状态为「整改中」时必填，按意见条目结构化登记</w:t>
            </w:r>
          </w:p>
        </w:tc>
      </w:tr>
      <w:tr w14:paraId="55F20320">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2CD3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A3C1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补正责任人与完成时间</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1D048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 / DateTime</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6F91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 HH:mm:ss</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286C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退回动作生效时责任人必填；整改闭环时写入完成时间</w:t>
            </w:r>
          </w:p>
        </w:tc>
      </w:tr>
      <w:tr w14:paraId="61599F4F">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B263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13</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BF0F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里程碑时间戳</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5428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JSON</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1C50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FBC7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记录各状态进入时间与操作人，写入后不可修改</w:t>
            </w:r>
          </w:p>
        </w:tc>
      </w:tr>
    </w:tbl>
    <w:p w14:paraId="13FCADF3">
      <w:pPr>
        <w:spacing w:after="60"/>
        <w:rPr>
          <w:rFonts w:hint="eastAsia" w:ascii="宋体" w:hAnsi="宋体" w:eastAsia="宋体" w:cs="宋体"/>
          <w:i w:val="0"/>
          <w:iCs w:val="0"/>
          <w:sz w:val="24"/>
          <w:szCs w:val="24"/>
        </w:rPr>
      </w:pPr>
    </w:p>
    <w:p w14:paraId="481AE1DA">
      <w:pPr>
        <w:pStyle w:val="6"/>
        <w:numPr>
          <w:ilvl w:val="0"/>
          <w:numId w:val="20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038BA8A4">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7BB56C4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报价偏差率 = ABS( 报价金额 − 基准报价 ) ÷ 基准报价 × 100%                          报价合理性判定</w:t>
            </w:r>
          </w:p>
          <w:p w14:paraId="50A59C5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预计发证周期修正值 = 机构历史平均发证周期 × ( 1 + 修正系数 ) ，修正系数 ∈ [ -0.20 , +0.20 ]                          排期预估值</w:t>
            </w:r>
          </w:p>
          <w:p w14:paraId="671C8F9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认证处理时长 = 已签发时间 − 受理时间                          单位：自然日</w:t>
            </w:r>
          </w:p>
          <w:p w14:paraId="6BA8F40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Progress = 已完成里程碑数 ÷ 里程碑总数 × 100%                          审核进度完成度</w:t>
            </w:r>
          </w:p>
        </w:tc>
      </w:tr>
    </w:tbl>
    <w:p w14:paraId="47F70FAC">
      <w:pPr>
        <w:spacing w:after="40"/>
        <w:rPr>
          <w:rFonts w:hint="eastAsia" w:ascii="宋体" w:hAnsi="宋体" w:eastAsia="宋体" w:cs="宋体"/>
          <w:i w:val="0"/>
          <w:iCs w:val="0"/>
          <w:sz w:val="24"/>
          <w:szCs w:val="24"/>
        </w:rPr>
      </w:pPr>
    </w:p>
    <w:p w14:paraId="09E0FEA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：基准报价取机构白名单中同认证标准最近一次成交价；白名单无历史成交价时输出  --  并跳过偏差校验；修正系数超出 [ -0.20 , +0.20 ] 区间时拒绝保存。</w:t>
      </w:r>
    </w:p>
    <w:p w14:paraId="405CA444">
      <w:pPr>
        <w:pStyle w:val="6"/>
        <w:numPr>
          <w:ilvl w:val="0"/>
          <w:numId w:val="20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55165C81">
      <w:pPr>
        <w:pStyle w:val="19"/>
        <w:widowControl/>
        <w:numPr>
          <w:ilvl w:val="0"/>
          <w:numId w:val="19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状态口径</w:t>
      </w:r>
      <w:r>
        <w:rPr>
          <w:rFonts w:ascii="Times New Roman" w:hAnsi="Times New Roman" w:eastAsia="宋体" w:cs="Times New Roman"/>
          <w:i w:val="0"/>
          <w:color w:val="1F2937"/>
          <w:sz w:val="24"/>
          <w:szCs w:val="24"/>
        </w:rPr>
        <w:t>：审核状态以机构回传的正式文书为准，人工不得直接跳转状态；状态回退必须填写回退原因并留痕。</w:t>
      </w:r>
    </w:p>
    <w:p w14:paraId="46A4CB75">
      <w:pPr>
        <w:pStyle w:val="19"/>
        <w:widowControl/>
        <w:numPr>
          <w:ilvl w:val="0"/>
          <w:numId w:val="19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里程碑口径</w:t>
      </w:r>
      <w:r>
        <w:rPr>
          <w:rFonts w:ascii="Times New Roman" w:hAnsi="Times New Roman" w:eastAsia="宋体" w:cs="Times New Roman"/>
          <w:i w:val="0"/>
          <w:color w:val="1F2937"/>
          <w:sz w:val="24"/>
          <w:szCs w:val="24"/>
        </w:rPr>
        <w:t>：进度百分比按里程碑数量等权计算，不按停留时长加权，避免长停留环节放大进度。</w:t>
      </w:r>
    </w:p>
    <w:p w14:paraId="676E3376">
      <w:pPr>
        <w:pStyle w:val="19"/>
        <w:widowControl/>
        <w:numPr>
          <w:ilvl w:val="0"/>
          <w:numId w:val="19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退回口径</w:t>
      </w:r>
      <w:r>
        <w:rPr>
          <w:rFonts w:ascii="Times New Roman" w:hAnsi="Times New Roman" w:eastAsia="宋体" w:cs="Times New Roman"/>
          <w:i w:val="0"/>
          <w:color w:val="1F2937"/>
          <w:sz w:val="24"/>
          <w:szCs w:val="24"/>
        </w:rPr>
        <w:t>：机构退回须逐条结构化登记并指派补正责任人，未指派时退回动作不生效；同一资料包重新提交生成新流水号。</w:t>
      </w:r>
    </w:p>
    <w:p w14:paraId="722D3AF5">
      <w:pPr>
        <w:pStyle w:val="19"/>
        <w:widowControl/>
        <w:numPr>
          <w:ilvl w:val="0"/>
          <w:numId w:val="19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时长口径</w:t>
      </w:r>
      <w:r>
        <w:rPr>
          <w:rFonts w:ascii="Times New Roman" w:hAnsi="Times New Roman" w:eastAsia="宋体" w:cs="Times New Roman"/>
          <w:i w:val="0"/>
          <w:color w:val="1F2937"/>
          <w:sz w:val="24"/>
          <w:szCs w:val="24"/>
        </w:rPr>
        <w:t>：认证处理时长统一以自然日计，自受理时间起算至签发时间止，不含资料包组装阶段的耗时。</w:t>
      </w:r>
    </w:p>
    <w:p w14:paraId="76867CDC">
      <w:pPr>
        <w:pStyle w:val="6"/>
        <w:numPr>
          <w:ilvl w:val="0"/>
          <w:numId w:val="20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51420E99">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01E9585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机构资质过期：白名单选择器中该机构置灰，并提示资质失效日期。</w:t>
            </w:r>
          </w:p>
          <w:p w14:paraId="7918439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报价偏差率 &gt; 10%：强制填写偏差说明，未完成 PM 复核不得向机构报送。</w:t>
            </w:r>
          </w:p>
          <w:p w14:paraId="60CB065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机构审核员档期冲突：禁止占用冲突时段，提示最近可选时段。</w:t>
            </w:r>
          </w:p>
          <w:p w14:paraId="32C6DE1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关联资料包非「已锁定」：申请入口拦截，提示先完成资料包锁定。</w:t>
            </w:r>
          </w:p>
          <w:p w14:paraId="76DF71E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同一资料包存在进行中申请：拦截重复提交并展示在途申请流水号。</w:t>
            </w:r>
          </w:p>
          <w:p w14:paraId="1595CA6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退回未指派补正责任人：退回动作不生效并提示必须指派责任人。</w:t>
            </w:r>
          </w:p>
          <w:p w14:paraId="05EAFD5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补正超期：超过机构约定补正期限触发  E_CERT_RECTIFY_OVERDUE  并升级至 PM 待办。</w:t>
            </w:r>
          </w:p>
        </w:tc>
      </w:tr>
    </w:tbl>
    <w:p w14:paraId="55A46698">
      <w:pPr>
        <w:spacing w:after="40"/>
        <w:rPr>
          <w:rFonts w:hint="eastAsia" w:ascii="宋体" w:hAnsi="宋体" w:eastAsia="宋体" w:cs="宋体"/>
          <w:i w:val="0"/>
          <w:iCs w:val="0"/>
          <w:sz w:val="24"/>
          <w:szCs w:val="24"/>
        </w:rPr>
      </w:pPr>
    </w:p>
    <w:p w14:paraId="35A4123D">
      <w:pPr>
        <w:pStyle w:val="6"/>
        <w:numPr>
          <w:ilvl w:val="0"/>
          <w:numId w:val="200"/>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6096E5ED">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2D5751C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机构资质过期不可选择</w:t>
            </w:r>
          </w:p>
          <w:p w14:paraId="1B1D154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Given 某认证机构框架协议已到期</w:t>
            </w:r>
          </w:p>
          <w:p w14:paraId="3FE8391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When P4 打开认证机构白名单选择器</w:t>
            </w:r>
          </w:p>
          <w:p w14:paraId="0C6EAD4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Then 该机构选项置灰不可选择</w:t>
            </w:r>
          </w:p>
          <w:p w14:paraId="6052829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And 页面提示该机构资质失效日期</w:t>
            </w:r>
          </w:p>
          <w:p w14:paraId="7ADE4849">
            <w:pPr>
              <w:spacing w:before="0" w:after="20" w:line="264" w:lineRule="auto"/>
              <w:rPr>
                <w:rFonts w:hint="eastAsia" w:ascii="宋体" w:hAnsi="宋体" w:eastAsia="宋体" w:cs="宋体"/>
                <w:i w:val="0"/>
                <w:iCs w:val="0"/>
                <w:sz w:val="24"/>
                <w:szCs w:val="24"/>
              </w:rPr>
            </w:pPr>
          </w:p>
          <w:p w14:paraId="58FA038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报价偏差超限强制复核</w:t>
            </w:r>
          </w:p>
          <w:p w14:paraId="722589A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Given 某机构报价较同标准基准报价偏差 +12.40%</w:t>
            </w:r>
          </w:p>
          <w:p w14:paraId="259DDA9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When P4 提交委托单</w:t>
            </w:r>
          </w:p>
          <w:p w14:paraId="1C276AF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Then 系统强制要求填写报价偏差说明</w:t>
            </w:r>
          </w:p>
          <w:p w14:paraId="3EE9BB3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And 未完成 PM 复核前不得向机构报送</w:t>
            </w:r>
          </w:p>
          <w:p w14:paraId="15420051">
            <w:pPr>
              <w:spacing w:before="0" w:after="20" w:line="264" w:lineRule="auto"/>
              <w:rPr>
                <w:rFonts w:hint="eastAsia" w:ascii="宋体" w:hAnsi="宋体" w:eastAsia="宋体" w:cs="宋体"/>
                <w:i w:val="0"/>
                <w:iCs w:val="0"/>
                <w:sz w:val="24"/>
                <w:szCs w:val="24"/>
              </w:rPr>
            </w:pPr>
          </w:p>
          <w:p w14:paraId="1419736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未锁定资料包禁止发起申请</w:t>
            </w:r>
          </w:p>
          <w:p w14:paraId="5C164A7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Given 某资料包状态为"待锁定校验"</w:t>
            </w:r>
          </w:p>
          <w:p w14:paraId="3125080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When P4 以其为输入发起认证申请</w:t>
            </w:r>
          </w:p>
          <w:p w14:paraId="6032C08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Then 申请入口被拦截</w:t>
            </w:r>
          </w:p>
          <w:p w14:paraId="7056EA5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And 页面提示先完成资料包锁定</w:t>
            </w:r>
          </w:p>
          <w:p w14:paraId="3BF21F54">
            <w:pPr>
              <w:spacing w:before="0" w:after="20" w:line="264" w:lineRule="auto"/>
              <w:rPr>
                <w:rFonts w:hint="eastAsia" w:ascii="宋体" w:hAnsi="宋体" w:eastAsia="宋体" w:cs="宋体"/>
                <w:i w:val="0"/>
                <w:iCs w:val="0"/>
                <w:sz w:val="24"/>
                <w:szCs w:val="24"/>
              </w:rPr>
            </w:pPr>
          </w:p>
          <w:p w14:paraId="361B190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补正意见必须指派责任人才可退回</w:t>
            </w:r>
          </w:p>
          <w:p w14:paraId="0C26756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Given 机构在在线核验环节退回申请并登记补正意见</w:t>
            </w:r>
          </w:p>
          <w:p w14:paraId="1F65B0A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When P4 处理退回动作但未指派补正责任人</w:t>
            </w:r>
          </w:p>
          <w:p w14:paraId="14BFBDF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Then 退回动作不生效</w:t>
            </w:r>
          </w:p>
          <w:p w14:paraId="0065CD6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And 页面提示必须指派补正责任人</w:t>
            </w:r>
          </w:p>
          <w:p w14:paraId="3CDA8964">
            <w:pPr>
              <w:spacing w:before="0" w:after="20" w:line="264" w:lineRule="auto"/>
              <w:rPr>
                <w:rFonts w:hint="eastAsia" w:ascii="宋体" w:hAnsi="宋体" w:eastAsia="宋体" w:cs="宋体"/>
                <w:i w:val="0"/>
                <w:iCs w:val="0"/>
                <w:sz w:val="24"/>
                <w:szCs w:val="24"/>
              </w:rPr>
            </w:pPr>
          </w:p>
          <w:p w14:paraId="6B2CFC2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补正超期自动升级</w:t>
            </w:r>
          </w:p>
          <w:p w14:paraId="7B3C32E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Given 某申请处于"整改中"且已超过机构约定补正期限</w:t>
            </w:r>
          </w:p>
          <w:p w14:paraId="20F4166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When 系统执行每日进度巡检</w:t>
            </w:r>
          </w:p>
          <w:p w14:paraId="3707C48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Then 触发错误码 E_CERT_RECTIFY_OVERDUE</w:t>
            </w:r>
          </w:p>
          <w:p w14:paraId="1CA70A1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And 该待办自动升级至 PM 待办中心</w:t>
            </w:r>
          </w:p>
        </w:tc>
      </w:tr>
    </w:tbl>
    <w:p w14:paraId="656C8D1A">
      <w:pPr>
        <w:spacing w:after="40"/>
        <w:rPr>
          <w:rFonts w:hint="eastAsia" w:ascii="宋体" w:hAnsi="宋体" w:eastAsia="宋体" w:cs="宋体"/>
          <w:i w:val="0"/>
          <w:iCs w:val="0"/>
          <w:sz w:val="24"/>
          <w:szCs w:val="24"/>
        </w:rPr>
      </w:pPr>
    </w:p>
    <w:p w14:paraId="5EE86900">
      <w:pPr>
        <w:pStyle w:val="5"/>
        <w:numPr>
          <w:ilvl w:val="0"/>
          <w:numId w:val="145"/>
        </w:numPr>
        <w:ind w:left="0" w:leftChars="0" w:firstLine="0" w:firstLineChars="0"/>
        <w:outlineLvl w:val="1"/>
        <w:rPr>
          <w:rFonts w:hint="default" w:ascii="Times New Roman" w:hAnsi="Times New Roman" w:eastAsia="黑体" w:cs="Times New Roman"/>
          <w:b w:val="0"/>
          <w:bCs w:val="0"/>
          <w:sz w:val="30"/>
          <w:szCs w:val="24"/>
          <w:lang w:val="en-US" w:eastAsia="zh-CN"/>
        </w:rPr>
      </w:pPr>
      <w:bookmarkStart w:id="57" w:name="_Toc18704"/>
      <w:r>
        <w:rPr>
          <w:rFonts w:hint="eastAsia" w:cs="Times New Roman"/>
          <w:b w:val="0"/>
          <w:bCs w:val="0"/>
          <w:sz w:val="30"/>
          <w:szCs w:val="24"/>
          <w:lang w:val="en-US" w:eastAsia="zh-CN"/>
        </w:rPr>
        <w:t>认证结果管理</w:t>
      </w:r>
      <w:bookmarkEnd w:id="57"/>
    </w:p>
    <w:p w14:paraId="0A1FE4E8">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bidi="ar-SA"/>
        </w:rPr>
      </w:pPr>
      <w:r>
        <w:rPr>
          <w:rFonts w:ascii="Times New Roman" w:hAnsi="Times New Roman" w:eastAsia="黑体" w:cs="Times New Roman"/>
          <w:bCs/>
          <w:kern w:val="2"/>
          <w:sz w:val="28"/>
          <w:szCs w:val="28"/>
          <w:lang w:bidi="ar-SA"/>
        </w:rPr>
        <w:drawing>
          <wp:inline distT="0" distB="0" distL="114300" distR="114300">
            <wp:extent cx="6118860" cy="3034030"/>
            <wp:effectExtent l="0" t="0" r="15240" b="13970"/>
            <wp:docPr id="3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
                    <pic:cNvPicPr>
                      <a:picLocks noChangeAspect="1"/>
                    </pic:cNvPicPr>
                  </pic:nvPicPr>
                  <pic:blipFill>
                    <a:blip r:embed="rId49"/>
                    <a:stretch>
                      <a:fillRect/>
                    </a:stretch>
                  </pic:blipFill>
                  <pic:spPr>
                    <a:xfrm>
                      <a:off x="0" y="0"/>
                      <a:ext cx="6118860" cy="3034030"/>
                    </a:xfrm>
                    <a:prstGeom prst="rect">
                      <a:avLst/>
                    </a:prstGeom>
                    <a:noFill/>
                    <a:ln>
                      <a:noFill/>
                    </a:ln>
                  </pic:spPr>
                </pic:pic>
              </a:graphicData>
            </a:graphic>
          </wp:inline>
        </w:drawing>
      </w:r>
    </w:p>
    <w:p w14:paraId="13EB1A78">
      <w:pPr>
        <w:pStyle w:val="6"/>
        <w:numPr>
          <w:ilvl w:val="0"/>
          <w:numId w:val="20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389235DC">
      <w:pPr>
        <w:pStyle w:val="19"/>
        <w:widowControl/>
        <w:numPr>
          <w:ilvl w:val="0"/>
          <w:numId w:val="19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：官方认证声明（Attestation）的结构化存储与验真中枢、防伪数字碳标签签发授权中心，以及证书资质到期的生命周期监控与自动熔断闸门。</w:t>
      </w:r>
    </w:p>
    <w:p w14:paraId="6AC0DFB5">
      <w:pPr>
        <w:pStyle w:val="19"/>
        <w:widowControl/>
        <w:numPr>
          <w:ilvl w:val="0"/>
          <w:numId w:val="19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碳核算与认证工程师（证书登记与续期）、PM（对外公示授权审批）、P6 外部独立审计机构（只读验真）；外部对象为欧盟客户与审查专员（仅可见脱敏结果）。</w:t>
      </w:r>
    </w:p>
    <w:p w14:paraId="33309CBD">
      <w:pPr>
        <w:pStyle w:val="19"/>
        <w:widowControl/>
        <w:numPr>
          <w:ilvl w:val="0"/>
          <w:numId w:val="19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 /carbon-footprint/certification/result 。</w:t>
      </w:r>
    </w:p>
    <w:p w14:paraId="000C968B">
      <w:pPr>
        <w:pStyle w:val="19"/>
        <w:widowControl/>
        <w:numPr>
          <w:ilvl w:val="0"/>
          <w:numId w:val="19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：认证机构签发的结论与证书 PDF 原件、签发机构公钥证书、认证申请流水。</w:t>
      </w:r>
    </w:p>
    <w:p w14:paraId="7BCB2E75">
      <w:pPr>
        <w:pStyle w:val="19"/>
        <w:widowControl/>
        <w:numPr>
          <w:ilvl w:val="0"/>
          <w:numId w:val="19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：数字碳标签授权码、产品碳标签发布开关、对外公示白名单。</w:t>
      </w:r>
    </w:p>
    <w:p w14:paraId="5ED1C095">
      <w:pPr>
        <w:pStyle w:val="6"/>
        <w:numPr>
          <w:ilvl w:val="0"/>
          <w:numId w:val="20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5D394E0F">
      <w:pPr>
        <w:pStyle w:val="19"/>
        <w:widowControl/>
        <w:numPr>
          <w:ilvl w:val="0"/>
          <w:numId w:val="19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：机构签发证书后，需完成证书原件加密存证、结构化登记与验真；证书生命周期内按剩余有效天数分级预警，并在到期未续或机构吊销时立即熔断对应产品的数字碳标签。</w:t>
      </w:r>
    </w:p>
    <w:p w14:paraId="5200BD16">
      <w:pPr>
        <w:pStyle w:val="19"/>
        <w:widowControl/>
        <w:numPr>
          <w:ilvl w:val="0"/>
          <w:numId w:val="19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1574BD5B">
      <w:pPr>
        <w:pStyle w:val="19"/>
        <w:widowControl/>
        <w:numPr>
          <w:ilvl w:val="0"/>
          <w:numId w:val="19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As a 碳核算与认证工程师 (Persona P4)，</w:t>
      </w:r>
    </w:p>
    <w:p w14:paraId="42066914">
      <w:pPr>
        <w:pStyle w:val="19"/>
        <w:widowControl/>
        <w:numPr>
          <w:ilvl w:val="0"/>
          <w:numId w:val="19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I want 将证书原件加密存证并结构化登记覆盖产品型号白名单，按 90/30/7 天分级预警并在失效时自动下架数字碳标签，</w:t>
      </w:r>
    </w:p>
    <w:p w14:paraId="08BF06EA">
      <w:pPr>
        <w:pStyle w:val="19"/>
        <w:widowControl/>
        <w:numPr>
          <w:ilvl w:val="0"/>
          <w:numId w:val="19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So that 我能确保对外发布的碳标签始终基于有效认证，杜绝过期证书被误用。</w:t>
      </w:r>
    </w:p>
    <w:p w14:paraId="1644A62C">
      <w:pPr>
        <w:pStyle w:val="6"/>
        <w:numPr>
          <w:ilvl w:val="0"/>
          <w:numId w:val="20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2869950B">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证书原件加密存证与验真</w:t>
      </w:r>
      <w:r>
        <w:rPr>
          <w:rFonts w:ascii="Times New Roman" w:hAnsi="Times New Roman" w:eastAsia="宋体" w:cs="Times New Roman"/>
          <w:i w:val="0"/>
          <w:color w:val="1F2937"/>
          <w:sz w:val="24"/>
          <w:szCs w:val="24"/>
        </w:rPr>
        <w:t>：证书 PDF 原件落盘 AES-256 加密，登记签发机构数字签名与公钥证书 ID；验真时执行签名校验与 PDF 哈希比对，二者须同时通过。</w:t>
      </w:r>
    </w:p>
    <w:p w14:paraId="20D125A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证书结构化登记：登记证书全局编号、签发机构、认证标准、生效起止日期、覆盖产品型号白名单与证书存续状态，型号逐条校验存在于产品主数据。</w:t>
      </w:r>
    </w:p>
    <w:p w14:paraId="1DAEE333">
      <w:pPr>
        <w:pStyle w:val="19"/>
        <w:widowControl/>
        <w:numPr>
          <w:ilvl w:val="0"/>
          <w:numId w:val="19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90 / 30 / 7 天分级到期预警：每日健康检查计算剩余有效天数，按 90 天级、30 天级、7 天级三档推送至 P4 与 PM，并在证书台账首列展示预警级别。</w:t>
      </w:r>
    </w:p>
    <w:p w14:paraId="3817ADF4">
      <w:pPr>
        <w:pStyle w:val="19"/>
        <w:widowControl/>
        <w:numPr>
          <w:ilvl w:val="0"/>
          <w:numId w:val="19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证书过期自动熔断</w:t>
      </w:r>
      <w:r>
        <w:rPr>
          <w:rFonts w:ascii="Times New Roman" w:hAnsi="Times New Roman" w:eastAsia="宋体" w:cs="Times New Roman"/>
          <w:i w:val="0"/>
          <w:color w:val="1F2937"/>
          <w:sz w:val="24"/>
          <w:szCs w:val="24"/>
        </w:rPr>
        <w:t>：到期未完成续期的证书自动置为「失效」，同步下架其关联的数字碳标签并关闭对应产品的标签发布开关，页面标注「已失效」。</w:t>
      </w:r>
    </w:p>
    <w:p w14:paraId="07FD1336">
      <w:pPr>
        <w:pStyle w:val="19"/>
        <w:widowControl/>
        <w:numPr>
          <w:ilvl w:val="0"/>
          <w:numId w:val="19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证书吊销与撤回处理</w:t>
      </w:r>
      <w:r>
        <w:rPr>
          <w:rFonts w:ascii="Times New Roman" w:hAnsi="Times New Roman" w:eastAsia="宋体" w:cs="Times New Roman"/>
          <w:i w:val="0"/>
          <w:color w:val="1F2937"/>
          <w:sz w:val="24"/>
          <w:szCs w:val="24"/>
        </w:rPr>
        <w:t>：机构吊销或自身申请撤回时执行吊销动作，立即熔断全部已授权渠道，并向客户公示页下发展示禁令。</w:t>
      </w:r>
    </w:p>
    <w:p w14:paraId="3AA5530F">
      <w:pPr>
        <w:pStyle w:val="19"/>
        <w:widowControl/>
        <w:numPr>
          <w:ilvl w:val="0"/>
          <w:numId w:val="19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数字碳标签签发与授权</w:t>
      </w:r>
      <w:r>
        <w:rPr>
          <w:rFonts w:ascii="Times New Roman" w:hAnsi="Times New Roman" w:eastAsia="宋体" w:cs="Times New Roman"/>
          <w:i w:val="0"/>
          <w:color w:val="1F2937"/>
          <w:sz w:val="24"/>
          <w:szCs w:val="24"/>
        </w:rPr>
        <w:t>：经有效证书授权后签发全局唯一授权码，标签内容仅包含认证标准、证书编号、碳足迹结果与验真二维码，不含任何商密字段。</w:t>
      </w:r>
    </w:p>
    <w:p w14:paraId="0C39C8AF">
      <w:pPr>
        <w:pStyle w:val="19"/>
        <w:widowControl/>
        <w:rPr>
          <w:rFonts w:ascii="Times New Roman" w:hAnsi="Times New Roman" w:eastAsia="宋体" w:cs="Times New Roman"/>
          <w:i w:val="0"/>
          <w:color w:val="1F2937"/>
          <w:sz w:val="24"/>
          <w:szCs w:val="24"/>
        </w:rPr>
      </w:pPr>
      <w:r>
        <w:rPr>
          <w:rFonts w:ascii="Times New Roman" w:hAnsi="Times New Roman" w:eastAsia="宋体" w:cs="Times New Roman"/>
          <w:b/>
          <w:i w:val="0"/>
          <w:color w:val="1E3A8A"/>
          <w:sz w:val="24"/>
          <w:szCs w:val="24"/>
        </w:rPr>
        <w:t>对外公示白名单授权</w:t>
      </w:r>
      <w:r>
        <w:rPr>
          <w:rFonts w:ascii="Times New Roman" w:hAnsi="Times New Roman" w:eastAsia="宋体" w:cs="Times New Roman"/>
          <w:i w:val="0"/>
          <w:color w:val="1F2937"/>
          <w:sz w:val="24"/>
          <w:szCs w:val="24"/>
        </w:rPr>
        <w:t>：按产品型号与客户范围授权公示，分为不公示 / 内部可见 / 客户可见 / 公开四档；未授权对象的查询一律返回「未授权公示」占位。</w:t>
      </w:r>
    </w:p>
    <w:p w14:paraId="496DF555">
      <w:pPr>
        <w:pStyle w:val="19"/>
        <w:widowControl/>
        <w:rPr>
          <w:rFonts w:ascii="Times New Roman" w:hAnsi="Times New Roman" w:eastAsia="宋体" w:cs="Times New Roman"/>
          <w:i w:val="0"/>
          <w:color w:val="1F2937"/>
          <w:sz w:val="24"/>
          <w:szCs w:val="24"/>
        </w:rPr>
      </w:pPr>
    </w:p>
    <w:p w14:paraId="4E6763F2">
      <w:pPr>
        <w:pStyle w:val="19"/>
        <w:widowControl/>
        <w:rPr>
          <w:rFonts w:ascii="Times New Roman" w:hAnsi="Times New Roman" w:eastAsia="宋体" w:cs="Times New Roman"/>
          <w:i w:val="0"/>
          <w:color w:val="1F2937"/>
          <w:sz w:val="24"/>
          <w:szCs w:val="24"/>
        </w:rPr>
      </w:pPr>
    </w:p>
    <w:p w14:paraId="7FEC6372">
      <w:pPr>
        <w:pStyle w:val="6"/>
        <w:numPr>
          <w:ilvl w:val="0"/>
          <w:numId w:val="20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98"/>
        <w:gridCol w:w="2021"/>
        <w:gridCol w:w="1380"/>
        <w:gridCol w:w="1306"/>
        <w:gridCol w:w="4179"/>
      </w:tblGrid>
      <w:tr w14:paraId="67DF2DBD">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41C93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202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D9010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8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1B91A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0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945E9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1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B6815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122BCD1D">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B22F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45A0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证书全局编号</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1A7B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E704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0335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唯一，格式  CERT-GLB-&lt;机构码&gt;-&lt;序号&gt;</w:t>
            </w:r>
          </w:p>
        </w:tc>
      </w:tr>
      <w:tr w14:paraId="5E8DB236">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0DF3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F9F5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签发机构公钥证书ID</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3674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37CB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65A6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非空，用于证书签名验真；公钥过期时验真结果判定为失败</w:t>
            </w:r>
          </w:p>
        </w:tc>
      </w:tr>
      <w:tr w14:paraId="04CBD5F6">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1EA23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863F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认证标准</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ABE5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8C9A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C060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ISO 14067:2018 / PAS 2050:2011</w:t>
            </w:r>
          </w:p>
        </w:tc>
      </w:tr>
      <w:tr w14:paraId="167DDB62">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DD3A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99EA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生效日期</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61D6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CFD4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376E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w:t>
            </w:r>
          </w:p>
        </w:tc>
      </w:tr>
      <w:tr w14:paraId="3A98942B">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60C6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0D9A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失效日期</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E783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588A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B1FE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非空，必须晚于生效日期</w:t>
            </w:r>
          </w:p>
        </w:tc>
      </w:tr>
      <w:tr w14:paraId="2C331E01">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C993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4353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覆盖产品型号白名单</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F7B21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JSON</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21EF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8B50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非空，逐条校验型号存在于产品主数据</w:t>
            </w:r>
          </w:p>
        </w:tc>
      </w:tr>
      <w:tr w14:paraId="2B6DBC40">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F7C6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C4ED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数字碳标签关联授权码</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0FF3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D163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1F02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全局唯一，格式  LBL-&lt;32位随机串&gt; ；一证多码须同源</w:t>
            </w:r>
          </w:p>
        </w:tc>
      </w:tr>
      <w:tr w14:paraId="56A157EE">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71B3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AF51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证书存续状态</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2D77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B34F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8A8C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有效 / 临期 / 失效 / 吊销</w:t>
            </w:r>
          </w:p>
        </w:tc>
      </w:tr>
      <w:tr w14:paraId="3CCFA430">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E00A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7DCA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剩余有效天数</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4BFF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0426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天</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2648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失效日期 − 当前日期，允许为负值（表示已过期天数）</w:t>
            </w:r>
          </w:p>
        </w:tc>
      </w:tr>
      <w:tr w14:paraId="28A42F2B">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1264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A24E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证书 PDF 存证哈希</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6B19D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6103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SHA-256</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6DB5E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非空，防篡改存证</w:t>
            </w:r>
          </w:p>
        </w:tc>
      </w:tr>
      <w:tr w14:paraId="791DC26D">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D3C7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9854E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证书验真结果</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8422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4899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CDA3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未验真 / 通过 / 失败</w:t>
            </w:r>
          </w:p>
        </w:tc>
      </w:tr>
      <w:tr w14:paraId="6534F3B0">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9007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26D32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对外公示授权范围</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E60A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63AD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C385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不公示 / 内部可见 / 客户可见 / 公开</w:t>
            </w:r>
          </w:p>
        </w:tc>
      </w:tr>
      <w:tr w14:paraId="3D0AF118">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8C09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13</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EA2F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熔断触发时间</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306F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DateTime</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5D72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 HH:mm:ss</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DFD9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证书失效或吊销动作触发时写入，不可修改</w:t>
            </w:r>
          </w:p>
        </w:tc>
      </w:tr>
    </w:tbl>
    <w:p w14:paraId="50D491BF">
      <w:pPr>
        <w:spacing w:after="60"/>
        <w:rPr>
          <w:rFonts w:hint="eastAsia" w:ascii="宋体" w:hAnsi="宋体" w:eastAsia="宋体" w:cs="宋体"/>
          <w:i w:val="0"/>
          <w:iCs w:val="0"/>
          <w:sz w:val="24"/>
          <w:szCs w:val="24"/>
        </w:rPr>
      </w:pPr>
    </w:p>
    <w:p w14:paraId="6C0B942B">
      <w:pPr>
        <w:pStyle w:val="6"/>
        <w:numPr>
          <w:ilvl w:val="0"/>
          <w:numId w:val="20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7D24F5CC">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399FED55">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Days_left = Valid_To − Date_Today                          证书剩余有效天数</w:t>
            </w:r>
          </w:p>
          <w:p w14:paraId="7917E85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Warn_Level = Days_left ≤ 7 ? 7天级 : ( Days_left ≤ 30 ? 30天级 : ( Days_left ≤ 90 ? 90天级 : 无 ) )                          分级预警判定</w:t>
            </w:r>
          </w:p>
          <w:p w14:paraId="600E3F9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Cert_State = 吊销 if Revoked ; 失效 if Days_left ≤ 0 ; 临期 if Days_left ≤ 90 ; 有效 otherwise                          证书存续状态机</w:t>
            </w:r>
          </w:p>
          <w:p w14:paraId="331735F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Label_Allowed = ( Cert_State ∈ { 有效 , 临期 } ) AND ( Hash_Verify == true ) AND ( Signature_Verify == true )                          碳标签发布准入</w:t>
            </w:r>
          </w:p>
        </w:tc>
      </w:tr>
    </w:tbl>
    <w:p w14:paraId="4F7DA6EF">
      <w:pPr>
        <w:spacing w:after="40"/>
        <w:rPr>
          <w:rFonts w:hint="eastAsia" w:ascii="宋体" w:hAnsi="宋体" w:eastAsia="宋体" w:cs="宋体"/>
          <w:i w:val="0"/>
          <w:iCs w:val="0"/>
          <w:sz w:val="24"/>
          <w:szCs w:val="24"/>
        </w:rPr>
      </w:pPr>
    </w:p>
    <w:p w14:paraId="5041400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：证书 PDF 哈希校验与签发机构签名校验必须同时通过，任一失败则  </w:t>
      </w:r>
      <w:r>
        <w:rPr>
          <w:rFonts w:ascii="Times New Roman" w:hAnsi="Times New Roman" w:eastAsia="宋体" w:cs="Times New Roman"/>
          <w:b/>
          <w:i w:val="0"/>
          <w:color w:val="1E3A8A"/>
          <w:sz w:val="24"/>
          <w:szCs w:val="24"/>
        </w:rPr>
        <w:t>Label_Allowed</w:t>
      </w:r>
      <w:r>
        <w:rPr>
          <w:rFonts w:ascii="Times New Roman" w:hAnsi="Times New Roman" w:eastAsia="宋体" w:cs="Times New Roman"/>
          <w:i w:val="0"/>
          <w:color w:val="1F2937"/>
          <w:sz w:val="24"/>
          <w:szCs w:val="24"/>
        </w:rPr>
        <w:t xml:space="preserve">  立即置为 false 并暂停对应产品碳标签发布；90 / 30 / 7 天三级阈值为固定业务铁律，不可配置。</w:t>
      </w:r>
    </w:p>
    <w:p w14:paraId="2C84ED44">
      <w:pPr>
        <w:pStyle w:val="6"/>
        <w:numPr>
          <w:ilvl w:val="0"/>
          <w:numId w:val="20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66F01D81">
      <w:pPr>
        <w:pStyle w:val="19"/>
        <w:widowControl/>
        <w:numPr>
          <w:ilvl w:val="0"/>
          <w:numId w:val="19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预警口径</w:t>
      </w:r>
      <w:r>
        <w:rPr>
          <w:rFonts w:ascii="Times New Roman" w:hAnsi="Times New Roman" w:eastAsia="宋体" w:cs="Times New Roman"/>
          <w:i w:val="0"/>
          <w:color w:val="1F2937"/>
          <w:sz w:val="24"/>
          <w:szCs w:val="24"/>
        </w:rPr>
        <w:t>：90 / 30 / 7 天三级预警阈值为固定铁律，预警只触发提醒不改变证书状态；证书状态仅由剩余有效天数与吊销标记决定。</w:t>
      </w:r>
    </w:p>
    <w:p w14:paraId="0EF461F9">
      <w:pPr>
        <w:pStyle w:val="19"/>
        <w:widowControl/>
        <w:numPr>
          <w:ilvl w:val="0"/>
          <w:numId w:val="19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熔断口径</w:t>
      </w:r>
      <w:r>
        <w:rPr>
          <w:rFonts w:ascii="Times New Roman" w:hAnsi="Times New Roman" w:eastAsia="宋体" w:cs="Times New Roman"/>
          <w:i w:val="0"/>
          <w:color w:val="1F2937"/>
          <w:sz w:val="24"/>
          <w:szCs w:val="24"/>
        </w:rPr>
        <w:t>：证书失效或吊销即自动熔断，下架动作与状态变更在同一事务内完成，不允许出现「状态已失效但标签仍可发布」的中间态。</w:t>
      </w:r>
    </w:p>
    <w:p w14:paraId="0154CA0F">
      <w:pPr>
        <w:pStyle w:val="19"/>
        <w:widowControl/>
        <w:numPr>
          <w:ilvl w:val="0"/>
          <w:numId w:val="19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验真口径</w:t>
      </w:r>
      <w:r>
        <w:rPr>
          <w:rFonts w:ascii="Times New Roman" w:hAnsi="Times New Roman" w:eastAsia="宋体" w:cs="Times New Roman"/>
          <w:i w:val="0"/>
          <w:color w:val="1F2937"/>
          <w:sz w:val="24"/>
          <w:szCs w:val="24"/>
        </w:rPr>
        <w:t>：验真须同时通过 PDF 哈希比对与签发机构签名校验，仅通过其一判定为验真失败。</w:t>
      </w:r>
    </w:p>
    <w:p w14:paraId="4DDCF879">
      <w:pPr>
        <w:pStyle w:val="19"/>
        <w:widowControl/>
        <w:numPr>
          <w:ilvl w:val="0"/>
          <w:numId w:val="19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公示口径</w:t>
      </w:r>
      <w:r>
        <w:rPr>
          <w:rFonts w:ascii="Times New Roman" w:hAnsi="Times New Roman" w:eastAsia="宋体" w:cs="Times New Roman"/>
          <w:i w:val="0"/>
          <w:color w:val="1F2937"/>
          <w:sz w:val="24"/>
          <w:szCs w:val="24"/>
        </w:rPr>
        <w:t>：对外公示一律走白名单授权，白名单外对象返回「未授权公示」占位；公示内容不含工艺配方、采购单价与人员信息。</w:t>
      </w:r>
    </w:p>
    <w:p w14:paraId="6871A47B">
      <w:pPr>
        <w:pStyle w:val="6"/>
        <w:numPr>
          <w:ilvl w:val="0"/>
          <w:numId w:val="20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2D1EF627">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7DC9005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证书 PDF 哈希校验失败：触发  E_AUDIT_HASH_BROKEN ，标记「证书已被非法篡改」并锁定单据。</w:t>
            </w:r>
          </w:p>
          <w:p w14:paraId="41DC641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签发机构公钥证书过期：验真结果判定为失败，并提示更新机构公钥证书。</w:t>
            </w:r>
          </w:p>
          <w:p w14:paraId="541A9EF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证书到期未续：自动熔断并下架数字碳标签，页面标注「已失效」。</w:t>
            </w:r>
          </w:p>
          <w:p w14:paraId="657BBC8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证书被机构吊销：立即熔断，并向所有已授权渠道下发展示禁令。</w:t>
            </w:r>
          </w:p>
          <w:p w14:paraId="77A37C0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覆盖产品型号不在产品主数据：拒绝登记并提示型号不存在。</w:t>
            </w:r>
          </w:p>
          <w:p w14:paraId="7DF88C5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同一产品型号存在多张有效证书：以最近签发生效者为准，其余标记「历史版本」且不可用于标签发布。</w:t>
            </w:r>
          </w:p>
          <w:p w14:paraId="2F66560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未授权对象查询公示内容：输出拦截，仅返回「未授权公示」占位。</w:t>
            </w:r>
          </w:p>
        </w:tc>
      </w:tr>
    </w:tbl>
    <w:p w14:paraId="419BF54E">
      <w:pPr>
        <w:spacing w:after="40"/>
        <w:rPr>
          <w:rFonts w:hint="eastAsia" w:ascii="宋体" w:hAnsi="宋体" w:eastAsia="宋体" w:cs="宋体"/>
          <w:i w:val="0"/>
          <w:iCs w:val="0"/>
          <w:sz w:val="24"/>
          <w:szCs w:val="24"/>
        </w:rPr>
      </w:pPr>
    </w:p>
    <w:p w14:paraId="18C8B562">
      <w:pPr>
        <w:pStyle w:val="6"/>
        <w:numPr>
          <w:ilvl w:val="0"/>
          <w:numId w:val="201"/>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0DF401A0">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6530E2E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证书到期分级预警</w:t>
            </w:r>
          </w:p>
          <w:p w14:paraId="7BB9DFE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Given 某认证证书的失效日期距今剩余 25 天</w:t>
            </w:r>
          </w:p>
          <w:p w14:paraId="6725C77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When 系统执行每日证书健康检查</w:t>
            </w:r>
          </w:p>
          <w:p w14:paraId="3D652F9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Then 触发 30 天级预警并推送至 P4 与 PM</w:t>
            </w:r>
          </w:p>
          <w:p w14:paraId="7510AD6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When 剩余有效天数变为 5 天</w:t>
            </w:r>
          </w:p>
          <w:p w14:paraId="363DD94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Then 触发 7 天级预警</w:t>
            </w:r>
          </w:p>
          <w:p w14:paraId="70CDBEDF">
            <w:pPr>
              <w:spacing w:before="0" w:after="20" w:line="264" w:lineRule="auto"/>
              <w:rPr>
                <w:rFonts w:hint="eastAsia" w:ascii="宋体" w:hAnsi="宋体" w:eastAsia="宋体" w:cs="宋体"/>
                <w:i w:val="0"/>
                <w:iCs w:val="0"/>
                <w:sz w:val="24"/>
                <w:szCs w:val="24"/>
              </w:rPr>
            </w:pPr>
          </w:p>
          <w:p w14:paraId="5DBF64A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证书失效自动熔断下架碳标签</w:t>
            </w:r>
          </w:p>
          <w:p w14:paraId="30F48B9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Given 某产品认证证书已于昨日到期且尚未完成续期</w:t>
            </w:r>
          </w:p>
          <w:p w14:paraId="7307D5F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When 系统尝试发布该产品的数字碳标签</w:t>
            </w:r>
          </w:p>
          <w:p w14:paraId="6210065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Then 碳标签发布被暂停且标签同步下架</w:t>
            </w:r>
          </w:p>
          <w:p w14:paraId="2F4DC6C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And 证书存续状态自动标记为"失效"</w:t>
            </w:r>
          </w:p>
          <w:p w14:paraId="41B5155B">
            <w:pPr>
              <w:spacing w:before="0" w:after="20" w:line="264" w:lineRule="auto"/>
              <w:rPr>
                <w:rFonts w:hint="eastAsia" w:ascii="宋体" w:hAnsi="宋体" w:eastAsia="宋体" w:cs="宋体"/>
                <w:i w:val="0"/>
                <w:iCs w:val="0"/>
                <w:sz w:val="24"/>
                <w:szCs w:val="24"/>
              </w:rPr>
            </w:pPr>
          </w:p>
          <w:p w14:paraId="7D52B32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证书哈希校验失败锁定单据</w:t>
            </w:r>
          </w:p>
          <w:p w14:paraId="7A0F1AD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Given 某证书 PDF 原件被非法替换</w:t>
            </w:r>
          </w:p>
          <w:p w14:paraId="22657D7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When 系统执行证书验真</w:t>
            </w:r>
          </w:p>
          <w:p w14:paraId="016EABB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Then PDF 哈希比对失败并触发 E_AUDIT_HASH_BROKEN</w:t>
            </w:r>
          </w:p>
          <w:p w14:paraId="6D85ACD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And 单据被锁定且页面标记"证书已被非法篡改"</w:t>
            </w:r>
          </w:p>
          <w:p w14:paraId="2AACF7E0">
            <w:pPr>
              <w:spacing w:before="0" w:after="20" w:line="264" w:lineRule="auto"/>
              <w:rPr>
                <w:rFonts w:hint="eastAsia" w:ascii="宋体" w:hAnsi="宋体" w:eastAsia="宋体" w:cs="宋体"/>
                <w:i w:val="0"/>
                <w:iCs w:val="0"/>
                <w:sz w:val="24"/>
                <w:szCs w:val="24"/>
              </w:rPr>
            </w:pPr>
          </w:p>
          <w:p w14:paraId="35D044F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证书吊销即时熔断全部授权渠道</w:t>
            </w:r>
          </w:p>
          <w:p w14:paraId="02040D1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Given 签发机构吊销某产品认证证书</w:t>
            </w:r>
          </w:p>
          <w:p w14:paraId="769BC2E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When 系统接收吊销结论</w:t>
            </w:r>
          </w:p>
          <w:p w14:paraId="4FE5CF8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Then 证书存续状态置为"吊销"</w:t>
            </w:r>
          </w:p>
          <w:p w14:paraId="20557D7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And 向所有已授权渠道下发展示禁令</w:t>
            </w:r>
          </w:p>
          <w:p w14:paraId="572C2D59">
            <w:pPr>
              <w:spacing w:before="0" w:after="20" w:line="264" w:lineRule="auto"/>
              <w:rPr>
                <w:rFonts w:hint="eastAsia" w:ascii="宋体" w:hAnsi="宋体" w:eastAsia="宋体" w:cs="宋体"/>
                <w:i w:val="0"/>
                <w:iCs w:val="0"/>
                <w:sz w:val="24"/>
                <w:szCs w:val="24"/>
              </w:rPr>
            </w:pPr>
          </w:p>
          <w:p w14:paraId="54E1425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同一型号多张有效证书以最近签发生效者为准</w:t>
            </w:r>
          </w:p>
          <w:p w14:paraId="5542AE3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Given 某产品型号存在两张均处于有效期的认证证书</w:t>
            </w:r>
          </w:p>
          <w:p w14:paraId="545CE5F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When 系统签发该产品的数字碳标签</w:t>
            </w:r>
          </w:p>
          <w:p w14:paraId="5FFC8E7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Then 以最近签发生效的证书作为标签依据</w:t>
            </w:r>
          </w:p>
          <w:p w14:paraId="7B37C50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And 另一张证书自动标记为"历史版本"且不可用于标签发布</w:t>
            </w:r>
          </w:p>
        </w:tc>
      </w:tr>
    </w:tbl>
    <w:p w14:paraId="7B206D1E">
      <w:pPr>
        <w:spacing w:after="40"/>
        <w:rPr>
          <w:rFonts w:hint="eastAsia" w:ascii="宋体" w:hAnsi="宋体" w:eastAsia="宋体" w:cs="宋体"/>
          <w:i w:val="0"/>
          <w:iCs w:val="0"/>
          <w:sz w:val="24"/>
          <w:szCs w:val="24"/>
        </w:rPr>
      </w:pPr>
    </w:p>
    <w:p w14:paraId="50FD4253">
      <w:pPr>
        <w:pStyle w:val="4"/>
        <w:numPr>
          <w:ilvl w:val="0"/>
          <w:numId w:val="144"/>
        </w:numPr>
        <w:topLinePunct w:val="0"/>
        <w:ind w:left="0" w:leftChars="0" w:firstLine="0" w:firstLineChars="0"/>
        <w:outlineLvl w:val="0"/>
        <w:rPr>
          <w:rFonts w:hint="eastAsia" w:eastAsia="黑体"/>
          <w:b w:val="0"/>
          <w:bCs w:val="0"/>
          <w:sz w:val="30"/>
          <w:szCs w:val="32"/>
        </w:rPr>
      </w:pPr>
      <w:bookmarkStart w:id="58" w:name="_Toc9528"/>
      <w:r>
        <w:rPr>
          <w:rFonts w:ascii="Times New Roman" w:hAnsi="Times New Roman" w:eastAsia="黑体" w:cs="Times New Roman"/>
          <w:b w:val="0"/>
          <w:bCs w:val="0"/>
          <w:sz w:val="30"/>
          <w:szCs w:val="32"/>
        </w:rPr>
        <w:t>因子库管理</w:t>
      </w:r>
      <w:bookmarkEnd w:id="58"/>
    </w:p>
    <w:p w14:paraId="5DF00DA9">
      <w:pPr>
        <w:pStyle w:val="5"/>
        <w:numPr>
          <w:ilvl w:val="0"/>
          <w:numId w:val="145"/>
        </w:numPr>
        <w:ind w:left="0" w:leftChars="0" w:firstLine="0" w:firstLineChars="0"/>
        <w:outlineLvl w:val="1"/>
        <w:rPr>
          <w:rFonts w:ascii="Times New Roman" w:hAnsi="Times New Roman" w:eastAsia="黑体" w:cs="Times New Roman"/>
          <w:b w:val="0"/>
          <w:bCs w:val="0"/>
          <w:sz w:val="30"/>
          <w:szCs w:val="24"/>
        </w:rPr>
      </w:pPr>
      <w:bookmarkStart w:id="59" w:name="_Toc17226"/>
      <w:r>
        <w:rPr>
          <w:rFonts w:ascii="Times New Roman" w:hAnsi="Times New Roman" w:eastAsia="黑体" w:cs="Times New Roman"/>
          <w:b w:val="0"/>
          <w:bCs w:val="0"/>
          <w:sz w:val="30"/>
          <w:szCs w:val="24"/>
        </w:rPr>
        <w:t>原材料碳排因子</w:t>
      </w:r>
      <w:bookmarkEnd w:id="59"/>
    </w:p>
    <w:p w14:paraId="24F8E329">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bidi="ar-SA"/>
        </w:rPr>
      </w:pPr>
      <w:r>
        <w:rPr>
          <w:rFonts w:ascii="Times New Roman" w:hAnsi="Times New Roman" w:eastAsia="黑体" w:cs="Times New Roman"/>
          <w:bCs/>
          <w:kern w:val="2"/>
          <w:sz w:val="28"/>
          <w:szCs w:val="28"/>
          <w:lang w:bidi="ar-SA"/>
        </w:rPr>
        <w:drawing>
          <wp:inline distT="0" distB="0" distL="114300" distR="114300">
            <wp:extent cx="6118860" cy="3034030"/>
            <wp:effectExtent l="0" t="0" r="15240" b="13970"/>
            <wp:docPr id="3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4"/>
                    <pic:cNvPicPr>
                      <a:picLocks noChangeAspect="1"/>
                    </pic:cNvPicPr>
                  </pic:nvPicPr>
                  <pic:blipFill>
                    <a:blip r:embed="rId50"/>
                    <a:stretch>
                      <a:fillRect/>
                    </a:stretch>
                  </pic:blipFill>
                  <pic:spPr>
                    <a:xfrm>
                      <a:off x="0" y="0"/>
                      <a:ext cx="6118860" cy="3034030"/>
                    </a:xfrm>
                    <a:prstGeom prst="rect">
                      <a:avLst/>
                    </a:prstGeom>
                    <a:noFill/>
                    <a:ln>
                      <a:noFill/>
                    </a:ln>
                  </pic:spPr>
                </pic:pic>
              </a:graphicData>
            </a:graphic>
          </wp:inline>
        </w:drawing>
      </w:r>
    </w:p>
    <w:p w14:paraId="4C54DA69">
      <w:pPr>
        <w:pStyle w:val="6"/>
        <w:numPr>
          <w:ilvl w:val="0"/>
          <w:numId w:val="202"/>
        </w:numPr>
        <w:bidi w:val="0"/>
        <w:ind w:left="0" w:leftChars="0" w:firstLine="0" w:firstLineChars="0"/>
        <w:rPr>
          <w:rFonts w:hint="eastAsia" w:ascii="黑体" w:hAnsi="黑体" w:eastAsia="黑体" w:cs="黑体"/>
          <w:sz w:val="28"/>
          <w:szCs w:val="28"/>
        </w:rPr>
      </w:pPr>
      <w:r>
        <w:rPr>
          <w:rFonts w:hint="eastAsia" w:ascii="黑体" w:hAnsi="黑体" w:eastAsia="黑体" w:cs="黑体"/>
          <w:sz w:val="28"/>
          <w:szCs w:val="28"/>
        </w:rPr>
        <w:t>定位与架构角色</w:t>
      </w:r>
    </w:p>
    <w:p w14:paraId="0666A810">
      <w:pPr>
        <w:pStyle w:val="19"/>
        <w:bidi w:val="0"/>
      </w:pPr>
      <w:r>
        <w:rPr>
          <w:b/>
          <w:bCs/>
        </w:rPr>
        <w:t>功能定位</w:t>
      </w:r>
      <w:r>
        <w:t>：作为产品碳足迹全生命周期（LCA）核算与欧盟 CBAM 关税申报的核心物料数据基石，面向变压器与电线电缆两大产业核心主材，提供权威因子建库、当前值与默认值双轨对比、摇篮到大门（Cradle-to-Gate）工序构成拆解、版本不可变冻结与可信回滚体系。</w:t>
      </w:r>
    </w:p>
    <w:p w14:paraId="1DE9B02B">
      <w:pPr>
        <w:pStyle w:val="6"/>
        <w:numPr>
          <w:ilvl w:val="0"/>
          <w:numId w:val="202"/>
        </w:numPr>
        <w:bidi w:val="0"/>
        <w:ind w:left="0" w:leftChars="0" w:firstLine="0" w:firstLineChars="0"/>
        <w:rPr>
          <w:rFonts w:hint="eastAsia" w:ascii="黑体" w:hAnsi="黑体" w:eastAsia="黑体" w:cs="黑体"/>
          <w:sz w:val="28"/>
          <w:szCs w:val="28"/>
        </w:rPr>
      </w:pPr>
      <w:r>
        <w:rPr>
          <w:rFonts w:hint="eastAsia" w:ascii="黑体" w:hAnsi="黑体" w:eastAsia="黑体" w:cs="黑体"/>
          <w:sz w:val="28"/>
          <w:szCs w:val="28"/>
        </w:rPr>
        <w:t>业务场景与用户故事</w:t>
      </w:r>
    </w:p>
    <w:p w14:paraId="3DC080DF">
      <w:pPr>
        <w:pStyle w:val="19"/>
        <w:bidi w:val="0"/>
      </w:pPr>
      <w:r>
        <w:rPr>
          <w:b/>
          <w:bCs/>
        </w:rPr>
        <w:t>业务场景</w:t>
      </w:r>
      <w:r>
        <w:t>：应对国际高标准绿色装备招标或欧盟CBAM碳关税时，碳核算工程师需将行业缺省因子替换为宝钢高牌号取向硅钢片、江西铜业低碳铜杆的供应商一级实测因子，以压降产品碳足迹并建立出海竞争力；某批次实测数据出现争议时，支持</w:t>
      </w:r>
      <w:r>
        <w:rPr>
          <w:rFonts w:hint="eastAsia"/>
          <w:lang w:eastAsia="zh-CN"/>
        </w:rPr>
        <w:t>回</w:t>
      </w:r>
      <w:r>
        <w:t>滚至上一核准基准版本并保留全链审计留痕。</w:t>
      </w:r>
    </w:p>
    <w:p w14:paraId="7043117E">
      <w:pPr>
        <w:pStyle w:val="19"/>
        <w:bidi w:val="0"/>
      </w:pPr>
      <w:r>
        <w:rPr>
          <w:b/>
          <w:bCs/>
        </w:rPr>
        <w:t>用户故事</w:t>
      </w:r>
      <w:r>
        <w:t>：</w:t>
      </w:r>
    </w:p>
    <w:p w14:paraId="0902ECB4">
      <w:pPr>
        <w:pStyle w:val="19"/>
        <w:bidi w:val="0"/>
      </w:pPr>
      <w:r>
        <w:t>As a 碳核算与认证工程师 (Persona P4)，</w:t>
      </w:r>
    </w:p>
    <w:p w14:paraId="52CC35AC">
      <w:pPr>
        <w:pStyle w:val="19"/>
        <w:bidi w:val="0"/>
      </w:pPr>
      <w:r>
        <w:t>I want 在原材料碳排因子库中按适用产业和产品套系检索物料，维护当前因子值、摇篮到大门工序构成与核查证明，并在升级版本时将原值自动沉淀为对比默认值，</w:t>
      </w:r>
    </w:p>
    <w:p w14:paraId="41F5CBA7">
      <w:pPr>
        <w:pStyle w:val="19"/>
        <w:bidi w:val="0"/>
      </w:pPr>
      <w:r>
        <w:t>So that 我能在产品 LCA 核算中精准调用低碳主材实测因子降低核算碳排，同时保留完备的版本变更链条以通过第三方机构独立核验。</w:t>
      </w:r>
    </w:p>
    <w:p w14:paraId="7220C950">
      <w:pPr>
        <w:pStyle w:val="19"/>
        <w:bidi w:val="0"/>
      </w:pPr>
    </w:p>
    <w:p w14:paraId="575454D2">
      <w:pPr>
        <w:pStyle w:val="6"/>
        <w:numPr>
          <w:ilvl w:val="0"/>
          <w:numId w:val="202"/>
        </w:numPr>
        <w:bidi w:val="0"/>
        <w:ind w:left="0" w:leftChars="0" w:firstLine="0" w:firstLineChars="0"/>
        <w:rPr>
          <w:rFonts w:hint="eastAsia" w:ascii="黑体" w:hAnsi="黑体" w:eastAsia="黑体" w:cs="黑体"/>
          <w:sz w:val="28"/>
          <w:szCs w:val="28"/>
        </w:rPr>
      </w:pPr>
      <w:r>
        <w:rPr>
          <w:rFonts w:hint="eastAsia" w:ascii="黑体" w:hAnsi="黑体" w:eastAsia="黑体" w:cs="黑体"/>
          <w:sz w:val="28"/>
          <w:szCs w:val="28"/>
        </w:rPr>
        <w:t>功能规格与交互契约</w:t>
      </w:r>
    </w:p>
    <w:p w14:paraId="7C9388DF">
      <w:pPr>
        <w:pStyle w:val="19"/>
        <w:bidi w:val="0"/>
      </w:pPr>
      <w:r>
        <w:t>通用交互与过滤规则：</w:t>
      </w:r>
    </w:p>
    <w:p w14:paraId="6EFF518C">
      <w:pPr>
        <w:pStyle w:val="19"/>
        <w:bidi w:val="0"/>
        <w:rPr>
          <w:rFonts w:hint="eastAsia" w:eastAsia="宋体"/>
          <w:lang w:eastAsia="zh-CN"/>
        </w:rPr>
      </w:pPr>
      <w:r>
        <w:rPr>
          <w:rFonts w:hint="eastAsia"/>
          <w:lang w:eastAsia="zh-CN"/>
        </w:rPr>
        <w:t>• 顶部设【适用产业】切片Tab：全部/变压器产业/线缆产业/通用；</w:t>
      </w:r>
    </w:p>
    <w:p w14:paraId="3020E9F8">
      <w:pPr>
        <w:pStyle w:val="19"/>
        <w:bidi w:val="0"/>
        <w:rPr>
          <w:rFonts w:hint="eastAsia" w:eastAsia="宋体"/>
          <w:lang w:eastAsia="zh-CN"/>
        </w:rPr>
      </w:pPr>
      <w:r>
        <w:rPr>
          <w:rFonts w:hint="eastAsia"/>
          <w:lang w:eastAsia="zh-CN"/>
        </w:rPr>
        <w:t>• 设【产品套系联动切片器】：选中产品后自动关联对应物料；</w:t>
      </w:r>
    </w:p>
    <w:p w14:paraId="6786FC56">
      <w:pPr>
        <w:pStyle w:val="19"/>
        <w:bidi w:val="0"/>
      </w:pPr>
      <w:r>
        <w:t xml:space="preserve">• </w:t>
      </w:r>
      <w:r>
        <w:rPr>
          <w:rFonts w:hint="eastAsia"/>
          <w:lang w:eastAsia="zh-CN"/>
        </w:rPr>
        <w:t>支持</w:t>
      </w:r>
      <w:r>
        <w:t>因子列表与当前/默认值双轨对比：</w:t>
      </w:r>
    </w:p>
    <w:p w14:paraId="2785193F">
      <w:pPr>
        <w:pStyle w:val="19"/>
        <w:bidi w:val="0"/>
        <w:rPr>
          <w:rFonts w:hint="eastAsia" w:eastAsia="宋体"/>
          <w:lang w:eastAsia="zh-CN"/>
        </w:rPr>
      </w:pPr>
      <w:r>
        <w:rPr>
          <w:rFonts w:hint="eastAsia"/>
          <w:lang w:eastAsia="zh-CN"/>
        </w:rPr>
        <w:t>• 因子核心数值复合展示：当前值加粗、默认值（上一稳定基准版本值）浅灰，格式为当前值/默认值，单位kgCO₂e/kg；</w:t>
      </w:r>
    </w:p>
    <w:p w14:paraId="46887FB5">
      <w:pPr>
        <w:pStyle w:val="19"/>
        <w:bidi w:val="0"/>
        <w:rPr>
          <w:rFonts w:hint="eastAsia" w:eastAsia="宋体"/>
          <w:lang w:eastAsia="zh-CN"/>
        </w:rPr>
      </w:pPr>
      <w:r>
        <w:t xml:space="preserve">• </w:t>
      </w:r>
      <w:r>
        <w:rPr>
          <w:rFonts w:hint="eastAsia"/>
          <w:lang w:eastAsia="zh-CN"/>
        </w:rPr>
        <w:t>标注</w:t>
      </w:r>
      <w:r>
        <w:t>五级客观来源徽章：供应商实测(Tier 1)（绿色）、第三方核证(Certified)（蓝色）、行业标准(Industry Avg)（青色）、公用数据库(LCA DB)（紫色）、IPCC缺省值(Default)（橙色）</w:t>
      </w:r>
      <w:r>
        <w:rPr>
          <w:rFonts w:hint="eastAsia"/>
          <w:lang w:eastAsia="zh-CN"/>
        </w:rPr>
        <w:t>；</w:t>
      </w:r>
    </w:p>
    <w:p w14:paraId="16EB4DAC">
      <w:pPr>
        <w:pStyle w:val="19"/>
        <w:bidi w:val="0"/>
        <w:rPr>
          <w:rFonts w:hint="eastAsia" w:eastAsia="宋体"/>
          <w:lang w:eastAsia="zh-CN"/>
        </w:rPr>
      </w:pPr>
      <w:r>
        <w:rPr>
          <w:rFonts w:hint="eastAsia"/>
          <w:lang w:eastAsia="zh-CN"/>
        </w:rPr>
        <w:t>• 摇篮到大门工序构成拆解(Cradle-to-Gate)：点击行内【详情】滑出抽屉，展示物料五阶段碳排放量与占比构成；</w:t>
      </w:r>
    </w:p>
    <w:p w14:paraId="0346E0CC">
      <w:pPr>
        <w:pStyle w:val="19"/>
        <w:bidi w:val="0"/>
      </w:pPr>
      <w:r>
        <w:t>• 因子版本演化与一键回滚状态机：</w:t>
      </w:r>
    </w:p>
    <w:p w14:paraId="52C64A15">
      <w:pPr>
        <w:pStyle w:val="19"/>
        <w:bidi w:val="0"/>
        <w:rPr>
          <w:rFonts w:hint="eastAsia" w:eastAsia="宋体"/>
          <w:lang w:eastAsia="zh-CN"/>
        </w:rPr>
      </w:pPr>
      <w:r>
        <w:t>• 版本升级：输入新因子值、来源与凭证附件后，原当前值沉淀为新默认值，</w:t>
      </w:r>
      <w:r>
        <w:rPr>
          <w:rFonts w:hint="eastAsia"/>
          <w:lang w:eastAsia="zh-CN"/>
        </w:rPr>
        <w:t>版本号按vX.Y单调递增；</w:t>
      </w:r>
    </w:p>
    <w:p w14:paraId="4B7F4821">
      <w:pPr>
        <w:pStyle w:val="19"/>
        <w:bidi w:val="0"/>
        <w:rPr>
          <w:rFonts w:hint="eastAsia" w:eastAsia="宋体"/>
          <w:lang w:eastAsia="zh-CN"/>
        </w:rPr>
      </w:pPr>
      <w:r>
        <w:t>• 版本回滚：在版本历史抽屉点击【回滚至此版本】，系统生成新版本快照并注明回</w:t>
      </w:r>
      <w:r>
        <w:rPr>
          <w:rFonts w:hint="eastAsia"/>
          <w:lang w:eastAsia="zh-CN"/>
        </w:rPr>
        <w:t>滚来源</w:t>
      </w:r>
      <w:r>
        <w:t>，保障版本时间线单调递增，</w:t>
      </w:r>
      <w:r>
        <w:rPr>
          <w:rFonts w:hint="eastAsia"/>
          <w:lang w:eastAsia="zh-CN"/>
        </w:rPr>
        <w:t>不得物理抹除历史。</w:t>
      </w:r>
    </w:p>
    <w:p w14:paraId="4AD54BD9">
      <w:pPr>
        <w:pStyle w:val="6"/>
        <w:numPr>
          <w:ilvl w:val="0"/>
          <w:numId w:val="202"/>
        </w:numPr>
        <w:bidi w:val="0"/>
        <w:ind w:left="0" w:leftChars="0" w:firstLine="0" w:firstLineChars="0"/>
        <w:rPr>
          <w:rFonts w:hint="eastAsia" w:ascii="黑体" w:hAnsi="黑体" w:eastAsia="黑体" w:cs="黑体"/>
          <w:sz w:val="28"/>
          <w:szCs w:val="28"/>
        </w:rPr>
      </w:pPr>
      <w:r>
        <w:rPr>
          <w:rFonts w:hint="eastAsia" w:ascii="黑体" w:hAnsi="黑体" w:eastAsia="黑体" w:cs="黑体"/>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90"/>
        <w:gridCol w:w="1671"/>
        <w:gridCol w:w="1474"/>
        <w:gridCol w:w="1227"/>
        <w:gridCol w:w="4522"/>
      </w:tblGrid>
      <w:tr w14:paraId="79BF3FC9">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8DB9A03">
            <w:pPr>
              <w:pStyle w:val="19"/>
              <w:bidi w:val="0"/>
              <w:spacing w:line="240" w:lineRule="auto"/>
              <w:ind w:left="0" w:leftChars="0" w:right="0" w:rightChars="0" w:firstLine="0" w:firstLineChars="0"/>
            </w:pPr>
            <w: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C623A96">
            <w:pPr>
              <w:pStyle w:val="19"/>
              <w:bidi w:val="0"/>
              <w:spacing w:line="240" w:lineRule="auto"/>
              <w:ind w:left="0" w:leftChars="0" w:right="0" w:rightChars="0" w:firstLine="0" w:firstLineChars="0"/>
            </w:pPr>
            <w:r>
              <w:t>字段中文名称</w:t>
            </w:r>
          </w:p>
        </w:tc>
        <w:tc>
          <w:tcPr>
            <w:tcW w:w="147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65E9992">
            <w:pPr>
              <w:pStyle w:val="19"/>
              <w:bidi w:val="0"/>
              <w:spacing w:line="240" w:lineRule="auto"/>
              <w:ind w:left="0" w:leftChars="0" w:right="0" w:rightChars="0" w:firstLine="0" w:firstLineChars="0"/>
            </w:pPr>
            <w: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42A96D8">
            <w:pPr>
              <w:pStyle w:val="19"/>
              <w:bidi w:val="0"/>
              <w:spacing w:line="240" w:lineRule="auto"/>
              <w:ind w:left="0" w:leftChars="0" w:right="0" w:rightChars="0" w:firstLine="0" w:firstLineChars="0"/>
            </w:pPr>
            <w:r>
              <w:t>工程单位</w:t>
            </w:r>
          </w:p>
        </w:tc>
        <w:tc>
          <w:tcPr>
            <w:tcW w:w="452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6E54628">
            <w:pPr>
              <w:pStyle w:val="19"/>
              <w:bidi w:val="0"/>
              <w:spacing w:line="240" w:lineRule="auto"/>
              <w:ind w:left="0" w:leftChars="0" w:right="0" w:rightChars="0" w:firstLine="0" w:firstLineChars="0"/>
            </w:pPr>
            <w:r>
              <w:t>校验与约束规则</w:t>
            </w:r>
          </w:p>
        </w:tc>
      </w:tr>
      <w:tr w14:paraId="6DC0AC46">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E523CAD">
            <w:pPr>
              <w:pStyle w:val="19"/>
              <w:bidi w:val="0"/>
              <w:spacing w:line="240" w:lineRule="auto"/>
              <w:ind w:left="0" w:leftChars="0" w:right="0" w:rightChars="0" w:firstLine="0" w:firstLineChars="0"/>
            </w:pPr>
            <w: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444BE9F">
            <w:pPr>
              <w:pStyle w:val="19"/>
              <w:bidi w:val="0"/>
              <w:spacing w:line="240" w:lineRule="auto"/>
              <w:ind w:left="0" w:leftChars="0" w:right="0" w:rightChars="0" w:firstLine="0" w:firstLineChars="0"/>
            </w:pPr>
            <w:r>
              <w:t>因子唯一编码</w:t>
            </w:r>
          </w:p>
        </w:tc>
        <w:tc>
          <w:tcPr>
            <w:tcW w:w="14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B434193">
            <w:pPr>
              <w:pStyle w:val="19"/>
              <w:bidi w:val="0"/>
              <w:spacing w:line="240" w:lineRule="auto"/>
              <w:ind w:left="0" w:leftChars="0" w:right="0" w:rightChars="0" w:firstLine="0" w:firstLineChars="0"/>
            </w:pPr>
            <w: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5B9BFC0">
            <w:pPr>
              <w:pStyle w:val="19"/>
              <w:bidi w:val="0"/>
              <w:spacing w:line="240" w:lineRule="auto"/>
              <w:ind w:left="0" w:leftChars="0" w:right="0" w:rightChars="0" w:firstLine="0" w:firstLineChars="0"/>
            </w:pPr>
            <w:r>
              <w:t>—</w:t>
            </w:r>
          </w:p>
        </w:tc>
        <w:tc>
          <w:tcPr>
            <w:tcW w:w="45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21E282B">
            <w:pPr>
              <w:pStyle w:val="19"/>
              <w:bidi w:val="0"/>
              <w:spacing w:line="240" w:lineRule="auto"/>
              <w:ind w:left="0" w:leftChars="0" w:right="0" w:rightChars="0" w:firstLine="0" w:firstLineChars="0"/>
            </w:pPr>
            <w:r>
              <w:t xml:space="preserve">唯一，格式  RM&lt;3位流水&gt;&lt;2位校验码&gt; </w:t>
            </w:r>
          </w:p>
        </w:tc>
      </w:tr>
      <w:tr w14:paraId="40158E25">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6475E2F">
            <w:pPr>
              <w:pStyle w:val="19"/>
              <w:bidi w:val="0"/>
              <w:spacing w:line="240" w:lineRule="auto"/>
              <w:ind w:left="0" w:leftChars="0" w:right="0" w:rightChars="0" w:firstLine="0" w:firstLineChars="0"/>
            </w:pPr>
            <w: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80F266E">
            <w:pPr>
              <w:pStyle w:val="19"/>
              <w:bidi w:val="0"/>
              <w:spacing w:line="240" w:lineRule="auto"/>
              <w:ind w:left="0" w:leftChars="0" w:right="0" w:rightChars="0" w:firstLine="0" w:firstLineChars="0"/>
            </w:pPr>
            <w:r>
              <w:t>原材料标准名称</w:t>
            </w:r>
          </w:p>
        </w:tc>
        <w:tc>
          <w:tcPr>
            <w:tcW w:w="14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2D8662">
            <w:pPr>
              <w:pStyle w:val="19"/>
              <w:bidi w:val="0"/>
              <w:spacing w:line="240" w:lineRule="auto"/>
              <w:ind w:left="0" w:leftChars="0" w:right="0" w:rightChars="0" w:firstLine="0" w:firstLineChars="0"/>
            </w:pPr>
            <w: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DCB0434">
            <w:pPr>
              <w:pStyle w:val="19"/>
              <w:bidi w:val="0"/>
              <w:spacing w:line="240" w:lineRule="auto"/>
              <w:ind w:left="0" w:leftChars="0" w:right="0" w:rightChars="0" w:firstLine="0" w:firstLineChars="0"/>
            </w:pPr>
            <w:r>
              <w:t>—</w:t>
            </w:r>
          </w:p>
        </w:tc>
        <w:tc>
          <w:tcPr>
            <w:tcW w:w="45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3468E19">
            <w:pPr>
              <w:pStyle w:val="19"/>
              <w:bidi w:val="0"/>
              <w:spacing w:line="240" w:lineRule="auto"/>
              <w:ind w:left="0" w:leftChars="0" w:right="0" w:rightChars="0" w:firstLine="0" w:firstLineChars="0"/>
            </w:pPr>
            <w:r>
              <w:t>非空，最长 64 字符；与 ERP 物料分类名称标准对齐</w:t>
            </w:r>
          </w:p>
        </w:tc>
      </w:tr>
      <w:tr w14:paraId="012BD619">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A4078F1">
            <w:pPr>
              <w:pStyle w:val="19"/>
              <w:bidi w:val="0"/>
              <w:spacing w:line="240" w:lineRule="auto"/>
              <w:ind w:left="0" w:leftChars="0" w:right="0" w:rightChars="0" w:firstLine="0" w:firstLineChars="0"/>
            </w:pPr>
            <w: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476B970">
            <w:pPr>
              <w:pStyle w:val="19"/>
              <w:bidi w:val="0"/>
              <w:spacing w:line="240" w:lineRule="auto"/>
              <w:ind w:left="0" w:leftChars="0" w:right="0" w:rightChars="0" w:firstLine="0" w:firstLineChars="0"/>
            </w:pPr>
            <w:r>
              <w:t>适用产业分类</w:t>
            </w:r>
          </w:p>
        </w:tc>
        <w:tc>
          <w:tcPr>
            <w:tcW w:w="14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B079C3F">
            <w:pPr>
              <w:pStyle w:val="19"/>
              <w:bidi w:val="0"/>
              <w:spacing w:line="240" w:lineRule="auto"/>
              <w:ind w:left="0" w:leftChars="0" w:right="0" w:rightChars="0" w:firstLine="0" w:firstLineChars="0"/>
            </w:pPr>
            <w: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7EF258">
            <w:pPr>
              <w:pStyle w:val="19"/>
              <w:bidi w:val="0"/>
              <w:spacing w:line="240" w:lineRule="auto"/>
              <w:ind w:left="0" w:leftChars="0" w:right="0" w:rightChars="0" w:firstLine="0" w:firstLineChars="0"/>
            </w:pPr>
            <w:r>
              <w:t>—</w:t>
            </w:r>
          </w:p>
        </w:tc>
        <w:tc>
          <w:tcPr>
            <w:tcW w:w="45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1C0B2C">
            <w:pPr>
              <w:pStyle w:val="19"/>
              <w:bidi w:val="0"/>
              <w:spacing w:line="240" w:lineRule="auto"/>
              <w:ind w:left="0" w:leftChars="0" w:right="0" w:rightChars="0" w:firstLine="0" w:firstLineChars="0"/>
            </w:pPr>
            <w:r>
              <w:t xml:space="preserve">枚举： 变压器产业  /  线缆产业  /  通用 </w:t>
            </w:r>
          </w:p>
        </w:tc>
      </w:tr>
      <w:tr w14:paraId="627818C9">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D199F11">
            <w:pPr>
              <w:pStyle w:val="19"/>
              <w:bidi w:val="0"/>
              <w:spacing w:line="240" w:lineRule="auto"/>
              <w:ind w:left="0" w:leftChars="0" w:right="0" w:rightChars="0" w:firstLine="0" w:firstLineChars="0"/>
            </w:pPr>
            <w: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169E546">
            <w:pPr>
              <w:pStyle w:val="19"/>
              <w:bidi w:val="0"/>
              <w:spacing w:line="240" w:lineRule="auto"/>
              <w:ind w:left="0" w:leftChars="0" w:right="0" w:rightChars="0" w:firstLine="0" w:firstLineChars="0"/>
            </w:pPr>
            <w:r>
              <w:t>当前生效因子值</w:t>
            </w:r>
          </w:p>
        </w:tc>
        <w:tc>
          <w:tcPr>
            <w:tcW w:w="14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211A744">
            <w:pPr>
              <w:pStyle w:val="19"/>
              <w:bidi w:val="0"/>
              <w:spacing w:line="240" w:lineRule="auto"/>
              <w:ind w:left="0" w:leftChars="0" w:right="0" w:rightChars="0" w:firstLine="0" w:firstLineChars="0"/>
            </w:pPr>
            <w: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45616BD">
            <w:pPr>
              <w:pStyle w:val="19"/>
              <w:bidi w:val="0"/>
              <w:spacing w:line="240" w:lineRule="auto"/>
              <w:ind w:left="0" w:leftChars="0" w:right="0" w:rightChars="0" w:firstLine="0" w:firstLineChars="0"/>
            </w:pPr>
            <w:r>
              <w:t>kgCO2e/kg</w:t>
            </w:r>
          </w:p>
        </w:tc>
        <w:tc>
          <w:tcPr>
            <w:tcW w:w="45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7A266E8">
            <w:pPr>
              <w:pStyle w:val="19"/>
              <w:bidi w:val="0"/>
              <w:spacing w:line="240" w:lineRule="auto"/>
              <w:ind w:left="0" w:leftChars="0" w:right="0" w:rightChars="0" w:firstLine="0" w:firstLineChars="0"/>
            </w:pPr>
            <w:r>
              <w:t>严格  &gt; 0 ；保留 4 位小数；LCA 核心计算参数</w:t>
            </w:r>
          </w:p>
        </w:tc>
      </w:tr>
      <w:tr w14:paraId="523A74E6">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A915997">
            <w:pPr>
              <w:pStyle w:val="19"/>
              <w:bidi w:val="0"/>
              <w:spacing w:line="240" w:lineRule="auto"/>
              <w:ind w:left="0" w:leftChars="0" w:right="0" w:rightChars="0" w:firstLine="0" w:firstLineChars="0"/>
            </w:pPr>
            <w: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FB51A9C">
            <w:pPr>
              <w:pStyle w:val="19"/>
              <w:bidi w:val="0"/>
              <w:spacing w:line="240" w:lineRule="auto"/>
              <w:ind w:left="0" w:leftChars="0" w:right="0" w:rightChars="0" w:firstLine="0" w:firstLineChars="0"/>
            </w:pPr>
            <w:r>
              <w:t>默认/基准因子值</w:t>
            </w:r>
          </w:p>
        </w:tc>
        <w:tc>
          <w:tcPr>
            <w:tcW w:w="14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4F86868">
            <w:pPr>
              <w:pStyle w:val="19"/>
              <w:bidi w:val="0"/>
              <w:spacing w:line="240" w:lineRule="auto"/>
              <w:ind w:left="0" w:leftChars="0" w:right="0" w:rightChars="0" w:firstLine="0" w:firstLineChars="0"/>
            </w:pPr>
            <w: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C92A6C">
            <w:pPr>
              <w:pStyle w:val="19"/>
              <w:bidi w:val="0"/>
              <w:spacing w:line="240" w:lineRule="auto"/>
              <w:ind w:left="0" w:leftChars="0" w:right="0" w:rightChars="0" w:firstLine="0" w:firstLineChars="0"/>
            </w:pPr>
            <w:r>
              <w:t>kgCO2e/kg</w:t>
            </w:r>
          </w:p>
        </w:tc>
        <w:tc>
          <w:tcPr>
            <w:tcW w:w="45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12D4E59">
            <w:pPr>
              <w:pStyle w:val="19"/>
              <w:bidi w:val="0"/>
              <w:spacing w:line="240" w:lineRule="auto"/>
              <w:ind w:left="0" w:leftChars="0" w:right="0" w:rightChars="0" w:firstLine="0" w:firstLineChars="0"/>
            </w:pPr>
            <w:r>
              <w:t>初始等于当前值；版本更新后自动沉淀为上一版本值</w:t>
            </w:r>
          </w:p>
        </w:tc>
      </w:tr>
      <w:tr w14:paraId="4ED59396">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2BF6987">
            <w:pPr>
              <w:pStyle w:val="19"/>
              <w:bidi w:val="0"/>
              <w:spacing w:line="240" w:lineRule="auto"/>
              <w:ind w:left="0" w:leftChars="0" w:right="0" w:rightChars="0" w:firstLine="0" w:firstLineChars="0"/>
            </w:pPr>
            <w: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440CE9F">
            <w:pPr>
              <w:pStyle w:val="19"/>
              <w:bidi w:val="0"/>
              <w:spacing w:line="240" w:lineRule="auto"/>
              <w:ind w:left="0" w:leftChars="0" w:right="0" w:rightChars="0" w:firstLine="0" w:firstLineChars="0"/>
            </w:pPr>
            <w:r>
              <w:t>法定量纲单位</w:t>
            </w:r>
          </w:p>
        </w:tc>
        <w:tc>
          <w:tcPr>
            <w:tcW w:w="14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A3745AA">
            <w:pPr>
              <w:pStyle w:val="19"/>
              <w:bidi w:val="0"/>
              <w:spacing w:line="240" w:lineRule="auto"/>
              <w:ind w:left="0" w:leftChars="0" w:right="0" w:rightChars="0" w:firstLine="0" w:firstLineChars="0"/>
            </w:pPr>
            <w: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832BF85">
            <w:pPr>
              <w:pStyle w:val="19"/>
              <w:bidi w:val="0"/>
              <w:spacing w:line="240" w:lineRule="auto"/>
              <w:ind w:left="0" w:leftChars="0" w:right="0" w:rightChars="0" w:firstLine="0" w:firstLineChars="0"/>
            </w:pPr>
            <w:r>
              <w:t>kgCO2e/kg</w:t>
            </w:r>
          </w:p>
        </w:tc>
        <w:tc>
          <w:tcPr>
            <w:tcW w:w="45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39E3068">
            <w:pPr>
              <w:pStyle w:val="19"/>
              <w:bidi w:val="0"/>
              <w:spacing w:line="240" w:lineRule="auto"/>
              <w:ind w:left="0" w:leftChars="0" w:right="0" w:rightChars="0" w:firstLine="0" w:firstLineChars="0"/>
            </w:pPr>
            <w:r>
              <w:t>全系统强制统一为  kgCO2e/kg ，严禁量纲混淆</w:t>
            </w:r>
          </w:p>
        </w:tc>
      </w:tr>
      <w:tr w14:paraId="1A6AA761">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39322FC">
            <w:pPr>
              <w:pStyle w:val="19"/>
              <w:bidi w:val="0"/>
              <w:spacing w:line="240" w:lineRule="auto"/>
              <w:ind w:left="0" w:leftChars="0" w:right="0" w:rightChars="0" w:firstLine="0" w:firstLineChars="0"/>
            </w:pPr>
            <w: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1286FB0">
            <w:pPr>
              <w:pStyle w:val="19"/>
              <w:bidi w:val="0"/>
              <w:spacing w:line="240" w:lineRule="auto"/>
              <w:ind w:left="0" w:leftChars="0" w:right="0" w:rightChars="0" w:firstLine="0" w:firstLineChars="0"/>
            </w:pPr>
            <w:r>
              <w:t>数据来源层级</w:t>
            </w:r>
          </w:p>
        </w:tc>
        <w:tc>
          <w:tcPr>
            <w:tcW w:w="14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CD2949B">
            <w:pPr>
              <w:pStyle w:val="19"/>
              <w:bidi w:val="0"/>
              <w:spacing w:line="240" w:lineRule="auto"/>
              <w:ind w:left="0" w:leftChars="0" w:right="0" w:rightChars="0" w:firstLine="0" w:firstLineChars="0"/>
            </w:pPr>
            <w: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E9A1C03">
            <w:pPr>
              <w:pStyle w:val="19"/>
              <w:bidi w:val="0"/>
              <w:spacing w:line="240" w:lineRule="auto"/>
              <w:ind w:left="0" w:leftChars="0" w:right="0" w:rightChars="0" w:firstLine="0" w:firstLineChars="0"/>
            </w:pPr>
            <w:r>
              <w:t>—</w:t>
            </w:r>
          </w:p>
        </w:tc>
        <w:tc>
          <w:tcPr>
            <w:tcW w:w="45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5826B0B">
            <w:pPr>
              <w:pStyle w:val="19"/>
              <w:bidi w:val="0"/>
              <w:spacing w:line="240" w:lineRule="auto"/>
              <w:ind w:left="0" w:leftChars="0" w:right="0" w:rightChars="0" w:firstLine="0" w:firstLineChars="0"/>
            </w:pPr>
            <w:r>
              <w:t xml:space="preserve">枚举： 供应商实测  /  第三方核证  /  行业标准  /  公用数据库  /  IPCC缺省值 </w:t>
            </w:r>
          </w:p>
        </w:tc>
      </w:tr>
      <w:tr w14:paraId="4486324D">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E1C82B">
            <w:pPr>
              <w:pStyle w:val="19"/>
              <w:bidi w:val="0"/>
              <w:spacing w:line="240" w:lineRule="auto"/>
              <w:ind w:left="0" w:leftChars="0" w:right="0" w:rightChars="0" w:firstLine="0" w:firstLineChars="0"/>
            </w:pPr>
            <w: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F8522BB">
            <w:pPr>
              <w:pStyle w:val="19"/>
              <w:bidi w:val="0"/>
              <w:spacing w:line="240" w:lineRule="auto"/>
              <w:ind w:left="0" w:leftChars="0" w:right="0" w:rightChars="0" w:firstLine="0" w:firstLineChars="0"/>
            </w:pPr>
            <w:r>
              <w:t>提供方/数据库名称</w:t>
            </w:r>
          </w:p>
        </w:tc>
        <w:tc>
          <w:tcPr>
            <w:tcW w:w="14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D110420">
            <w:pPr>
              <w:pStyle w:val="19"/>
              <w:bidi w:val="0"/>
              <w:spacing w:line="240" w:lineRule="auto"/>
              <w:ind w:left="0" w:leftChars="0" w:right="0" w:rightChars="0" w:firstLine="0" w:firstLineChars="0"/>
            </w:pPr>
            <w: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9716E07">
            <w:pPr>
              <w:pStyle w:val="19"/>
              <w:bidi w:val="0"/>
              <w:spacing w:line="240" w:lineRule="auto"/>
              <w:ind w:left="0" w:leftChars="0" w:right="0" w:rightChars="0" w:firstLine="0" w:firstLineChars="0"/>
            </w:pPr>
            <w:r>
              <w:t>—</w:t>
            </w:r>
          </w:p>
        </w:tc>
        <w:tc>
          <w:tcPr>
            <w:tcW w:w="45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9D1B9B8">
            <w:pPr>
              <w:pStyle w:val="19"/>
              <w:bidi w:val="0"/>
              <w:spacing w:line="240" w:lineRule="auto"/>
              <w:ind w:left="0" w:leftChars="0" w:right="0" w:rightChars="0" w:firstLine="0" w:firstLineChars="0"/>
            </w:pPr>
            <w:r>
              <w:t>如  宝钢实测报告 、 Ecoinvent 3.10 、 CLCD  等</w:t>
            </w:r>
          </w:p>
        </w:tc>
      </w:tr>
      <w:tr w14:paraId="1EE24198">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CB2B90C">
            <w:pPr>
              <w:pStyle w:val="19"/>
              <w:bidi w:val="0"/>
              <w:spacing w:line="240" w:lineRule="auto"/>
              <w:ind w:left="0" w:leftChars="0" w:right="0" w:rightChars="0" w:firstLine="0" w:firstLineChars="0"/>
            </w:pPr>
            <w: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12B9CCF">
            <w:pPr>
              <w:pStyle w:val="19"/>
              <w:bidi w:val="0"/>
              <w:spacing w:line="240" w:lineRule="auto"/>
              <w:ind w:left="0" w:leftChars="0" w:right="0" w:rightChars="0" w:firstLine="0" w:firstLineChars="0"/>
            </w:pPr>
            <w:r>
              <w:t>系统边界定义</w:t>
            </w:r>
          </w:p>
        </w:tc>
        <w:tc>
          <w:tcPr>
            <w:tcW w:w="14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1A0943D">
            <w:pPr>
              <w:pStyle w:val="19"/>
              <w:bidi w:val="0"/>
              <w:spacing w:line="240" w:lineRule="auto"/>
              <w:ind w:left="0" w:leftChars="0" w:right="0" w:rightChars="0" w:firstLine="0" w:firstLineChars="0"/>
            </w:pPr>
            <w: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D1A4805">
            <w:pPr>
              <w:pStyle w:val="19"/>
              <w:bidi w:val="0"/>
              <w:spacing w:line="240" w:lineRule="auto"/>
              <w:ind w:left="0" w:leftChars="0" w:right="0" w:rightChars="0" w:firstLine="0" w:firstLineChars="0"/>
            </w:pPr>
            <w:r>
              <w:t>—</w:t>
            </w:r>
          </w:p>
        </w:tc>
        <w:tc>
          <w:tcPr>
            <w:tcW w:w="45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F94049">
            <w:pPr>
              <w:pStyle w:val="19"/>
              <w:bidi w:val="0"/>
              <w:spacing w:line="240" w:lineRule="auto"/>
              <w:ind w:left="0" w:leftChars="0" w:right="0" w:rightChars="0" w:firstLine="0" w:firstLineChars="0"/>
            </w:pPr>
            <w:r>
              <w:t xml:space="preserve">固定为  摇篮到大门 (Cradle-to-Gate) </w:t>
            </w:r>
          </w:p>
        </w:tc>
      </w:tr>
      <w:tr w14:paraId="26602157">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B1E8B0C">
            <w:pPr>
              <w:pStyle w:val="19"/>
              <w:bidi w:val="0"/>
              <w:spacing w:line="240" w:lineRule="auto"/>
              <w:ind w:left="0" w:leftChars="0" w:right="0" w:rightChars="0" w:firstLine="0" w:firstLineChars="0"/>
            </w:pPr>
            <w:r>
              <w:t>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5BA764C">
            <w:pPr>
              <w:pStyle w:val="19"/>
              <w:bidi w:val="0"/>
              <w:spacing w:line="240" w:lineRule="auto"/>
              <w:ind w:left="0" w:leftChars="0" w:right="0" w:rightChars="0" w:firstLine="0" w:firstLineChars="0"/>
            </w:pPr>
            <w:r>
              <w:t>当前发布版本号</w:t>
            </w:r>
          </w:p>
        </w:tc>
        <w:tc>
          <w:tcPr>
            <w:tcW w:w="14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5BDFB40">
            <w:pPr>
              <w:pStyle w:val="19"/>
              <w:bidi w:val="0"/>
              <w:spacing w:line="240" w:lineRule="auto"/>
              <w:ind w:left="0" w:leftChars="0" w:right="0" w:rightChars="0" w:firstLine="0" w:firstLineChars="0"/>
            </w:pPr>
            <w: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C21ED08">
            <w:pPr>
              <w:pStyle w:val="19"/>
              <w:bidi w:val="0"/>
              <w:spacing w:line="240" w:lineRule="auto"/>
              <w:ind w:left="0" w:leftChars="0" w:right="0" w:rightChars="0" w:firstLine="0" w:firstLineChars="0"/>
            </w:pPr>
            <w:r>
              <w:t>—</w:t>
            </w:r>
          </w:p>
        </w:tc>
        <w:tc>
          <w:tcPr>
            <w:tcW w:w="45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3EC87F3">
            <w:pPr>
              <w:pStyle w:val="19"/>
              <w:bidi w:val="0"/>
              <w:spacing w:line="240" w:lineRule="auto"/>
              <w:ind w:left="0" w:leftChars="0" w:right="0" w:rightChars="0" w:firstLine="0" w:firstLineChars="0"/>
            </w:pPr>
            <w:r>
              <w:t>格式  vX.Y （如  v3.2 ），严格单调递增</w:t>
            </w:r>
          </w:p>
        </w:tc>
      </w:tr>
      <w:tr w14:paraId="1E699954">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AFAF60">
            <w:pPr>
              <w:pStyle w:val="19"/>
              <w:bidi w:val="0"/>
              <w:spacing w:line="240" w:lineRule="auto"/>
              <w:ind w:left="0" w:leftChars="0" w:right="0" w:rightChars="0" w:firstLine="0" w:firstLineChars="0"/>
            </w:pPr>
            <w:r>
              <w:t>11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0056756">
            <w:pPr>
              <w:pStyle w:val="19"/>
              <w:bidi w:val="0"/>
              <w:spacing w:line="240" w:lineRule="auto"/>
              <w:ind w:left="0" w:leftChars="0" w:right="0" w:rightChars="0" w:firstLine="0" w:firstLineChars="0"/>
            </w:pPr>
            <w:r>
              <w:t>数据质量评级 (DQR)</w:t>
            </w:r>
          </w:p>
        </w:tc>
        <w:tc>
          <w:tcPr>
            <w:tcW w:w="14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A26012C">
            <w:pPr>
              <w:pStyle w:val="19"/>
              <w:bidi w:val="0"/>
              <w:spacing w:line="240" w:lineRule="auto"/>
              <w:ind w:left="0" w:leftChars="0" w:right="0" w:rightChars="0" w:firstLine="0" w:firstLineChars="0"/>
            </w:pPr>
            <w: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9187B48">
            <w:pPr>
              <w:pStyle w:val="19"/>
              <w:bidi w:val="0"/>
              <w:spacing w:line="240" w:lineRule="auto"/>
              <w:ind w:left="0" w:leftChars="0" w:right="0" w:rightChars="0" w:firstLine="0" w:firstLineChars="0"/>
            </w:pPr>
            <w:r>
              <w:t>—</w:t>
            </w:r>
          </w:p>
        </w:tc>
        <w:tc>
          <w:tcPr>
            <w:tcW w:w="45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6C63CD2">
            <w:pPr>
              <w:pStyle w:val="19"/>
              <w:bidi w:val="0"/>
              <w:spacing w:line="240" w:lineRule="auto"/>
              <w:ind w:left="0" w:leftChars="0" w:right="0" w:rightChars="0" w:firstLine="0" w:firstLineChars="0"/>
            </w:pPr>
            <w:r>
              <w:t>[1.00, 5.00] ，四维综合评分，数值越低代表质量越高</w:t>
            </w:r>
          </w:p>
        </w:tc>
      </w:tr>
      <w:tr w14:paraId="4EFEAEA1">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11923B2">
            <w:pPr>
              <w:pStyle w:val="19"/>
              <w:bidi w:val="0"/>
              <w:spacing w:line="240" w:lineRule="auto"/>
              <w:ind w:left="0" w:leftChars="0" w:right="0" w:rightChars="0" w:firstLine="0" w:firstLineChars="0"/>
            </w:pPr>
            <w:r>
              <w:t>12</w:t>
            </w:r>
          </w:p>
        </w:tc>
        <w:tc>
          <w:tcPr>
            <w:tcW w:w="16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550E85B">
            <w:pPr>
              <w:pStyle w:val="19"/>
              <w:bidi w:val="0"/>
              <w:spacing w:line="240" w:lineRule="auto"/>
              <w:ind w:left="0" w:leftChars="0" w:right="0" w:rightChars="0" w:firstLine="0" w:firstLineChars="0"/>
            </w:pPr>
            <w:r>
              <w:t>引用锁定防删标识</w:t>
            </w:r>
          </w:p>
        </w:tc>
        <w:tc>
          <w:tcPr>
            <w:tcW w:w="14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04FD003">
            <w:pPr>
              <w:pStyle w:val="19"/>
              <w:bidi w:val="0"/>
              <w:spacing w:line="240" w:lineRule="auto"/>
              <w:ind w:left="0" w:leftChars="0" w:right="0" w:rightChars="0" w:firstLine="0" w:firstLineChars="0"/>
            </w:pPr>
            <w:r>
              <w:t>Boolean</w:t>
            </w:r>
          </w:p>
        </w:tc>
        <w:tc>
          <w:tcPr>
            <w:tcW w:w="12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A8A0316">
            <w:pPr>
              <w:pStyle w:val="19"/>
              <w:bidi w:val="0"/>
              <w:spacing w:line="240" w:lineRule="auto"/>
              <w:ind w:left="0" w:leftChars="0" w:right="0" w:rightChars="0" w:firstLine="0" w:firstLineChars="0"/>
            </w:pPr>
            <w:r>
              <w:t>—</w:t>
            </w:r>
          </w:p>
        </w:tc>
        <w:tc>
          <w:tcPr>
            <w:tcW w:w="45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D59726">
            <w:pPr>
              <w:pStyle w:val="19"/>
              <w:bidi w:val="0"/>
              <w:spacing w:line="240" w:lineRule="auto"/>
              <w:ind w:left="0" w:leftChars="0" w:right="0" w:rightChars="0" w:firstLine="0" w:firstLineChars="0"/>
            </w:pPr>
            <w:r>
              <w:t>被已生效报告引用后置为  true ，前端禁用删除按钮</w:t>
            </w:r>
          </w:p>
        </w:tc>
      </w:tr>
    </w:tbl>
    <w:p w14:paraId="64D88984">
      <w:pPr>
        <w:pStyle w:val="19"/>
        <w:bidi w:val="0"/>
      </w:pPr>
    </w:p>
    <w:p w14:paraId="6877C008">
      <w:pPr>
        <w:pStyle w:val="6"/>
        <w:numPr>
          <w:ilvl w:val="0"/>
          <w:numId w:val="202"/>
        </w:numPr>
        <w:bidi w:val="0"/>
        <w:ind w:left="0" w:leftChars="0" w:firstLine="0" w:firstLineChars="0"/>
        <w:rPr>
          <w:rFonts w:hint="eastAsia" w:ascii="黑体" w:hAnsi="黑体" w:eastAsia="黑体" w:cs="黑体"/>
          <w:sz w:val="28"/>
          <w:szCs w:val="28"/>
        </w:rPr>
      </w:pPr>
      <w:r>
        <w:rPr>
          <w:rFonts w:hint="eastAsia" w:ascii="黑体" w:hAnsi="黑体" w:eastAsia="黑体" w:cs="黑体"/>
          <w:sz w:val="28"/>
          <w:szCs w:val="28"/>
        </w:rPr>
        <w:t>核心数学模型与算法框架</w:t>
      </w:r>
    </w:p>
    <w:tbl>
      <w:tblPr>
        <w:tblStyle w:val="38"/>
        <w:tblW w:w="0" w:type="auto"/>
        <w:jc w:val="center"/>
        <w:tblLayout w:type="fixed"/>
        <w:tblCellMar>
          <w:top w:w="0" w:type="dxa"/>
          <w:left w:w="108" w:type="dxa"/>
          <w:bottom w:w="0" w:type="dxa"/>
          <w:right w:w="108" w:type="dxa"/>
        </w:tblCellMar>
      </w:tblPr>
      <w:tblGrid>
        <w:gridCol w:w="9648"/>
      </w:tblGrid>
      <w:tr w14:paraId="545F70B3">
        <w:tblPrEx>
          <w:tblCellMar>
            <w:top w:w="0" w:type="dxa"/>
            <w:left w:w="108" w:type="dxa"/>
            <w:bottom w:w="0" w:type="dxa"/>
            <w:right w:w="108" w:type="dxa"/>
          </w:tblCellMar>
        </w:tblPrEx>
        <w:trPr>
          <w:jc w:val="center"/>
        </w:trPr>
        <w:tc>
          <w:tcPr>
            <w:tcW w:w="9648" w:type="dxa"/>
            <w:tcBorders>
              <w:top w:val="nil"/>
              <w:left w:val="single" w:color="16A34A" w:sz="24" w:space="0"/>
              <w:bottom w:val="nil"/>
              <w:right w:val="nil"/>
            </w:tcBorders>
            <w:shd w:val="clear" w:color="auto" w:fill="F0FDF4"/>
            <w:tcMar>
              <w:top w:w="70" w:type="dxa"/>
              <w:left w:w="100" w:type="dxa"/>
              <w:bottom w:w="70" w:type="dxa"/>
              <w:right w:w="100" w:type="dxa"/>
            </w:tcMar>
          </w:tcPr>
          <w:p w14:paraId="74610C1D">
            <w:pPr>
              <w:pStyle w:val="19"/>
              <w:bidi w:val="0"/>
            </w:pPr>
            <w:r>
              <w:t>EF_{\text{mat}} = \sum_{k=1}^{m} \left( \frac{W_k}{\sum_{j=1}^{m} W_j} \times EF_k \right) \quad (\text{多供应商混料加权综合因子})</w:t>
            </w:r>
          </w:p>
          <w:p w14:paraId="1FFD3CFC">
            <w:pPr>
              <w:pStyle w:val="19"/>
              <w:bidi w:val="0"/>
            </w:pPr>
            <w:r>
              <w:t>\Delta EF_{\text{pct}} = \frac{EF_{\text{current}} - EF_{\text{default}}}{EF_{\text{default}}} \times 100\% \quad (\text{因子版本变动偏离率})</w:t>
            </w:r>
          </w:p>
          <w:p w14:paraId="762DD64D">
            <w:pPr>
              <w:pStyle w:val="19"/>
              <w:bidi w:val="0"/>
            </w:pPr>
            <w:r>
              <w:t>DQR = \frac{TeR + GeR + TiR + ReR}{4} \quad (\text{数据质量四维综合评级})</w:t>
            </w:r>
          </w:p>
          <w:p w14:paraId="1EA5931C">
            <w:pPr>
              <w:pStyle w:val="19"/>
              <w:bidi w:val="0"/>
            </w:pPr>
            <w:r>
              <w:t>C_{\text{material}} = \sum_{i=1}^{n} ( M_i \times EF_{\text{mat}, i} ) \quad (\text{产品原材料阶段总碳足迹})</w:t>
            </w:r>
          </w:p>
        </w:tc>
      </w:tr>
    </w:tbl>
    <w:p w14:paraId="17D0FA48">
      <w:pPr>
        <w:pStyle w:val="19"/>
        <w:bidi w:val="0"/>
      </w:pPr>
      <w:r>
        <w:t>变量定义与取值约定：</w:t>
      </w:r>
    </w:p>
    <w:p w14:paraId="6C1B277E">
      <w:pPr>
        <w:pStyle w:val="19"/>
        <w:bidi w:val="0"/>
      </w:pPr>
      <w:r>
        <w:t>W_k 为向第 k 家供应商采购该物料的实际重量（kg 或 t）；EF_k 为对应供应商核证因子；</w:t>
      </w:r>
    </w:p>
    <w:p w14:paraId="64C7E0A4">
      <w:pPr>
        <w:pStyle w:val="19"/>
        <w:bidi w:val="0"/>
      </w:pPr>
      <w:r>
        <w:t>• TeR（技术代表性）、GeR（地理代表性）、TiR（时间代表性）、ReR（可靠性）分别按 1~5 档评分；</w:t>
      </w:r>
    </w:p>
    <w:p w14:paraId="67637497">
      <w:pPr>
        <w:pStyle w:val="19"/>
        <w:bidi w:val="0"/>
      </w:pPr>
      <w:r>
        <w:t>• DQR 分级标准：DQR \le 1.6 判定为高质量（一级数据）；1.6 &lt; DQR \le 3.0 判定为中质量；DQR &gt; 3.0 判定为低质量并触发合规预警；</w:t>
      </w:r>
    </w:p>
    <w:p w14:paraId="5C08BEED">
      <w:pPr>
        <w:pStyle w:val="19"/>
        <w:bidi w:val="0"/>
      </w:pPr>
      <w:r>
        <w:t>• \Delta EF_{\text{pct}} 为负值代表物料绿色低碳化升级，正值代表碳排放强度上升。</w:t>
      </w:r>
    </w:p>
    <w:p w14:paraId="256F21CF">
      <w:pPr>
        <w:pStyle w:val="6"/>
        <w:numPr>
          <w:ilvl w:val="0"/>
          <w:numId w:val="202"/>
        </w:numPr>
        <w:bidi w:val="0"/>
        <w:ind w:left="0" w:leftChars="0" w:firstLine="0" w:firstLineChars="0"/>
        <w:rPr>
          <w:rFonts w:hint="eastAsia" w:ascii="黑体" w:hAnsi="黑体" w:eastAsia="黑体" w:cs="黑体"/>
          <w:sz w:val="28"/>
          <w:szCs w:val="28"/>
        </w:rPr>
      </w:pPr>
      <w:r>
        <w:rPr>
          <w:rFonts w:hint="eastAsia" w:ascii="黑体" w:hAnsi="黑体" w:eastAsia="黑体" w:cs="黑体"/>
          <w:sz w:val="28"/>
          <w:szCs w:val="28"/>
        </w:rPr>
        <w:t>展示、对标与判定口径</w:t>
      </w:r>
    </w:p>
    <w:p w14:paraId="1DE9BFA2">
      <w:pPr>
        <w:pStyle w:val="19"/>
        <w:bidi w:val="0"/>
      </w:pPr>
      <w:r>
        <w:rPr>
          <w:b/>
          <w:bCs/>
        </w:rPr>
        <w:t>双轨口径</w:t>
      </w:r>
      <w:r>
        <w:t>：因子列表常态展示当前值与默认值，默认值作为时序对标基准。</w:t>
      </w:r>
    </w:p>
    <w:p w14:paraId="65975C83">
      <w:pPr>
        <w:pStyle w:val="19"/>
        <w:bidi w:val="0"/>
      </w:pPr>
      <w:r>
        <w:rPr>
          <w:b/>
          <w:bCs/>
        </w:rPr>
        <w:t>偏离口径</w:t>
      </w:r>
      <w:r>
        <w:t>：-5.00\% 标记绿色优化箭头，-5.00\% &lt; \Delta EF_{\text{pct}} \le +5.00\% 标记灰色持平，\Delta EF_{\text{pct}} &gt; +5.00\% 标记黄色提示。</w:t>
      </w:r>
    </w:p>
    <w:p w14:paraId="01B136E7">
      <w:pPr>
        <w:pStyle w:val="19"/>
        <w:bidi w:val="0"/>
      </w:pPr>
      <w:r>
        <w:rPr>
          <w:b/>
          <w:bCs/>
        </w:rPr>
        <w:t>锁定口径</w:t>
      </w:r>
      <w:r>
        <w:t>：凡被标记为  LCA_CERTIFIED  或  CBAM_DECLARED  报告所引用的因子版本强制锁定，仅允许通过发布新版本推进。</w:t>
      </w:r>
    </w:p>
    <w:p w14:paraId="7801D5BA">
      <w:pPr>
        <w:pStyle w:val="19"/>
        <w:bidi w:val="0"/>
      </w:pPr>
      <w:r>
        <w:rPr>
          <w:b/>
          <w:bCs/>
        </w:rPr>
        <w:t>空值口径</w:t>
      </w:r>
      <w:r>
        <w:t>：新建因子无历史基准时默认值显示  -- ；缺失实测值时强制匹配公用数据库缺省值，严禁显示  0 。</w:t>
      </w:r>
    </w:p>
    <w:p w14:paraId="214A671D">
      <w:pPr>
        <w:pStyle w:val="19"/>
        <w:bidi w:val="0"/>
      </w:pPr>
      <w:r>
        <w:rPr>
          <w:b/>
          <w:bCs/>
        </w:rPr>
        <w:t>溯源口径</w:t>
      </w:r>
      <w:r>
        <w:t>：每个因子卡片与行内明确展示版本号、核验机构、有效截止期与操作员工号，保障审计双向追溯。</w:t>
      </w:r>
    </w:p>
    <w:p w14:paraId="7719793E">
      <w:pPr>
        <w:pStyle w:val="6"/>
        <w:numPr>
          <w:ilvl w:val="0"/>
          <w:numId w:val="202"/>
        </w:numPr>
        <w:bidi w:val="0"/>
        <w:ind w:left="0" w:leftChars="0" w:firstLine="0" w:firstLineChars="0"/>
        <w:rPr>
          <w:rFonts w:hint="eastAsia" w:ascii="黑体" w:hAnsi="黑体" w:eastAsia="黑体" w:cs="黑体"/>
          <w:sz w:val="28"/>
          <w:szCs w:val="28"/>
        </w:rPr>
      </w:pPr>
      <w:r>
        <w:rPr>
          <w:rFonts w:hint="eastAsia" w:ascii="黑体" w:hAnsi="黑体" w:eastAsia="黑体" w:cs="黑体"/>
          <w:sz w:val="28"/>
          <w:szCs w:val="28"/>
        </w:rPr>
        <w:t>边界条件、异常处理与防错规则</w:t>
      </w:r>
    </w:p>
    <w:p w14:paraId="5C6E871C">
      <w:pPr>
        <w:pStyle w:val="175"/>
        <w:bidi w:val="0"/>
      </w:pPr>
      <w:r>
        <w:t>除零安全防御：多供应商加权核算中，当采购总重 \sum W_j = 0 时，加权因子自动兜底采用国家标准缺省值，记录  E_CALC_FACTOR_WEIGHT_ZERO_FALLBACK ，系统不出现  NaN  或白屏。</w:t>
      </w:r>
    </w:p>
    <w:p w14:paraId="3574A199">
      <w:pPr>
        <w:pStyle w:val="175"/>
        <w:bidi w:val="0"/>
      </w:pPr>
      <w:r>
        <w:t>因子数值非正数强阻断：录入因子必须满足 EF_{\text{current}} &gt; 0，输入 \le 0 时阻断提交并提示“因子数值必须严格大于0”，触发  E_VAL_FACTOR_NON_POSITIVE 。</w:t>
      </w:r>
    </w:p>
    <w:p w14:paraId="580D7E01">
      <w:pPr>
        <w:pStyle w:val="175"/>
        <w:bidi w:val="0"/>
      </w:pPr>
      <w:r>
        <w:t>在用因子物理删除阻断：已被认证报告引用的因子版本禁止执行物理删除，系统弹出强阻断提示并返回错误码  E_FACTOR_IN_USE_DELETE_DENIED 。</w:t>
      </w:r>
    </w:p>
    <w:p w14:paraId="2A6389C9">
      <w:pPr>
        <w:pStyle w:val="175"/>
        <w:bidi w:val="0"/>
      </w:pPr>
      <w:r>
        <w:t>版本号冲突阻断：手动录入版本号若低于当前版本或与已有版本重复，系统阻断保存，触发  E_FACTOR_VERSION_CONFLICT 。</w:t>
      </w:r>
    </w:p>
    <w:p w14:paraId="2E9D9E67">
      <w:pPr>
        <w:pStyle w:val="175"/>
        <w:bidi w:val="0"/>
      </w:pPr>
      <w:r>
        <w:t>RBAC 越权拦截：仅 P4 角色具备因子新增、编辑与回滚权限，非授权角色操作返回  HTTP 403 ，触发  E_AUTH_RBAC_FORBIDDEN 。</w:t>
      </w:r>
    </w:p>
    <w:p w14:paraId="0C32C0B6">
      <w:pPr>
        <w:pStyle w:val="175"/>
        <w:bidi w:val="0"/>
      </w:pPr>
      <w:r>
        <w:t>回滚必须留痕：执行版本回滚必须填写不少于 10 个字符的业务原因说明，空理由禁止提交。</w:t>
      </w:r>
    </w:p>
    <w:p w14:paraId="1EB759FD">
      <w:pPr>
        <w:pStyle w:val="6"/>
        <w:numPr>
          <w:ilvl w:val="0"/>
          <w:numId w:val="202"/>
        </w:numPr>
        <w:bidi w:val="0"/>
        <w:ind w:left="0" w:leftChars="0" w:firstLine="0" w:firstLineChars="0"/>
        <w:rPr>
          <w:rFonts w:hint="eastAsia" w:ascii="黑体" w:hAnsi="黑体" w:eastAsia="黑体" w:cs="黑体"/>
          <w:sz w:val="28"/>
          <w:szCs w:val="28"/>
        </w:rPr>
      </w:pPr>
      <w:r>
        <w:rPr>
          <w:rFonts w:hint="eastAsia" w:ascii="黑体" w:hAnsi="黑体" w:eastAsia="黑体" w:cs="黑体"/>
          <w:sz w:val="28"/>
          <w:szCs w:val="28"/>
        </w:rPr>
        <w:t>QA 自动化验收准则（Gherkin BDD）</w:t>
      </w:r>
    </w:p>
    <w:tbl>
      <w:tblPr>
        <w:tblStyle w:val="38"/>
        <w:tblW w:w="0" w:type="auto"/>
        <w:jc w:val="center"/>
        <w:tblLayout w:type="fixed"/>
        <w:tblCellMar>
          <w:top w:w="0" w:type="dxa"/>
          <w:left w:w="108" w:type="dxa"/>
          <w:bottom w:w="0" w:type="dxa"/>
          <w:right w:w="108" w:type="dxa"/>
        </w:tblCellMar>
      </w:tblPr>
      <w:tblGrid>
        <w:gridCol w:w="9648"/>
      </w:tblGrid>
      <w:tr w14:paraId="7937E4F0">
        <w:tblPrEx>
          <w:tblCellMar>
            <w:top w:w="0" w:type="dxa"/>
            <w:left w:w="108" w:type="dxa"/>
            <w:bottom w:w="0" w:type="dxa"/>
            <w:right w:w="108" w:type="dxa"/>
          </w:tblCellMar>
        </w:tblPrEx>
        <w:trPr>
          <w:jc w:val="center"/>
        </w:trPr>
        <w:tc>
          <w:tcPr>
            <w:tcW w:w="9648" w:type="dxa"/>
            <w:tcBorders>
              <w:top w:val="nil"/>
              <w:left w:val="single" w:color="7C3AED" w:sz="24" w:space="0"/>
              <w:bottom w:val="nil"/>
              <w:right w:val="nil"/>
            </w:tcBorders>
            <w:shd w:val="clear" w:color="auto" w:fill="F5F3FF"/>
            <w:tcMar>
              <w:top w:w="70" w:type="dxa"/>
              <w:left w:w="100" w:type="dxa"/>
              <w:bottom w:w="70" w:type="dxa"/>
              <w:right w:w="100" w:type="dxa"/>
            </w:tcMar>
          </w:tcPr>
          <w:p w14:paraId="2796A486">
            <w:pPr>
              <w:pStyle w:val="19"/>
              <w:bidi w:val="0"/>
            </w:pPr>
            <w:r>
              <w:t>Feature: 原材料碳排因子全生命周期治理与版本控制</w:t>
            </w:r>
          </w:p>
          <w:p w14:paraId="5B847ED2">
            <w:pPr>
              <w:pStyle w:val="19"/>
              <w:bidi w:val="0"/>
            </w:pPr>
            <w:r>
              <w:t xml:space="preserve">  Scenario: 供应商实测高保真因子新增与版本初始化</w:t>
            </w:r>
          </w:p>
          <w:p w14:paraId="3A9ABBAE">
            <w:pPr>
              <w:pStyle w:val="19"/>
              <w:bidi w:val="0"/>
            </w:pPr>
            <w:r>
              <w:t xml:space="preserve">    Given P4 认证工程师登录</w:t>
            </w:r>
            <w:r>
              <w:rPr>
                <w:rFonts w:hint="eastAsia"/>
                <w:lang w:eastAsia="zh-CN"/>
              </w:rPr>
              <w:t>进入</w:t>
            </w:r>
            <w:r>
              <w:t>变压器产业原材料因子管理界面</w:t>
            </w:r>
          </w:p>
          <w:p w14:paraId="71DF962F">
            <w:pPr>
              <w:pStyle w:val="19"/>
              <w:bidi w:val="0"/>
            </w:pPr>
            <w:r>
              <w:t xml:space="preserve">    When 点击新建因子，录入名称 "高磁导取向硅钢片", 产业 "变压器产业", 因子值 1.9500, 单位 "kgCO2e/kg", 来源 "供应商实测", 提供方 "宝钢股份"</w:t>
            </w:r>
          </w:p>
          <w:p w14:paraId="45735678">
            <w:pPr>
              <w:pStyle w:val="19"/>
              <w:bidi w:val="0"/>
              <w:rPr>
                <w:rFonts w:hint="eastAsia" w:eastAsia="宋体"/>
                <w:lang w:eastAsia="zh-CN"/>
              </w:rPr>
            </w:pPr>
            <w:r>
              <w:rPr>
                <w:rFonts w:hint="eastAsia"/>
                <w:lang w:eastAsia="zh-CN"/>
              </w:rPr>
              <w:t xml:space="preserve">    Then 系统保存成功，生成RM开头的唯一编码</w:t>
            </w:r>
          </w:p>
          <w:p w14:paraId="162B7428">
            <w:pPr>
              <w:pStyle w:val="19"/>
              <w:bidi w:val="0"/>
            </w:pPr>
            <w:r>
              <w:t xml:space="preserve">    And 当前生效因子值显示为 1.9500</w:t>
            </w:r>
          </w:p>
          <w:p w14:paraId="2AF3C080">
            <w:pPr>
              <w:pStyle w:val="19"/>
              <w:bidi w:val="0"/>
            </w:pPr>
            <w:r>
              <w:t xml:space="preserve">    And 默认值列自动初始化为 1.9500</w:t>
            </w:r>
          </w:p>
          <w:p w14:paraId="7C1B7463">
            <w:pPr>
              <w:pStyle w:val="19"/>
              <w:bidi w:val="0"/>
            </w:pPr>
            <w:r>
              <w:t xml:space="preserve">    And 历史版本流水写入版本号 "v1.0" 与操作人员工号</w:t>
            </w:r>
          </w:p>
          <w:p w14:paraId="1D134F08">
            <w:pPr>
              <w:pStyle w:val="19"/>
              <w:bidi w:val="0"/>
            </w:pPr>
          </w:p>
          <w:p w14:paraId="4ED0F149">
            <w:pPr>
              <w:pStyle w:val="19"/>
              <w:bidi w:val="0"/>
            </w:pPr>
            <w:r>
              <w:t xml:space="preserve">  Scenario: 被引用因子不可变性与删除强阻断防御</w:t>
            </w:r>
          </w:p>
          <w:p w14:paraId="1CC6A82A">
            <w:pPr>
              <w:pStyle w:val="19"/>
              <w:bidi w:val="0"/>
            </w:pPr>
            <w:r>
              <w:t xml:space="preserve">    Given 原材料因子 "电解铜" (RM002, v3.2) 已被型号 "SZ11-50000/110" 的已归档 LCA 报告引用</w:t>
            </w:r>
          </w:p>
          <w:p w14:paraId="03AD4AAD">
            <w:pPr>
              <w:pStyle w:val="19"/>
              <w:bidi w:val="0"/>
            </w:pPr>
            <w:r>
              <w:t xml:space="preserve">    When 用户</w:t>
            </w:r>
            <w:r>
              <w:rPr>
                <w:rFonts w:hint="eastAsia"/>
                <w:lang w:eastAsia="zh-CN"/>
              </w:rPr>
              <w:t>尝试点击</w:t>
            </w:r>
            <w:r>
              <w:t>列表操作列</w:t>
            </w:r>
            <w:r>
              <w:rPr>
                <w:rFonts w:hint="eastAsia"/>
                <w:lang w:eastAsia="zh-CN"/>
              </w:rPr>
              <w:t>的</w:t>
            </w:r>
            <w:r>
              <w:t xml:space="preserve"> "删除" 按钮</w:t>
            </w:r>
          </w:p>
          <w:p w14:paraId="62A2DA25">
            <w:pPr>
              <w:pStyle w:val="19"/>
              <w:bidi w:val="0"/>
            </w:pPr>
            <w:r>
              <w:t xml:space="preserve">    Then "删除" 按钮置灰禁用</w:t>
            </w:r>
            <w:r>
              <w:rPr>
                <w:rFonts w:hint="eastAsia"/>
                <w:lang w:eastAsia="zh-CN"/>
              </w:rPr>
              <w:t>，</w:t>
            </w:r>
            <w:r>
              <w:t>悬停提示 "该因子已被生效报告引用，禁止删除"</w:t>
            </w:r>
          </w:p>
          <w:p w14:paraId="161527CA">
            <w:pPr>
              <w:pStyle w:val="19"/>
              <w:bidi w:val="0"/>
            </w:pPr>
            <w:r>
              <w:t xml:space="preserve">    And 后台 API 拦截该 DELETE 请求</w:t>
            </w:r>
            <w:r>
              <w:rPr>
                <w:rFonts w:hint="eastAsia"/>
                <w:lang w:eastAsia="zh-CN"/>
              </w:rPr>
              <w:t>，</w:t>
            </w:r>
            <w:r>
              <w:t>返回错误码 E_FACTOR_IN_USE_DELETE_DENIED</w:t>
            </w:r>
          </w:p>
          <w:p w14:paraId="07A22D40">
            <w:pPr>
              <w:pStyle w:val="19"/>
              <w:bidi w:val="0"/>
            </w:pPr>
            <w:r>
              <w:t xml:space="preserve">    And 数据库中该行数据保持完整</w:t>
            </w:r>
          </w:p>
          <w:p w14:paraId="367AE58D">
            <w:pPr>
              <w:pStyle w:val="19"/>
              <w:bidi w:val="0"/>
            </w:pPr>
          </w:p>
          <w:p w14:paraId="68D6E8B4">
            <w:pPr>
              <w:pStyle w:val="19"/>
              <w:bidi w:val="0"/>
            </w:pPr>
            <w:r>
              <w:t xml:space="preserve">  Scenario: 因子版本一键回滚与默认值重置流水断言</w:t>
            </w:r>
          </w:p>
          <w:p w14:paraId="34A64697">
            <w:pPr>
              <w:pStyle w:val="19"/>
              <w:bidi w:val="0"/>
            </w:pPr>
            <w:r>
              <w:t xml:space="preserve">    Given 原材料因子 "电工铝锭" 当前版本 "v2.6"</w:t>
            </w:r>
            <w:r>
              <w:rPr>
                <w:rFonts w:hint="eastAsia"/>
                <w:lang w:eastAsia="zh-CN"/>
              </w:rPr>
              <w:t>、</w:t>
            </w:r>
            <w:r>
              <w:t>因子值 8.1000</w:t>
            </w:r>
            <w:r>
              <w:rPr>
                <w:rFonts w:hint="eastAsia"/>
                <w:lang w:eastAsia="zh-CN"/>
              </w:rPr>
              <w:t>，</w:t>
            </w:r>
            <w:r>
              <w:t>历史存在版本 "v2.5" (因子值 7.8000)</w:t>
            </w:r>
          </w:p>
          <w:p w14:paraId="4E0E22EA">
            <w:pPr>
              <w:pStyle w:val="19"/>
              <w:bidi w:val="0"/>
            </w:pPr>
            <w:r>
              <w:t xml:space="preserve">    When 用户在版本抽屉选中 "v2.5" 点击 "回滚至此版本"</w:t>
            </w:r>
            <w:r>
              <w:rPr>
                <w:rFonts w:hint="eastAsia"/>
                <w:lang w:eastAsia="zh-CN"/>
              </w:rPr>
              <w:t>，</w:t>
            </w:r>
            <w:r>
              <w:t>填写理由 "有色协会数据复测更正说明"</w:t>
            </w:r>
          </w:p>
          <w:p w14:paraId="640E6477">
            <w:pPr>
              <w:pStyle w:val="19"/>
              <w:bidi w:val="0"/>
            </w:pPr>
            <w:r>
              <w:t xml:space="preserve">    Then 因子当前生效值更新为 7.8000</w:t>
            </w:r>
          </w:p>
          <w:p w14:paraId="11397872">
            <w:pPr>
              <w:pStyle w:val="19"/>
              <w:bidi w:val="0"/>
            </w:pPr>
            <w:r>
              <w:t xml:space="preserve">    And 默认值列自动变更为回滚前当前值 8.1000</w:t>
            </w:r>
          </w:p>
          <w:p w14:paraId="0E2B0916">
            <w:pPr>
              <w:pStyle w:val="19"/>
              <w:bidi w:val="0"/>
            </w:pPr>
            <w:r>
              <w:t xml:space="preserve">    And 系统生成新版本节点 "v3.0 (回滚自 v2.5)"</w:t>
            </w:r>
          </w:p>
          <w:p w14:paraId="089BC415">
            <w:pPr>
              <w:pStyle w:val="19"/>
              <w:bidi w:val="0"/>
              <w:rPr>
                <w:rFonts w:hint="eastAsia" w:eastAsia="宋体"/>
                <w:lang w:eastAsia="zh-CN"/>
              </w:rPr>
            </w:pPr>
            <w:r>
              <w:rPr>
                <w:rFonts w:hint="eastAsia"/>
                <w:lang w:eastAsia="zh-CN"/>
              </w:rPr>
              <w:t xml:space="preserve">    And 审计日志表新增 "因子版本回滚" 操作留痕</w:t>
            </w:r>
          </w:p>
          <w:p w14:paraId="0506A701">
            <w:pPr>
              <w:pStyle w:val="19"/>
              <w:bidi w:val="0"/>
            </w:pPr>
          </w:p>
          <w:p w14:paraId="14E8A328">
            <w:pPr>
              <w:pStyle w:val="19"/>
              <w:bidi w:val="0"/>
            </w:pPr>
            <w:r>
              <w:t xml:space="preserve">  Scenario: 极限数值除零防御与非法输入拦截</w:t>
            </w:r>
          </w:p>
          <w:p w14:paraId="66BB79D2">
            <w:pPr>
              <w:pStyle w:val="19"/>
              <w:bidi w:val="0"/>
            </w:pPr>
            <w:r>
              <w:t xml:space="preserve">    Given 用户在录入界面将因子值输入为 "0" 或 "-1.25"</w:t>
            </w:r>
          </w:p>
          <w:p w14:paraId="58D8DC7F">
            <w:pPr>
              <w:pStyle w:val="19"/>
              <w:bidi w:val="0"/>
            </w:pPr>
            <w:r>
              <w:t xml:space="preserve">    When 用户点击确认提交</w:t>
            </w:r>
          </w:p>
          <w:p w14:paraId="02C90075">
            <w:pPr>
              <w:pStyle w:val="19"/>
              <w:bidi w:val="0"/>
            </w:pPr>
            <w:r>
              <w:t xml:space="preserve">    Then 输入框下方</w:t>
            </w:r>
            <w:r>
              <w:rPr>
                <w:rFonts w:hint="eastAsia"/>
                <w:lang w:eastAsia="zh-CN"/>
              </w:rPr>
              <w:t>显示</w:t>
            </w:r>
            <w:r>
              <w:t>红色校验告警 "因子数值必须严格大于0"</w:t>
            </w:r>
          </w:p>
          <w:p w14:paraId="4AD01CAA">
            <w:pPr>
              <w:pStyle w:val="19"/>
              <w:bidi w:val="0"/>
              <w:rPr>
                <w:rFonts w:hint="eastAsia" w:eastAsia="宋体"/>
                <w:lang w:eastAsia="zh-CN"/>
              </w:rPr>
            </w:pPr>
            <w:r>
              <w:rPr>
                <w:rFonts w:hint="eastAsia"/>
                <w:lang w:eastAsia="zh-CN"/>
              </w:rPr>
              <w:t xml:space="preserve">    And 提交按钮禁用，阻断后端无效请求</w:t>
            </w:r>
          </w:p>
          <w:p w14:paraId="22D46EF9">
            <w:pPr>
              <w:pStyle w:val="19"/>
              <w:bidi w:val="0"/>
            </w:pPr>
            <w:r>
              <w:t xml:space="preserve">    And 系统</w:t>
            </w:r>
            <w:r>
              <w:rPr>
                <w:rFonts w:hint="eastAsia"/>
                <w:lang w:eastAsia="zh-CN"/>
              </w:rPr>
              <w:t>无</w:t>
            </w:r>
            <w:r>
              <w:t>前端脚本崩溃或未捕获异常</w:t>
            </w:r>
          </w:p>
        </w:tc>
      </w:tr>
    </w:tbl>
    <w:p w14:paraId="5D4D83FF">
      <w:pPr>
        <w:rPr>
          <w:rFonts w:hint="eastAsia" w:ascii="宋体" w:hAnsi="宋体" w:eastAsia="宋体" w:cs="宋体"/>
          <w:i w:val="0"/>
          <w:iCs w:val="0"/>
          <w:sz w:val="24"/>
          <w:szCs w:val="24"/>
        </w:rPr>
      </w:pPr>
    </w:p>
    <w:p w14:paraId="59CD8406">
      <w:pPr>
        <w:pStyle w:val="5"/>
        <w:numPr>
          <w:ilvl w:val="0"/>
          <w:numId w:val="145"/>
        </w:numPr>
        <w:ind w:left="0" w:leftChars="0" w:firstLine="0" w:firstLineChars="0"/>
        <w:outlineLvl w:val="1"/>
        <w:rPr>
          <w:rFonts w:ascii="Times New Roman" w:hAnsi="Times New Roman" w:eastAsia="黑体" w:cs="Times New Roman"/>
          <w:b w:val="0"/>
          <w:bCs w:val="0"/>
          <w:sz w:val="30"/>
          <w:szCs w:val="24"/>
        </w:rPr>
      </w:pPr>
      <w:bookmarkStart w:id="60" w:name="_Toc26407"/>
      <w:r>
        <w:rPr>
          <w:rFonts w:hint="eastAsia" w:cs="Times New Roman"/>
          <w:b w:val="0"/>
          <w:bCs w:val="0"/>
          <w:sz w:val="30"/>
          <w:szCs w:val="24"/>
          <w:lang w:val="en-US" w:eastAsia="zh-CN"/>
        </w:rPr>
        <w:t>电力碳排因子</w:t>
      </w:r>
      <w:bookmarkEnd w:id="60"/>
    </w:p>
    <w:p w14:paraId="6E36B94B">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bidi="ar-SA"/>
        </w:rPr>
      </w:pPr>
      <w:r>
        <w:rPr>
          <w:rFonts w:ascii="Times New Roman" w:hAnsi="Times New Roman" w:eastAsia="黑体" w:cs="Times New Roman"/>
          <w:bCs/>
          <w:kern w:val="2"/>
          <w:sz w:val="28"/>
          <w:szCs w:val="28"/>
          <w:lang w:bidi="ar-SA"/>
        </w:rPr>
        <w:drawing>
          <wp:inline distT="0" distB="0" distL="114300" distR="114300">
            <wp:extent cx="6118860" cy="3034030"/>
            <wp:effectExtent l="0" t="0" r="15240" b="13970"/>
            <wp:docPr id="3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5"/>
                    <pic:cNvPicPr>
                      <a:picLocks noChangeAspect="1"/>
                    </pic:cNvPicPr>
                  </pic:nvPicPr>
                  <pic:blipFill>
                    <a:blip r:embed="rId51"/>
                    <a:stretch>
                      <a:fillRect/>
                    </a:stretch>
                  </pic:blipFill>
                  <pic:spPr>
                    <a:xfrm>
                      <a:off x="0" y="0"/>
                      <a:ext cx="6118860" cy="3034030"/>
                    </a:xfrm>
                    <a:prstGeom prst="rect">
                      <a:avLst/>
                    </a:prstGeom>
                    <a:noFill/>
                    <a:ln>
                      <a:noFill/>
                    </a:ln>
                  </pic:spPr>
                </pic:pic>
              </a:graphicData>
            </a:graphic>
          </wp:inline>
        </w:drawing>
      </w:r>
    </w:p>
    <w:p w14:paraId="0E183B19">
      <w:pPr>
        <w:pStyle w:val="6"/>
        <w:numPr>
          <w:ilvl w:val="0"/>
          <w:numId w:val="203"/>
        </w:numPr>
        <w:bidi w:val="0"/>
        <w:ind w:left="0" w:leftChars="0" w:firstLine="0" w:firstLineChars="0"/>
        <w:rPr>
          <w:b/>
          <w:bCs/>
          <w:sz w:val="28"/>
          <w:szCs w:val="28"/>
        </w:rPr>
      </w:pPr>
      <w:r>
        <w:rPr>
          <w:b/>
          <w:bCs/>
          <w:sz w:val="28"/>
          <w:szCs w:val="28"/>
        </w:rPr>
        <w:t>定位与架构角色</w:t>
      </w:r>
    </w:p>
    <w:p w14:paraId="2C117617">
      <w:pPr>
        <w:pStyle w:val="19"/>
        <w:bidi w:val="0"/>
      </w:pPr>
      <w:r>
        <w:t>• 功能定位：作为全集团范围二（Scope 2）外购电力间接温室气体排放核算、车间工序分时用电碳排分析与市场化绿电消纳抵扣的核心参数库，实现国家级、区域电网级、省域电网级以及特定清洁电源级因子的统一纳管与版本同步。</w:t>
      </w:r>
    </w:p>
    <w:p w14:paraId="46E9A3F7">
      <w:pPr>
        <w:pStyle w:val="19"/>
        <w:bidi w:val="0"/>
      </w:pPr>
      <w:r>
        <w:t>• 承载角色：P1 集团决策层（只读查验全网平均因子）、P2 园区能碳专员（属地电网因子匹配）、P4 碳核算工程师（绿电消纳核准与证书冲抵）。</w:t>
      </w:r>
    </w:p>
    <w:p w14:paraId="4B63A99A">
      <w:pPr>
        <w:pStyle w:val="6"/>
        <w:numPr>
          <w:ilvl w:val="0"/>
          <w:numId w:val="203"/>
        </w:numPr>
        <w:bidi w:val="0"/>
        <w:ind w:left="0" w:leftChars="0" w:firstLine="0" w:firstLineChars="0"/>
        <w:rPr>
          <w:b/>
          <w:bCs/>
          <w:sz w:val="28"/>
          <w:szCs w:val="28"/>
        </w:rPr>
      </w:pPr>
      <w:r>
        <w:rPr>
          <w:b/>
          <w:bCs/>
          <w:sz w:val="28"/>
          <w:szCs w:val="28"/>
        </w:rPr>
        <w:t>业务场景与用户故事</w:t>
      </w:r>
    </w:p>
    <w:p w14:paraId="6D5C5C53">
      <w:pPr>
        <w:pStyle w:val="19"/>
        <w:bidi w:val="0"/>
      </w:pPr>
      <w:r>
        <w:t>• 业务场景描述：特变电工全</w:t>
      </w:r>
      <w:r>
        <w:rPr>
          <w:rFonts w:hint="eastAsia"/>
          <w:lang w:eastAsia="zh-CN"/>
        </w:rPr>
        <w:t>国共</w:t>
      </w:r>
      <w:r>
        <w:t>15大现代化产业园区，分布于新疆（西北电网）、天津/北京（华北电网）、上海（华东电网）、湖南（华中电网）、辽宁（东北电网）与广东（南方电网）</w:t>
      </w:r>
      <w:r>
        <w:rPr>
          <w:rFonts w:hint="eastAsia"/>
          <w:lang w:eastAsia="zh-CN"/>
        </w:rPr>
        <w:t>；</w:t>
      </w:r>
      <w:r>
        <w:t>不同属地电网能源结构</w:t>
      </w:r>
      <w:r>
        <w:rPr>
          <w:rFonts w:hint="eastAsia"/>
          <w:lang w:eastAsia="zh-CN"/>
        </w:rPr>
        <w:t>不同</w:t>
      </w:r>
      <w:r>
        <w:t>，</w:t>
      </w:r>
      <w:r>
        <w:rPr>
          <w:rFonts w:hint="eastAsia"/>
          <w:lang w:eastAsia="zh-CN"/>
        </w:rPr>
        <w:t>电力排放因子差异显著（从华东0.5257到西北0.6127 kgCO2e/kWh），各厂区均消纳屋顶光伏与直购绿电，</w:t>
      </w:r>
      <w:r>
        <w:t>系统需根据生产工厂</w:t>
      </w:r>
      <w:r>
        <w:rPr>
          <w:rFonts w:hint="eastAsia"/>
          <w:lang w:eastAsia="zh-CN"/>
        </w:rPr>
        <w:t>属地</w:t>
      </w:r>
      <w:r>
        <w:t>电网与绿电交易凭证精准匹配电力碳排因子。</w:t>
      </w:r>
    </w:p>
    <w:p w14:paraId="28933033">
      <w:pPr>
        <w:pStyle w:val="19"/>
        <w:bidi w:val="0"/>
      </w:pPr>
      <w:r>
        <w:t>• 用户故事：</w:t>
      </w:r>
    </w:p>
    <w:p w14:paraId="7DF06D01">
      <w:pPr>
        <w:pStyle w:val="19"/>
        <w:bidi w:val="0"/>
      </w:pPr>
      <w:r>
        <w:t xml:space="preserve">  As a 园区能碳专员 (Persona P2)，</w:t>
      </w:r>
    </w:p>
    <w:p w14:paraId="1A3C4F1C">
      <w:pPr>
        <w:pStyle w:val="19"/>
        <w:bidi w:val="0"/>
      </w:pPr>
      <w:r>
        <w:t xml:space="preserve">  I want 按照工厂属地省份与区域电网检索生效的电力碳排因子，并查看常规市电、自发自用光伏与绿电交易的对应因子值，</w:t>
      </w:r>
    </w:p>
    <w:p w14:paraId="2D71E16D">
      <w:pPr>
        <w:pStyle w:val="19"/>
        <w:bidi w:val="0"/>
      </w:pPr>
      <w:r>
        <w:t xml:space="preserve">  So that 我能准确核算车间及全厂外购电力的真实 Scope 2 间接排放，并在核销绿电后合规享受零碳排放核减。</w:t>
      </w:r>
    </w:p>
    <w:p w14:paraId="278AA572">
      <w:pPr>
        <w:pStyle w:val="19"/>
        <w:bidi w:val="0"/>
      </w:pPr>
    </w:p>
    <w:p w14:paraId="1B6B5A34">
      <w:pPr>
        <w:pStyle w:val="6"/>
        <w:numPr>
          <w:ilvl w:val="0"/>
          <w:numId w:val="203"/>
        </w:numPr>
        <w:bidi w:val="0"/>
        <w:ind w:left="0" w:leftChars="0" w:firstLine="0" w:firstLineChars="0"/>
        <w:rPr>
          <w:b/>
          <w:bCs/>
          <w:sz w:val="28"/>
          <w:szCs w:val="28"/>
        </w:rPr>
      </w:pPr>
      <w:r>
        <w:rPr>
          <w:b/>
          <w:bCs/>
          <w:sz w:val="28"/>
          <w:szCs w:val="28"/>
        </w:rPr>
        <w:t>功能规格与交互契约</w:t>
      </w:r>
    </w:p>
    <w:p w14:paraId="184E08F1">
      <w:pPr>
        <w:pStyle w:val="19"/>
        <w:bidi w:val="0"/>
      </w:pPr>
      <w:r>
        <w:t>• 多维组合筛选与视图组织：</w:t>
      </w:r>
    </w:p>
    <w:p w14:paraId="78942170">
      <w:pPr>
        <w:pStyle w:val="19"/>
        <w:bidi w:val="0"/>
        <w:rPr>
          <w:rFonts w:hint="eastAsia" w:eastAsia="宋体"/>
          <w:lang w:eastAsia="zh-CN"/>
        </w:rPr>
      </w:pPr>
      <w:r>
        <w:rPr>
          <w:rFonts w:hint="eastAsia"/>
          <w:lang w:eastAsia="zh-CN"/>
        </w:rPr>
        <w:t>• 顶部设【区域电网】切片：华北/华东/华中/东北/西北/南方/全国统一；</w:t>
      </w:r>
    </w:p>
    <w:p w14:paraId="438AA730">
      <w:pPr>
        <w:pStyle w:val="19"/>
        <w:bidi w:val="0"/>
        <w:rPr>
          <w:rFonts w:hint="eastAsia" w:eastAsia="宋体"/>
          <w:lang w:eastAsia="zh-CN"/>
        </w:rPr>
      </w:pPr>
      <w:r>
        <w:rPr>
          <w:rFonts w:hint="eastAsia"/>
          <w:lang w:eastAsia="zh-CN"/>
        </w:rPr>
        <w:t>• 提供【省份下钻】下拉选框，包含北京、天津等省市；</w:t>
      </w:r>
    </w:p>
    <w:p w14:paraId="21F9BEFB">
      <w:pPr>
        <w:pStyle w:val="19"/>
        <w:bidi w:val="0"/>
        <w:rPr>
          <w:rFonts w:hint="eastAsia" w:eastAsia="宋体"/>
          <w:lang w:eastAsia="zh-CN"/>
        </w:rPr>
      </w:pPr>
      <w:r>
        <w:rPr>
          <w:rFonts w:hint="eastAsia"/>
          <w:lang w:eastAsia="zh-CN"/>
        </w:rPr>
        <w:t>• 提供【电力来源】过滤：电网平均/燃煤自备电厂/光伏发电/风力发电/水力发电/绿电（市场化交易）；</w:t>
      </w:r>
    </w:p>
    <w:p w14:paraId="1CB20805">
      <w:pPr>
        <w:pStyle w:val="19"/>
        <w:bidi w:val="0"/>
      </w:pPr>
      <w:r>
        <w:t>• 电网因子当前值与默认值对照：</w:t>
      </w:r>
    </w:p>
    <w:p w14:paraId="56658E6F">
      <w:pPr>
        <w:pStyle w:val="19"/>
        <w:bidi w:val="0"/>
        <w:rPr>
          <w:rFonts w:hint="eastAsia" w:eastAsia="宋体"/>
          <w:lang w:eastAsia="zh-CN"/>
        </w:rPr>
      </w:pPr>
      <w:r>
        <w:rPr>
          <w:rFonts w:hint="eastAsia"/>
          <w:lang w:eastAsia="zh-CN"/>
        </w:rPr>
        <w:t>• 因子值列统一以当前值/默认值显示，单位kgCO2e/kWh；</w:t>
      </w:r>
    </w:p>
    <w:p w14:paraId="6A7A27AE">
      <w:pPr>
        <w:pStyle w:val="19"/>
        <w:bidi w:val="0"/>
        <w:rPr>
          <w:rFonts w:hint="eastAsia" w:eastAsia="宋体"/>
          <w:lang w:eastAsia="zh-CN"/>
        </w:rPr>
      </w:pPr>
      <w:r>
        <w:rPr>
          <w:rFonts w:hint="eastAsia"/>
          <w:lang w:eastAsia="zh-CN"/>
        </w:rPr>
        <w:t>• 经权威核销的绿电（市场化交易）因子显示为0.0000 kgCO2e/kWh，标注实心绿底Zero-Emission徽章；</w:t>
      </w:r>
    </w:p>
    <w:p w14:paraId="679E2313">
      <w:pPr>
        <w:pStyle w:val="19"/>
        <w:bidi w:val="0"/>
      </w:pPr>
      <w:r>
        <w:t>• 年度电网因子版本快照机制：</w:t>
      </w:r>
    </w:p>
    <w:p w14:paraId="594DA526">
      <w:pPr>
        <w:pStyle w:val="19"/>
        <w:bidi w:val="0"/>
        <w:rPr>
          <w:rFonts w:hint="eastAsia" w:eastAsia="宋体"/>
          <w:lang w:eastAsia="zh-CN"/>
        </w:rPr>
      </w:pPr>
      <w:r>
        <w:rPr>
          <w:rFonts w:hint="eastAsia"/>
          <w:lang w:eastAsia="zh-CN"/>
        </w:rPr>
        <w:t>• 生态环境部发布新年度电网因子后，系统建立新版本（如v2024.1），历史版本（如v2023.1）自动冻结归档，仅供追溯历史数据；</w:t>
      </w:r>
    </w:p>
    <w:p w14:paraId="0297F0FA">
      <w:pPr>
        <w:pStyle w:val="19"/>
        <w:bidi w:val="0"/>
      </w:pPr>
      <w:r>
        <w:t>• 📌 【业务约束与工程规范契约】：</w:t>
      </w:r>
    </w:p>
    <w:p w14:paraId="4742C38F">
      <w:pPr>
        <w:pStyle w:val="19"/>
        <w:bidi w:val="0"/>
      </w:pPr>
      <w:r>
        <w:t>• 绿电唯一性核销契约：直购绿电或绿色电力证书（GEC）冲抵碳</w:t>
      </w:r>
      <w:r>
        <w:rPr>
          <w:rFonts w:hint="eastAsia"/>
          <w:lang w:eastAsia="zh-CN"/>
        </w:rPr>
        <w:t>排放</w:t>
      </w:r>
      <w:r>
        <w:t>时，必须</w:t>
      </w:r>
      <w:r>
        <w:rPr>
          <w:rFonts w:hint="eastAsia"/>
          <w:lang w:eastAsia="zh-CN"/>
        </w:rPr>
        <w:t>具备</w:t>
      </w:r>
      <w:r>
        <w:t>国家可再生能源信息管理中心的唯一证书编号，严禁“一证多抵”；</w:t>
      </w:r>
    </w:p>
    <w:p w14:paraId="2159E2AB">
      <w:pPr>
        <w:pStyle w:val="19"/>
        <w:bidi w:val="0"/>
        <w:rPr>
          <w:rFonts w:hint="eastAsia" w:eastAsia="宋体"/>
          <w:lang w:eastAsia="zh-CN"/>
        </w:rPr>
      </w:pPr>
      <w:r>
        <w:rPr>
          <w:rFonts w:hint="eastAsia"/>
          <w:lang w:eastAsia="zh-CN"/>
        </w:rPr>
        <w:t>• 自备电厂独立口径：拥有燃煤自备电厂的实体单位，自备发电必须采用机组实测供电碳排放强度，严禁套用公用电网均值掩盖排放。</w:t>
      </w:r>
    </w:p>
    <w:p w14:paraId="0068270F">
      <w:pPr>
        <w:pStyle w:val="6"/>
        <w:numPr>
          <w:ilvl w:val="0"/>
          <w:numId w:val="203"/>
        </w:numPr>
        <w:bidi w:val="0"/>
        <w:ind w:left="0" w:leftChars="0" w:firstLine="0" w:firstLineChars="0"/>
        <w:rPr>
          <w:b/>
          <w:bCs/>
          <w:sz w:val="28"/>
          <w:szCs w:val="28"/>
        </w:rPr>
      </w:pPr>
      <w:r>
        <w:rPr>
          <w:b/>
          <w:bCs/>
          <w:sz w:val="28"/>
          <w:szCs w:val="28"/>
        </w:rPr>
        <w:t>页面字段字典与数据契约</w:t>
      </w:r>
    </w:p>
    <w:tbl>
      <w:tblPr>
        <w:tblStyle w:val="38"/>
        <w:tblW w:w="9784" w:type="dxa"/>
        <w:jc w:val="center"/>
        <w:tblLayout w:type="fixed"/>
        <w:tblCellMar>
          <w:top w:w="0" w:type="dxa"/>
          <w:left w:w="108" w:type="dxa"/>
          <w:bottom w:w="0" w:type="dxa"/>
          <w:right w:w="108" w:type="dxa"/>
        </w:tblCellMar>
      </w:tblPr>
      <w:tblGrid>
        <w:gridCol w:w="734"/>
        <w:gridCol w:w="1573"/>
        <w:gridCol w:w="1112"/>
        <w:gridCol w:w="1560"/>
        <w:gridCol w:w="4805"/>
      </w:tblGrid>
      <w:tr w14:paraId="5211FFE0">
        <w:tblPrEx>
          <w:tblCellMar>
            <w:top w:w="0" w:type="dxa"/>
            <w:left w:w="108" w:type="dxa"/>
            <w:bottom w:w="0" w:type="dxa"/>
            <w:right w:w="108" w:type="dxa"/>
          </w:tblCellMar>
        </w:tblPrEx>
        <w:trPr>
          <w:jc w:val="center"/>
        </w:trPr>
        <w:tc>
          <w:tcPr>
            <w:tcW w:w="73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57E9C42">
            <w:pPr>
              <w:pStyle w:val="19"/>
              <w:bidi w:val="0"/>
              <w:spacing w:line="240" w:lineRule="auto"/>
              <w:ind w:left="0" w:leftChars="0" w:right="0" w:rightChars="0" w:firstLine="0" w:firstLineChars="0"/>
              <w:jc w:val="both"/>
            </w:pPr>
            <w:r>
              <w:t>序号</w:t>
            </w:r>
          </w:p>
        </w:tc>
        <w:tc>
          <w:tcPr>
            <w:tcW w:w="157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391D21F">
            <w:pPr>
              <w:pStyle w:val="19"/>
              <w:bidi w:val="0"/>
              <w:spacing w:line="240" w:lineRule="auto"/>
              <w:ind w:left="0" w:leftChars="0" w:right="0" w:rightChars="0" w:firstLine="0" w:firstLineChars="0"/>
              <w:jc w:val="both"/>
            </w:pPr>
            <w:r>
              <w:t>字段中文名称</w:t>
            </w:r>
          </w:p>
        </w:tc>
        <w:tc>
          <w:tcPr>
            <w:tcW w:w="111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4FA9A4A">
            <w:pPr>
              <w:pStyle w:val="19"/>
              <w:bidi w:val="0"/>
              <w:spacing w:line="240" w:lineRule="auto"/>
              <w:ind w:left="0" w:leftChars="0" w:right="0" w:rightChars="0" w:firstLine="0" w:firstLineChars="0"/>
              <w:jc w:val="both"/>
            </w:pPr>
            <w:r>
              <w:t>数据类型</w:t>
            </w:r>
          </w:p>
        </w:tc>
        <w:tc>
          <w:tcPr>
            <w:tcW w:w="156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FC4E86D">
            <w:pPr>
              <w:pStyle w:val="19"/>
              <w:bidi w:val="0"/>
              <w:spacing w:line="240" w:lineRule="auto"/>
              <w:ind w:left="0" w:leftChars="0" w:right="0" w:rightChars="0" w:firstLine="0" w:firstLineChars="0"/>
              <w:jc w:val="both"/>
            </w:pPr>
            <w:r>
              <w:t>工程单位</w:t>
            </w:r>
          </w:p>
        </w:tc>
        <w:tc>
          <w:tcPr>
            <w:tcW w:w="480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75F9AFF">
            <w:pPr>
              <w:pStyle w:val="19"/>
              <w:bidi w:val="0"/>
              <w:spacing w:line="240" w:lineRule="auto"/>
              <w:ind w:left="0" w:leftChars="0" w:right="0" w:rightChars="0" w:firstLine="0" w:firstLineChars="0"/>
              <w:jc w:val="both"/>
            </w:pPr>
            <w:r>
              <w:t>校验与约束规则</w:t>
            </w:r>
          </w:p>
        </w:tc>
      </w:tr>
      <w:tr w14:paraId="3B3A8DA9">
        <w:tblPrEx>
          <w:tblCellMar>
            <w:top w:w="0" w:type="dxa"/>
            <w:left w:w="108" w:type="dxa"/>
            <w:bottom w:w="0" w:type="dxa"/>
            <w:right w:w="108" w:type="dxa"/>
          </w:tblCellMar>
        </w:tblPrEx>
        <w:trPr>
          <w:jc w:val="center"/>
        </w:trPr>
        <w:tc>
          <w:tcPr>
            <w:tcW w:w="7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EB5CDA">
            <w:pPr>
              <w:pStyle w:val="19"/>
              <w:bidi w:val="0"/>
              <w:spacing w:line="240" w:lineRule="auto"/>
              <w:ind w:left="0" w:leftChars="0" w:right="0" w:rightChars="0" w:firstLine="0" w:firstLineChars="0"/>
              <w:jc w:val="both"/>
            </w:pPr>
            <w:r>
              <w:t>1</w:t>
            </w:r>
          </w:p>
        </w:tc>
        <w:tc>
          <w:tcPr>
            <w:tcW w:w="157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9D42A3">
            <w:pPr>
              <w:pStyle w:val="19"/>
              <w:bidi w:val="0"/>
              <w:spacing w:line="240" w:lineRule="auto"/>
              <w:ind w:left="0" w:leftChars="0" w:right="0" w:rightChars="0" w:firstLine="0" w:firstLineChars="0"/>
              <w:jc w:val="both"/>
            </w:pPr>
            <w:r>
              <w:t>电力因子唯一编码</w:t>
            </w:r>
          </w:p>
        </w:tc>
        <w:tc>
          <w:tcPr>
            <w:tcW w:w="11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9D4827">
            <w:pPr>
              <w:pStyle w:val="19"/>
              <w:bidi w:val="0"/>
              <w:spacing w:line="240" w:lineRule="auto"/>
              <w:ind w:left="0" w:leftChars="0" w:right="0" w:rightChars="0" w:firstLine="0" w:firstLineChars="0"/>
              <w:jc w:val="both"/>
            </w:pPr>
            <w:r>
              <w:t>String</w:t>
            </w:r>
          </w:p>
        </w:tc>
        <w:tc>
          <w:tcPr>
            <w:tcW w:w="15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03CAC7">
            <w:pPr>
              <w:pStyle w:val="19"/>
              <w:bidi w:val="0"/>
              <w:spacing w:line="240" w:lineRule="auto"/>
              <w:ind w:left="0" w:leftChars="0" w:right="0" w:rightChars="0" w:firstLine="0" w:firstLineChars="0"/>
              <w:jc w:val="both"/>
            </w:pPr>
            <w:r>
              <w:t>—</w:t>
            </w:r>
          </w:p>
        </w:tc>
        <w:tc>
          <w:tcPr>
            <w:tcW w:w="480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1A7E6D">
            <w:pPr>
              <w:pStyle w:val="19"/>
              <w:bidi w:val="0"/>
              <w:spacing w:line="240" w:lineRule="auto"/>
              <w:ind w:left="0" w:leftChars="0" w:right="0" w:rightChars="0" w:firstLine="0" w:firstLineChars="0"/>
              <w:jc w:val="both"/>
            </w:pPr>
            <w:r>
              <w:t xml:space="preserve">唯一，格式  PW&lt;3位流水&gt;&lt;2位校验码&gt; </w:t>
            </w:r>
          </w:p>
        </w:tc>
      </w:tr>
      <w:tr w14:paraId="68912F45">
        <w:tblPrEx>
          <w:tblCellMar>
            <w:top w:w="0" w:type="dxa"/>
            <w:left w:w="108" w:type="dxa"/>
            <w:bottom w:w="0" w:type="dxa"/>
            <w:right w:w="108" w:type="dxa"/>
          </w:tblCellMar>
        </w:tblPrEx>
        <w:trPr>
          <w:jc w:val="center"/>
        </w:trPr>
        <w:tc>
          <w:tcPr>
            <w:tcW w:w="7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F6C93A">
            <w:pPr>
              <w:pStyle w:val="19"/>
              <w:bidi w:val="0"/>
              <w:spacing w:line="240" w:lineRule="auto"/>
              <w:ind w:left="0" w:leftChars="0" w:right="0" w:rightChars="0" w:firstLine="0" w:firstLineChars="0"/>
              <w:jc w:val="both"/>
            </w:pPr>
            <w:r>
              <w:t>2</w:t>
            </w:r>
          </w:p>
        </w:tc>
        <w:tc>
          <w:tcPr>
            <w:tcW w:w="157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5CB5F4">
            <w:pPr>
              <w:pStyle w:val="19"/>
              <w:bidi w:val="0"/>
              <w:spacing w:line="240" w:lineRule="auto"/>
              <w:ind w:left="0" w:leftChars="0" w:right="0" w:rightChars="0" w:firstLine="0" w:firstLineChars="0"/>
              <w:jc w:val="both"/>
            </w:pPr>
            <w:r>
              <w:t>所属行政省份</w:t>
            </w:r>
          </w:p>
        </w:tc>
        <w:tc>
          <w:tcPr>
            <w:tcW w:w="11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3A023A">
            <w:pPr>
              <w:pStyle w:val="19"/>
              <w:bidi w:val="0"/>
              <w:spacing w:line="240" w:lineRule="auto"/>
              <w:ind w:left="0" w:leftChars="0" w:right="0" w:rightChars="0" w:firstLine="0" w:firstLineChars="0"/>
              <w:jc w:val="both"/>
            </w:pPr>
            <w:r>
              <w:t>String</w:t>
            </w:r>
          </w:p>
        </w:tc>
        <w:tc>
          <w:tcPr>
            <w:tcW w:w="15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AC672D">
            <w:pPr>
              <w:pStyle w:val="19"/>
              <w:bidi w:val="0"/>
              <w:spacing w:line="240" w:lineRule="auto"/>
              <w:ind w:left="0" w:leftChars="0" w:right="0" w:rightChars="0" w:firstLine="0" w:firstLineChars="0"/>
              <w:jc w:val="both"/>
            </w:pPr>
            <w:r>
              <w:t>—</w:t>
            </w:r>
          </w:p>
        </w:tc>
        <w:tc>
          <w:tcPr>
            <w:tcW w:w="48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7A312F">
            <w:pPr>
              <w:pStyle w:val="19"/>
              <w:bidi w:val="0"/>
              <w:spacing w:line="240" w:lineRule="auto"/>
              <w:ind w:left="0" w:leftChars="0" w:right="0" w:rightChars="0" w:firstLine="0" w:firstLineChars="0"/>
              <w:jc w:val="both"/>
            </w:pPr>
            <w:r>
              <w:t>涵盖集团各厂区属地，如  新疆 、 湖南 、 辽宁  等</w:t>
            </w:r>
          </w:p>
        </w:tc>
      </w:tr>
      <w:tr w14:paraId="4280D65F">
        <w:tblPrEx>
          <w:tblCellMar>
            <w:top w:w="0" w:type="dxa"/>
            <w:left w:w="108" w:type="dxa"/>
            <w:bottom w:w="0" w:type="dxa"/>
            <w:right w:w="108" w:type="dxa"/>
          </w:tblCellMar>
        </w:tblPrEx>
        <w:trPr>
          <w:jc w:val="center"/>
        </w:trPr>
        <w:tc>
          <w:tcPr>
            <w:tcW w:w="7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51720A">
            <w:pPr>
              <w:pStyle w:val="19"/>
              <w:bidi w:val="0"/>
              <w:spacing w:line="240" w:lineRule="auto"/>
              <w:ind w:left="0" w:leftChars="0" w:right="0" w:rightChars="0" w:firstLine="0" w:firstLineChars="0"/>
              <w:jc w:val="both"/>
            </w:pPr>
            <w:r>
              <w:t>3</w:t>
            </w:r>
          </w:p>
        </w:tc>
        <w:tc>
          <w:tcPr>
            <w:tcW w:w="157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50DA24">
            <w:pPr>
              <w:pStyle w:val="19"/>
              <w:bidi w:val="0"/>
              <w:spacing w:line="240" w:lineRule="auto"/>
              <w:ind w:left="0" w:leftChars="0" w:right="0" w:rightChars="0" w:firstLine="0" w:firstLineChars="0"/>
              <w:jc w:val="both"/>
            </w:pPr>
            <w:r>
              <w:t>所属区域电网</w:t>
            </w:r>
          </w:p>
        </w:tc>
        <w:tc>
          <w:tcPr>
            <w:tcW w:w="11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69C3AD">
            <w:pPr>
              <w:pStyle w:val="19"/>
              <w:bidi w:val="0"/>
              <w:spacing w:line="240" w:lineRule="auto"/>
              <w:ind w:left="0" w:leftChars="0" w:right="0" w:rightChars="0" w:firstLine="0" w:firstLineChars="0"/>
              <w:jc w:val="both"/>
            </w:pPr>
            <w:r>
              <w:t>Enum</w:t>
            </w:r>
          </w:p>
        </w:tc>
        <w:tc>
          <w:tcPr>
            <w:tcW w:w="15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1F29A4">
            <w:pPr>
              <w:pStyle w:val="19"/>
              <w:bidi w:val="0"/>
              <w:spacing w:line="240" w:lineRule="auto"/>
              <w:ind w:left="0" w:leftChars="0" w:right="0" w:rightChars="0" w:firstLine="0" w:firstLineChars="0"/>
              <w:jc w:val="both"/>
            </w:pPr>
            <w:r>
              <w:t>—</w:t>
            </w:r>
          </w:p>
        </w:tc>
        <w:tc>
          <w:tcPr>
            <w:tcW w:w="480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8AE13B">
            <w:pPr>
              <w:pStyle w:val="19"/>
              <w:bidi w:val="0"/>
              <w:spacing w:line="240" w:lineRule="auto"/>
              <w:ind w:left="0" w:leftChars="0" w:right="0" w:rightChars="0" w:firstLine="0" w:firstLineChars="0"/>
              <w:jc w:val="both"/>
            </w:pPr>
            <w:r>
              <w:t>枚举：华北 / 华东 / 华中 / 东北 / 西北 / 南方区域电网</w:t>
            </w:r>
          </w:p>
        </w:tc>
      </w:tr>
      <w:tr w14:paraId="5143BCA1">
        <w:tblPrEx>
          <w:tblCellMar>
            <w:top w:w="0" w:type="dxa"/>
            <w:left w:w="108" w:type="dxa"/>
            <w:bottom w:w="0" w:type="dxa"/>
            <w:right w:w="108" w:type="dxa"/>
          </w:tblCellMar>
        </w:tblPrEx>
        <w:trPr>
          <w:jc w:val="center"/>
        </w:trPr>
        <w:tc>
          <w:tcPr>
            <w:tcW w:w="7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5D24CC">
            <w:pPr>
              <w:pStyle w:val="19"/>
              <w:bidi w:val="0"/>
              <w:spacing w:line="240" w:lineRule="auto"/>
              <w:ind w:left="0" w:leftChars="0" w:right="0" w:rightChars="0" w:firstLine="0" w:firstLineChars="0"/>
              <w:jc w:val="both"/>
            </w:pPr>
            <w:r>
              <w:t>4</w:t>
            </w:r>
          </w:p>
        </w:tc>
        <w:tc>
          <w:tcPr>
            <w:tcW w:w="157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D5E087">
            <w:pPr>
              <w:pStyle w:val="19"/>
              <w:bidi w:val="0"/>
              <w:spacing w:line="240" w:lineRule="auto"/>
              <w:ind w:left="0" w:leftChars="0" w:right="0" w:rightChars="0" w:firstLine="0" w:firstLineChars="0"/>
              <w:jc w:val="both"/>
            </w:pPr>
            <w:r>
              <w:t>电力来源类别</w:t>
            </w:r>
          </w:p>
        </w:tc>
        <w:tc>
          <w:tcPr>
            <w:tcW w:w="11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62CF67">
            <w:pPr>
              <w:pStyle w:val="19"/>
              <w:bidi w:val="0"/>
              <w:spacing w:line="240" w:lineRule="auto"/>
              <w:ind w:left="0" w:leftChars="0" w:right="0" w:rightChars="0" w:firstLine="0" w:firstLineChars="0"/>
              <w:jc w:val="both"/>
            </w:pPr>
            <w:r>
              <w:t>Enum</w:t>
            </w:r>
          </w:p>
        </w:tc>
        <w:tc>
          <w:tcPr>
            <w:tcW w:w="15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AFDE09">
            <w:pPr>
              <w:pStyle w:val="19"/>
              <w:bidi w:val="0"/>
              <w:spacing w:line="240" w:lineRule="auto"/>
              <w:ind w:left="0" w:leftChars="0" w:right="0" w:rightChars="0" w:firstLine="0" w:firstLineChars="0"/>
              <w:jc w:val="both"/>
            </w:pPr>
            <w:r>
              <w:t>—</w:t>
            </w:r>
          </w:p>
        </w:tc>
        <w:tc>
          <w:tcPr>
            <w:tcW w:w="48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EF3521">
            <w:pPr>
              <w:pStyle w:val="19"/>
              <w:bidi w:val="0"/>
              <w:spacing w:line="240" w:lineRule="auto"/>
              <w:ind w:left="0" w:leftChars="0" w:right="0" w:rightChars="0" w:firstLine="0" w:firstLineChars="0"/>
              <w:jc w:val="both"/>
            </w:pPr>
            <w:r>
              <w:t>电网平均 / 燃煤自备电厂 / 光伏发电 / 风力发电 / 水力发电 / 市场化绿电</w:t>
            </w:r>
          </w:p>
        </w:tc>
      </w:tr>
      <w:tr w14:paraId="39DFDD86">
        <w:tblPrEx>
          <w:tblCellMar>
            <w:top w:w="0" w:type="dxa"/>
            <w:left w:w="108" w:type="dxa"/>
            <w:bottom w:w="0" w:type="dxa"/>
            <w:right w:w="108" w:type="dxa"/>
          </w:tblCellMar>
        </w:tblPrEx>
        <w:trPr>
          <w:jc w:val="center"/>
        </w:trPr>
        <w:tc>
          <w:tcPr>
            <w:tcW w:w="7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F4AB0EF">
            <w:pPr>
              <w:pStyle w:val="19"/>
              <w:bidi w:val="0"/>
              <w:spacing w:line="240" w:lineRule="auto"/>
              <w:ind w:left="0" w:leftChars="0" w:right="0" w:rightChars="0" w:firstLine="0" w:firstLineChars="0"/>
              <w:jc w:val="both"/>
            </w:pPr>
            <w:r>
              <w:t>5</w:t>
            </w:r>
          </w:p>
        </w:tc>
        <w:tc>
          <w:tcPr>
            <w:tcW w:w="157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F61DAA">
            <w:pPr>
              <w:pStyle w:val="19"/>
              <w:bidi w:val="0"/>
              <w:spacing w:line="240" w:lineRule="auto"/>
              <w:ind w:left="0" w:leftChars="0" w:right="0" w:rightChars="0" w:firstLine="0" w:firstLineChars="0"/>
              <w:jc w:val="both"/>
            </w:pPr>
            <w:r>
              <w:t>当前生效因子值</w:t>
            </w:r>
          </w:p>
        </w:tc>
        <w:tc>
          <w:tcPr>
            <w:tcW w:w="11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6641332">
            <w:pPr>
              <w:pStyle w:val="19"/>
              <w:bidi w:val="0"/>
              <w:spacing w:line="240" w:lineRule="auto"/>
              <w:ind w:left="0" w:leftChars="0" w:right="0" w:rightChars="0" w:firstLine="0" w:firstLineChars="0"/>
              <w:jc w:val="both"/>
            </w:pPr>
            <w:r>
              <w:t>Decimal</w:t>
            </w:r>
          </w:p>
        </w:tc>
        <w:tc>
          <w:tcPr>
            <w:tcW w:w="15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817270">
            <w:pPr>
              <w:pStyle w:val="19"/>
              <w:bidi w:val="0"/>
              <w:spacing w:line="240" w:lineRule="auto"/>
              <w:ind w:left="0" w:leftChars="0" w:right="0" w:rightChars="0" w:firstLine="0" w:firstLineChars="0"/>
              <w:jc w:val="both"/>
            </w:pPr>
            <w:r>
              <w:t>kgCO2e/kWh</w:t>
            </w:r>
          </w:p>
        </w:tc>
        <w:tc>
          <w:tcPr>
            <w:tcW w:w="480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0F2F89">
            <w:pPr>
              <w:pStyle w:val="19"/>
              <w:bidi w:val="0"/>
              <w:spacing w:line="240" w:lineRule="auto"/>
              <w:ind w:left="0" w:leftChars="0" w:right="0" w:rightChars="0" w:firstLine="0" w:firstLineChars="0"/>
              <w:jc w:val="both"/>
            </w:pPr>
            <w:r>
              <w:t xml:space="preserve">&gt;= 0 ；绿电核销后为 0.0000；常规电网取值区间  [0.3000, 1.2000] </w:t>
            </w:r>
          </w:p>
        </w:tc>
      </w:tr>
      <w:tr w14:paraId="20F2C33B">
        <w:tblPrEx>
          <w:tblCellMar>
            <w:top w:w="0" w:type="dxa"/>
            <w:left w:w="108" w:type="dxa"/>
            <w:bottom w:w="0" w:type="dxa"/>
            <w:right w:w="108" w:type="dxa"/>
          </w:tblCellMar>
        </w:tblPrEx>
        <w:trPr>
          <w:jc w:val="center"/>
        </w:trPr>
        <w:tc>
          <w:tcPr>
            <w:tcW w:w="7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567C25">
            <w:pPr>
              <w:pStyle w:val="19"/>
              <w:bidi w:val="0"/>
              <w:spacing w:line="240" w:lineRule="auto"/>
              <w:ind w:left="0" w:leftChars="0" w:right="0" w:rightChars="0" w:firstLine="0" w:firstLineChars="0"/>
              <w:jc w:val="both"/>
            </w:pPr>
            <w:r>
              <w:t>6</w:t>
            </w:r>
          </w:p>
        </w:tc>
        <w:tc>
          <w:tcPr>
            <w:tcW w:w="157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6B9047A">
            <w:pPr>
              <w:pStyle w:val="19"/>
              <w:bidi w:val="0"/>
              <w:spacing w:line="240" w:lineRule="auto"/>
              <w:ind w:left="0" w:leftChars="0" w:right="0" w:rightChars="0" w:firstLine="0" w:firstLineChars="0"/>
              <w:jc w:val="both"/>
            </w:pPr>
            <w:r>
              <w:t>默认/基准因子值</w:t>
            </w:r>
          </w:p>
        </w:tc>
        <w:tc>
          <w:tcPr>
            <w:tcW w:w="11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89434B">
            <w:pPr>
              <w:pStyle w:val="19"/>
              <w:bidi w:val="0"/>
              <w:spacing w:line="240" w:lineRule="auto"/>
              <w:ind w:left="0" w:leftChars="0" w:right="0" w:rightChars="0" w:firstLine="0" w:firstLineChars="0"/>
              <w:jc w:val="both"/>
            </w:pPr>
            <w:r>
              <w:t>Decimal</w:t>
            </w:r>
          </w:p>
        </w:tc>
        <w:tc>
          <w:tcPr>
            <w:tcW w:w="15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72E830">
            <w:pPr>
              <w:pStyle w:val="19"/>
              <w:bidi w:val="0"/>
              <w:spacing w:line="240" w:lineRule="auto"/>
              <w:ind w:left="0" w:leftChars="0" w:right="0" w:rightChars="0" w:firstLine="0" w:firstLineChars="0"/>
              <w:jc w:val="both"/>
            </w:pPr>
            <w:r>
              <w:t>kgCO2e/kWh</w:t>
            </w:r>
          </w:p>
        </w:tc>
        <w:tc>
          <w:tcPr>
            <w:tcW w:w="48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6EDB7E">
            <w:pPr>
              <w:pStyle w:val="19"/>
              <w:bidi w:val="0"/>
              <w:spacing w:line="240" w:lineRule="auto"/>
              <w:ind w:left="0" w:leftChars="0" w:right="0" w:rightChars="0" w:firstLine="0" w:firstLineChars="0"/>
              <w:jc w:val="both"/>
            </w:pPr>
            <w:r>
              <w:t>取上一年度生态环境部发布的官方基准因子值</w:t>
            </w:r>
          </w:p>
        </w:tc>
      </w:tr>
      <w:tr w14:paraId="3B712730">
        <w:tblPrEx>
          <w:tblCellMar>
            <w:top w:w="0" w:type="dxa"/>
            <w:left w:w="108" w:type="dxa"/>
            <w:bottom w:w="0" w:type="dxa"/>
            <w:right w:w="108" w:type="dxa"/>
          </w:tblCellMar>
        </w:tblPrEx>
        <w:trPr>
          <w:jc w:val="center"/>
        </w:trPr>
        <w:tc>
          <w:tcPr>
            <w:tcW w:w="7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EF34DD">
            <w:pPr>
              <w:pStyle w:val="19"/>
              <w:bidi w:val="0"/>
              <w:spacing w:line="240" w:lineRule="auto"/>
              <w:ind w:left="0" w:leftChars="0" w:right="0" w:rightChars="0" w:firstLine="0" w:firstLineChars="0"/>
              <w:jc w:val="both"/>
            </w:pPr>
            <w:r>
              <w:t>7</w:t>
            </w:r>
          </w:p>
        </w:tc>
        <w:tc>
          <w:tcPr>
            <w:tcW w:w="157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1CD242">
            <w:pPr>
              <w:pStyle w:val="19"/>
              <w:bidi w:val="0"/>
              <w:spacing w:line="240" w:lineRule="auto"/>
              <w:ind w:left="0" w:leftChars="0" w:right="0" w:rightChars="0" w:firstLine="0" w:firstLineChars="0"/>
              <w:jc w:val="both"/>
            </w:pPr>
            <w:r>
              <w:t>法定量纲单位</w:t>
            </w:r>
          </w:p>
        </w:tc>
        <w:tc>
          <w:tcPr>
            <w:tcW w:w="11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30B3D6">
            <w:pPr>
              <w:pStyle w:val="19"/>
              <w:bidi w:val="0"/>
              <w:spacing w:line="240" w:lineRule="auto"/>
              <w:ind w:left="0" w:leftChars="0" w:right="0" w:rightChars="0" w:firstLine="0" w:firstLineChars="0"/>
              <w:jc w:val="both"/>
            </w:pPr>
            <w:r>
              <w:t>String</w:t>
            </w:r>
          </w:p>
        </w:tc>
        <w:tc>
          <w:tcPr>
            <w:tcW w:w="15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31ABA7">
            <w:pPr>
              <w:pStyle w:val="19"/>
              <w:bidi w:val="0"/>
              <w:spacing w:line="240" w:lineRule="auto"/>
              <w:ind w:left="0" w:leftChars="0" w:right="0" w:rightChars="0" w:firstLine="0" w:firstLineChars="0"/>
              <w:jc w:val="both"/>
            </w:pPr>
            <w:r>
              <w:t>kgCO2e/kWh</w:t>
            </w:r>
          </w:p>
        </w:tc>
        <w:tc>
          <w:tcPr>
            <w:tcW w:w="480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0E267A">
            <w:pPr>
              <w:pStyle w:val="19"/>
              <w:bidi w:val="0"/>
              <w:spacing w:line="240" w:lineRule="auto"/>
              <w:ind w:left="0" w:leftChars="0" w:right="0" w:rightChars="0" w:firstLine="0" w:firstLineChars="0"/>
              <w:jc w:val="both"/>
            </w:pPr>
            <w:r>
              <w:t>统一为  kgCO2e/kWh ，禁止混入 MWh 或度</w:t>
            </w:r>
          </w:p>
        </w:tc>
      </w:tr>
      <w:tr w14:paraId="24FE1211">
        <w:tblPrEx>
          <w:tblCellMar>
            <w:top w:w="0" w:type="dxa"/>
            <w:left w:w="108" w:type="dxa"/>
            <w:bottom w:w="0" w:type="dxa"/>
            <w:right w:w="108" w:type="dxa"/>
          </w:tblCellMar>
        </w:tblPrEx>
        <w:trPr>
          <w:jc w:val="center"/>
        </w:trPr>
        <w:tc>
          <w:tcPr>
            <w:tcW w:w="7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53D04C">
            <w:pPr>
              <w:pStyle w:val="19"/>
              <w:bidi w:val="0"/>
              <w:spacing w:line="240" w:lineRule="auto"/>
              <w:ind w:left="0" w:leftChars="0" w:right="0" w:rightChars="0" w:firstLine="0" w:firstLineChars="0"/>
              <w:jc w:val="both"/>
            </w:pPr>
            <w:r>
              <w:t>8</w:t>
            </w:r>
          </w:p>
        </w:tc>
        <w:tc>
          <w:tcPr>
            <w:tcW w:w="157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3353ED">
            <w:pPr>
              <w:pStyle w:val="19"/>
              <w:bidi w:val="0"/>
              <w:spacing w:line="240" w:lineRule="auto"/>
              <w:ind w:left="0" w:leftChars="0" w:right="0" w:rightChars="0" w:firstLine="0" w:firstLineChars="0"/>
              <w:jc w:val="both"/>
            </w:pPr>
            <w:r>
              <w:t>来源发布机构</w:t>
            </w:r>
          </w:p>
        </w:tc>
        <w:tc>
          <w:tcPr>
            <w:tcW w:w="11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0D67A8">
            <w:pPr>
              <w:pStyle w:val="19"/>
              <w:bidi w:val="0"/>
              <w:spacing w:line="240" w:lineRule="auto"/>
              <w:ind w:left="0" w:leftChars="0" w:right="0" w:rightChars="0" w:firstLine="0" w:firstLineChars="0"/>
              <w:jc w:val="both"/>
            </w:pPr>
            <w:r>
              <w:t>String</w:t>
            </w:r>
          </w:p>
        </w:tc>
        <w:tc>
          <w:tcPr>
            <w:tcW w:w="15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7011E6">
            <w:pPr>
              <w:pStyle w:val="19"/>
              <w:bidi w:val="0"/>
              <w:spacing w:line="240" w:lineRule="auto"/>
              <w:ind w:left="0" w:leftChars="0" w:right="0" w:rightChars="0" w:firstLine="0" w:firstLineChars="0"/>
              <w:jc w:val="both"/>
            </w:pPr>
            <w:r>
              <w:t>—</w:t>
            </w:r>
          </w:p>
        </w:tc>
        <w:tc>
          <w:tcPr>
            <w:tcW w:w="48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DF4E16">
            <w:pPr>
              <w:pStyle w:val="19"/>
              <w:bidi w:val="0"/>
              <w:spacing w:line="240" w:lineRule="auto"/>
              <w:ind w:left="0" w:leftChars="0" w:right="0" w:rightChars="0" w:firstLine="0" w:firstLineChars="0"/>
              <w:jc w:val="both"/>
            </w:pPr>
            <w:r>
              <w:t xml:space="preserve">如  生态环境部 、 省级生态环境厅 、 国家电力调度中心 </w:t>
            </w:r>
          </w:p>
        </w:tc>
      </w:tr>
      <w:tr w14:paraId="3F2AD8FC">
        <w:tblPrEx>
          <w:tblCellMar>
            <w:top w:w="0" w:type="dxa"/>
            <w:left w:w="108" w:type="dxa"/>
            <w:bottom w:w="0" w:type="dxa"/>
            <w:right w:w="108" w:type="dxa"/>
          </w:tblCellMar>
        </w:tblPrEx>
        <w:trPr>
          <w:jc w:val="center"/>
        </w:trPr>
        <w:tc>
          <w:tcPr>
            <w:tcW w:w="7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16A975">
            <w:pPr>
              <w:pStyle w:val="19"/>
              <w:bidi w:val="0"/>
              <w:spacing w:line="240" w:lineRule="auto"/>
              <w:ind w:left="0" w:leftChars="0" w:right="0" w:rightChars="0" w:firstLine="0" w:firstLineChars="0"/>
              <w:jc w:val="both"/>
            </w:pPr>
            <w:r>
              <w:t>9</w:t>
            </w:r>
          </w:p>
        </w:tc>
        <w:tc>
          <w:tcPr>
            <w:tcW w:w="157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2E52F8">
            <w:pPr>
              <w:pStyle w:val="19"/>
              <w:bidi w:val="0"/>
              <w:spacing w:line="240" w:lineRule="auto"/>
              <w:ind w:left="0" w:leftChars="0" w:right="0" w:rightChars="0" w:firstLine="0" w:firstLineChars="0"/>
              <w:jc w:val="both"/>
            </w:pPr>
            <w:r>
              <w:t>适用发布年度版本</w:t>
            </w:r>
          </w:p>
        </w:tc>
        <w:tc>
          <w:tcPr>
            <w:tcW w:w="11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78DAAB">
            <w:pPr>
              <w:pStyle w:val="19"/>
              <w:bidi w:val="0"/>
              <w:spacing w:line="240" w:lineRule="auto"/>
              <w:ind w:left="0" w:leftChars="0" w:right="0" w:rightChars="0" w:firstLine="0" w:firstLineChars="0"/>
              <w:jc w:val="both"/>
            </w:pPr>
            <w:r>
              <w:t>String</w:t>
            </w:r>
          </w:p>
        </w:tc>
        <w:tc>
          <w:tcPr>
            <w:tcW w:w="15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17B8AE">
            <w:pPr>
              <w:pStyle w:val="19"/>
              <w:bidi w:val="0"/>
              <w:spacing w:line="240" w:lineRule="auto"/>
              <w:ind w:left="0" w:leftChars="0" w:right="0" w:rightChars="0" w:firstLine="0" w:firstLineChars="0"/>
              <w:jc w:val="both"/>
            </w:pPr>
            <w:r>
              <w:t>—</w:t>
            </w:r>
          </w:p>
        </w:tc>
        <w:tc>
          <w:tcPr>
            <w:tcW w:w="480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95ADB1">
            <w:pPr>
              <w:pStyle w:val="19"/>
              <w:bidi w:val="0"/>
              <w:spacing w:line="240" w:lineRule="auto"/>
              <w:ind w:left="0" w:leftChars="0" w:right="0" w:rightChars="0" w:firstLine="0" w:firstLineChars="0"/>
              <w:jc w:val="both"/>
            </w:pPr>
            <w:r>
              <w:t>格式  v&lt;年&gt;.&lt;版本&gt; （如  v2024.1 ）</w:t>
            </w:r>
          </w:p>
        </w:tc>
      </w:tr>
      <w:tr w14:paraId="65B059F3">
        <w:tblPrEx>
          <w:tblCellMar>
            <w:top w:w="0" w:type="dxa"/>
            <w:left w:w="108" w:type="dxa"/>
            <w:bottom w:w="0" w:type="dxa"/>
            <w:right w:w="108" w:type="dxa"/>
          </w:tblCellMar>
        </w:tblPrEx>
        <w:trPr>
          <w:jc w:val="center"/>
        </w:trPr>
        <w:tc>
          <w:tcPr>
            <w:tcW w:w="7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095715">
            <w:pPr>
              <w:pStyle w:val="19"/>
              <w:bidi w:val="0"/>
              <w:spacing w:line="240" w:lineRule="auto"/>
              <w:ind w:left="0" w:leftChars="0" w:right="0" w:rightChars="0" w:firstLine="0" w:firstLineChars="0"/>
              <w:jc w:val="both"/>
            </w:pPr>
            <w:r>
              <w:t>10</w:t>
            </w:r>
          </w:p>
        </w:tc>
        <w:tc>
          <w:tcPr>
            <w:tcW w:w="157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271BC9">
            <w:pPr>
              <w:pStyle w:val="19"/>
              <w:bidi w:val="0"/>
              <w:spacing w:line="240" w:lineRule="auto"/>
              <w:ind w:left="0" w:leftChars="0" w:right="0" w:rightChars="0" w:firstLine="0" w:firstLineChars="0"/>
              <w:jc w:val="both"/>
            </w:pPr>
            <w:r>
              <w:t>是否属于零碳绿电</w:t>
            </w:r>
          </w:p>
        </w:tc>
        <w:tc>
          <w:tcPr>
            <w:tcW w:w="11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45C8C4">
            <w:pPr>
              <w:pStyle w:val="19"/>
              <w:bidi w:val="0"/>
              <w:spacing w:line="240" w:lineRule="auto"/>
              <w:ind w:left="0" w:leftChars="0" w:right="0" w:rightChars="0" w:firstLine="0" w:firstLineChars="0"/>
              <w:jc w:val="both"/>
            </w:pPr>
            <w:r>
              <w:t>Boolean</w:t>
            </w:r>
          </w:p>
        </w:tc>
        <w:tc>
          <w:tcPr>
            <w:tcW w:w="15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A04B65">
            <w:pPr>
              <w:pStyle w:val="19"/>
              <w:bidi w:val="0"/>
              <w:spacing w:line="240" w:lineRule="auto"/>
              <w:ind w:left="0" w:leftChars="0" w:right="0" w:rightChars="0" w:firstLine="0" w:firstLineChars="0"/>
              <w:jc w:val="both"/>
            </w:pPr>
            <w:r>
              <w:t>—</w:t>
            </w:r>
          </w:p>
        </w:tc>
        <w:tc>
          <w:tcPr>
            <w:tcW w:w="48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087770A">
            <w:pPr>
              <w:pStyle w:val="19"/>
              <w:bidi w:val="0"/>
              <w:spacing w:line="240" w:lineRule="auto"/>
              <w:ind w:left="0" w:leftChars="0" w:right="0" w:rightChars="0" w:firstLine="0" w:firstLineChars="0"/>
              <w:jc w:val="both"/>
            </w:pPr>
            <w:r>
              <w:t>true  为可再生能源/市场化核销绿电， false  为化石市电</w:t>
            </w:r>
          </w:p>
        </w:tc>
      </w:tr>
    </w:tbl>
    <w:p w14:paraId="4CADAED2">
      <w:pPr>
        <w:pStyle w:val="19"/>
        <w:bidi w:val="0"/>
      </w:pPr>
    </w:p>
    <w:p w14:paraId="17D7999A">
      <w:pPr>
        <w:pStyle w:val="19"/>
        <w:bidi w:val="0"/>
      </w:pPr>
    </w:p>
    <w:p w14:paraId="1C8C603D">
      <w:pPr>
        <w:pStyle w:val="6"/>
        <w:numPr>
          <w:ilvl w:val="0"/>
          <w:numId w:val="203"/>
        </w:numPr>
        <w:bidi w:val="0"/>
        <w:ind w:left="0" w:leftChars="0" w:firstLine="0" w:firstLineChars="0"/>
        <w:rPr>
          <w:b/>
          <w:bCs/>
          <w:sz w:val="28"/>
          <w:szCs w:val="28"/>
        </w:rPr>
      </w:pPr>
      <w:r>
        <w:rPr>
          <w:b/>
          <w:bCs/>
          <w:sz w:val="28"/>
          <w:szCs w:val="28"/>
        </w:rPr>
        <w:t>核心数学模型与算法框架</w:t>
      </w:r>
    </w:p>
    <w:tbl>
      <w:tblPr>
        <w:tblStyle w:val="38"/>
        <w:tblW w:w="0" w:type="auto"/>
        <w:jc w:val="center"/>
        <w:tblLayout w:type="fixed"/>
        <w:tblCellMar>
          <w:top w:w="0" w:type="dxa"/>
          <w:left w:w="108" w:type="dxa"/>
          <w:bottom w:w="0" w:type="dxa"/>
          <w:right w:w="108" w:type="dxa"/>
        </w:tblCellMar>
      </w:tblPr>
      <w:tblGrid>
        <w:gridCol w:w="9648"/>
      </w:tblGrid>
      <w:tr w14:paraId="65CFAAE9">
        <w:tblPrEx>
          <w:tblCellMar>
            <w:top w:w="0" w:type="dxa"/>
            <w:left w:w="108" w:type="dxa"/>
            <w:bottom w:w="0" w:type="dxa"/>
            <w:right w:w="108" w:type="dxa"/>
          </w:tblCellMar>
        </w:tblPrEx>
        <w:trPr>
          <w:jc w:val="center"/>
        </w:trPr>
        <w:tc>
          <w:tcPr>
            <w:tcW w:w="9648" w:type="dxa"/>
            <w:tcBorders>
              <w:top w:val="nil"/>
              <w:left w:val="single" w:color="16A34A" w:sz="24" w:space="0"/>
              <w:bottom w:val="nil"/>
              <w:right w:val="nil"/>
            </w:tcBorders>
            <w:shd w:val="clear" w:color="auto" w:fill="F0FDF4"/>
            <w:tcMar>
              <w:top w:w="70" w:type="dxa"/>
              <w:left w:w="100" w:type="dxa"/>
              <w:bottom w:w="70" w:type="dxa"/>
              <w:right w:w="100" w:type="dxa"/>
            </w:tcMar>
          </w:tcPr>
          <w:p w14:paraId="394321A4">
            <w:pPr>
              <w:pStyle w:val="19"/>
              <w:bidi w:val="0"/>
            </w:pPr>
            <w:r>
              <w:t>EF_{\text{grid\_composite}} = \frac{\sum_{i=1}^{p} ( Q_{\text{purchased}, i} \times EF_{\text{grid}, i} )}{\sum_{i=1}^{p} Q_{\text{purchased}, i}} \quad (\text{全集团购网电力综合加权因子})</w:t>
            </w:r>
          </w:p>
          <w:p w14:paraId="620EE713">
            <w:pPr>
              <w:pStyle w:val="19"/>
              <w:bidi w:val="0"/>
            </w:pPr>
            <w:r>
              <w:t>C_{\text{Scope2, elec}} = ( Q_{\text{grid\_total}} - Q_{\text{green\_verified}} ) \times EF_{\text{grid}} + Q_{\text{green\_verified}} \times 0 \quad (\text{电力间接排放净额})</w:t>
            </w:r>
          </w:p>
          <w:p w14:paraId="07961D45">
            <w:pPr>
              <w:pStyle w:val="19"/>
              <w:bidi w:val="0"/>
            </w:pPr>
            <w:r>
              <w:t>R_{\text{green\_power}} = \frac{Q_{\text{pv\_self}} + Q_{\text{green\_market}}}{Q_{\text{grid\_total}} + Q_{\text{pv\_self}}} \times 100\% \quad (\text{绿电综合消纳占比})</w:t>
            </w:r>
          </w:p>
        </w:tc>
      </w:tr>
    </w:tbl>
    <w:p w14:paraId="58E0816B">
      <w:pPr>
        <w:pStyle w:val="19"/>
        <w:bidi w:val="0"/>
      </w:pPr>
    </w:p>
    <w:p w14:paraId="0160A5D4">
      <w:pPr>
        <w:pStyle w:val="19"/>
        <w:bidi w:val="0"/>
      </w:pPr>
      <w:r>
        <w:t>• 变量定义与取值约定：</w:t>
      </w:r>
    </w:p>
    <w:p w14:paraId="64B4DC93">
      <w:pPr>
        <w:pStyle w:val="19"/>
        <w:bidi w:val="0"/>
      </w:pPr>
      <w:r>
        <w:t>• Q_{\text{purchased}, i}：第 i 个园区购入市电量（kWh）；</w:t>
      </w:r>
    </w:p>
    <w:p w14:paraId="0D2EA630">
      <w:pPr>
        <w:pStyle w:val="19"/>
        <w:bidi w:val="0"/>
      </w:pPr>
      <w:r>
        <w:t>• EF_{\text{grid}, i}：第 i 个园区所在地电网排放因子（kgCO2e/kWh）；</w:t>
      </w:r>
    </w:p>
    <w:p w14:paraId="3FA5FF4B">
      <w:pPr>
        <w:pStyle w:val="19"/>
        <w:bidi w:val="0"/>
      </w:pPr>
      <w:r>
        <w:t>• Q_{\text{green\_verified}}：取得官方核销绿证对应的结算电量（kWh）；</w:t>
      </w:r>
    </w:p>
    <w:p w14:paraId="712B38F8">
      <w:pPr>
        <w:pStyle w:val="19"/>
        <w:bidi w:val="0"/>
      </w:pPr>
      <w:r>
        <w:t>• 严禁出现负碳计算：当 Q_{\text{green\_verified}} &gt; Q_{\text{grid\_total}} 时，C_{\text{Scope2, elec}} 兜底锁定为  0.00 ，不得产生“负碳抵消外部化石燃料”。</w:t>
      </w:r>
    </w:p>
    <w:p w14:paraId="0F872FD4">
      <w:pPr>
        <w:pStyle w:val="6"/>
        <w:numPr>
          <w:ilvl w:val="0"/>
          <w:numId w:val="203"/>
        </w:numPr>
        <w:bidi w:val="0"/>
        <w:ind w:left="0" w:leftChars="0" w:firstLine="0" w:firstLineChars="0"/>
        <w:rPr>
          <w:b/>
          <w:bCs/>
          <w:sz w:val="28"/>
          <w:szCs w:val="28"/>
        </w:rPr>
      </w:pPr>
      <w:r>
        <w:rPr>
          <w:b/>
          <w:bCs/>
          <w:sz w:val="28"/>
          <w:szCs w:val="28"/>
        </w:rPr>
        <w:t>展示、对标与判定口径</w:t>
      </w:r>
    </w:p>
    <w:p w14:paraId="764D4A1B">
      <w:pPr>
        <w:pStyle w:val="19"/>
        <w:bidi w:val="0"/>
      </w:pPr>
      <w:r>
        <w:t>• 分级对标口径：各园区电力排放因子常态与全国平均电网因子（全国基准线 0.5703）横向对齐；</w:t>
      </w:r>
    </w:p>
    <w:p w14:paraId="10EFB98B">
      <w:pPr>
        <w:pStyle w:val="19"/>
        <w:bidi w:val="0"/>
      </w:pPr>
      <w:r>
        <w:t>• 消纳认定口径：厂房屋顶分布式光伏自发自用电量，因子按  0.0000 kgCO2e/kWh  认定，全生命周期 LCA 制造端分摊按  0.0480 kgCO2e/kWh  认定；</w:t>
      </w:r>
    </w:p>
    <w:p w14:paraId="44422508">
      <w:pPr>
        <w:pStyle w:val="19"/>
        <w:bidi w:val="0"/>
      </w:pPr>
      <w:r>
        <w:t>• 空值口径：对于未联网的小微测点，因子默认继承所在地所属省级电网平均因子，严禁显示  --  导致计算中断。</w:t>
      </w:r>
    </w:p>
    <w:p w14:paraId="38FE526F">
      <w:pPr>
        <w:pStyle w:val="6"/>
        <w:numPr>
          <w:ilvl w:val="0"/>
          <w:numId w:val="203"/>
        </w:numPr>
        <w:bidi w:val="0"/>
        <w:ind w:left="0" w:leftChars="0" w:firstLine="0" w:firstLineChars="0"/>
        <w:rPr>
          <w:b/>
          <w:bCs/>
          <w:sz w:val="28"/>
          <w:szCs w:val="28"/>
        </w:rPr>
      </w:pPr>
      <w:r>
        <w:rPr>
          <w:b/>
          <w:bCs/>
          <w:sz w:val="28"/>
          <w:szCs w:val="28"/>
        </w:rPr>
        <w:t>边界条件、异常处理与防错规则</w:t>
      </w:r>
    </w:p>
    <w:p w14:paraId="2168F819">
      <w:pPr>
        <w:pStyle w:val="175"/>
        <w:bidi w:val="0"/>
      </w:pPr>
      <w:r>
        <w:t>• 历史关账月度强冻结：已完成财务锁账的月份，其核算所引用的电力因子版本自动固化，即便后续生态环境部补丁修正因子，历史月份禁止自动刷新，触发  E_SYS_FACTOR_LOCKED_HISTORIC ；</w:t>
      </w:r>
    </w:p>
    <w:p w14:paraId="35DDACB7">
      <w:pPr>
        <w:pStyle w:val="175"/>
        <w:bidi w:val="0"/>
      </w:pPr>
      <w:r>
        <w:t>• 绿电超量抵扣截断：绿电核销申报量大于用电总量时，系统自动截断至总用电量，溢出部分自动流转至下一统计周期，记录告警  E_CALC_GREEN_OFFSET_OVERFLOW ；</w:t>
      </w:r>
    </w:p>
    <w:p w14:paraId="55D7AB9A">
      <w:pPr>
        <w:pStyle w:val="175"/>
        <w:bidi w:val="0"/>
      </w:pPr>
      <w:r>
        <w:t>• 自备电厂实测脱失拦截：自备电厂当月未上传连续在线监测（CEMS）烟气实测值时，系统阻断其提交“超低因子”，强制采用燃煤发电机组上限值 0.8320 kgCO2e/kWh，抛出  E_VAL_CEMS_OFFLINE_PENALTY 。</w:t>
      </w:r>
    </w:p>
    <w:p w14:paraId="56464043">
      <w:pPr>
        <w:pStyle w:val="6"/>
        <w:numPr>
          <w:ilvl w:val="0"/>
          <w:numId w:val="203"/>
        </w:numPr>
        <w:bidi w:val="0"/>
        <w:ind w:left="0" w:leftChars="0" w:firstLine="0" w:firstLineChars="0"/>
        <w:rPr>
          <w:b/>
          <w:bCs/>
          <w:sz w:val="28"/>
          <w:szCs w:val="28"/>
        </w:rPr>
      </w:pPr>
      <w:r>
        <w:rPr>
          <w:b/>
          <w:bCs/>
          <w:sz w:val="28"/>
          <w:szCs w:val="28"/>
        </w:rPr>
        <w:t>QA 自动化验收准则（Gherkin BDD）</w:t>
      </w:r>
    </w:p>
    <w:tbl>
      <w:tblPr>
        <w:tblStyle w:val="38"/>
        <w:tblW w:w="0" w:type="auto"/>
        <w:jc w:val="center"/>
        <w:tblLayout w:type="fixed"/>
        <w:tblCellMar>
          <w:top w:w="0" w:type="dxa"/>
          <w:left w:w="108" w:type="dxa"/>
          <w:bottom w:w="0" w:type="dxa"/>
          <w:right w:w="108" w:type="dxa"/>
        </w:tblCellMar>
      </w:tblPr>
      <w:tblGrid>
        <w:gridCol w:w="9648"/>
      </w:tblGrid>
      <w:tr w14:paraId="5B3A7FBC">
        <w:tblPrEx>
          <w:tblCellMar>
            <w:top w:w="0" w:type="dxa"/>
            <w:left w:w="108" w:type="dxa"/>
            <w:bottom w:w="0" w:type="dxa"/>
            <w:right w:w="108" w:type="dxa"/>
          </w:tblCellMar>
        </w:tblPrEx>
        <w:trPr>
          <w:jc w:val="center"/>
        </w:trPr>
        <w:tc>
          <w:tcPr>
            <w:tcW w:w="9648" w:type="dxa"/>
            <w:tcBorders>
              <w:top w:val="nil"/>
              <w:left w:val="single" w:color="7C3AED" w:sz="24" w:space="0"/>
              <w:bottom w:val="nil"/>
              <w:right w:val="nil"/>
            </w:tcBorders>
            <w:shd w:val="clear" w:color="auto" w:fill="F5F3FF"/>
            <w:tcMar>
              <w:top w:w="70" w:type="dxa"/>
              <w:left w:w="100" w:type="dxa"/>
              <w:bottom w:w="70" w:type="dxa"/>
              <w:right w:w="100" w:type="dxa"/>
            </w:tcMar>
          </w:tcPr>
          <w:p w14:paraId="339AC5B2">
            <w:pPr>
              <w:pStyle w:val="19"/>
              <w:bidi w:val="0"/>
            </w:pPr>
            <w:r>
              <w:t>Feature: 电力碳排因子多电网匹配与绿电核销</w:t>
            </w:r>
          </w:p>
          <w:p w14:paraId="06F86175">
            <w:pPr>
              <w:pStyle w:val="19"/>
              <w:bidi w:val="0"/>
            </w:pPr>
            <w:r>
              <w:t xml:space="preserve">  Scenario: 跨省多园区属地电网因子精准匹配</w:t>
            </w:r>
          </w:p>
          <w:p w14:paraId="5DEC416C">
            <w:pPr>
              <w:pStyle w:val="19"/>
              <w:bidi w:val="0"/>
            </w:pPr>
            <w:r>
              <w:t xml:space="preserve">    Given 新疆变压器厂位于乌鲁木齐，上海销售技术中心位于上海闵行</w:t>
            </w:r>
          </w:p>
          <w:p w14:paraId="3D3D161E">
            <w:pPr>
              <w:pStyle w:val="19"/>
              <w:bidi w:val="0"/>
            </w:pPr>
            <w:r>
              <w:t xml:space="preserve">    When 系统分别抓取两地当月市电消耗的计算因子</w:t>
            </w:r>
          </w:p>
          <w:p w14:paraId="2579BA5F">
            <w:pPr>
              <w:pStyle w:val="19"/>
              <w:bidi w:val="0"/>
            </w:pPr>
            <w:r>
              <w:t xml:space="preserve">    Then 新疆园区自动匹配西北电网因子 0.6127 kgCO2e/kWh</w:t>
            </w:r>
          </w:p>
          <w:p w14:paraId="7465C930">
            <w:pPr>
              <w:pStyle w:val="19"/>
              <w:bidi w:val="0"/>
            </w:pPr>
            <w:r>
              <w:t xml:space="preserve">    And 上海中心自动匹配华东电网因子 0.5257 kgCO2e/kWh</w:t>
            </w:r>
          </w:p>
          <w:p w14:paraId="7CD826CE">
            <w:pPr>
              <w:pStyle w:val="19"/>
              <w:bidi w:val="0"/>
            </w:pPr>
            <w:r>
              <w:t xml:space="preserve">    And 系统不产生跨电网串用</w:t>
            </w:r>
          </w:p>
          <w:p w14:paraId="67AC0DFF">
            <w:pPr>
              <w:pStyle w:val="19"/>
              <w:bidi w:val="0"/>
            </w:pPr>
          </w:p>
          <w:p w14:paraId="2E1FD314">
            <w:pPr>
              <w:pStyle w:val="19"/>
              <w:bidi w:val="0"/>
            </w:pPr>
            <w:r>
              <w:t xml:space="preserve">  Scenario: 市场化绿电凭证冲抵归零断言</w:t>
            </w:r>
          </w:p>
          <w:p w14:paraId="18D31097">
            <w:pPr>
              <w:pStyle w:val="19"/>
              <w:bidi w:val="0"/>
            </w:pPr>
            <w:r>
              <w:t xml:space="preserve">    Given 某车间当月市电消耗 100,000 kWh, 录入合规核销绿电凭证 40,000 kWh</w:t>
            </w:r>
          </w:p>
          <w:p w14:paraId="40B9EFDF">
            <w:pPr>
              <w:pStyle w:val="19"/>
              <w:bidi w:val="0"/>
            </w:pPr>
            <w:r>
              <w:t xml:space="preserve">    When 系统计算该车间当月外购电力 Scope 2 间接排放</w:t>
            </w:r>
          </w:p>
          <w:p w14:paraId="7452AC57">
            <w:pPr>
              <w:pStyle w:val="19"/>
              <w:bidi w:val="0"/>
            </w:pPr>
            <w:r>
              <w:t xml:space="preserve">    Then 40,000 kWh 绿电部分按 0.0000 kgCO2e/kWh 核算</w:t>
            </w:r>
          </w:p>
          <w:p w14:paraId="12E3A060">
            <w:pPr>
              <w:pStyle w:val="19"/>
              <w:bidi w:val="0"/>
            </w:pPr>
            <w:r>
              <w:t xml:space="preserve">    And 剩余 60,000 kWh 按属地电网因子核算</w:t>
            </w:r>
          </w:p>
          <w:p w14:paraId="39616011">
            <w:pPr>
              <w:pStyle w:val="19"/>
              <w:bidi w:val="0"/>
            </w:pPr>
            <w:r>
              <w:t xml:space="preserve">    And 总电力排放精准等于 60,000 × EF_grid</w:t>
            </w:r>
          </w:p>
        </w:tc>
      </w:tr>
    </w:tbl>
    <w:p w14:paraId="2327B818">
      <w:pPr>
        <w:pStyle w:val="19"/>
        <w:bidi w:val="0"/>
      </w:pPr>
    </w:p>
    <w:p w14:paraId="35D5EB07">
      <w:pPr>
        <w:pStyle w:val="5"/>
        <w:numPr>
          <w:ilvl w:val="0"/>
          <w:numId w:val="145"/>
        </w:numPr>
        <w:ind w:left="0" w:leftChars="0" w:firstLine="0" w:firstLineChars="0"/>
        <w:outlineLvl w:val="1"/>
        <w:rPr>
          <w:rFonts w:ascii="Times New Roman" w:hAnsi="Times New Roman" w:eastAsia="黑体" w:cs="Times New Roman"/>
          <w:b w:val="0"/>
          <w:bCs w:val="0"/>
          <w:sz w:val="30"/>
          <w:szCs w:val="24"/>
        </w:rPr>
      </w:pPr>
      <w:bookmarkStart w:id="61" w:name="_Toc71"/>
      <w:r>
        <w:rPr>
          <w:rFonts w:hint="eastAsia" w:cs="Times New Roman"/>
          <w:b w:val="0"/>
          <w:bCs w:val="0"/>
          <w:sz w:val="30"/>
          <w:szCs w:val="24"/>
          <w:lang w:val="en-US" w:eastAsia="zh-CN"/>
        </w:rPr>
        <w:t>能源活动碳排因子</w:t>
      </w:r>
      <w:bookmarkEnd w:id="61"/>
    </w:p>
    <w:p w14:paraId="007AC635">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bidi="ar-SA"/>
        </w:rPr>
      </w:pPr>
      <w:r>
        <w:rPr>
          <w:rFonts w:ascii="Times New Roman" w:hAnsi="Times New Roman" w:eastAsia="黑体" w:cs="Times New Roman"/>
          <w:bCs/>
          <w:kern w:val="2"/>
          <w:sz w:val="28"/>
          <w:szCs w:val="28"/>
          <w:lang w:bidi="ar-SA"/>
        </w:rPr>
        <w:drawing>
          <wp:inline distT="0" distB="0" distL="114300" distR="114300">
            <wp:extent cx="6118860" cy="3034030"/>
            <wp:effectExtent l="0" t="0" r="15240" b="13970"/>
            <wp:docPr id="4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6"/>
                    <pic:cNvPicPr>
                      <a:picLocks noChangeAspect="1"/>
                    </pic:cNvPicPr>
                  </pic:nvPicPr>
                  <pic:blipFill>
                    <a:blip r:embed="rId52"/>
                    <a:stretch>
                      <a:fillRect/>
                    </a:stretch>
                  </pic:blipFill>
                  <pic:spPr>
                    <a:xfrm>
                      <a:off x="0" y="0"/>
                      <a:ext cx="6118860" cy="3034030"/>
                    </a:xfrm>
                    <a:prstGeom prst="rect">
                      <a:avLst/>
                    </a:prstGeom>
                    <a:noFill/>
                    <a:ln>
                      <a:noFill/>
                    </a:ln>
                  </pic:spPr>
                </pic:pic>
              </a:graphicData>
            </a:graphic>
          </wp:inline>
        </w:drawing>
      </w:r>
    </w:p>
    <w:p w14:paraId="7D02E7BF">
      <w:pPr>
        <w:pStyle w:val="6"/>
        <w:numPr>
          <w:ilvl w:val="0"/>
          <w:numId w:val="204"/>
        </w:numPr>
        <w:bidi w:val="0"/>
        <w:ind w:left="0" w:leftChars="0" w:firstLine="0" w:firstLineChars="0"/>
        <w:rPr>
          <w:b/>
          <w:bCs/>
          <w:sz w:val="28"/>
          <w:szCs w:val="28"/>
        </w:rPr>
      </w:pPr>
      <w:r>
        <w:rPr>
          <w:b/>
          <w:bCs/>
          <w:sz w:val="28"/>
          <w:szCs w:val="28"/>
        </w:rPr>
        <w:t>定位与架构角色</w:t>
      </w:r>
    </w:p>
    <w:p w14:paraId="1B62BAEB">
      <w:pPr>
        <w:pStyle w:val="19"/>
        <w:bidi w:val="0"/>
      </w:pPr>
      <w:r>
        <w:t>• 功能定位：作为全集团范围一（Scope 1）化石燃料直接燃烧温室气体排放及外购热力蒸汽排放的核算参数中枢，管理化石燃料（天然气、柴油、汽油、原煤、液化石油气）、外购工业蒸汽以及设备逸散制冷剂（如 R134a、R410A）的核心排放参数。</w:t>
      </w:r>
    </w:p>
    <w:p w14:paraId="3E4204C1">
      <w:pPr>
        <w:pStyle w:val="19"/>
        <w:bidi w:val="0"/>
      </w:pPr>
      <w:r>
        <w:t>• 承载角色：P2 园区能碳专员（燃料消耗录入与检验单上传）、P4 碳核算工程师（因子基线核准与低位发热量实测修正）。</w:t>
      </w:r>
    </w:p>
    <w:p w14:paraId="3DF26ED6">
      <w:pPr>
        <w:pStyle w:val="6"/>
        <w:numPr>
          <w:ilvl w:val="0"/>
          <w:numId w:val="204"/>
        </w:numPr>
        <w:bidi w:val="0"/>
        <w:ind w:left="0" w:leftChars="0" w:firstLine="0" w:firstLineChars="0"/>
        <w:rPr>
          <w:b/>
          <w:bCs/>
          <w:sz w:val="28"/>
          <w:szCs w:val="28"/>
        </w:rPr>
      </w:pPr>
      <w:r>
        <w:rPr>
          <w:b/>
          <w:bCs/>
          <w:sz w:val="28"/>
          <w:szCs w:val="28"/>
        </w:rPr>
        <w:t>业务场景与用户故事</w:t>
      </w:r>
    </w:p>
    <w:p w14:paraId="0D4EF278">
      <w:pPr>
        <w:pStyle w:val="19"/>
        <w:bidi w:val="0"/>
      </w:pPr>
      <w:r>
        <w:t>• 业务场景描述：特变电工大型变压器绝缘干燥车间配有大型燃气热风炉与煤油气相干燥罐，线缆拉丝车间退火炉常年消耗管道天然气；厂区物流叉车与应急柴油发电机定期消耗轻柴油；高压试验室大型空调系统存在微量制冷剂逸散。上述能源活动的物理消耗量必须精准乘以对应能源活动碳排因子，转化为二氧化碳当量（tCO2e）。</w:t>
      </w:r>
    </w:p>
    <w:p w14:paraId="169D1516">
      <w:pPr>
        <w:pStyle w:val="19"/>
        <w:bidi w:val="0"/>
      </w:pPr>
      <w:r>
        <w:t>• 用户故事：</w:t>
      </w:r>
    </w:p>
    <w:p w14:paraId="3DE27FB1">
      <w:pPr>
        <w:pStyle w:val="19"/>
        <w:bidi w:val="0"/>
      </w:pPr>
      <w:r>
        <w:t xml:space="preserve">  As a 园区能碳专员 (Persona P2)，</w:t>
      </w:r>
    </w:p>
    <w:p w14:paraId="554AC305">
      <w:pPr>
        <w:pStyle w:val="19"/>
        <w:bidi w:val="0"/>
      </w:pPr>
      <w:r>
        <w:t xml:space="preserve">  I want 在能源活动碳排因子库中查看各类燃料的标准因子值，并能根据天然气每月化验单录入低位热值与含碳量以动态刷新实测因子，</w:t>
      </w:r>
    </w:p>
    <w:p w14:paraId="6E2983E9">
      <w:pPr>
        <w:pStyle w:val="19"/>
        <w:bidi w:val="0"/>
        <w:rPr>
          <w:b/>
          <w:bCs/>
        </w:rPr>
      </w:pPr>
      <w:r>
        <w:t xml:space="preserve">  So that 我能依据精准的燃料特性核算车间工业炉窑的直接燃烧碳排放，避免采用保守缺省值虚增企业碳排。</w:t>
      </w:r>
    </w:p>
    <w:p w14:paraId="370178F3">
      <w:pPr>
        <w:pStyle w:val="6"/>
        <w:numPr>
          <w:ilvl w:val="0"/>
          <w:numId w:val="204"/>
        </w:numPr>
        <w:bidi w:val="0"/>
        <w:ind w:left="0" w:leftChars="0" w:firstLine="0" w:firstLineChars="0"/>
        <w:rPr>
          <w:b/>
          <w:bCs/>
          <w:sz w:val="28"/>
          <w:szCs w:val="28"/>
        </w:rPr>
      </w:pPr>
      <w:r>
        <w:rPr>
          <w:b/>
          <w:bCs/>
          <w:sz w:val="28"/>
          <w:szCs w:val="28"/>
        </w:rPr>
        <w:t>功能规格与交互契约</w:t>
      </w:r>
    </w:p>
    <w:p w14:paraId="610D49FD">
      <w:pPr>
        <w:pStyle w:val="19"/>
        <w:bidi w:val="0"/>
      </w:pPr>
      <w:r>
        <w:t>• 分类导航与界面排版：</w:t>
      </w:r>
    </w:p>
    <w:p w14:paraId="114BB704">
      <w:pPr>
        <w:pStyle w:val="19"/>
        <w:bidi w:val="0"/>
      </w:pPr>
      <w:r>
        <w:t>• 顶部提供【能源活动类别】切片（ 全部  /  化石燃料  /  热力/蒸汽  /  制冷剂  /  其他 ）；</w:t>
      </w:r>
    </w:p>
    <w:p w14:paraId="151D17F9">
      <w:pPr>
        <w:pStyle w:val="19"/>
        <w:bidi w:val="0"/>
      </w:pPr>
      <w:r>
        <w:t>• 因子值列复合呈现： 当前生效值 / 默认缺省值 （例如天然气  2.1622 / 2.1800 kgCO2e/m³ ，柴油  3.0959 / 3.1200 kgCO2e/kg ）。</w:t>
      </w:r>
    </w:p>
    <w:p w14:paraId="3BD58965">
      <w:pPr>
        <w:pStyle w:val="19"/>
        <w:bidi w:val="0"/>
      </w:pPr>
      <w:r>
        <w:t>• 三参数三层级透明穿透展示：</w:t>
      </w:r>
    </w:p>
    <w:p w14:paraId="27F0F62F">
      <w:pPr>
        <w:pStyle w:val="19"/>
        <w:bidi w:val="0"/>
      </w:pPr>
      <w:r>
        <w:t>• 点击化石燃料因子行展开，展示底层三大核算参数：</w:t>
      </w:r>
    </w:p>
    <w:p w14:paraId="72E73820">
      <w:pPr>
        <w:pStyle w:val="19"/>
        <w:bidi w:val="0"/>
      </w:pPr>
      <w:r>
        <w:t>1. 低位发热量 (NCV)：如天然气标况  38.931 MJ/m³ ；</w:t>
      </w:r>
    </w:p>
    <w:p w14:paraId="2166C56B">
      <w:pPr>
        <w:pStyle w:val="19"/>
        <w:bidi w:val="0"/>
      </w:pPr>
      <w:r>
        <w:t>2. 单位热值含碳量 (CC)：如天然气  15.32 tC/TJ ；</w:t>
      </w:r>
    </w:p>
    <w:p w14:paraId="15BDE078">
      <w:pPr>
        <w:pStyle w:val="19"/>
        <w:bidi w:val="0"/>
      </w:pPr>
      <w:r>
        <w:t>3. 碳氧化率 (OF)：如工业炉天然气燃烧  99.0% ；</w:t>
      </w:r>
    </w:p>
    <w:p w14:paraId="0C50317D">
      <w:pPr>
        <w:pStyle w:val="19"/>
        <w:bidi w:val="0"/>
      </w:pPr>
      <w:r>
        <w:t>• 清晰标注该因子是采用国家指南缺省值，还是基于燃气化验单的实测修正值。</w:t>
      </w:r>
    </w:p>
    <w:p w14:paraId="6392CC9B">
      <w:pPr>
        <w:pStyle w:val="19"/>
        <w:bidi w:val="0"/>
      </w:pPr>
      <w:r>
        <w:t>• 外购工业蒸汽因子温压解耦与热焓计算：</w:t>
      </w:r>
    </w:p>
    <w:p w14:paraId="1B3068C6">
      <w:pPr>
        <w:pStyle w:val="19"/>
        <w:bidi w:val="0"/>
      </w:pPr>
      <w:r>
        <w:t>• 外购蒸汽因子支持根据蒸汽供汽类型（低压饱和蒸汽 / 过热蒸汽）与表压（MPa）、温度（°C）自动从国际水蒸气热焓表（IAPWS-IF97）插值匹配比焓值，计算专属排放因子（如  0.1100 kgCO2e/MJ  或  276.5 kgCO2e/t ）。</w:t>
      </w:r>
    </w:p>
    <w:p w14:paraId="41318AD7">
      <w:pPr>
        <w:pStyle w:val="19"/>
        <w:bidi w:val="0"/>
      </w:pPr>
      <w:r>
        <w:t>• 📌 【业务约束与工程规范契约】：</w:t>
      </w:r>
    </w:p>
    <w:p w14:paraId="6D4D07B5">
      <w:pPr>
        <w:pStyle w:val="19"/>
        <w:bidi w:val="0"/>
      </w:pPr>
      <w:r>
        <w:t>• 制冷剂逸散全球变暖潜能值 (GWP) 强制锚定 IPCC 第五次评估报告 (AR5)，R134a 强制锁定为 1430，严禁任意篡改。</w:t>
      </w:r>
    </w:p>
    <w:p w14:paraId="246E1509">
      <w:pPr>
        <w:pStyle w:val="6"/>
        <w:numPr>
          <w:ilvl w:val="0"/>
          <w:numId w:val="204"/>
        </w:numPr>
        <w:bidi w:val="0"/>
        <w:ind w:left="0" w:leftChars="0" w:firstLine="0" w:firstLineChars="0"/>
        <w:rPr>
          <w:b/>
          <w:bCs/>
          <w:sz w:val="28"/>
          <w:szCs w:val="28"/>
        </w:rPr>
      </w:pPr>
      <w:r>
        <w:rPr>
          <w:b/>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657"/>
        <w:gridCol w:w="1468"/>
        <w:gridCol w:w="1291"/>
        <w:gridCol w:w="4479"/>
      </w:tblGrid>
      <w:tr w14:paraId="580EDBF6">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508F811">
            <w:pPr>
              <w:pStyle w:val="19"/>
              <w:bidi w:val="0"/>
              <w:spacing w:line="240" w:lineRule="auto"/>
              <w:ind w:left="0" w:leftChars="0" w:right="0" w:rightChars="0" w:firstLine="0" w:firstLineChars="0"/>
              <w:jc w:val="both"/>
            </w:pPr>
            <w: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B0E7132">
            <w:pPr>
              <w:pStyle w:val="19"/>
              <w:bidi w:val="0"/>
              <w:spacing w:line="240" w:lineRule="auto"/>
              <w:ind w:left="0" w:leftChars="0" w:right="0" w:rightChars="0" w:firstLine="0" w:firstLineChars="0"/>
              <w:jc w:val="both"/>
            </w:pPr>
            <w:r>
              <w:t>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0500BE5">
            <w:pPr>
              <w:pStyle w:val="19"/>
              <w:bidi w:val="0"/>
              <w:spacing w:line="240" w:lineRule="auto"/>
              <w:ind w:left="0" w:leftChars="0" w:right="0" w:rightChars="0" w:firstLine="0" w:firstLineChars="0"/>
              <w:jc w:val="both"/>
            </w:pPr>
            <w: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FF23A2B">
            <w:pPr>
              <w:pStyle w:val="19"/>
              <w:bidi w:val="0"/>
              <w:spacing w:line="240" w:lineRule="auto"/>
              <w:ind w:left="0" w:leftChars="0" w:right="0" w:rightChars="0" w:firstLine="0" w:firstLineChars="0"/>
              <w:jc w:val="both"/>
            </w:pPr>
            <w:r>
              <w:t>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FDF9AED">
            <w:pPr>
              <w:pStyle w:val="19"/>
              <w:bidi w:val="0"/>
              <w:spacing w:line="240" w:lineRule="auto"/>
              <w:ind w:left="0" w:leftChars="0" w:right="0" w:rightChars="0" w:firstLine="0" w:firstLineChars="0"/>
              <w:jc w:val="both"/>
            </w:pPr>
            <w:r>
              <w:t>校验与约束规则</w:t>
            </w:r>
          </w:p>
        </w:tc>
      </w:tr>
      <w:tr w14:paraId="3C12BA8D">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84EA63">
            <w:pPr>
              <w:pStyle w:val="19"/>
              <w:bidi w:val="0"/>
              <w:spacing w:line="240" w:lineRule="auto"/>
              <w:ind w:left="0" w:leftChars="0" w:right="0" w:rightChars="0" w:firstLine="0" w:firstLineChars="0"/>
              <w:jc w:val="both"/>
            </w:pPr>
            <w: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464698">
            <w:pPr>
              <w:pStyle w:val="19"/>
              <w:bidi w:val="0"/>
              <w:spacing w:line="240" w:lineRule="auto"/>
              <w:ind w:left="0" w:leftChars="0" w:right="0" w:rightChars="0" w:firstLine="0" w:firstLineChars="0"/>
              <w:jc w:val="both"/>
            </w:pPr>
            <w:r>
              <w:t>能源活动因子编码</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C35CD3">
            <w:pPr>
              <w:pStyle w:val="19"/>
              <w:bidi w:val="0"/>
              <w:spacing w:line="240" w:lineRule="auto"/>
              <w:ind w:left="0" w:leftChars="0" w:right="0" w:rightChars="0" w:firstLine="0" w:firstLineChars="0"/>
              <w:jc w:val="both"/>
            </w:pPr>
            <w: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BE686F">
            <w:pPr>
              <w:pStyle w:val="19"/>
              <w:bidi w:val="0"/>
              <w:spacing w:line="240" w:lineRule="auto"/>
              <w:ind w:left="0" w:leftChars="0" w:right="0" w:rightChars="0" w:firstLine="0" w:firstLineChars="0"/>
              <w:jc w:val="both"/>
            </w:pPr>
            <w:r>
              <w:t>—</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EE1DB7">
            <w:pPr>
              <w:pStyle w:val="19"/>
              <w:bidi w:val="0"/>
              <w:spacing w:line="240" w:lineRule="auto"/>
              <w:ind w:left="0" w:leftChars="0" w:right="0" w:rightChars="0" w:firstLine="0" w:firstLineChars="0"/>
              <w:jc w:val="both"/>
            </w:pPr>
            <w:r>
              <w:t xml:space="preserve">唯一，格式  EA&lt;3位流水&gt;&lt;2位校验码&gt; </w:t>
            </w:r>
          </w:p>
        </w:tc>
      </w:tr>
      <w:tr w14:paraId="5EBE19E5">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A12459">
            <w:pPr>
              <w:pStyle w:val="19"/>
              <w:bidi w:val="0"/>
              <w:spacing w:line="240" w:lineRule="auto"/>
              <w:ind w:left="0" w:leftChars="0" w:right="0" w:rightChars="0" w:firstLine="0" w:firstLineChars="0"/>
              <w:jc w:val="both"/>
            </w:pPr>
            <w: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9108B8">
            <w:pPr>
              <w:pStyle w:val="19"/>
              <w:bidi w:val="0"/>
              <w:spacing w:line="240" w:lineRule="auto"/>
              <w:ind w:left="0" w:leftChars="0" w:right="0" w:rightChars="0" w:firstLine="0" w:firstLineChars="0"/>
              <w:jc w:val="both"/>
            </w:pPr>
            <w:r>
              <w:t>能源活动/燃料名称</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256B3B">
            <w:pPr>
              <w:pStyle w:val="19"/>
              <w:bidi w:val="0"/>
              <w:spacing w:line="240" w:lineRule="auto"/>
              <w:ind w:left="0" w:leftChars="0" w:right="0" w:rightChars="0" w:firstLine="0" w:firstLineChars="0"/>
              <w:jc w:val="both"/>
            </w:pPr>
            <w: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11F49D">
            <w:pPr>
              <w:pStyle w:val="19"/>
              <w:bidi w:val="0"/>
              <w:spacing w:line="240" w:lineRule="auto"/>
              <w:ind w:left="0" w:leftChars="0" w:right="0" w:rightChars="0" w:firstLine="0" w:firstLineChars="0"/>
              <w:jc w:val="both"/>
            </w:pPr>
            <w: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2495559">
            <w:pPr>
              <w:pStyle w:val="19"/>
              <w:bidi w:val="0"/>
              <w:spacing w:line="240" w:lineRule="auto"/>
              <w:ind w:left="0" w:leftChars="0" w:right="0" w:rightChars="0" w:firstLine="0" w:firstLineChars="0"/>
              <w:jc w:val="both"/>
            </w:pPr>
            <w:r>
              <w:t xml:space="preserve">如  管道天然气 、 轻柴油 、 原煤(烟煤) 、 外购蒸汽 </w:t>
            </w:r>
          </w:p>
        </w:tc>
      </w:tr>
      <w:tr w14:paraId="4EB0085B">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2EC4C5">
            <w:pPr>
              <w:pStyle w:val="19"/>
              <w:bidi w:val="0"/>
              <w:spacing w:line="240" w:lineRule="auto"/>
              <w:ind w:left="0" w:leftChars="0" w:right="0" w:rightChars="0" w:firstLine="0" w:firstLineChars="0"/>
              <w:jc w:val="both"/>
            </w:pPr>
            <w: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6E8CAA">
            <w:pPr>
              <w:pStyle w:val="19"/>
              <w:bidi w:val="0"/>
              <w:spacing w:line="240" w:lineRule="auto"/>
              <w:ind w:left="0" w:leftChars="0" w:right="0" w:rightChars="0" w:firstLine="0" w:firstLineChars="0"/>
              <w:jc w:val="both"/>
            </w:pPr>
            <w:r>
              <w:t>能源大类归属</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DFB677">
            <w:pPr>
              <w:pStyle w:val="19"/>
              <w:bidi w:val="0"/>
              <w:spacing w:line="240" w:lineRule="auto"/>
              <w:ind w:left="0" w:leftChars="0" w:right="0" w:rightChars="0" w:firstLine="0" w:firstLineChars="0"/>
              <w:jc w:val="both"/>
            </w:pPr>
            <w: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11D0D7">
            <w:pPr>
              <w:pStyle w:val="19"/>
              <w:bidi w:val="0"/>
              <w:spacing w:line="240" w:lineRule="auto"/>
              <w:ind w:left="0" w:leftChars="0" w:right="0" w:rightChars="0" w:firstLine="0" w:firstLineChars="0"/>
              <w:jc w:val="both"/>
            </w:pPr>
            <w:r>
              <w:t>—</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3369C8">
            <w:pPr>
              <w:pStyle w:val="19"/>
              <w:bidi w:val="0"/>
              <w:spacing w:line="240" w:lineRule="auto"/>
              <w:ind w:left="0" w:leftChars="0" w:right="0" w:rightChars="0" w:firstLine="0" w:firstLineChars="0"/>
              <w:jc w:val="both"/>
            </w:pPr>
            <w:r>
              <w:t>化石燃料 / 热力/蒸汽 / 制冷剂 / 其他</w:t>
            </w:r>
          </w:p>
        </w:tc>
      </w:tr>
      <w:tr w14:paraId="3C30BB72">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63FCD0">
            <w:pPr>
              <w:pStyle w:val="19"/>
              <w:bidi w:val="0"/>
              <w:spacing w:line="240" w:lineRule="auto"/>
              <w:ind w:left="0" w:leftChars="0" w:right="0" w:rightChars="0" w:firstLine="0" w:firstLineChars="0"/>
              <w:jc w:val="both"/>
            </w:pPr>
            <w: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F11A45">
            <w:pPr>
              <w:pStyle w:val="19"/>
              <w:bidi w:val="0"/>
              <w:spacing w:line="240" w:lineRule="auto"/>
              <w:ind w:left="0" w:leftChars="0" w:right="0" w:rightChars="0" w:firstLine="0" w:firstLineChars="0"/>
              <w:jc w:val="both"/>
            </w:pPr>
            <w:r>
              <w:t>当前生效因子值</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3B14D7">
            <w:pPr>
              <w:pStyle w:val="19"/>
              <w:bidi w:val="0"/>
              <w:spacing w:line="240" w:lineRule="auto"/>
              <w:ind w:left="0" w:leftChars="0" w:right="0" w:rightChars="0" w:firstLine="0" w:firstLineChars="0"/>
              <w:jc w:val="both"/>
            </w:pPr>
            <w: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3201BC">
            <w:pPr>
              <w:pStyle w:val="19"/>
              <w:bidi w:val="0"/>
              <w:spacing w:line="240" w:lineRule="auto"/>
              <w:ind w:left="0" w:leftChars="0" w:right="0" w:rightChars="0" w:firstLine="0" w:firstLineChars="0"/>
              <w:jc w:val="both"/>
            </w:pPr>
            <w:r>
              <w:t>实物单位</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AC7D09">
            <w:pPr>
              <w:pStyle w:val="19"/>
              <w:bidi w:val="0"/>
              <w:spacing w:line="240" w:lineRule="auto"/>
              <w:ind w:left="0" w:leftChars="0" w:right="0" w:rightChars="0" w:firstLine="0" w:firstLineChars="0"/>
              <w:jc w:val="both"/>
            </w:pPr>
            <w:r>
              <w:t xml:space="preserve">严格  &gt; 0 ；天然气为  kgCO2e/m³ ，燃料油为  kgCO2e/kg ，蒸汽为  kgCO2e/MJ </w:t>
            </w:r>
          </w:p>
        </w:tc>
      </w:tr>
      <w:tr w14:paraId="49350FAF">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B3DEB2">
            <w:pPr>
              <w:pStyle w:val="19"/>
              <w:bidi w:val="0"/>
              <w:spacing w:line="240" w:lineRule="auto"/>
              <w:ind w:left="0" w:leftChars="0" w:right="0" w:rightChars="0" w:firstLine="0" w:firstLineChars="0"/>
              <w:jc w:val="both"/>
            </w:pPr>
            <w: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0AB268">
            <w:pPr>
              <w:pStyle w:val="19"/>
              <w:bidi w:val="0"/>
              <w:spacing w:line="240" w:lineRule="auto"/>
              <w:ind w:left="0" w:leftChars="0" w:right="0" w:rightChars="0" w:firstLine="0" w:firstLineChars="0"/>
              <w:jc w:val="both"/>
            </w:pPr>
            <w:r>
              <w:t>默认/缺省因子值</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9E21AB">
            <w:pPr>
              <w:pStyle w:val="19"/>
              <w:bidi w:val="0"/>
              <w:spacing w:line="240" w:lineRule="auto"/>
              <w:ind w:left="0" w:leftChars="0" w:right="0" w:rightChars="0" w:firstLine="0" w:firstLineChars="0"/>
              <w:jc w:val="both"/>
            </w:pPr>
            <w: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084F62">
            <w:pPr>
              <w:pStyle w:val="19"/>
              <w:bidi w:val="0"/>
              <w:spacing w:line="240" w:lineRule="auto"/>
              <w:ind w:left="0" w:leftChars="0" w:right="0" w:rightChars="0" w:firstLine="0" w:firstLineChars="0"/>
              <w:jc w:val="both"/>
            </w:pPr>
            <w:r>
              <w:t>实物单位</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237572">
            <w:pPr>
              <w:pStyle w:val="19"/>
              <w:bidi w:val="0"/>
              <w:spacing w:line="240" w:lineRule="auto"/>
              <w:ind w:left="0" w:leftChars="0" w:right="0" w:rightChars="0" w:firstLine="0" w:firstLineChars="0"/>
              <w:jc w:val="both"/>
            </w:pPr>
            <w:r>
              <w:t>国家发改委核算指南推荐缺省值</w:t>
            </w:r>
          </w:p>
        </w:tc>
      </w:tr>
      <w:tr w14:paraId="63C1ED2F">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E05124">
            <w:pPr>
              <w:pStyle w:val="19"/>
              <w:bidi w:val="0"/>
              <w:spacing w:line="240" w:lineRule="auto"/>
              <w:ind w:left="0" w:leftChars="0" w:right="0" w:rightChars="0" w:firstLine="0" w:firstLineChars="0"/>
              <w:jc w:val="both"/>
            </w:pPr>
            <w: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A932E35">
            <w:pPr>
              <w:pStyle w:val="19"/>
              <w:bidi w:val="0"/>
              <w:spacing w:line="240" w:lineRule="auto"/>
              <w:ind w:left="0" w:leftChars="0" w:right="0" w:rightChars="0" w:firstLine="0" w:firstLineChars="0"/>
              <w:jc w:val="both"/>
            </w:pPr>
            <w:r>
              <w:t>低位发热量 (NCV)</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82F145">
            <w:pPr>
              <w:pStyle w:val="19"/>
              <w:bidi w:val="0"/>
              <w:spacing w:line="240" w:lineRule="auto"/>
              <w:ind w:left="0" w:leftChars="0" w:right="0" w:rightChars="0" w:firstLine="0" w:firstLineChars="0"/>
              <w:jc w:val="both"/>
            </w:pPr>
            <w: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43418F">
            <w:pPr>
              <w:pStyle w:val="19"/>
              <w:bidi w:val="0"/>
              <w:spacing w:line="240" w:lineRule="auto"/>
              <w:ind w:left="0" w:leftChars="0" w:right="0" w:rightChars="0" w:firstLine="0" w:firstLineChars="0"/>
              <w:jc w:val="both"/>
            </w:pPr>
            <w:r>
              <w:t>MJ/kg 或 MJ/m³</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C68FD1">
            <w:pPr>
              <w:pStyle w:val="19"/>
              <w:bidi w:val="0"/>
              <w:spacing w:line="240" w:lineRule="auto"/>
              <w:ind w:left="0" w:leftChars="0" w:right="0" w:rightChars="0" w:firstLine="0" w:firstLineChars="0"/>
              <w:jc w:val="both"/>
            </w:pPr>
            <w:r>
              <w:t>严格  &gt; 0 ；按实测或国标录入</w:t>
            </w:r>
          </w:p>
        </w:tc>
      </w:tr>
      <w:tr w14:paraId="308787A1">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B84723">
            <w:pPr>
              <w:pStyle w:val="19"/>
              <w:bidi w:val="0"/>
              <w:spacing w:line="240" w:lineRule="auto"/>
              <w:ind w:left="0" w:leftChars="0" w:right="0" w:rightChars="0" w:firstLine="0" w:firstLineChars="0"/>
              <w:jc w:val="both"/>
            </w:pPr>
            <w: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E46967">
            <w:pPr>
              <w:pStyle w:val="19"/>
              <w:bidi w:val="0"/>
              <w:spacing w:line="240" w:lineRule="auto"/>
              <w:ind w:left="0" w:leftChars="0" w:right="0" w:rightChars="0" w:firstLine="0" w:firstLineChars="0"/>
              <w:jc w:val="both"/>
            </w:pPr>
            <w:r>
              <w:t>单位热值含碳量 (CC)</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CCDD18">
            <w:pPr>
              <w:pStyle w:val="19"/>
              <w:bidi w:val="0"/>
              <w:spacing w:line="240" w:lineRule="auto"/>
              <w:ind w:left="0" w:leftChars="0" w:right="0" w:rightChars="0" w:firstLine="0" w:firstLineChars="0"/>
              <w:jc w:val="both"/>
            </w:pPr>
            <w: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96592D">
            <w:pPr>
              <w:pStyle w:val="19"/>
              <w:bidi w:val="0"/>
              <w:spacing w:line="240" w:lineRule="auto"/>
              <w:ind w:left="0" w:leftChars="0" w:right="0" w:rightChars="0" w:firstLine="0" w:firstLineChars="0"/>
              <w:jc w:val="both"/>
            </w:pPr>
            <w:r>
              <w:t>tC/TJ</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0441F8">
            <w:pPr>
              <w:pStyle w:val="19"/>
              <w:bidi w:val="0"/>
              <w:spacing w:line="240" w:lineRule="auto"/>
              <w:ind w:left="0" w:leftChars="0" w:right="0" w:rightChars="0" w:firstLine="0" w:firstLineChars="0"/>
              <w:jc w:val="both"/>
            </w:pPr>
            <w:r>
              <w:t>严格  &gt; 0 ；碳核算关键中间参数</w:t>
            </w:r>
          </w:p>
        </w:tc>
      </w:tr>
      <w:tr w14:paraId="6BD3446F">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3BB3BF">
            <w:pPr>
              <w:pStyle w:val="19"/>
              <w:bidi w:val="0"/>
              <w:spacing w:line="240" w:lineRule="auto"/>
              <w:ind w:left="0" w:leftChars="0" w:right="0" w:rightChars="0" w:firstLine="0" w:firstLineChars="0"/>
              <w:jc w:val="both"/>
            </w:pPr>
            <w: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9F43FE">
            <w:pPr>
              <w:pStyle w:val="19"/>
              <w:bidi w:val="0"/>
              <w:spacing w:line="240" w:lineRule="auto"/>
              <w:ind w:left="0" w:leftChars="0" w:right="0" w:rightChars="0" w:firstLine="0" w:firstLineChars="0"/>
              <w:jc w:val="both"/>
            </w:pPr>
            <w:r>
              <w:t>碳氧化率 (OF)</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EBDF92">
            <w:pPr>
              <w:pStyle w:val="19"/>
              <w:bidi w:val="0"/>
              <w:spacing w:line="240" w:lineRule="auto"/>
              <w:ind w:left="0" w:leftChars="0" w:right="0" w:rightChars="0" w:firstLine="0" w:firstLineChars="0"/>
              <w:jc w:val="both"/>
            </w:pPr>
            <w: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C1E596">
            <w:pPr>
              <w:pStyle w:val="19"/>
              <w:bidi w:val="0"/>
              <w:spacing w:line="240" w:lineRule="auto"/>
              <w:ind w:left="0" w:leftChars="0" w:right="0" w:rightChars="0" w:firstLine="0" w:firstLineChars="0"/>
              <w:jc w:val="both"/>
            </w:pPr>
            <w: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D94CAE">
            <w:pPr>
              <w:pStyle w:val="19"/>
              <w:bidi w:val="0"/>
              <w:spacing w:line="240" w:lineRule="auto"/>
              <w:ind w:left="0" w:leftChars="0" w:right="0" w:rightChars="0" w:firstLine="0" w:firstLineChars="0"/>
              <w:jc w:val="both"/>
            </w:pPr>
            <w:r>
              <w:t>取值区间  [90.0, 100.0] ，炉窑燃烧效率</w:t>
            </w:r>
          </w:p>
        </w:tc>
      </w:tr>
      <w:tr w14:paraId="6CCF80D2">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933852">
            <w:pPr>
              <w:pStyle w:val="19"/>
              <w:bidi w:val="0"/>
              <w:spacing w:line="240" w:lineRule="auto"/>
              <w:ind w:left="0" w:leftChars="0" w:right="0" w:rightChars="0" w:firstLine="0" w:firstLineChars="0"/>
              <w:jc w:val="both"/>
            </w:pPr>
            <w: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1CE308">
            <w:pPr>
              <w:pStyle w:val="19"/>
              <w:bidi w:val="0"/>
              <w:spacing w:line="240" w:lineRule="auto"/>
              <w:ind w:left="0" w:leftChars="0" w:right="0" w:rightChars="0" w:firstLine="0" w:firstLineChars="0"/>
              <w:jc w:val="both"/>
            </w:pPr>
            <w:r>
              <w:t>制冷剂潜能值 (GWP)</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A14375">
            <w:pPr>
              <w:pStyle w:val="19"/>
              <w:bidi w:val="0"/>
              <w:spacing w:line="240" w:lineRule="auto"/>
              <w:ind w:left="0" w:leftChars="0" w:right="0" w:rightChars="0" w:firstLine="0" w:firstLineChars="0"/>
              <w:jc w:val="both"/>
            </w:pPr>
            <w:r>
              <w:t>Integer</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932682">
            <w:pPr>
              <w:pStyle w:val="19"/>
              <w:bidi w:val="0"/>
              <w:spacing w:line="240" w:lineRule="auto"/>
              <w:ind w:left="0" w:leftChars="0" w:right="0" w:rightChars="0" w:firstLine="0" w:firstLineChars="0"/>
              <w:jc w:val="both"/>
            </w:pPr>
            <w:r>
              <w:t>—</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8475CB">
            <w:pPr>
              <w:pStyle w:val="19"/>
              <w:bidi w:val="0"/>
              <w:spacing w:line="240" w:lineRule="auto"/>
              <w:ind w:left="0" w:leftChars="0" w:right="0" w:rightChars="0" w:firstLine="0" w:firstLineChars="0"/>
              <w:jc w:val="both"/>
            </w:pPr>
            <w:r>
              <w:t>仅制冷剂类型有效，如 R134a 锁定为 1430</w:t>
            </w:r>
          </w:p>
        </w:tc>
      </w:tr>
      <w:tr w14:paraId="45E3B1EE">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3AF595">
            <w:pPr>
              <w:pStyle w:val="19"/>
              <w:bidi w:val="0"/>
              <w:spacing w:line="240" w:lineRule="auto"/>
              <w:ind w:left="0" w:leftChars="0" w:right="0" w:rightChars="0" w:firstLine="0" w:firstLineChars="0"/>
              <w:jc w:val="both"/>
            </w:pPr>
            <w:r>
              <w:t>10</w:t>
            </w:r>
          </w:p>
        </w:tc>
        <w:tc>
          <w:tcPr>
            <w:tcW w:w="16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6F24A3">
            <w:pPr>
              <w:pStyle w:val="19"/>
              <w:bidi w:val="0"/>
              <w:spacing w:line="240" w:lineRule="auto"/>
              <w:ind w:left="0" w:leftChars="0" w:right="0" w:rightChars="0" w:firstLine="0" w:firstLineChars="0"/>
              <w:jc w:val="both"/>
            </w:pPr>
            <w:r>
              <w:t>因子版本发布代号</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FBF430">
            <w:pPr>
              <w:pStyle w:val="19"/>
              <w:bidi w:val="0"/>
              <w:spacing w:line="240" w:lineRule="auto"/>
              <w:ind w:left="0" w:leftChars="0" w:right="0" w:rightChars="0" w:firstLine="0" w:firstLineChars="0"/>
              <w:jc w:val="both"/>
            </w:pPr>
            <w:r>
              <w:t>String</w:t>
            </w:r>
          </w:p>
        </w:tc>
        <w:tc>
          <w:tcPr>
            <w:tcW w:w="12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9AEEA2">
            <w:pPr>
              <w:pStyle w:val="19"/>
              <w:bidi w:val="0"/>
              <w:spacing w:line="240" w:lineRule="auto"/>
              <w:ind w:left="0" w:leftChars="0" w:right="0" w:rightChars="0" w:firstLine="0" w:firstLineChars="0"/>
              <w:jc w:val="both"/>
            </w:pPr>
            <w: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7FC193F">
            <w:pPr>
              <w:pStyle w:val="19"/>
              <w:bidi w:val="0"/>
              <w:spacing w:line="240" w:lineRule="auto"/>
              <w:ind w:left="0" w:leftChars="0" w:right="0" w:rightChars="0" w:firstLine="0" w:firstLineChars="0"/>
              <w:jc w:val="both"/>
            </w:pPr>
            <w:r>
              <w:t>格式  v&lt;年份&gt;.&lt;流水&gt; （如  v2023.2 ）</w:t>
            </w:r>
          </w:p>
        </w:tc>
      </w:tr>
    </w:tbl>
    <w:p w14:paraId="6D6C79E8">
      <w:pPr>
        <w:pStyle w:val="19"/>
        <w:bidi w:val="0"/>
      </w:pPr>
    </w:p>
    <w:p w14:paraId="3A9BF347">
      <w:pPr>
        <w:pStyle w:val="6"/>
        <w:numPr>
          <w:ilvl w:val="0"/>
          <w:numId w:val="204"/>
        </w:numPr>
        <w:bidi w:val="0"/>
        <w:ind w:left="0" w:leftChars="0" w:firstLine="0" w:firstLineChars="0"/>
        <w:rPr>
          <w:b/>
          <w:bCs/>
          <w:sz w:val="28"/>
          <w:szCs w:val="28"/>
        </w:rPr>
      </w:pPr>
      <w:r>
        <w:rPr>
          <w:b/>
          <w:bCs/>
          <w:sz w:val="28"/>
          <w:szCs w:val="28"/>
        </w:rPr>
        <w:t>核心数学模型与算法框架</w:t>
      </w:r>
    </w:p>
    <w:tbl>
      <w:tblPr>
        <w:tblStyle w:val="38"/>
        <w:tblW w:w="0" w:type="auto"/>
        <w:jc w:val="center"/>
        <w:tblLayout w:type="fixed"/>
        <w:tblCellMar>
          <w:top w:w="0" w:type="dxa"/>
          <w:left w:w="108" w:type="dxa"/>
          <w:bottom w:w="0" w:type="dxa"/>
          <w:right w:w="108" w:type="dxa"/>
        </w:tblCellMar>
      </w:tblPr>
      <w:tblGrid>
        <w:gridCol w:w="9648"/>
      </w:tblGrid>
      <w:tr w14:paraId="16CF7482">
        <w:tblPrEx>
          <w:tblCellMar>
            <w:top w:w="0" w:type="dxa"/>
            <w:left w:w="108" w:type="dxa"/>
            <w:bottom w:w="0" w:type="dxa"/>
            <w:right w:w="108" w:type="dxa"/>
          </w:tblCellMar>
        </w:tblPrEx>
        <w:trPr>
          <w:jc w:val="center"/>
        </w:trPr>
        <w:tc>
          <w:tcPr>
            <w:tcW w:w="9648" w:type="dxa"/>
            <w:tcBorders>
              <w:top w:val="nil"/>
              <w:left w:val="single" w:color="16A34A" w:sz="24" w:space="0"/>
              <w:bottom w:val="nil"/>
              <w:right w:val="nil"/>
            </w:tcBorders>
            <w:shd w:val="clear" w:color="auto" w:fill="F0FDF4"/>
            <w:tcMar>
              <w:top w:w="70" w:type="dxa"/>
              <w:left w:w="100" w:type="dxa"/>
              <w:bottom w:w="70" w:type="dxa"/>
              <w:right w:w="100" w:type="dxa"/>
            </w:tcMar>
          </w:tcPr>
          <w:p w14:paraId="50BAF69A">
            <w:pPr>
              <w:pStyle w:val="19"/>
              <w:bidi w:val="0"/>
            </w:pPr>
            <w:r>
              <w:t>EF_{\text{fossil}} = \text{NCV} \times \text{CC} \times \text{OF} \times \frac{44}{12} \times 10^{-3} \quad (\text{化石燃料直接燃烧排放因子})</w:t>
            </w:r>
          </w:p>
          <w:p w14:paraId="155C403E">
            <w:pPr>
              <w:pStyle w:val="19"/>
              <w:bidi w:val="0"/>
            </w:pPr>
            <w:r>
              <w:t>EF_{\text{steam}} = \frac{h_{\text{steam}} - h_{\text{water}}}{\eta_{\text{boiler}}} \times EF_{\text{fuel}} \quad (\text{外购工业蒸汽折算因子})</w:t>
            </w:r>
          </w:p>
          <w:p w14:paraId="0B4EC246">
            <w:pPr>
              <w:pStyle w:val="19"/>
              <w:bidi w:val="0"/>
            </w:pPr>
            <w:r>
              <w:t>C_{\text{Scope1, total}} = \sum_{j=1}^{k} \left( Q_{\text{fuel}, j} \times EF_{\text{fossil}, j} \right) + \sum_{m=1}^{r} \left( L_{\text{refrig}, m} \times \text{GWP}_m \right) \quad (\text{范围一直接排放量})</w:t>
            </w:r>
          </w:p>
        </w:tc>
      </w:tr>
    </w:tbl>
    <w:p w14:paraId="49949F1C">
      <w:pPr>
        <w:pStyle w:val="19"/>
        <w:bidi w:val="0"/>
      </w:pPr>
    </w:p>
    <w:p w14:paraId="5DDB198E">
      <w:pPr>
        <w:pStyle w:val="19"/>
        <w:bidi w:val="0"/>
      </w:pPr>
      <w:r>
        <w:t>• 变量定义与取值约定：</w:t>
      </w:r>
    </w:p>
    <w:p w14:paraId="1C1044E8">
      <w:pPr>
        <w:pStyle w:val="19"/>
        <w:bidi w:val="0"/>
      </w:pPr>
      <w:r>
        <w:t>• \text{NCV}：平均低位发热量（固体/液体为 \text{kJ/kg}，气体为 \text{kJ/m}^3）；</w:t>
      </w:r>
    </w:p>
    <w:p w14:paraId="25BA16FE">
      <w:pPr>
        <w:pStyle w:val="19"/>
        <w:bidi w:val="0"/>
      </w:pPr>
      <w:r>
        <w:t>• \text{CC}：单位热值含碳量（\text{tC/TJ}）；</w:t>
      </w:r>
    </w:p>
    <w:p w14:paraId="1318EC0C">
      <w:pPr>
        <w:pStyle w:val="19"/>
        <w:bidi w:val="0"/>
      </w:pPr>
      <w:r>
        <w:t>• \text{OF}：碳氧化率（百分比）；</w:t>
      </w:r>
    </w:p>
    <w:p w14:paraId="4150B28A">
      <w:pPr>
        <w:pStyle w:val="19"/>
        <w:bidi w:val="0"/>
      </w:pPr>
      <w:r>
        <w:t>• 44/12：二氧化碳与碳的分子量比率（约等于 3.6667）；</w:t>
      </w:r>
    </w:p>
    <w:p w14:paraId="2D761165">
      <w:pPr>
        <w:pStyle w:val="19"/>
        <w:bidi w:val="0"/>
      </w:pPr>
      <w:r>
        <w:t>• h_{\text{steam}}：蒸汽供汽比焓（\text{kJ/kg}）；h_{\text{water}}：锅炉给水温度比焓（\text{kJ/kg}）；\eta_{\text{boiler}}：供热锅炉综合热效率（系统缺省取 80.0\%）。</w:t>
      </w:r>
    </w:p>
    <w:p w14:paraId="0DE42529">
      <w:pPr>
        <w:pStyle w:val="6"/>
        <w:numPr>
          <w:ilvl w:val="0"/>
          <w:numId w:val="204"/>
        </w:numPr>
        <w:bidi w:val="0"/>
        <w:ind w:left="0" w:leftChars="0" w:firstLine="0" w:firstLineChars="0"/>
        <w:rPr>
          <w:b/>
          <w:bCs/>
          <w:sz w:val="28"/>
          <w:szCs w:val="28"/>
        </w:rPr>
      </w:pPr>
      <w:r>
        <w:rPr>
          <w:b/>
          <w:bCs/>
          <w:sz w:val="28"/>
          <w:szCs w:val="28"/>
        </w:rPr>
        <w:t>展示、对标与判定口径</w:t>
      </w:r>
    </w:p>
    <w:p w14:paraId="1A0B7C30">
      <w:pPr>
        <w:pStyle w:val="19"/>
        <w:bidi w:val="0"/>
      </w:pPr>
      <w:r>
        <w:t>• 双轨展示：因子卡片明确标注实测值与发改委缺省值对比；</w:t>
      </w:r>
    </w:p>
    <w:p w14:paraId="0CE06F2E">
      <w:pPr>
        <w:pStyle w:val="19"/>
        <w:bidi w:val="0"/>
      </w:pPr>
      <w:r>
        <w:t>• 温室气体折算口径：所有能源活动排放结果统一以二氧化碳当量（\text{tCO}_2\text{e}）汇总，非二氧化碳温室气体（如甲烷 \text{CH}_4、氧化亚氮 \text{N}_2\text{O}）已按 GWP 统一折算入综合因子中；</w:t>
      </w:r>
    </w:p>
    <w:p w14:paraId="69B40EC4">
      <w:pPr>
        <w:pStyle w:val="19"/>
        <w:bidi w:val="0"/>
      </w:pPr>
      <w:r>
        <w:t>• 空值口径：任何车间新增特种燃气或工业副产气未录入实测热值时，系统强制回退采用通用化石燃料上限缺省值，严禁空值运行。</w:t>
      </w:r>
    </w:p>
    <w:p w14:paraId="3A81B9F3">
      <w:pPr>
        <w:pStyle w:val="6"/>
        <w:numPr>
          <w:ilvl w:val="0"/>
          <w:numId w:val="204"/>
        </w:numPr>
        <w:bidi w:val="0"/>
        <w:ind w:left="0" w:leftChars="0" w:firstLine="0" w:firstLineChars="0"/>
        <w:rPr>
          <w:b/>
          <w:bCs/>
          <w:sz w:val="28"/>
          <w:szCs w:val="28"/>
        </w:rPr>
      </w:pPr>
      <w:r>
        <w:rPr>
          <w:b/>
          <w:bCs/>
          <w:sz w:val="28"/>
          <w:szCs w:val="28"/>
        </w:rPr>
        <w:t>边界条件、异常处理与防错规则</w:t>
      </w:r>
    </w:p>
    <w:p w14:paraId="574967E7">
      <w:pPr>
        <w:pStyle w:val="175"/>
        <w:bidi w:val="0"/>
      </w:pPr>
      <w:r>
        <w:t>• 发热量非物理极值拦截：低位发热量输入超过热力学物理极限（如天然气输入 &gt; 50 \text{ MJ/m}^3）时，系统强阻断保存，抛出  E_VAL_NCV_OUT_OF_PHYSICAL_RANGE ；</w:t>
      </w:r>
    </w:p>
    <w:p w14:paraId="308D92C0">
      <w:pPr>
        <w:pStyle w:val="175"/>
        <w:bidi w:val="0"/>
      </w:pPr>
      <w:r>
        <w:t>• 碳氧化率非法越界阻断：碳氧化率输入必须在  [90.0%, 100.0%]  之间，大于 100% 阻断提交，记录  E_VAL_OF_RATE_INVALID ；</w:t>
      </w:r>
    </w:p>
    <w:p w14:paraId="144A748A">
      <w:pPr>
        <w:pStyle w:val="175"/>
        <w:bidi w:val="0"/>
      </w:pPr>
      <w:r>
        <w:t>• 蒸汽热焓查表失效兜底：当输入表压与温度在 IAPWS 饱和区外时，系统自动使用经验线性插值计算，并弹出黄色非标提示，避免算式除零崩溃。</w:t>
      </w:r>
    </w:p>
    <w:p w14:paraId="15E18D80">
      <w:pPr>
        <w:pStyle w:val="6"/>
        <w:numPr>
          <w:ilvl w:val="0"/>
          <w:numId w:val="204"/>
        </w:numPr>
        <w:bidi w:val="0"/>
        <w:ind w:left="0" w:leftChars="0" w:firstLine="0" w:firstLineChars="0"/>
        <w:rPr>
          <w:b/>
          <w:bCs/>
          <w:sz w:val="28"/>
          <w:szCs w:val="28"/>
        </w:rPr>
      </w:pPr>
      <w:r>
        <w:rPr>
          <w:b/>
          <w:bCs/>
          <w:sz w:val="28"/>
          <w:szCs w:val="28"/>
        </w:rPr>
        <w:t>QA 自动化验收准则（Gherkin BDD）</w:t>
      </w:r>
    </w:p>
    <w:tbl>
      <w:tblPr>
        <w:tblStyle w:val="38"/>
        <w:tblW w:w="0" w:type="auto"/>
        <w:jc w:val="center"/>
        <w:tblLayout w:type="fixed"/>
        <w:tblCellMar>
          <w:top w:w="0" w:type="dxa"/>
          <w:left w:w="108" w:type="dxa"/>
          <w:bottom w:w="0" w:type="dxa"/>
          <w:right w:w="108" w:type="dxa"/>
        </w:tblCellMar>
      </w:tblPr>
      <w:tblGrid>
        <w:gridCol w:w="9648"/>
      </w:tblGrid>
      <w:tr w14:paraId="4B15588D">
        <w:tblPrEx>
          <w:tblCellMar>
            <w:top w:w="0" w:type="dxa"/>
            <w:left w:w="108" w:type="dxa"/>
            <w:bottom w:w="0" w:type="dxa"/>
            <w:right w:w="108" w:type="dxa"/>
          </w:tblCellMar>
        </w:tblPrEx>
        <w:trPr>
          <w:jc w:val="center"/>
        </w:trPr>
        <w:tc>
          <w:tcPr>
            <w:tcW w:w="9648" w:type="dxa"/>
            <w:tcBorders>
              <w:top w:val="nil"/>
              <w:left w:val="single" w:color="7C3AED" w:sz="24" w:space="0"/>
              <w:bottom w:val="nil"/>
              <w:right w:val="nil"/>
            </w:tcBorders>
            <w:shd w:val="clear" w:color="auto" w:fill="F5F3FF"/>
            <w:tcMar>
              <w:top w:w="70" w:type="dxa"/>
              <w:left w:w="100" w:type="dxa"/>
              <w:bottom w:w="70" w:type="dxa"/>
              <w:right w:w="100" w:type="dxa"/>
            </w:tcMar>
          </w:tcPr>
          <w:p w14:paraId="2CDDCF18">
            <w:pPr>
              <w:pStyle w:val="19"/>
              <w:bidi w:val="0"/>
            </w:pPr>
            <w:r>
              <w:t>Feature: 能源活动与化石燃料碳排因子核算验证</w:t>
            </w:r>
          </w:p>
          <w:p w14:paraId="4FC501C3">
            <w:pPr>
              <w:pStyle w:val="19"/>
              <w:bidi w:val="0"/>
            </w:pPr>
            <w:r>
              <w:t xml:space="preserve">  Scenario: 天然气三参数动态计算排放因子精度</w:t>
            </w:r>
          </w:p>
          <w:p w14:paraId="19F12E59">
            <w:pPr>
              <w:pStyle w:val="19"/>
              <w:bidi w:val="0"/>
            </w:pPr>
            <w:r>
              <w:t xml:space="preserve">    Given 天然气实测低位热值 NCV 为 38.931 MJ/m³, 单位热值含碳量 CC 为 15.32 tC/TJ, 碳氧化率 OF 为 99.0%</w:t>
            </w:r>
          </w:p>
          <w:p w14:paraId="1F13A529">
            <w:pPr>
              <w:pStyle w:val="19"/>
              <w:bidi w:val="0"/>
            </w:pPr>
            <w:r>
              <w:t xml:space="preserve">    When 碳核算引擎计算其综合二氧化碳排放因子</w:t>
            </w:r>
          </w:p>
          <w:p w14:paraId="43950581">
            <w:pPr>
              <w:pStyle w:val="19"/>
              <w:bidi w:val="0"/>
            </w:pPr>
            <w:r>
              <w:t xml:space="preserve">    Then 计算出的因子值精确等于 2.1622 kgCO2e/m³ (容差 &lt;= 0.0001)</w:t>
            </w:r>
          </w:p>
          <w:p w14:paraId="62E3E4F5">
            <w:pPr>
              <w:pStyle w:val="19"/>
              <w:bidi w:val="0"/>
            </w:pPr>
            <w:r>
              <w:t xml:space="preserve">    And 界面因子当前值同步更新并标注为实测修正源</w:t>
            </w:r>
          </w:p>
          <w:p w14:paraId="6E8259C4">
            <w:pPr>
              <w:pStyle w:val="19"/>
              <w:bidi w:val="0"/>
            </w:pPr>
          </w:p>
          <w:p w14:paraId="3505336F">
            <w:pPr>
              <w:pStyle w:val="19"/>
              <w:bidi w:val="0"/>
            </w:pPr>
            <w:r>
              <w:t xml:space="preserve">  Scenario: 碳氧化率越界与极端物理量防御</w:t>
            </w:r>
          </w:p>
          <w:p w14:paraId="652993A0">
            <w:pPr>
              <w:pStyle w:val="19"/>
              <w:bidi w:val="0"/>
            </w:pPr>
            <w:r>
              <w:t xml:space="preserve">    Given 用户在录入柴油因子时，误将碳氧化率输入为 105.0%</w:t>
            </w:r>
          </w:p>
          <w:p w14:paraId="0F168855">
            <w:pPr>
              <w:pStyle w:val="19"/>
              <w:bidi w:val="0"/>
            </w:pPr>
            <w:r>
              <w:t xml:space="preserve">    When 用户点击确认提交保存</w:t>
            </w:r>
          </w:p>
          <w:p w14:paraId="63B97736">
            <w:pPr>
              <w:pStyle w:val="19"/>
              <w:bidi w:val="0"/>
            </w:pPr>
            <w:r>
              <w:t xml:space="preserve">    Then 表单标红提示 "碳氧化率不得超过100.0%"</w:t>
            </w:r>
          </w:p>
          <w:p w14:paraId="5F4B0A9E">
            <w:pPr>
              <w:pStyle w:val="19"/>
              <w:bidi w:val="0"/>
            </w:pPr>
            <w:r>
              <w:t xml:space="preserve">    And 提交动作被底层安全校验直接拦截</w:t>
            </w:r>
          </w:p>
          <w:p w14:paraId="22052E70">
            <w:pPr>
              <w:pStyle w:val="19"/>
              <w:bidi w:val="0"/>
            </w:pPr>
            <w:r>
              <w:t xml:space="preserve">    And 数据库不写入任何脏数据</w:t>
            </w:r>
          </w:p>
        </w:tc>
      </w:tr>
    </w:tbl>
    <w:p w14:paraId="3B115513">
      <w:pPr>
        <w:pStyle w:val="19"/>
        <w:widowControl/>
        <w:numPr>
          <w:ilvl w:val="0"/>
          <w:numId w:val="0"/>
        </w:numPr>
        <w:rPr>
          <w:rFonts w:eastAsia="宋体"/>
          <w:b/>
          <w:i w:val="0"/>
          <w:color w:val="0284C7"/>
          <w:sz w:val="24"/>
          <w:szCs w:val="24"/>
        </w:rPr>
      </w:pPr>
    </w:p>
    <w:p w14:paraId="60F7BEEE">
      <w:pPr>
        <w:rPr>
          <w:rFonts w:hint="eastAsia" w:ascii="宋体" w:hAnsi="宋体" w:eastAsia="宋体" w:cs="宋体"/>
          <w:i w:val="0"/>
          <w:iCs w:val="0"/>
          <w:sz w:val="24"/>
          <w:szCs w:val="24"/>
        </w:rPr>
      </w:pPr>
    </w:p>
    <w:p w14:paraId="45FD9E1B">
      <w:pPr>
        <w:pStyle w:val="5"/>
        <w:numPr>
          <w:ilvl w:val="0"/>
          <w:numId w:val="145"/>
        </w:numPr>
        <w:ind w:left="0" w:leftChars="0" w:firstLine="0" w:firstLineChars="0"/>
        <w:outlineLvl w:val="1"/>
        <w:rPr>
          <w:rFonts w:ascii="Times New Roman" w:hAnsi="Times New Roman" w:eastAsia="黑体" w:cs="Times New Roman"/>
          <w:b w:val="0"/>
          <w:bCs w:val="0"/>
          <w:sz w:val="30"/>
          <w:szCs w:val="24"/>
        </w:rPr>
      </w:pPr>
      <w:bookmarkStart w:id="62" w:name="_Toc27120"/>
      <w:r>
        <w:rPr>
          <w:rFonts w:hint="eastAsia" w:cs="Times New Roman"/>
          <w:b w:val="0"/>
          <w:bCs w:val="0"/>
          <w:sz w:val="30"/>
          <w:szCs w:val="24"/>
          <w:lang w:val="en-US" w:eastAsia="zh-CN"/>
        </w:rPr>
        <w:t>折标煤系数库</w:t>
      </w:r>
      <w:bookmarkEnd w:id="62"/>
    </w:p>
    <w:p w14:paraId="351A766C">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bidi="ar-SA"/>
        </w:rPr>
      </w:pPr>
      <w:r>
        <w:rPr>
          <w:rFonts w:ascii="Times New Roman" w:hAnsi="Times New Roman" w:eastAsia="黑体" w:cs="Times New Roman"/>
          <w:bCs/>
          <w:kern w:val="2"/>
          <w:sz w:val="28"/>
          <w:szCs w:val="28"/>
          <w:lang w:bidi="ar-SA"/>
        </w:rPr>
        <w:drawing>
          <wp:inline distT="0" distB="0" distL="114300" distR="114300">
            <wp:extent cx="6118860" cy="3034030"/>
            <wp:effectExtent l="0" t="0" r="15240" b="13970"/>
            <wp:docPr id="4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7"/>
                    <pic:cNvPicPr>
                      <a:picLocks noChangeAspect="1"/>
                    </pic:cNvPicPr>
                  </pic:nvPicPr>
                  <pic:blipFill>
                    <a:blip r:embed="rId53"/>
                    <a:stretch>
                      <a:fillRect/>
                    </a:stretch>
                  </pic:blipFill>
                  <pic:spPr>
                    <a:xfrm>
                      <a:off x="0" y="0"/>
                      <a:ext cx="6118860" cy="3034030"/>
                    </a:xfrm>
                    <a:prstGeom prst="rect">
                      <a:avLst/>
                    </a:prstGeom>
                    <a:noFill/>
                    <a:ln>
                      <a:noFill/>
                    </a:ln>
                  </pic:spPr>
                </pic:pic>
              </a:graphicData>
            </a:graphic>
          </wp:inline>
        </w:drawing>
      </w:r>
    </w:p>
    <w:p w14:paraId="5C255F35">
      <w:pPr>
        <w:pStyle w:val="6"/>
        <w:numPr>
          <w:ilvl w:val="0"/>
          <w:numId w:val="205"/>
        </w:numPr>
        <w:bidi w:val="0"/>
        <w:ind w:left="0" w:leftChars="0" w:firstLine="0" w:firstLineChars="0"/>
        <w:rPr>
          <w:b/>
          <w:bCs/>
          <w:sz w:val="28"/>
          <w:szCs w:val="28"/>
        </w:rPr>
      </w:pPr>
      <w:r>
        <w:rPr>
          <w:b/>
          <w:bCs/>
          <w:sz w:val="28"/>
          <w:szCs w:val="28"/>
        </w:rPr>
        <w:t>定位与架构角色</w:t>
      </w:r>
    </w:p>
    <w:p w14:paraId="2566A57B">
      <w:pPr>
        <w:pStyle w:val="19"/>
        <w:bidi w:val="0"/>
      </w:pPr>
      <w:r>
        <w:t>• 功能定位：严格依据国家标准 GB/T 2589-2020《综合能耗计算通则》，构建全集团各类能源介质（电力、天然气、原煤、柴油、汽油、外购蒸汽、新鲜水、氮气、压缩空气等）实物计量单位向“千克标准煤 (kgce)”与“吨标准煤 (tce)”转换的法定换算中枢。</w:t>
      </w:r>
    </w:p>
    <w:p w14:paraId="663423E3">
      <w:pPr>
        <w:pStyle w:val="19"/>
        <w:bidi w:val="0"/>
      </w:pPr>
      <w:r>
        <w:t>• 承载角色：P1 集团决策层（集团综合能效核准）、P2 园区能碳专员（车间折标能耗统计）、PM 业务总监（指标考核基准锁定）。</w:t>
      </w:r>
    </w:p>
    <w:p w14:paraId="64BAED7F">
      <w:pPr>
        <w:pStyle w:val="6"/>
        <w:numPr>
          <w:ilvl w:val="0"/>
          <w:numId w:val="205"/>
        </w:numPr>
        <w:bidi w:val="0"/>
        <w:ind w:left="0" w:leftChars="0" w:firstLine="0" w:firstLineChars="0"/>
        <w:rPr>
          <w:b/>
          <w:bCs/>
          <w:sz w:val="28"/>
          <w:szCs w:val="28"/>
        </w:rPr>
      </w:pPr>
      <w:r>
        <w:rPr>
          <w:b/>
          <w:bCs/>
          <w:sz w:val="28"/>
          <w:szCs w:val="28"/>
        </w:rPr>
        <w:t>业务场景与用户故事</w:t>
      </w:r>
    </w:p>
    <w:p w14:paraId="678419DE">
      <w:pPr>
        <w:pStyle w:val="19"/>
        <w:bidi w:val="0"/>
      </w:pPr>
      <w:r>
        <w:t>• 业务场景描述：特变电工在统计全厂能源消费时，面临电（kWh）、气（m³）、煤（kg）、水（t）、汽（MJ/t）量纲不统一的现实问题，无法直接累加。必须通过折标煤系数库将各介质实物消费量换算为标准煤（当量热值 29,307.6 \text{ kJ/kgce}），以此核算全集团、各园区及关键工序的综合能源消费总量与万元产值能耗指标。</w:t>
      </w:r>
    </w:p>
    <w:p w14:paraId="67F378DC">
      <w:pPr>
        <w:pStyle w:val="19"/>
        <w:bidi w:val="0"/>
      </w:pPr>
      <w:r>
        <w:t>• 用户故事：</w:t>
      </w:r>
    </w:p>
    <w:p w14:paraId="18861EC3">
      <w:pPr>
        <w:pStyle w:val="19"/>
        <w:bidi w:val="0"/>
      </w:pPr>
      <w:r>
        <w:t xml:space="preserve">  As a 园区能碳专员 (Persona P2)，</w:t>
      </w:r>
    </w:p>
    <w:p w14:paraId="1BCC8EBD">
      <w:pPr>
        <w:pStyle w:val="19"/>
        <w:bidi w:val="0"/>
      </w:pPr>
      <w:r>
        <w:t xml:space="preserve">  I want 按照法定国标查验电力、天然气、外购蒸汽等各类能源介质的折标煤系数及低位发热量，</w:t>
      </w:r>
    </w:p>
    <w:p w14:paraId="03174532">
      <w:pPr>
        <w:pStyle w:val="19"/>
        <w:bidi w:val="0"/>
      </w:pPr>
      <w:r>
        <w:t xml:space="preserve">  So that 我能依据国家标准精准核算车间及全厂的综合能源消费量 (tce)，确保对标管理与政府能效报送口径 100% 合规。</w:t>
      </w:r>
    </w:p>
    <w:p w14:paraId="2036041A">
      <w:pPr>
        <w:pStyle w:val="6"/>
        <w:numPr>
          <w:ilvl w:val="0"/>
          <w:numId w:val="205"/>
        </w:numPr>
        <w:bidi w:val="0"/>
        <w:ind w:left="0" w:leftChars="0" w:firstLine="0" w:firstLineChars="0"/>
        <w:rPr>
          <w:b/>
          <w:bCs/>
          <w:sz w:val="28"/>
          <w:szCs w:val="28"/>
        </w:rPr>
      </w:pPr>
      <w:r>
        <w:rPr>
          <w:b/>
          <w:bCs/>
          <w:sz w:val="28"/>
          <w:szCs w:val="28"/>
        </w:rPr>
        <w:t>功能规格与交互契约</w:t>
      </w:r>
    </w:p>
    <w:p w14:paraId="5881F5A1">
      <w:pPr>
        <w:pStyle w:val="19"/>
        <w:bidi w:val="0"/>
      </w:pPr>
      <w:r>
        <w:t>• 界面结构与国标展示：</w:t>
      </w:r>
    </w:p>
    <w:p w14:paraId="5A2FB15A">
      <w:pPr>
        <w:pStyle w:val="19"/>
        <w:bidi w:val="0"/>
      </w:pPr>
      <w:r>
        <w:t>• 列表清晰展示能源品种、折标系数（ kgce/实物单位 ）、低位热值基准（MJ/实物单位）、数据来源及版本依据；</w:t>
      </w:r>
    </w:p>
    <w:p w14:paraId="720D382F">
      <w:pPr>
        <w:pStyle w:val="19"/>
        <w:bidi w:val="0"/>
      </w:pPr>
      <w:r>
        <w:t>• 界面顶部常态置顶展示国标基准徽章： GB/T 2589-2020 强制性国家标准 。</w:t>
      </w:r>
    </w:p>
    <w:p w14:paraId="7FBBB729">
      <w:pPr>
        <w:pStyle w:val="19"/>
        <w:bidi w:val="0"/>
      </w:pPr>
      <w:r>
        <w:t>• 双口径折标系数透明并存：</w:t>
      </w:r>
    </w:p>
    <w:p w14:paraId="46DACBF9">
      <w:pPr>
        <w:pStyle w:val="19"/>
        <w:bidi w:val="0"/>
      </w:pPr>
      <w:r>
        <w:t>• 当量值折标 (Equivalent)：电力固定为  0.1229 kgce/kWh （理论热值折算）；</w:t>
      </w:r>
    </w:p>
    <w:p w14:paraId="08F2CE31">
      <w:pPr>
        <w:pStyle w:val="19"/>
        <w:bidi w:val="0"/>
      </w:pPr>
      <w:r>
        <w:t>• 等价热值折标 (Primary Energy Equiv)：根据年度供电煤耗动态配置（如国家统计局公布的火电供电平均煤耗约  0.2850 kgce/kWh ），支持双模式切换展示与报表生成。</w:t>
      </w:r>
    </w:p>
    <w:p w14:paraId="7B8E355A">
      <w:pPr>
        <w:pStyle w:val="19"/>
        <w:bidi w:val="0"/>
      </w:pPr>
      <w:r>
        <w:t>• 耗能工质综合转换矩阵：</w:t>
      </w:r>
    </w:p>
    <w:p w14:paraId="49A470EB">
      <w:pPr>
        <w:pStyle w:val="19"/>
        <w:bidi w:val="0"/>
      </w:pPr>
      <w:r>
        <w:t>• 不仅涵盖一次能源与二次能源，全量集成耗能工质折标系数：工业新鲜水（0.0857 \text{ kgce/t}）、软化水（0.4857 \text{ kgce/t}）、压缩空气（0.0400 \text{ kgce/m}^3）、高纯液氮（0.6714 \text{ kgce/m}^3）。</w:t>
      </w:r>
    </w:p>
    <w:p w14:paraId="4D5616ED">
      <w:pPr>
        <w:pStyle w:val="19"/>
        <w:bidi w:val="0"/>
      </w:pPr>
      <w:r>
        <w:t>• 📌 【业务约束与工程规范契约】：</w:t>
      </w:r>
    </w:p>
    <w:p w14:paraId="3CD7FE7C">
      <w:pPr>
        <w:pStyle w:val="19"/>
        <w:bidi w:val="0"/>
      </w:pPr>
      <w:r>
        <w:t>• 国标常量强制只读防篡改：电力当量值 0.1229、天然气 1.2143 等法定标准常数被系统加锁锁定，除国家发布新修订标准外，任何用户（包括超级管理员）禁止随意在线修改系数；</w:t>
      </w:r>
    </w:p>
    <w:p w14:paraId="05E75610">
      <w:pPr>
        <w:pStyle w:val="19"/>
        <w:bidi w:val="0"/>
      </w:pPr>
      <w:r>
        <w:t>• 分母为零安全兜底：当基于折标煤计算单位产品单耗时，产量或产值为 0 必须安全输出  -- ，严禁抛出异常。</w:t>
      </w:r>
    </w:p>
    <w:p w14:paraId="69221586">
      <w:pPr>
        <w:pStyle w:val="6"/>
        <w:numPr>
          <w:ilvl w:val="0"/>
          <w:numId w:val="205"/>
        </w:numPr>
        <w:bidi w:val="0"/>
        <w:ind w:left="0" w:leftChars="0" w:firstLine="0" w:firstLineChars="0"/>
        <w:rPr>
          <w:b/>
          <w:bCs/>
          <w:sz w:val="28"/>
          <w:szCs w:val="28"/>
        </w:rPr>
      </w:pPr>
      <w:r>
        <w:rPr>
          <w:b/>
          <w:bCs/>
          <w:sz w:val="28"/>
          <w:szCs w:val="28"/>
        </w:rPr>
        <w:t>页面字段字典与数据契约</w:t>
      </w:r>
    </w:p>
    <w:tbl>
      <w:tblPr>
        <w:tblStyle w:val="38"/>
        <w:tblW w:w="9530" w:type="dxa"/>
        <w:jc w:val="center"/>
        <w:tblLayout w:type="autofit"/>
        <w:tblCellMar>
          <w:top w:w="0" w:type="dxa"/>
          <w:left w:w="108" w:type="dxa"/>
          <w:bottom w:w="0" w:type="dxa"/>
          <w:right w:w="108" w:type="dxa"/>
        </w:tblCellMar>
      </w:tblPr>
      <w:tblGrid>
        <w:gridCol w:w="885"/>
        <w:gridCol w:w="1724"/>
        <w:gridCol w:w="1475"/>
        <w:gridCol w:w="1309"/>
        <w:gridCol w:w="4137"/>
      </w:tblGrid>
      <w:tr w14:paraId="36787D9D">
        <w:tblPrEx>
          <w:tblCellMar>
            <w:top w:w="0" w:type="dxa"/>
            <w:left w:w="108" w:type="dxa"/>
            <w:bottom w:w="0" w:type="dxa"/>
            <w:right w:w="108" w:type="dxa"/>
          </w:tblCellMar>
        </w:tblPrEx>
        <w:trPr>
          <w:jc w:val="center"/>
        </w:trPr>
        <w:tc>
          <w:tcPr>
            <w:tcW w:w="88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D9A3B0E">
            <w:pPr>
              <w:pStyle w:val="19"/>
              <w:bidi w:val="0"/>
              <w:spacing w:line="240" w:lineRule="auto"/>
              <w:ind w:left="0" w:leftChars="0" w:right="0" w:rightChars="0" w:firstLine="0" w:firstLineChars="0"/>
              <w:jc w:val="both"/>
            </w:pPr>
            <w: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B939CDD">
            <w:pPr>
              <w:pStyle w:val="19"/>
              <w:bidi w:val="0"/>
              <w:spacing w:line="240" w:lineRule="auto"/>
              <w:ind w:left="0" w:leftChars="0" w:right="0" w:rightChars="0" w:firstLine="0" w:firstLineChars="0"/>
              <w:jc w:val="both"/>
            </w:pPr>
            <w:r>
              <w:t>字段中文名称</w:t>
            </w:r>
          </w:p>
        </w:tc>
        <w:tc>
          <w:tcPr>
            <w:tcW w:w="147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0CBE7A1">
            <w:pPr>
              <w:pStyle w:val="19"/>
              <w:bidi w:val="0"/>
              <w:spacing w:line="240" w:lineRule="auto"/>
              <w:ind w:left="0" w:leftChars="0" w:right="0" w:rightChars="0" w:firstLine="0" w:firstLineChars="0"/>
              <w:jc w:val="both"/>
            </w:pPr>
            <w:r>
              <w:t>数据类型</w:t>
            </w:r>
          </w:p>
        </w:tc>
        <w:tc>
          <w:tcPr>
            <w:tcW w:w="130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9B3A9E7">
            <w:pPr>
              <w:pStyle w:val="19"/>
              <w:bidi w:val="0"/>
              <w:spacing w:line="240" w:lineRule="auto"/>
              <w:ind w:left="0" w:leftChars="0" w:right="0" w:rightChars="0" w:firstLine="0" w:firstLineChars="0"/>
              <w:jc w:val="both"/>
            </w:pPr>
            <w:r>
              <w:t>工程单位</w:t>
            </w:r>
          </w:p>
        </w:tc>
        <w:tc>
          <w:tcPr>
            <w:tcW w:w="41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F380B62">
            <w:pPr>
              <w:pStyle w:val="19"/>
              <w:bidi w:val="0"/>
              <w:spacing w:line="240" w:lineRule="auto"/>
              <w:ind w:left="0" w:leftChars="0" w:right="0" w:rightChars="0" w:firstLine="0" w:firstLineChars="0"/>
              <w:jc w:val="both"/>
            </w:pPr>
            <w:r>
              <w:t>校验与约束规则</w:t>
            </w:r>
          </w:p>
        </w:tc>
      </w:tr>
      <w:tr w14:paraId="04F5C126">
        <w:tblPrEx>
          <w:tblCellMar>
            <w:top w:w="0" w:type="dxa"/>
            <w:left w:w="108" w:type="dxa"/>
            <w:bottom w:w="0" w:type="dxa"/>
            <w:right w:w="108" w:type="dxa"/>
          </w:tblCellMar>
        </w:tblPrEx>
        <w:trPr>
          <w:jc w:val="center"/>
        </w:trPr>
        <w:tc>
          <w:tcPr>
            <w:tcW w:w="8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F2E407">
            <w:pPr>
              <w:pStyle w:val="19"/>
              <w:bidi w:val="0"/>
              <w:spacing w:line="240" w:lineRule="auto"/>
              <w:ind w:left="0" w:leftChars="0" w:right="0" w:rightChars="0" w:firstLine="0" w:firstLineChars="0"/>
              <w:jc w:val="both"/>
            </w:pPr>
            <w: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D89827">
            <w:pPr>
              <w:pStyle w:val="19"/>
              <w:bidi w:val="0"/>
              <w:spacing w:line="240" w:lineRule="auto"/>
              <w:ind w:left="0" w:leftChars="0" w:right="0" w:rightChars="0" w:firstLine="0" w:firstLineChars="0"/>
              <w:jc w:val="both"/>
            </w:pPr>
            <w:r>
              <w:t>折标系数唯一编码</w:t>
            </w:r>
          </w:p>
        </w:tc>
        <w:tc>
          <w:tcPr>
            <w:tcW w:w="14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87190D">
            <w:pPr>
              <w:pStyle w:val="19"/>
              <w:bidi w:val="0"/>
              <w:spacing w:line="240" w:lineRule="auto"/>
              <w:ind w:left="0" w:leftChars="0" w:right="0" w:rightChars="0" w:firstLine="0" w:firstLineChars="0"/>
              <w:jc w:val="both"/>
            </w:pPr>
            <w:r>
              <w:t>String</w:t>
            </w:r>
          </w:p>
        </w:tc>
        <w:tc>
          <w:tcPr>
            <w:tcW w:w="13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8CF53F">
            <w:pPr>
              <w:pStyle w:val="19"/>
              <w:bidi w:val="0"/>
              <w:spacing w:line="240" w:lineRule="auto"/>
              <w:ind w:left="0" w:leftChars="0" w:right="0" w:rightChars="0" w:firstLine="0" w:firstLineChars="0"/>
              <w:jc w:val="both"/>
            </w:pPr>
            <w:r>
              <w:t>—</w:t>
            </w:r>
          </w:p>
        </w:tc>
        <w:tc>
          <w:tcPr>
            <w:tcW w:w="41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0356CF">
            <w:pPr>
              <w:pStyle w:val="19"/>
              <w:bidi w:val="0"/>
              <w:spacing w:line="240" w:lineRule="auto"/>
              <w:ind w:left="0" w:leftChars="0" w:right="0" w:rightChars="0" w:firstLine="0" w:firstLineChars="0"/>
              <w:jc w:val="both"/>
            </w:pPr>
            <w:r>
              <w:t xml:space="preserve">唯一，格式  CC&lt;3位流水&gt;&lt;2位校验码&gt; </w:t>
            </w:r>
          </w:p>
        </w:tc>
      </w:tr>
      <w:tr w14:paraId="5634FFA5">
        <w:tblPrEx>
          <w:tblCellMar>
            <w:top w:w="0" w:type="dxa"/>
            <w:left w:w="108" w:type="dxa"/>
            <w:bottom w:w="0" w:type="dxa"/>
            <w:right w:w="108" w:type="dxa"/>
          </w:tblCellMar>
        </w:tblPrEx>
        <w:trPr>
          <w:jc w:val="center"/>
        </w:trPr>
        <w:tc>
          <w:tcPr>
            <w:tcW w:w="8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7490C4">
            <w:pPr>
              <w:pStyle w:val="19"/>
              <w:bidi w:val="0"/>
              <w:spacing w:line="240" w:lineRule="auto"/>
              <w:ind w:left="0" w:leftChars="0" w:right="0" w:rightChars="0" w:firstLine="0" w:firstLineChars="0"/>
              <w:jc w:val="both"/>
            </w:pPr>
            <w: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AB5A50">
            <w:pPr>
              <w:pStyle w:val="19"/>
              <w:bidi w:val="0"/>
              <w:spacing w:line="240" w:lineRule="auto"/>
              <w:ind w:left="0" w:leftChars="0" w:right="0" w:rightChars="0" w:firstLine="0" w:firstLineChars="0"/>
              <w:jc w:val="both"/>
            </w:pPr>
            <w:r>
              <w:t>能源品种/工质名称</w:t>
            </w:r>
          </w:p>
        </w:tc>
        <w:tc>
          <w:tcPr>
            <w:tcW w:w="147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7FBBF8">
            <w:pPr>
              <w:pStyle w:val="19"/>
              <w:bidi w:val="0"/>
              <w:spacing w:line="240" w:lineRule="auto"/>
              <w:ind w:left="0" w:leftChars="0" w:right="0" w:rightChars="0" w:firstLine="0" w:firstLineChars="0"/>
              <w:jc w:val="both"/>
            </w:pPr>
            <w:r>
              <w:t>String</w:t>
            </w:r>
          </w:p>
        </w:tc>
        <w:tc>
          <w:tcPr>
            <w:tcW w:w="130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91CB3B">
            <w:pPr>
              <w:pStyle w:val="19"/>
              <w:bidi w:val="0"/>
              <w:spacing w:line="240" w:lineRule="auto"/>
              <w:ind w:left="0" w:leftChars="0" w:right="0" w:rightChars="0" w:firstLine="0" w:firstLineChars="0"/>
              <w:jc w:val="both"/>
            </w:pPr>
            <w:r>
              <w:t>—</w:t>
            </w:r>
          </w:p>
        </w:tc>
        <w:tc>
          <w:tcPr>
            <w:tcW w:w="41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5772BEB">
            <w:pPr>
              <w:pStyle w:val="19"/>
              <w:bidi w:val="0"/>
              <w:spacing w:line="240" w:lineRule="auto"/>
              <w:ind w:left="0" w:leftChars="0" w:right="0" w:rightChars="0" w:firstLine="0" w:firstLineChars="0"/>
              <w:jc w:val="both"/>
            </w:pPr>
            <w:r>
              <w:t xml:space="preserve">如  电力 、 天然气 、 原煤 、 柴油 、 外购蒸汽 、 新鲜水 </w:t>
            </w:r>
          </w:p>
        </w:tc>
      </w:tr>
      <w:tr w14:paraId="1AB4C22F">
        <w:tblPrEx>
          <w:tblCellMar>
            <w:top w:w="0" w:type="dxa"/>
            <w:left w:w="108" w:type="dxa"/>
            <w:bottom w:w="0" w:type="dxa"/>
            <w:right w:w="108" w:type="dxa"/>
          </w:tblCellMar>
        </w:tblPrEx>
        <w:trPr>
          <w:jc w:val="center"/>
        </w:trPr>
        <w:tc>
          <w:tcPr>
            <w:tcW w:w="8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45F4FF">
            <w:pPr>
              <w:pStyle w:val="19"/>
              <w:bidi w:val="0"/>
              <w:spacing w:line="240" w:lineRule="auto"/>
              <w:ind w:left="0" w:leftChars="0" w:right="0" w:rightChars="0" w:firstLine="0" w:firstLineChars="0"/>
              <w:jc w:val="both"/>
            </w:pPr>
            <w: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0EC4B8">
            <w:pPr>
              <w:pStyle w:val="19"/>
              <w:bidi w:val="0"/>
              <w:spacing w:line="240" w:lineRule="auto"/>
              <w:ind w:left="0" w:leftChars="0" w:right="0" w:rightChars="0" w:firstLine="0" w:firstLineChars="0"/>
              <w:jc w:val="both"/>
            </w:pPr>
            <w:r>
              <w:t>当量折标煤系数</w:t>
            </w:r>
          </w:p>
        </w:tc>
        <w:tc>
          <w:tcPr>
            <w:tcW w:w="14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8018FB6">
            <w:pPr>
              <w:pStyle w:val="19"/>
              <w:bidi w:val="0"/>
              <w:spacing w:line="240" w:lineRule="auto"/>
              <w:ind w:left="0" w:leftChars="0" w:right="0" w:rightChars="0" w:firstLine="0" w:firstLineChars="0"/>
              <w:jc w:val="both"/>
            </w:pPr>
            <w:r>
              <w:t>Decimal</w:t>
            </w:r>
          </w:p>
        </w:tc>
        <w:tc>
          <w:tcPr>
            <w:tcW w:w="13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3E7CCC">
            <w:pPr>
              <w:pStyle w:val="19"/>
              <w:bidi w:val="0"/>
              <w:spacing w:line="240" w:lineRule="auto"/>
              <w:ind w:left="0" w:leftChars="0" w:right="0" w:rightChars="0" w:firstLine="0" w:firstLineChars="0"/>
              <w:jc w:val="both"/>
            </w:pPr>
            <w:r>
              <w:t>kgce/实物单位</w:t>
            </w:r>
          </w:p>
        </w:tc>
        <w:tc>
          <w:tcPr>
            <w:tcW w:w="41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0BEC80">
            <w:pPr>
              <w:pStyle w:val="19"/>
              <w:bidi w:val="0"/>
              <w:spacing w:line="240" w:lineRule="auto"/>
              <w:ind w:left="0" w:leftChars="0" w:right="0" w:rightChars="0" w:firstLine="0" w:firstLineChars="0"/>
              <w:jc w:val="both"/>
            </w:pPr>
            <w:r>
              <w:t>严格依据 GB/T 2589-2020；电力为 0.1229，天然气为 1.2143</w:t>
            </w:r>
          </w:p>
        </w:tc>
      </w:tr>
      <w:tr w14:paraId="39991EF5">
        <w:tblPrEx>
          <w:tblCellMar>
            <w:top w:w="0" w:type="dxa"/>
            <w:left w:w="108" w:type="dxa"/>
            <w:bottom w:w="0" w:type="dxa"/>
            <w:right w:w="108" w:type="dxa"/>
          </w:tblCellMar>
        </w:tblPrEx>
        <w:trPr>
          <w:jc w:val="center"/>
        </w:trPr>
        <w:tc>
          <w:tcPr>
            <w:tcW w:w="8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470B3B">
            <w:pPr>
              <w:pStyle w:val="19"/>
              <w:bidi w:val="0"/>
              <w:spacing w:line="240" w:lineRule="auto"/>
              <w:ind w:left="0" w:leftChars="0" w:right="0" w:rightChars="0" w:firstLine="0" w:firstLineChars="0"/>
              <w:jc w:val="both"/>
            </w:pPr>
            <w: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830617">
            <w:pPr>
              <w:pStyle w:val="19"/>
              <w:bidi w:val="0"/>
              <w:spacing w:line="240" w:lineRule="auto"/>
              <w:ind w:left="0" w:leftChars="0" w:right="0" w:rightChars="0" w:firstLine="0" w:firstLineChars="0"/>
              <w:jc w:val="both"/>
            </w:pPr>
            <w:r>
              <w:t>等价折标煤系数</w:t>
            </w:r>
          </w:p>
        </w:tc>
        <w:tc>
          <w:tcPr>
            <w:tcW w:w="147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39A5A3">
            <w:pPr>
              <w:pStyle w:val="19"/>
              <w:bidi w:val="0"/>
              <w:spacing w:line="240" w:lineRule="auto"/>
              <w:ind w:left="0" w:leftChars="0" w:right="0" w:rightChars="0" w:firstLine="0" w:firstLineChars="0"/>
              <w:jc w:val="both"/>
            </w:pPr>
            <w:r>
              <w:t>Decimal</w:t>
            </w:r>
          </w:p>
        </w:tc>
        <w:tc>
          <w:tcPr>
            <w:tcW w:w="130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A1A3BA">
            <w:pPr>
              <w:pStyle w:val="19"/>
              <w:bidi w:val="0"/>
              <w:spacing w:line="240" w:lineRule="auto"/>
              <w:ind w:left="0" w:leftChars="0" w:right="0" w:rightChars="0" w:firstLine="0" w:firstLineChars="0"/>
              <w:jc w:val="both"/>
            </w:pPr>
            <w:r>
              <w:t>kgce/实物单位</w:t>
            </w:r>
          </w:p>
        </w:tc>
        <w:tc>
          <w:tcPr>
            <w:tcW w:w="41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063D3F">
            <w:pPr>
              <w:pStyle w:val="19"/>
              <w:bidi w:val="0"/>
              <w:spacing w:line="240" w:lineRule="auto"/>
              <w:ind w:left="0" w:leftChars="0" w:right="0" w:rightChars="0" w:firstLine="0" w:firstLineChars="0"/>
              <w:jc w:val="both"/>
            </w:pPr>
            <w:r>
              <w:t>供电煤耗等价值，按年度发布</w:t>
            </w:r>
          </w:p>
        </w:tc>
      </w:tr>
      <w:tr w14:paraId="6B11A0DC">
        <w:tblPrEx>
          <w:tblCellMar>
            <w:top w:w="0" w:type="dxa"/>
            <w:left w:w="108" w:type="dxa"/>
            <w:bottom w:w="0" w:type="dxa"/>
            <w:right w:w="108" w:type="dxa"/>
          </w:tblCellMar>
        </w:tblPrEx>
        <w:trPr>
          <w:jc w:val="center"/>
        </w:trPr>
        <w:tc>
          <w:tcPr>
            <w:tcW w:w="8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DF03E4">
            <w:pPr>
              <w:pStyle w:val="19"/>
              <w:bidi w:val="0"/>
              <w:spacing w:line="240" w:lineRule="auto"/>
              <w:ind w:left="0" w:leftChars="0" w:right="0" w:rightChars="0" w:firstLine="0" w:firstLineChars="0"/>
              <w:jc w:val="both"/>
            </w:pPr>
            <w: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978801">
            <w:pPr>
              <w:pStyle w:val="19"/>
              <w:bidi w:val="0"/>
              <w:spacing w:line="240" w:lineRule="auto"/>
              <w:ind w:left="0" w:leftChars="0" w:right="0" w:rightChars="0" w:firstLine="0" w:firstLineChars="0"/>
              <w:jc w:val="both"/>
            </w:pPr>
            <w:r>
              <w:t>基准低位发热量</w:t>
            </w:r>
          </w:p>
        </w:tc>
        <w:tc>
          <w:tcPr>
            <w:tcW w:w="14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054D94">
            <w:pPr>
              <w:pStyle w:val="19"/>
              <w:bidi w:val="0"/>
              <w:spacing w:line="240" w:lineRule="auto"/>
              <w:ind w:left="0" w:leftChars="0" w:right="0" w:rightChars="0" w:firstLine="0" w:firstLineChars="0"/>
              <w:jc w:val="both"/>
            </w:pPr>
            <w:r>
              <w:t>Decimal</w:t>
            </w:r>
          </w:p>
        </w:tc>
        <w:tc>
          <w:tcPr>
            <w:tcW w:w="13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142B2D">
            <w:pPr>
              <w:pStyle w:val="19"/>
              <w:bidi w:val="0"/>
              <w:spacing w:line="240" w:lineRule="auto"/>
              <w:ind w:left="0" w:leftChars="0" w:right="0" w:rightChars="0" w:firstLine="0" w:firstLineChars="0"/>
              <w:jc w:val="both"/>
            </w:pPr>
            <w:r>
              <w:t>MJ/实物单位</w:t>
            </w:r>
          </w:p>
        </w:tc>
        <w:tc>
          <w:tcPr>
            <w:tcW w:w="41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E788F3">
            <w:pPr>
              <w:pStyle w:val="19"/>
              <w:bidi w:val="0"/>
              <w:spacing w:line="240" w:lineRule="auto"/>
              <w:ind w:left="0" w:leftChars="0" w:right="0" w:rightChars="0" w:firstLine="0" w:firstLineChars="0"/>
              <w:jc w:val="both"/>
            </w:pPr>
            <w:r>
              <w:t>天然气标况 35.588，标准煤理论 29.3076</w:t>
            </w:r>
          </w:p>
        </w:tc>
      </w:tr>
      <w:tr w14:paraId="47B100A8">
        <w:tblPrEx>
          <w:tblCellMar>
            <w:top w:w="0" w:type="dxa"/>
            <w:left w:w="108" w:type="dxa"/>
            <w:bottom w:w="0" w:type="dxa"/>
            <w:right w:w="108" w:type="dxa"/>
          </w:tblCellMar>
        </w:tblPrEx>
        <w:trPr>
          <w:jc w:val="center"/>
        </w:trPr>
        <w:tc>
          <w:tcPr>
            <w:tcW w:w="8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282BC9">
            <w:pPr>
              <w:pStyle w:val="19"/>
              <w:bidi w:val="0"/>
              <w:spacing w:line="240" w:lineRule="auto"/>
              <w:ind w:left="0" w:leftChars="0" w:right="0" w:rightChars="0" w:firstLine="0" w:firstLineChars="0"/>
              <w:jc w:val="both"/>
            </w:pPr>
            <w: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125A63">
            <w:pPr>
              <w:pStyle w:val="19"/>
              <w:bidi w:val="0"/>
              <w:spacing w:line="240" w:lineRule="auto"/>
              <w:ind w:left="0" w:leftChars="0" w:right="0" w:rightChars="0" w:firstLine="0" w:firstLineChars="0"/>
              <w:jc w:val="both"/>
            </w:pPr>
            <w:r>
              <w:t>引用国标标准代号</w:t>
            </w:r>
          </w:p>
        </w:tc>
        <w:tc>
          <w:tcPr>
            <w:tcW w:w="147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CE997A">
            <w:pPr>
              <w:pStyle w:val="19"/>
              <w:bidi w:val="0"/>
              <w:spacing w:line="240" w:lineRule="auto"/>
              <w:ind w:left="0" w:leftChars="0" w:right="0" w:rightChars="0" w:firstLine="0" w:firstLineChars="0"/>
              <w:jc w:val="both"/>
            </w:pPr>
            <w:r>
              <w:t>String</w:t>
            </w:r>
          </w:p>
        </w:tc>
        <w:tc>
          <w:tcPr>
            <w:tcW w:w="130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643594">
            <w:pPr>
              <w:pStyle w:val="19"/>
              <w:bidi w:val="0"/>
              <w:spacing w:line="240" w:lineRule="auto"/>
              <w:ind w:left="0" w:leftChars="0" w:right="0" w:rightChars="0" w:firstLine="0" w:firstLineChars="0"/>
              <w:jc w:val="both"/>
            </w:pPr>
            <w:r>
              <w:t>—</w:t>
            </w:r>
          </w:p>
        </w:tc>
        <w:tc>
          <w:tcPr>
            <w:tcW w:w="41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FC1D19">
            <w:pPr>
              <w:pStyle w:val="19"/>
              <w:bidi w:val="0"/>
              <w:spacing w:line="240" w:lineRule="auto"/>
              <w:ind w:left="0" w:leftChars="0" w:right="0" w:rightChars="0" w:firstLine="0" w:firstLineChars="0"/>
              <w:jc w:val="both"/>
            </w:pPr>
            <w:r>
              <w:t xml:space="preserve">固定为  GB/T 2589-2020 </w:t>
            </w:r>
          </w:p>
        </w:tc>
      </w:tr>
      <w:tr w14:paraId="2913112F">
        <w:tblPrEx>
          <w:tblCellMar>
            <w:top w:w="0" w:type="dxa"/>
            <w:left w:w="108" w:type="dxa"/>
            <w:bottom w:w="0" w:type="dxa"/>
            <w:right w:w="108" w:type="dxa"/>
          </w:tblCellMar>
        </w:tblPrEx>
        <w:trPr>
          <w:jc w:val="center"/>
        </w:trPr>
        <w:tc>
          <w:tcPr>
            <w:tcW w:w="8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FE466B">
            <w:pPr>
              <w:pStyle w:val="19"/>
              <w:bidi w:val="0"/>
              <w:spacing w:line="240" w:lineRule="auto"/>
              <w:ind w:left="0" w:leftChars="0" w:right="0" w:rightChars="0" w:firstLine="0" w:firstLineChars="0"/>
              <w:jc w:val="both"/>
            </w:pPr>
            <w: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E0722E">
            <w:pPr>
              <w:pStyle w:val="19"/>
              <w:bidi w:val="0"/>
              <w:spacing w:line="240" w:lineRule="auto"/>
              <w:ind w:left="0" w:leftChars="0" w:right="0" w:rightChars="0" w:firstLine="0" w:firstLineChars="0"/>
              <w:jc w:val="both"/>
            </w:pPr>
            <w:r>
              <w:t>是否为法定耗能工质</w:t>
            </w:r>
          </w:p>
        </w:tc>
        <w:tc>
          <w:tcPr>
            <w:tcW w:w="14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FB7B9F">
            <w:pPr>
              <w:pStyle w:val="19"/>
              <w:bidi w:val="0"/>
              <w:spacing w:line="240" w:lineRule="auto"/>
              <w:ind w:left="0" w:leftChars="0" w:right="0" w:rightChars="0" w:firstLine="0" w:firstLineChars="0"/>
              <w:jc w:val="both"/>
            </w:pPr>
            <w:r>
              <w:t>Boolean</w:t>
            </w:r>
          </w:p>
        </w:tc>
        <w:tc>
          <w:tcPr>
            <w:tcW w:w="13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23EE97">
            <w:pPr>
              <w:pStyle w:val="19"/>
              <w:bidi w:val="0"/>
              <w:spacing w:line="240" w:lineRule="auto"/>
              <w:ind w:left="0" w:leftChars="0" w:right="0" w:rightChars="0" w:firstLine="0" w:firstLineChars="0"/>
              <w:jc w:val="both"/>
            </w:pPr>
            <w:r>
              <w:t>—</w:t>
            </w:r>
          </w:p>
        </w:tc>
        <w:tc>
          <w:tcPr>
            <w:tcW w:w="41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81F38F">
            <w:pPr>
              <w:pStyle w:val="19"/>
              <w:bidi w:val="0"/>
              <w:spacing w:line="240" w:lineRule="auto"/>
              <w:ind w:left="0" w:leftChars="0" w:right="0" w:rightChars="0" w:firstLine="0" w:firstLineChars="0"/>
              <w:jc w:val="both"/>
            </w:pPr>
            <w:r>
              <w:t>true  为新鲜水/软水/氮气/压缩空气， false  为常规能源</w:t>
            </w:r>
          </w:p>
        </w:tc>
      </w:tr>
      <w:tr w14:paraId="63F7EDD0">
        <w:tblPrEx>
          <w:tblCellMar>
            <w:top w:w="0" w:type="dxa"/>
            <w:left w:w="108" w:type="dxa"/>
            <w:bottom w:w="0" w:type="dxa"/>
            <w:right w:w="108" w:type="dxa"/>
          </w:tblCellMar>
        </w:tblPrEx>
        <w:trPr>
          <w:jc w:val="center"/>
        </w:trPr>
        <w:tc>
          <w:tcPr>
            <w:tcW w:w="8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B83FE4">
            <w:pPr>
              <w:pStyle w:val="19"/>
              <w:bidi w:val="0"/>
              <w:spacing w:line="240" w:lineRule="auto"/>
              <w:ind w:left="0" w:leftChars="0" w:right="0" w:rightChars="0" w:firstLine="0" w:firstLineChars="0"/>
              <w:jc w:val="both"/>
            </w:pPr>
            <w:r>
              <w:t>8</w:t>
            </w:r>
          </w:p>
        </w:tc>
        <w:tc>
          <w:tcPr>
            <w:tcW w:w="17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FAF0F8">
            <w:pPr>
              <w:pStyle w:val="19"/>
              <w:bidi w:val="0"/>
              <w:spacing w:line="240" w:lineRule="auto"/>
              <w:ind w:left="0" w:leftChars="0" w:right="0" w:rightChars="0" w:firstLine="0" w:firstLineChars="0"/>
              <w:jc w:val="both"/>
            </w:pPr>
            <w:r>
              <w:t>当前启用状态</w:t>
            </w:r>
          </w:p>
        </w:tc>
        <w:tc>
          <w:tcPr>
            <w:tcW w:w="147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9DC0EF">
            <w:pPr>
              <w:pStyle w:val="19"/>
              <w:bidi w:val="0"/>
              <w:spacing w:line="240" w:lineRule="auto"/>
              <w:ind w:left="0" w:leftChars="0" w:right="0" w:rightChars="0" w:firstLine="0" w:firstLineChars="0"/>
              <w:jc w:val="both"/>
            </w:pPr>
            <w:r>
              <w:t>Enum</w:t>
            </w:r>
          </w:p>
        </w:tc>
        <w:tc>
          <w:tcPr>
            <w:tcW w:w="130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2B359D">
            <w:pPr>
              <w:pStyle w:val="19"/>
              <w:bidi w:val="0"/>
              <w:spacing w:line="240" w:lineRule="auto"/>
              <w:ind w:left="0" w:leftChars="0" w:right="0" w:rightChars="0" w:firstLine="0" w:firstLineChars="0"/>
              <w:jc w:val="both"/>
            </w:pPr>
            <w:r>
              <w:t>—</w:t>
            </w:r>
          </w:p>
        </w:tc>
        <w:tc>
          <w:tcPr>
            <w:tcW w:w="41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71E643">
            <w:pPr>
              <w:pStyle w:val="19"/>
              <w:bidi w:val="0"/>
              <w:spacing w:line="240" w:lineRule="auto"/>
              <w:ind w:left="0" w:leftChars="0" w:right="0" w:rightChars="0" w:firstLine="0" w:firstLineChars="0"/>
              <w:jc w:val="both"/>
            </w:pPr>
            <w:r>
              <w:t xml:space="preserve">枚举： 启用  /  停用 </w:t>
            </w:r>
          </w:p>
        </w:tc>
      </w:tr>
    </w:tbl>
    <w:p w14:paraId="0A3F81C2">
      <w:pPr>
        <w:pStyle w:val="19"/>
        <w:bidi w:val="0"/>
      </w:pPr>
    </w:p>
    <w:p w14:paraId="030F52F9">
      <w:pPr>
        <w:pStyle w:val="6"/>
        <w:numPr>
          <w:ilvl w:val="0"/>
          <w:numId w:val="205"/>
        </w:numPr>
        <w:bidi w:val="0"/>
        <w:ind w:left="0" w:leftChars="0" w:firstLine="0" w:firstLineChars="0"/>
        <w:rPr>
          <w:b/>
          <w:bCs/>
          <w:sz w:val="28"/>
          <w:szCs w:val="28"/>
        </w:rPr>
      </w:pPr>
      <w:r>
        <w:rPr>
          <w:b/>
          <w:bCs/>
          <w:sz w:val="28"/>
          <w:szCs w:val="28"/>
        </w:rPr>
        <w:t>核心数学模型与算法框架</w:t>
      </w:r>
    </w:p>
    <w:tbl>
      <w:tblPr>
        <w:tblStyle w:val="38"/>
        <w:tblW w:w="0" w:type="auto"/>
        <w:jc w:val="center"/>
        <w:tblLayout w:type="fixed"/>
        <w:tblCellMar>
          <w:top w:w="0" w:type="dxa"/>
          <w:left w:w="108" w:type="dxa"/>
          <w:bottom w:w="0" w:type="dxa"/>
          <w:right w:w="108" w:type="dxa"/>
        </w:tblCellMar>
      </w:tblPr>
      <w:tblGrid>
        <w:gridCol w:w="9648"/>
      </w:tblGrid>
      <w:tr w14:paraId="7A1CD730">
        <w:tblPrEx>
          <w:tblCellMar>
            <w:top w:w="0" w:type="dxa"/>
            <w:left w:w="108" w:type="dxa"/>
            <w:bottom w:w="0" w:type="dxa"/>
            <w:right w:w="108" w:type="dxa"/>
          </w:tblCellMar>
        </w:tblPrEx>
        <w:trPr>
          <w:jc w:val="center"/>
        </w:trPr>
        <w:tc>
          <w:tcPr>
            <w:tcW w:w="9648" w:type="dxa"/>
            <w:tcBorders>
              <w:top w:val="nil"/>
              <w:left w:val="single" w:color="16A34A" w:sz="24" w:space="0"/>
              <w:bottom w:val="nil"/>
              <w:right w:val="nil"/>
            </w:tcBorders>
            <w:shd w:val="clear" w:color="auto" w:fill="F0FDF4"/>
            <w:tcMar>
              <w:top w:w="70" w:type="dxa"/>
              <w:left w:w="100" w:type="dxa"/>
              <w:bottom w:w="70" w:type="dxa"/>
              <w:right w:w="100" w:type="dxa"/>
            </w:tcMar>
          </w:tcPr>
          <w:p w14:paraId="046D59BD">
            <w:pPr>
              <w:pStyle w:val="19"/>
              <w:bidi w:val="0"/>
            </w:pPr>
            <w:r>
              <w:t>E_{\text{tce}} = \sum_{i=1}^{n} \frac{E_i \times k_i}{1000} \quad (\text{全厂综合能耗折标煤总量，单位: tce})</w:t>
            </w:r>
          </w:p>
          <w:p w14:paraId="3754A276">
            <w:pPr>
              <w:pStyle w:val="19"/>
              <w:bidi w:val="0"/>
            </w:pPr>
            <w:r>
              <w:t>k_i = \frac{\text{NCV}_i}{29307.6 \text{ kJ/kgce}} \quad (\text{理论低位发热量换算折标系数公式})</w:t>
            </w:r>
          </w:p>
          <w:p w14:paraId="26EEA572">
            <w:pPr>
              <w:pStyle w:val="19"/>
              <w:bidi w:val="0"/>
            </w:pPr>
            <w:r>
              <w:t>e_{\text{output\_val}} = \begin{cases} \frac{E_{\text{tce}}}{G_{\text{output}} / 10000}, &amp; G_{\text{output}} &gt; 0 \\ \text{兜底: "--"}, &amp; G_{\text{output}} = 0 \end{cases} \quad (\text{万元产值综合能耗，单位: tce/万元})</w:t>
            </w:r>
          </w:p>
        </w:tc>
      </w:tr>
    </w:tbl>
    <w:p w14:paraId="1622FAD1">
      <w:pPr>
        <w:pStyle w:val="19"/>
        <w:bidi w:val="0"/>
      </w:pPr>
    </w:p>
    <w:p w14:paraId="5209D369">
      <w:pPr>
        <w:pStyle w:val="19"/>
        <w:bidi w:val="0"/>
      </w:pPr>
      <w:r>
        <w:t>• 变量定义与取值约定：</w:t>
      </w:r>
    </w:p>
    <w:p w14:paraId="070F857C">
      <w:pPr>
        <w:pStyle w:val="19"/>
        <w:bidi w:val="0"/>
      </w:pPr>
      <w:r>
        <w:t>• E_i：第 i 种能源实物消费量（如 kWh, m³, kg, t）；</w:t>
      </w:r>
    </w:p>
    <w:p w14:paraId="3934D91C">
      <w:pPr>
        <w:pStyle w:val="19"/>
        <w:bidi w:val="0"/>
      </w:pPr>
      <w:r>
        <w:t>• k_i：第 i 种能源对应的国家标准折标煤系数（\text{kgce/实物单位}）；</w:t>
      </w:r>
    </w:p>
    <w:p w14:paraId="364B2F61">
      <w:pPr>
        <w:pStyle w:val="19"/>
        <w:bidi w:val="0"/>
      </w:pPr>
      <w:r>
        <w:t>• 1000：千克标准煤与吨标准煤进位制（1 \text{ tce} = 1000 \text{ kgce}）；</w:t>
      </w:r>
    </w:p>
    <w:p w14:paraId="64005DF4">
      <w:pPr>
        <w:pStyle w:val="19"/>
        <w:bidi w:val="0"/>
      </w:pPr>
      <w:r>
        <w:t>• G_{\text{output}}：工业产值（元），分母为 0 时安全兜底显示  -- 。</w:t>
      </w:r>
    </w:p>
    <w:p w14:paraId="12AAB55C">
      <w:pPr>
        <w:pStyle w:val="6"/>
        <w:numPr>
          <w:ilvl w:val="0"/>
          <w:numId w:val="205"/>
        </w:numPr>
        <w:bidi w:val="0"/>
        <w:ind w:left="0" w:leftChars="0" w:firstLine="0" w:firstLineChars="0"/>
        <w:rPr>
          <w:b/>
          <w:bCs/>
          <w:sz w:val="28"/>
          <w:szCs w:val="28"/>
        </w:rPr>
      </w:pPr>
      <w:r>
        <w:rPr>
          <w:b/>
          <w:bCs/>
          <w:sz w:val="28"/>
          <w:szCs w:val="28"/>
        </w:rPr>
        <w:t>展示、对标与判定口径</w:t>
      </w:r>
    </w:p>
    <w:p w14:paraId="0F7753F1">
      <w:pPr>
        <w:pStyle w:val="19"/>
        <w:bidi w:val="0"/>
      </w:pPr>
      <w:r>
        <w:t>• 统一当量展示：系统全景图表默认均采用“当量热值”折标计算，报表导出提供“当量/等价”双列切换；</w:t>
      </w:r>
    </w:p>
    <w:p w14:paraId="0AFF9E8B">
      <w:pPr>
        <w:pStyle w:val="19"/>
        <w:bidi w:val="0"/>
      </w:pPr>
      <w:r>
        <w:t>• 精度口径：tce 保留 4 位小数，kgce 保留 2 位小数；</w:t>
      </w:r>
    </w:p>
    <w:p w14:paraId="61D4CEFB">
      <w:pPr>
        <w:pStyle w:val="19"/>
        <w:bidi w:val="0"/>
      </w:pPr>
      <w:r>
        <w:t>• 空值口径：若工厂当期某能源消费为 0，折标煤量如实显示  0.0000 tce ；若仪表断网未上报，统一显示  -- ，严禁将断网视为 0 能耗。</w:t>
      </w:r>
    </w:p>
    <w:p w14:paraId="2BD03D27">
      <w:pPr>
        <w:pStyle w:val="6"/>
        <w:numPr>
          <w:ilvl w:val="0"/>
          <w:numId w:val="205"/>
        </w:numPr>
        <w:bidi w:val="0"/>
        <w:ind w:left="0" w:leftChars="0" w:firstLine="0" w:firstLineChars="0"/>
        <w:rPr>
          <w:b/>
          <w:bCs/>
          <w:sz w:val="28"/>
          <w:szCs w:val="28"/>
        </w:rPr>
      </w:pPr>
      <w:r>
        <w:rPr>
          <w:b/>
          <w:bCs/>
          <w:sz w:val="28"/>
          <w:szCs w:val="28"/>
        </w:rPr>
        <w:t>边界条件、异常处理与防错规则</w:t>
      </w:r>
    </w:p>
    <w:p w14:paraId="06707CF1">
      <w:pPr>
        <w:pStyle w:val="175"/>
        <w:bidi w:val="0"/>
      </w:pPr>
      <w:r>
        <w:t>• 单耗计算除零软拦截：产值或产品产量为0时，折标单耗</w:t>
      </w:r>
      <w:r>
        <w:rPr>
          <w:rFonts w:hint="eastAsia"/>
          <w:lang w:eastAsia="zh-CN"/>
        </w:rPr>
        <w:t>不得</w:t>
      </w:r>
      <w:r>
        <w:t>除零崩溃，</w:t>
      </w:r>
      <w:r>
        <w:rPr>
          <w:rFonts w:hint="eastAsia"/>
          <w:lang w:eastAsia="zh-CN"/>
        </w:rPr>
        <w:t>返回--，</w:t>
      </w:r>
      <w:r>
        <w:t>抛出软告警E_CALC_UNIT_DIV_ZERO_SOFT；</w:t>
      </w:r>
    </w:p>
    <w:p w14:paraId="5DBFC0B7">
      <w:pPr>
        <w:pStyle w:val="175"/>
        <w:bidi w:val="0"/>
      </w:pPr>
      <w:r>
        <w:t>• 国标核心字段修改阻断：任何角色在线编辑电力（0.1229）、天然气（1.2143）系数时，系统弹出阻断并提示“GB/T 2589-2020 强制国标受控字段不可在线直接编辑”，触发  E_SYS_GB_STD_IMMUTABLE ；</w:t>
      </w:r>
    </w:p>
    <w:p w14:paraId="675E234D">
      <w:pPr>
        <w:pStyle w:val="175"/>
        <w:bidi w:val="0"/>
      </w:pPr>
      <w:r>
        <w:t>• 实物物理量负数校验：能耗实物量输入 &lt; 0 时拦截保存，触发  E_VAL_ENERGY_USAGE_NEGATIVE 。</w:t>
      </w:r>
    </w:p>
    <w:p w14:paraId="3E597588">
      <w:pPr>
        <w:pStyle w:val="6"/>
        <w:numPr>
          <w:ilvl w:val="0"/>
          <w:numId w:val="205"/>
        </w:numPr>
        <w:bidi w:val="0"/>
        <w:ind w:left="0" w:leftChars="0" w:firstLine="0" w:firstLineChars="0"/>
        <w:rPr>
          <w:b/>
          <w:bCs/>
          <w:sz w:val="28"/>
          <w:szCs w:val="28"/>
        </w:rPr>
      </w:pPr>
      <w:r>
        <w:rPr>
          <w:b/>
          <w:bCs/>
          <w:sz w:val="28"/>
          <w:szCs w:val="28"/>
        </w:rPr>
        <w:t>QA 自动化验收准则（Gherkin BDD）</w:t>
      </w:r>
    </w:p>
    <w:tbl>
      <w:tblPr>
        <w:tblStyle w:val="38"/>
        <w:tblW w:w="0" w:type="auto"/>
        <w:jc w:val="center"/>
        <w:tblLayout w:type="fixed"/>
        <w:tblCellMar>
          <w:top w:w="0" w:type="dxa"/>
          <w:left w:w="108" w:type="dxa"/>
          <w:bottom w:w="0" w:type="dxa"/>
          <w:right w:w="108" w:type="dxa"/>
        </w:tblCellMar>
      </w:tblPr>
      <w:tblGrid>
        <w:gridCol w:w="9648"/>
      </w:tblGrid>
      <w:tr w14:paraId="31299910">
        <w:tblPrEx>
          <w:tblCellMar>
            <w:top w:w="0" w:type="dxa"/>
            <w:left w:w="108" w:type="dxa"/>
            <w:bottom w:w="0" w:type="dxa"/>
            <w:right w:w="108" w:type="dxa"/>
          </w:tblCellMar>
        </w:tblPrEx>
        <w:trPr>
          <w:jc w:val="center"/>
        </w:trPr>
        <w:tc>
          <w:tcPr>
            <w:tcW w:w="9648" w:type="dxa"/>
            <w:tcBorders>
              <w:top w:val="nil"/>
              <w:left w:val="single" w:color="7C3AED" w:sz="24" w:space="0"/>
              <w:bottom w:val="nil"/>
              <w:right w:val="nil"/>
            </w:tcBorders>
            <w:shd w:val="clear" w:color="auto" w:fill="F5F3FF"/>
            <w:tcMar>
              <w:top w:w="70" w:type="dxa"/>
              <w:left w:w="100" w:type="dxa"/>
              <w:bottom w:w="70" w:type="dxa"/>
              <w:right w:w="100" w:type="dxa"/>
            </w:tcMar>
          </w:tcPr>
          <w:p w14:paraId="23676B52">
            <w:pPr>
              <w:pStyle w:val="19"/>
              <w:bidi w:val="0"/>
            </w:pPr>
            <w:r>
              <w:t>Feature: GB/T 2589-2020 折标煤模型与除零防御</w:t>
            </w:r>
          </w:p>
          <w:p w14:paraId="510C7C42">
            <w:pPr>
              <w:pStyle w:val="19"/>
              <w:bidi w:val="0"/>
            </w:pPr>
            <w:r>
              <w:t xml:space="preserve">  Scenario: 全介质实物量转标煤计算精度验证</w:t>
            </w:r>
          </w:p>
          <w:p w14:paraId="12AB8B09">
            <w:pPr>
              <w:pStyle w:val="19"/>
              <w:bidi w:val="0"/>
            </w:pPr>
            <w:r>
              <w:t xml:space="preserve">    Given 某车间月度消耗电力 10,000 kWh, 天然气 1,000 m³, 工业新鲜水 500 t</w:t>
            </w:r>
          </w:p>
          <w:p w14:paraId="723826EA">
            <w:pPr>
              <w:pStyle w:val="19"/>
              <w:bidi w:val="0"/>
            </w:pPr>
            <w:r>
              <w:t xml:space="preserve">    When 系统调用折标煤系数库执行综合能耗核算</w:t>
            </w:r>
          </w:p>
          <w:p w14:paraId="43E0353C">
            <w:pPr>
              <w:pStyle w:val="19"/>
              <w:bidi w:val="0"/>
            </w:pPr>
            <w:r>
              <w:t xml:space="preserve">    Then 电力折标煤量精确等于 1.2290 tce</w:t>
            </w:r>
          </w:p>
          <w:p w14:paraId="66D3FB14">
            <w:pPr>
              <w:pStyle w:val="19"/>
              <w:bidi w:val="0"/>
            </w:pPr>
            <w:r>
              <w:t xml:space="preserve">    And 天然气折标煤量精确等于 1.2143 tce</w:t>
            </w:r>
          </w:p>
          <w:p w14:paraId="1C2FA87D">
            <w:pPr>
              <w:pStyle w:val="19"/>
              <w:bidi w:val="0"/>
            </w:pPr>
            <w:r>
              <w:t xml:space="preserve">    And 新鲜水工质折算量精确等于 0.0429 tce</w:t>
            </w:r>
          </w:p>
          <w:p w14:paraId="78361076">
            <w:pPr>
              <w:pStyle w:val="19"/>
              <w:bidi w:val="0"/>
            </w:pPr>
            <w:r>
              <w:t xml:space="preserve">    And 车间总综合能耗精确等于 2.4862 tce (容差 &lt;= 0.0001)</w:t>
            </w:r>
          </w:p>
          <w:p w14:paraId="5D30DC06">
            <w:pPr>
              <w:pStyle w:val="19"/>
              <w:bidi w:val="0"/>
            </w:pPr>
          </w:p>
          <w:p w14:paraId="6B688765">
            <w:pPr>
              <w:pStyle w:val="19"/>
              <w:bidi w:val="0"/>
            </w:pPr>
            <w:r>
              <w:t xml:space="preserve">  Scenario: 万元产值能耗除零极限边界防御</w:t>
            </w:r>
          </w:p>
          <w:p w14:paraId="24AFB2F8">
            <w:pPr>
              <w:pStyle w:val="19"/>
              <w:bidi w:val="0"/>
            </w:pPr>
            <w:r>
              <w:t xml:space="preserve">    Given 某新建车间当月综合能耗为 5.5000 tce，但产值报工为 0 元</w:t>
            </w:r>
          </w:p>
          <w:p w14:paraId="7A7B359E">
            <w:pPr>
              <w:pStyle w:val="19"/>
              <w:bidi w:val="0"/>
            </w:pPr>
            <w:r>
              <w:t xml:space="preserve">    When 系统渲染该车间万元产值综合能耗指标</w:t>
            </w:r>
          </w:p>
          <w:p w14:paraId="42E0016F">
            <w:pPr>
              <w:pStyle w:val="19"/>
              <w:bidi w:val="0"/>
            </w:pPr>
            <w:r>
              <w:t xml:space="preserve">    Then 页面安全展示为 "--"</w:t>
            </w:r>
          </w:p>
          <w:p w14:paraId="09DC7F50">
            <w:pPr>
              <w:pStyle w:val="19"/>
              <w:bidi w:val="0"/>
            </w:pPr>
            <w:r>
              <w:t xml:space="preserve">    And 系统不出现 NaN、Infinity 或前端崩溃异常</w:t>
            </w:r>
          </w:p>
          <w:p w14:paraId="552645E4">
            <w:pPr>
              <w:pStyle w:val="19"/>
              <w:bidi w:val="0"/>
            </w:pPr>
            <w:r>
              <w:t xml:space="preserve">    And 后台记录软处理告警 E_CALC_UNIT_DIV_ZERO_SOFT</w:t>
            </w:r>
          </w:p>
        </w:tc>
      </w:tr>
    </w:tbl>
    <w:p w14:paraId="6D553808">
      <w:pPr>
        <w:pStyle w:val="19"/>
        <w:widowControl/>
        <w:numPr>
          <w:ilvl w:val="0"/>
          <w:numId w:val="0"/>
        </w:numPr>
        <w:rPr>
          <w:rFonts w:eastAsia="宋体"/>
          <w:b/>
          <w:i w:val="0"/>
          <w:color w:val="0284C7"/>
          <w:sz w:val="24"/>
          <w:szCs w:val="24"/>
        </w:rPr>
      </w:pPr>
    </w:p>
    <w:p w14:paraId="27248435">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348B46DC">
      <w:pPr>
        <w:pStyle w:val="3"/>
        <w:numPr>
          <w:ilvl w:val="0"/>
          <w:numId w:val="7"/>
        </w:numPr>
        <w:ind w:left="0" w:leftChars="0" w:firstLine="0" w:firstLineChars="0"/>
        <w:rPr>
          <w:rFonts w:eastAsia="黑体"/>
          <w:b w:val="0"/>
          <w:bCs w:val="0"/>
          <w:sz w:val="32"/>
          <w:szCs w:val="44"/>
        </w:rPr>
      </w:pPr>
      <w:bookmarkStart w:id="63" w:name="_Toc1093"/>
      <w:r>
        <w:rPr>
          <w:rFonts w:ascii="Times New Roman" w:hAnsi="Times New Roman" w:eastAsia="黑体" w:cs="Times New Roman"/>
          <w:b w:val="0"/>
          <w:bCs w:val="0"/>
          <w:sz w:val="32"/>
          <w:szCs w:val="44"/>
        </w:rPr>
        <w:t>系统底座、接口契约与 QA 质量验收</w:t>
      </w:r>
      <w:bookmarkEnd w:id="63"/>
    </w:p>
    <w:p w14:paraId="2D6B1291">
      <w:pPr>
        <w:pStyle w:val="4"/>
        <w:numPr>
          <w:ilvl w:val="0"/>
          <w:numId w:val="206"/>
        </w:numPr>
        <w:topLinePunct w:val="0"/>
        <w:ind w:left="0" w:leftChars="0" w:firstLine="0" w:firstLineChars="0"/>
        <w:outlineLvl w:val="0"/>
        <w:rPr>
          <w:rFonts w:hint="eastAsia" w:eastAsia="黑体"/>
          <w:b w:val="0"/>
          <w:bCs w:val="0"/>
          <w:sz w:val="30"/>
          <w:szCs w:val="32"/>
        </w:rPr>
      </w:pPr>
      <w:bookmarkStart w:id="64" w:name="_Toc3080"/>
      <w:r>
        <w:rPr>
          <w:rFonts w:ascii="Times New Roman" w:hAnsi="Times New Roman" w:eastAsia="黑体" w:cs="Times New Roman"/>
          <w:b w:val="0"/>
          <w:bCs w:val="0"/>
          <w:sz w:val="30"/>
          <w:szCs w:val="32"/>
        </w:rPr>
        <w:t>六级组织架构与穿透鉴权体系</w:t>
      </w:r>
      <w:bookmarkEnd w:id="64"/>
    </w:p>
    <w:p w14:paraId="1AC6C606">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架构规范</w:t>
      </w:r>
      <w:r>
        <w:rPr>
          <w:rFonts w:ascii="Times New Roman" w:hAnsi="Times New Roman" w:eastAsia="宋体" w:cs="Times New Roman"/>
          <w:i w:val="0"/>
          <w:color w:val="1F2937"/>
          <w:sz w:val="24"/>
          <w:szCs w:val="24"/>
        </w:rPr>
        <w:t>：系统严格执行【特变电工集团 ➔ 产业集团 ➔ 二级公司 ➔ 生产园区 ➔ 制造车间 ➔ 用能设备】六级穿透鉴权与数据物理隔离。上级节点通过物化视图自动聚合下级指标，下级节点严格隔离，越权请求触发拦截并审计。</w:t>
      </w:r>
    </w:p>
    <w:tbl>
      <w:tblPr>
        <w:tblStyle w:val="38"/>
        <w:tblW w:w="9784" w:type="dxa"/>
        <w:jc w:val="center"/>
        <w:tblLayout w:type="autofit"/>
        <w:tblCellMar>
          <w:top w:w="0" w:type="dxa"/>
          <w:left w:w="108" w:type="dxa"/>
          <w:bottom w:w="0" w:type="dxa"/>
          <w:right w:w="108" w:type="dxa"/>
        </w:tblCellMar>
      </w:tblPr>
      <w:tblGrid>
        <w:gridCol w:w="1231"/>
        <w:gridCol w:w="1831"/>
        <w:gridCol w:w="3078"/>
        <w:gridCol w:w="1839"/>
        <w:gridCol w:w="1805"/>
      </w:tblGrid>
      <w:tr w14:paraId="16DFF668">
        <w:tblPrEx>
          <w:tblCellMar>
            <w:top w:w="0" w:type="dxa"/>
            <w:left w:w="108" w:type="dxa"/>
            <w:bottom w:w="0" w:type="dxa"/>
            <w:right w:w="108" w:type="dxa"/>
          </w:tblCellMar>
        </w:tblPrEx>
        <w:trPr>
          <w:tblHeader/>
          <w:jc w:val="center"/>
        </w:trPr>
        <w:tc>
          <w:tcPr>
            <w:tcW w:w="123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82054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层级</w:t>
            </w:r>
          </w:p>
        </w:tc>
        <w:tc>
          <w:tcPr>
            <w:tcW w:w="183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B0726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节点名称</w:t>
            </w:r>
          </w:p>
        </w:tc>
        <w:tc>
          <w:tcPr>
            <w:tcW w:w="307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A38C2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典型实体</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E8B1A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数据可见范围</w:t>
            </w:r>
          </w:p>
        </w:tc>
        <w:tc>
          <w:tcPr>
            <w:tcW w:w="180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CCF30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聚合方式</w:t>
            </w:r>
          </w:p>
        </w:tc>
      </w:tr>
      <w:tr w14:paraId="4F83D1C3">
        <w:tblPrEx>
          <w:tblCellMar>
            <w:top w:w="0" w:type="dxa"/>
            <w:left w:w="108" w:type="dxa"/>
            <w:bottom w:w="0" w:type="dxa"/>
            <w:right w:w="108" w:type="dxa"/>
          </w:tblCellMar>
        </w:tblPrEx>
        <w:trPr>
          <w:jc w:val="center"/>
        </w:trPr>
        <w:tc>
          <w:tcPr>
            <w:tcW w:w="12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8D92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Level 1</w:t>
            </w:r>
          </w:p>
        </w:tc>
        <w:tc>
          <w:tcPr>
            <w:tcW w:w="18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1285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特变电工集团</w:t>
            </w:r>
          </w:p>
        </w:tc>
        <w:tc>
          <w:tcPr>
            <w:tcW w:w="30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5700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集团总部</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44DF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全集团全量数据</w:t>
            </w:r>
          </w:p>
        </w:tc>
        <w:tc>
          <w:tcPr>
            <w:tcW w:w="180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34CA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下级物化视图汇总</w:t>
            </w:r>
          </w:p>
        </w:tc>
      </w:tr>
      <w:tr w14:paraId="60918A2C">
        <w:tblPrEx>
          <w:tblCellMar>
            <w:top w:w="0" w:type="dxa"/>
            <w:left w:w="108" w:type="dxa"/>
            <w:bottom w:w="0" w:type="dxa"/>
            <w:right w:w="108" w:type="dxa"/>
          </w:tblCellMar>
        </w:tblPrEx>
        <w:trPr>
          <w:jc w:val="center"/>
        </w:trPr>
        <w:tc>
          <w:tcPr>
            <w:tcW w:w="12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F989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Level 2</w:t>
            </w:r>
          </w:p>
        </w:tc>
        <w:tc>
          <w:tcPr>
            <w:tcW w:w="18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9EA6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产业集团</w:t>
            </w:r>
          </w:p>
        </w:tc>
        <w:tc>
          <w:tcPr>
            <w:tcW w:w="30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2E44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电装集团</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A014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所辖产业全量数据</w:t>
            </w:r>
          </w:p>
        </w:tc>
        <w:tc>
          <w:tcPr>
            <w:tcW w:w="18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3A7D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下级物化视图汇总</w:t>
            </w:r>
          </w:p>
        </w:tc>
      </w:tr>
      <w:tr w14:paraId="5BBF8103">
        <w:tblPrEx>
          <w:tblCellMar>
            <w:top w:w="0" w:type="dxa"/>
            <w:left w:w="108" w:type="dxa"/>
            <w:bottom w:w="0" w:type="dxa"/>
            <w:right w:w="108" w:type="dxa"/>
          </w:tblCellMar>
        </w:tblPrEx>
        <w:trPr>
          <w:jc w:val="center"/>
        </w:trPr>
        <w:tc>
          <w:tcPr>
            <w:tcW w:w="12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D969D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Level 3</w:t>
            </w:r>
          </w:p>
        </w:tc>
        <w:tc>
          <w:tcPr>
            <w:tcW w:w="18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004E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二级公司</w:t>
            </w:r>
          </w:p>
        </w:tc>
        <w:tc>
          <w:tcPr>
            <w:tcW w:w="30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785C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沈变、衡变、新变、鲁缆、新缆、德缆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20EC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本公司全量数据</w:t>
            </w:r>
          </w:p>
        </w:tc>
        <w:tc>
          <w:tcPr>
            <w:tcW w:w="180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9CF8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下级物化视图汇总</w:t>
            </w:r>
          </w:p>
        </w:tc>
      </w:tr>
      <w:tr w14:paraId="0FFB9F3C">
        <w:tblPrEx>
          <w:tblCellMar>
            <w:top w:w="0" w:type="dxa"/>
            <w:left w:w="108" w:type="dxa"/>
            <w:bottom w:w="0" w:type="dxa"/>
            <w:right w:w="108" w:type="dxa"/>
          </w:tblCellMar>
        </w:tblPrEx>
        <w:trPr>
          <w:jc w:val="center"/>
        </w:trPr>
        <w:tc>
          <w:tcPr>
            <w:tcW w:w="12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429B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Level 4</w:t>
            </w:r>
          </w:p>
        </w:tc>
        <w:tc>
          <w:tcPr>
            <w:tcW w:w="18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6661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生产园区</w:t>
            </w:r>
          </w:p>
        </w:tc>
        <w:tc>
          <w:tcPr>
            <w:tcW w:w="30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D457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各生产基地园区</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090A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本园区全量数据</w:t>
            </w:r>
          </w:p>
        </w:tc>
        <w:tc>
          <w:tcPr>
            <w:tcW w:w="18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93D4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下级物化视图汇总</w:t>
            </w:r>
          </w:p>
        </w:tc>
      </w:tr>
      <w:tr w14:paraId="7CB62B6D">
        <w:tblPrEx>
          <w:tblCellMar>
            <w:top w:w="0" w:type="dxa"/>
            <w:left w:w="108" w:type="dxa"/>
            <w:bottom w:w="0" w:type="dxa"/>
            <w:right w:w="108" w:type="dxa"/>
          </w:tblCellMar>
        </w:tblPrEx>
        <w:trPr>
          <w:jc w:val="center"/>
        </w:trPr>
        <w:tc>
          <w:tcPr>
            <w:tcW w:w="12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FEDF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Level 5</w:t>
            </w:r>
          </w:p>
        </w:tc>
        <w:tc>
          <w:tcPr>
            <w:tcW w:w="18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9B1B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制造车间</w:t>
            </w:r>
          </w:p>
        </w:tc>
        <w:tc>
          <w:tcPr>
            <w:tcW w:w="30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67A0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各生产车间</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662A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本车间数据</w:t>
            </w:r>
          </w:p>
        </w:tc>
        <w:tc>
          <w:tcPr>
            <w:tcW w:w="180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7D6A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下级物化视图汇总</w:t>
            </w:r>
          </w:p>
        </w:tc>
      </w:tr>
      <w:tr w14:paraId="70D954AB">
        <w:tblPrEx>
          <w:tblCellMar>
            <w:top w:w="0" w:type="dxa"/>
            <w:left w:w="108" w:type="dxa"/>
            <w:bottom w:w="0" w:type="dxa"/>
            <w:right w:w="108" w:type="dxa"/>
          </w:tblCellMar>
        </w:tblPrEx>
        <w:trPr>
          <w:jc w:val="center"/>
        </w:trPr>
        <w:tc>
          <w:tcPr>
            <w:tcW w:w="12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F16C6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Level 6</w:t>
            </w:r>
          </w:p>
        </w:tc>
        <w:tc>
          <w:tcPr>
            <w:tcW w:w="18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CC9E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用能设备</w:t>
            </w:r>
          </w:p>
        </w:tc>
        <w:tc>
          <w:tcPr>
            <w:tcW w:w="30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1402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采集表计与工艺设备</w:t>
            </w:r>
          </w:p>
        </w:tc>
        <w:tc>
          <w:tcPr>
            <w:tcW w:w="18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9015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本设备遥测与台账</w:t>
            </w:r>
          </w:p>
        </w:tc>
        <w:tc>
          <w:tcPr>
            <w:tcW w:w="18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5903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原始采集数据</w:t>
            </w:r>
          </w:p>
        </w:tc>
      </w:tr>
    </w:tbl>
    <w:p w14:paraId="42D33F33">
      <w:pPr>
        <w:spacing w:after="60"/>
        <w:rPr>
          <w:rFonts w:hint="eastAsia" w:ascii="宋体" w:hAnsi="宋体" w:eastAsia="宋体" w:cs="宋体"/>
          <w:i w:val="0"/>
          <w:iCs w:val="0"/>
          <w:sz w:val="24"/>
          <w:szCs w:val="24"/>
        </w:rPr>
      </w:pPr>
    </w:p>
    <w:p w14:paraId="0558987B">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数据范围隔离规则：</w:t>
      </w:r>
    </w:p>
    <w:p w14:paraId="0C854EED">
      <w:pPr>
        <w:pStyle w:val="19"/>
        <w:widowControl/>
        <w:numPr>
          <w:ilvl w:val="0"/>
          <w:numId w:val="20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行级多租户隔离（RLS）</w:t>
      </w:r>
      <w:r>
        <w:rPr>
          <w:rFonts w:ascii="Times New Roman" w:hAnsi="Times New Roman" w:eastAsia="宋体" w:cs="Times New Roman"/>
          <w:i w:val="0"/>
          <w:color w:val="1F2937"/>
          <w:sz w:val="24"/>
          <w:szCs w:val="24"/>
        </w:rPr>
        <w:t>：数据库层面按组织节点编码实施行级安全策略，越权查询返回空集并记录审计日志。</w:t>
      </w:r>
    </w:p>
    <w:p w14:paraId="3D43BD58">
      <w:pPr>
        <w:pStyle w:val="19"/>
        <w:widowControl/>
        <w:numPr>
          <w:ilvl w:val="0"/>
          <w:numId w:val="20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财务月度统一切账锁账隔离</w:t>
      </w:r>
      <w:r>
        <w:rPr>
          <w:rFonts w:ascii="Times New Roman" w:hAnsi="Times New Roman" w:eastAsia="宋体" w:cs="Times New Roman"/>
          <w:i w:val="0"/>
          <w:color w:val="1F2937"/>
          <w:sz w:val="24"/>
          <w:szCs w:val="24"/>
        </w:rPr>
        <w:t>：月度关账后，该月度的产量、能耗与成本数据整体冻结，任何修改须走特批反冲流程。</w:t>
      </w:r>
    </w:p>
    <w:p w14:paraId="7D5C541A">
      <w:pPr>
        <w:pStyle w:val="19"/>
        <w:widowControl/>
        <w:numPr>
          <w:ilvl w:val="0"/>
          <w:numId w:val="20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外部审计沙箱隔离</w:t>
      </w:r>
      <w:r>
        <w:rPr>
          <w:rFonts w:ascii="Times New Roman" w:hAnsi="Times New Roman" w:eastAsia="宋体" w:cs="Times New Roman"/>
          <w:i w:val="0"/>
          <w:color w:val="1F2937"/>
          <w:sz w:val="24"/>
          <w:szCs w:val="24"/>
        </w:rPr>
        <w:t>：P6 外部独立审计机构仅可访问与其认证报告关联的指定数据，且禁止全量导出。</w:t>
      </w:r>
    </w:p>
    <w:p w14:paraId="58AEE90B">
      <w:pPr>
        <w:pStyle w:val="4"/>
        <w:numPr>
          <w:ilvl w:val="0"/>
          <w:numId w:val="206"/>
        </w:numPr>
        <w:topLinePunct w:val="0"/>
        <w:ind w:left="0" w:leftChars="0" w:firstLine="0" w:firstLineChars="0"/>
        <w:outlineLvl w:val="0"/>
        <w:rPr>
          <w:rFonts w:hint="eastAsia" w:eastAsia="黑体"/>
          <w:b w:val="0"/>
          <w:bCs w:val="0"/>
          <w:sz w:val="30"/>
          <w:szCs w:val="32"/>
        </w:rPr>
      </w:pPr>
      <w:bookmarkStart w:id="65" w:name="_Toc6762"/>
      <w:r>
        <w:rPr>
          <w:rFonts w:ascii="Times New Roman" w:hAnsi="Times New Roman" w:eastAsia="黑体" w:cs="Times New Roman"/>
          <w:b w:val="0"/>
          <w:bCs w:val="0"/>
          <w:sz w:val="30"/>
          <w:szCs w:val="32"/>
        </w:rPr>
        <w:t>外部系统集成与 API 契约</w:t>
      </w:r>
      <w:bookmarkEnd w:id="65"/>
    </w:p>
    <w:p w14:paraId="4A417F4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接口协议：</w:t>
      </w:r>
    </w:p>
    <w:p w14:paraId="7497147D">
      <w:pPr>
        <w:pStyle w:val="19"/>
        <w:widowControl/>
        <w:numPr>
          <w:ilvl w:val="0"/>
          <w:numId w:val="20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IoT 物联采集网关：通过 Modbus-TCP / MQTT 协议实现全厂数千台数字电表、变送器秒级遥测高频采集，在边缘侧完成 1s~5s 本地闭环告警后，按 15 分钟等间隔汇聚写入分布式时序数据库（TDengine 3.x，边缘侧 SQLite 本地缓存）。</w:t>
      </w:r>
    </w:p>
    <w:p w14:paraId="77536442">
      <w:pPr>
        <w:pStyle w:val="19"/>
        <w:widowControl/>
        <w:numPr>
          <w:ilvl w:val="0"/>
          <w:numId w:val="20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企业 ERP/MES 集成</w:t>
      </w:r>
      <w:r>
        <w:rPr>
          <w:rFonts w:ascii="Times New Roman" w:hAnsi="Times New Roman" w:eastAsia="宋体" w:cs="Times New Roman"/>
          <w:i w:val="0"/>
          <w:color w:val="1F2937"/>
          <w:sz w:val="24"/>
          <w:szCs w:val="24"/>
        </w:rPr>
        <w:t>：基于 OpenAPI 3.0 契约，自动定时同步产品批次 BOM 清单、实际报工产量工时及财务电费账单。</w:t>
      </w:r>
    </w:p>
    <w:p w14:paraId="36EEDBD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八大核心业务接口端点概览：</w:t>
      </w:r>
    </w:p>
    <w:tbl>
      <w:tblPr>
        <w:tblStyle w:val="38"/>
        <w:tblW w:w="9784" w:type="dxa"/>
        <w:jc w:val="center"/>
        <w:tblLayout w:type="autofit"/>
        <w:tblCellMar>
          <w:top w:w="0" w:type="dxa"/>
          <w:left w:w="108" w:type="dxa"/>
          <w:bottom w:w="0" w:type="dxa"/>
          <w:right w:w="108" w:type="dxa"/>
        </w:tblCellMar>
      </w:tblPr>
      <w:tblGrid>
        <w:gridCol w:w="791"/>
        <w:gridCol w:w="2275"/>
        <w:gridCol w:w="3720"/>
        <w:gridCol w:w="813"/>
        <w:gridCol w:w="2185"/>
      </w:tblGrid>
      <w:tr w14:paraId="02AF17F4">
        <w:tblPrEx>
          <w:tblCellMar>
            <w:top w:w="0" w:type="dxa"/>
            <w:left w:w="108" w:type="dxa"/>
            <w:bottom w:w="0" w:type="dxa"/>
            <w:right w:w="108" w:type="dxa"/>
          </w:tblCellMar>
        </w:tblPrEx>
        <w:trPr>
          <w:tblHeade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290BE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FA63A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端点名称</w:t>
            </w:r>
          </w:p>
        </w:tc>
        <w:tc>
          <w:tcPr>
            <w:tcW w:w="332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32E03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路径</w:t>
            </w:r>
          </w:p>
        </w:tc>
        <w:tc>
          <w:tcPr>
            <w:tcW w:w="8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57E0B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方法</w:t>
            </w:r>
          </w:p>
        </w:tc>
        <w:tc>
          <w:tcPr>
            <w:tcW w:w="232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8BFC0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关键约束</w:t>
            </w:r>
          </w:p>
        </w:tc>
      </w:tr>
      <w:tr w14:paraId="03B2ABFB">
        <w:tblPrEx>
          <w:tblCellMar>
            <w:top w:w="0" w:type="dxa"/>
            <w:left w:w="108" w:type="dxa"/>
            <w:bottom w:w="0" w:type="dxa"/>
            <w:right w:w="108" w:type="dxa"/>
          </w:tblCellMar>
        </w:tblPrEx>
        <w:trP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279B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B08B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全景态势与监控大屏核心遥测</w:t>
            </w:r>
          </w:p>
        </w:tc>
        <w:tc>
          <w:tcPr>
            <w:tcW w:w="33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0CAD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val="0"/>
                <w:i w:val="0"/>
                <w:iCs w:val="0"/>
                <w:color w:val="0284C7"/>
                <w:sz w:val="24"/>
                <w:szCs w:val="24"/>
              </w:rPr>
              <w:t xml:space="preserve">/monitor/v1/telemetry/overview </w:t>
            </w:r>
          </w:p>
        </w:tc>
        <w:tc>
          <w:tcPr>
            <w:tcW w:w="8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8789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GET</w:t>
            </w:r>
          </w:p>
        </w:tc>
        <w:tc>
          <w:tcPr>
            <w:tcW w:w="2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D4D1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只读，缓存 TTL 30s</w:t>
            </w:r>
          </w:p>
        </w:tc>
      </w:tr>
      <w:tr w14:paraId="3B400D42">
        <w:tblPrEx>
          <w:tblCellMar>
            <w:top w:w="0" w:type="dxa"/>
            <w:left w:w="108" w:type="dxa"/>
            <w:bottom w:w="0" w:type="dxa"/>
            <w:right w:w="108" w:type="dxa"/>
          </w:tblCellMar>
        </w:tblPrEx>
        <w:trP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046C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590E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单位产品能耗隔离核算</w:t>
            </w:r>
          </w:p>
        </w:tc>
        <w:tc>
          <w:tcPr>
            <w:tcW w:w="33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A5C0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val="0"/>
                <w:i w:val="0"/>
                <w:iCs w:val="0"/>
                <w:color w:val="0284C7"/>
                <w:sz w:val="24"/>
                <w:szCs w:val="24"/>
              </w:rPr>
              <w:t xml:space="preserve">/monitor/v1/kpi/unit-consumption </w:t>
            </w:r>
          </w:p>
        </w:tc>
        <w:tc>
          <w:tcPr>
            <w:tcW w:w="8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A698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GET</w:t>
            </w:r>
          </w:p>
        </w:tc>
        <w:tc>
          <w:tcPr>
            <w:tcW w:w="2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2646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强制传入产业分类，量纲隔离</w:t>
            </w:r>
          </w:p>
        </w:tc>
      </w:tr>
      <w:tr w14:paraId="261CEADF">
        <w:tblPrEx>
          <w:tblCellMar>
            <w:top w:w="0" w:type="dxa"/>
            <w:left w:w="108" w:type="dxa"/>
            <w:bottom w:w="0" w:type="dxa"/>
            <w:right w:w="108" w:type="dxa"/>
          </w:tblCellMar>
        </w:tblPrEx>
        <w:trP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697E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606E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基层能耗数据填报录入</w:t>
            </w:r>
          </w:p>
        </w:tc>
        <w:tc>
          <w:tcPr>
            <w:tcW w:w="33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37F0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val="0"/>
                <w:i w:val="0"/>
                <w:iCs w:val="0"/>
                <w:color w:val="0284C7"/>
                <w:sz w:val="24"/>
                <w:szCs w:val="24"/>
              </w:rPr>
              <w:t xml:space="preserve">/monitor/v1/entry/energy </w:t>
            </w:r>
          </w:p>
        </w:tc>
        <w:tc>
          <w:tcPr>
            <w:tcW w:w="8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AE48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POST</w:t>
            </w:r>
          </w:p>
        </w:tc>
        <w:tc>
          <w:tcPr>
            <w:tcW w:w="2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097F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幂等 Token，非负校验</w:t>
            </w:r>
          </w:p>
        </w:tc>
      </w:tr>
      <w:tr w14:paraId="72EEA803">
        <w:tblPrEx>
          <w:tblCellMar>
            <w:top w:w="0" w:type="dxa"/>
            <w:left w:w="108" w:type="dxa"/>
            <w:bottom w:w="0" w:type="dxa"/>
            <w:right w:w="108" w:type="dxa"/>
          </w:tblCellMar>
        </w:tblPrEx>
        <w:trP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4A9E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7C84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 LCA 五阶段滚算核算</w:t>
            </w:r>
          </w:p>
        </w:tc>
        <w:tc>
          <w:tcPr>
            <w:tcW w:w="33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3611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val="0"/>
                <w:i w:val="0"/>
                <w:iCs w:val="0"/>
                <w:color w:val="0284C7"/>
                <w:sz w:val="24"/>
                <w:szCs w:val="24"/>
              </w:rPr>
              <w:t xml:space="preserve">/cf/v1/lca/compute </w:t>
            </w:r>
          </w:p>
        </w:tc>
        <w:tc>
          <w:tcPr>
            <w:tcW w:w="8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AE09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POST</w:t>
            </w:r>
          </w:p>
        </w:tc>
        <w:tc>
          <w:tcPr>
            <w:tcW w:w="2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F330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五阶段加总容差 ≤0.01</w:t>
            </w:r>
          </w:p>
        </w:tc>
      </w:tr>
      <w:tr w14:paraId="29D6F361">
        <w:tblPrEx>
          <w:tblCellMar>
            <w:top w:w="0" w:type="dxa"/>
            <w:left w:w="108" w:type="dxa"/>
            <w:bottom w:w="0" w:type="dxa"/>
            <w:right w:w="108" w:type="dxa"/>
          </w:tblCellMar>
        </w:tblPrEx>
        <w:trP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A334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BB9B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 CBAM 关税模拟与申报</w:t>
            </w:r>
          </w:p>
        </w:tc>
        <w:tc>
          <w:tcPr>
            <w:tcW w:w="33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8E56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val="0"/>
                <w:i w:val="0"/>
                <w:iCs w:val="0"/>
                <w:color w:val="0284C7"/>
                <w:sz w:val="24"/>
                <w:szCs w:val="24"/>
              </w:rPr>
              <w:t xml:space="preserve">/cf/v1/cbam/declaration </w:t>
            </w:r>
          </w:p>
        </w:tc>
        <w:tc>
          <w:tcPr>
            <w:tcW w:w="8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7C99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POST</w:t>
            </w:r>
          </w:p>
        </w:tc>
        <w:tc>
          <w:tcPr>
            <w:tcW w:w="2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F70A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XSD 校验，双签门禁</w:t>
            </w:r>
          </w:p>
        </w:tc>
      </w:tr>
      <w:tr w14:paraId="12D25EF3">
        <w:tblPrEx>
          <w:tblCellMar>
            <w:top w:w="0" w:type="dxa"/>
            <w:left w:w="108" w:type="dxa"/>
            <w:bottom w:w="0" w:type="dxa"/>
            <w:right w:w="108" w:type="dxa"/>
          </w:tblCellMar>
        </w:tblPrEx>
        <w:trP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6488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3144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因子库多维分页检索</w:t>
            </w:r>
          </w:p>
        </w:tc>
        <w:tc>
          <w:tcPr>
            <w:tcW w:w="33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8004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val="0"/>
                <w:i w:val="0"/>
                <w:iCs w:val="0"/>
                <w:color w:val="0284C7"/>
                <w:sz w:val="24"/>
                <w:szCs w:val="24"/>
              </w:rPr>
              <w:t xml:space="preserve">/cf/v1/factors/search </w:t>
            </w:r>
          </w:p>
        </w:tc>
        <w:tc>
          <w:tcPr>
            <w:tcW w:w="8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02A8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GET</w:t>
            </w:r>
          </w:p>
        </w:tc>
        <w:tc>
          <w:tcPr>
            <w:tcW w:w="2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C050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过期因子默认过滤</w:t>
            </w:r>
          </w:p>
        </w:tc>
      </w:tr>
      <w:tr w14:paraId="7B95451E">
        <w:tblPrEx>
          <w:tblCellMar>
            <w:top w:w="0" w:type="dxa"/>
            <w:left w:w="108" w:type="dxa"/>
            <w:bottom w:w="0" w:type="dxa"/>
            <w:right w:w="108" w:type="dxa"/>
          </w:tblCellMar>
        </w:tblPrEx>
        <w:trP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7D3D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652DD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节能技改项目 M&amp;V 评估</w:t>
            </w:r>
          </w:p>
        </w:tc>
        <w:tc>
          <w:tcPr>
            <w:tcW w:w="33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BE65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val="0"/>
                <w:i w:val="0"/>
                <w:iCs w:val="0"/>
                <w:color w:val="0284C7"/>
                <w:sz w:val="24"/>
                <w:szCs w:val="24"/>
              </w:rPr>
              <w:t xml:space="preserve">/monitor/v1/project/mv-evaluate </w:t>
            </w:r>
          </w:p>
        </w:tc>
        <w:tc>
          <w:tcPr>
            <w:tcW w:w="8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104F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POST</w:t>
            </w:r>
          </w:p>
        </w:tc>
        <w:tc>
          <w:tcPr>
            <w:tcW w:w="2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A0C3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基准期 ≥12 个月</w:t>
            </w:r>
          </w:p>
        </w:tc>
      </w:tr>
      <w:tr w14:paraId="7530A61B">
        <w:tblPrEx>
          <w:tblCellMar>
            <w:top w:w="0" w:type="dxa"/>
            <w:left w:w="108" w:type="dxa"/>
            <w:bottom w:w="0" w:type="dxa"/>
            <w:right w:w="108" w:type="dxa"/>
          </w:tblCellMar>
        </w:tblPrEx>
        <w:trP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FD9E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4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5C5E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双中心用户会话与 RBAC 鉴权刷新</w:t>
            </w:r>
          </w:p>
        </w:tc>
        <w:tc>
          <w:tcPr>
            <w:tcW w:w="33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9BC6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val="0"/>
                <w:i w:val="0"/>
                <w:iCs w:val="0"/>
                <w:color w:val="0284C7"/>
                <w:sz w:val="24"/>
                <w:szCs w:val="24"/>
              </w:rPr>
              <w:t xml:space="preserve">/auth/v1/session/refresh </w:t>
            </w:r>
          </w:p>
        </w:tc>
        <w:tc>
          <w:tcPr>
            <w:tcW w:w="8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A687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POST</w:t>
            </w:r>
          </w:p>
        </w:tc>
        <w:tc>
          <w:tcPr>
            <w:tcW w:w="2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D7CB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JWT 有效期滚动</w:t>
            </w:r>
          </w:p>
        </w:tc>
      </w:tr>
    </w:tbl>
    <w:p w14:paraId="376DFC71">
      <w:pPr>
        <w:spacing w:after="60"/>
        <w:rPr>
          <w:rFonts w:hint="eastAsia" w:ascii="宋体" w:hAnsi="宋体" w:eastAsia="宋体" w:cs="宋体"/>
          <w:i w:val="0"/>
          <w:iCs w:val="0"/>
          <w:sz w:val="24"/>
          <w:szCs w:val="24"/>
        </w:rPr>
      </w:pPr>
    </w:p>
    <w:p w14:paraId="0CD4658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通用请求头规范：</w:t>
      </w:r>
    </w:p>
    <w:tbl>
      <w:tblPr>
        <w:tblStyle w:val="38"/>
        <w:tblW w:w="9784" w:type="dxa"/>
        <w:jc w:val="center"/>
        <w:tblLayout w:type="autofit"/>
        <w:tblCellMar>
          <w:top w:w="0" w:type="dxa"/>
          <w:left w:w="108" w:type="dxa"/>
          <w:bottom w:w="0" w:type="dxa"/>
          <w:right w:w="108" w:type="dxa"/>
        </w:tblCellMar>
      </w:tblPr>
      <w:tblGrid>
        <w:gridCol w:w="2840"/>
        <w:gridCol w:w="5209"/>
        <w:gridCol w:w="1735"/>
      </w:tblGrid>
      <w:tr w14:paraId="538C909A">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666549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Header</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BD2987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说明</w:t>
            </w:r>
          </w:p>
        </w:tc>
        <w:tc>
          <w:tcPr>
            <w:tcW w:w="173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DB3EB6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是否必填</w:t>
            </w:r>
          </w:p>
        </w:tc>
      </w:tr>
      <w:tr w14:paraId="14215FA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B5F6E8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Authorization</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28472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Bearer JWT 访问令牌</w:t>
            </w:r>
          </w:p>
        </w:tc>
        <w:tc>
          <w:tcPr>
            <w:tcW w:w="17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F951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必填</w:t>
            </w:r>
          </w:p>
        </w:tc>
      </w:tr>
      <w:tr w14:paraId="6770AAC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B925A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X-Tenant-Org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C40E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请求发起组织节点编码（用于 RLS）</w:t>
            </w:r>
          </w:p>
        </w:tc>
        <w:tc>
          <w:tcPr>
            <w:tcW w:w="17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39219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必填</w:t>
            </w:r>
          </w:p>
        </w:tc>
      </w:tr>
      <w:tr w14:paraId="0BD3E35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C3E9D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X-Request-Id</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92F4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全链路追踪 ID，用于日志关联</w:t>
            </w:r>
          </w:p>
        </w:tc>
        <w:tc>
          <w:tcPr>
            <w:tcW w:w="17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84476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必填</w:t>
            </w:r>
          </w:p>
        </w:tc>
      </w:tr>
      <w:tr w14:paraId="21A6FCF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A2A56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X-Idempotency-Key</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222D9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幂等键，写操作必填</w:t>
            </w:r>
          </w:p>
        </w:tc>
        <w:tc>
          <w:tcPr>
            <w:tcW w:w="17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3001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写操作必填</w:t>
            </w:r>
          </w:p>
        </w:tc>
      </w:tr>
      <w:tr w14:paraId="2C3242D9">
        <w:tblPrEx>
          <w:tblCellMar>
            <w:top w:w="0" w:type="dxa"/>
            <w:left w:w="108" w:type="dxa"/>
            <w:bottom w:w="0" w:type="dxa"/>
            <w:right w:w="108" w:type="dxa"/>
          </w:tblCellMar>
        </w:tblPrEx>
        <w:trPr>
          <w:jc w:val="center"/>
        </w:trPr>
        <w:tc>
          <w:tcPr>
            <w:tcW w:w="284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FBD3E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X-Signature</w:t>
            </w:r>
          </w:p>
        </w:tc>
        <w:tc>
          <w:tcPr>
            <w:tcW w:w="52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915DD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HMAC-SHA256 报文签名</w:t>
            </w:r>
          </w:p>
        </w:tc>
        <w:tc>
          <w:tcPr>
            <w:tcW w:w="17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30CF0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必填</w:t>
            </w:r>
          </w:p>
        </w:tc>
      </w:tr>
    </w:tbl>
    <w:p w14:paraId="20393932">
      <w:pPr>
        <w:spacing w:after="60"/>
        <w:rPr>
          <w:rFonts w:hint="eastAsia" w:ascii="宋体" w:hAnsi="宋体" w:eastAsia="宋体" w:cs="宋体"/>
          <w:i w:val="0"/>
          <w:iCs w:val="0"/>
          <w:sz w:val="24"/>
          <w:szCs w:val="24"/>
        </w:rPr>
      </w:pPr>
    </w:p>
    <w:p w14:paraId="426904FA">
      <w:pPr>
        <w:pStyle w:val="4"/>
        <w:numPr>
          <w:ilvl w:val="0"/>
          <w:numId w:val="206"/>
        </w:numPr>
        <w:topLinePunct w:val="0"/>
        <w:ind w:left="0" w:leftChars="0" w:firstLine="0" w:firstLineChars="0"/>
        <w:outlineLvl w:val="0"/>
        <w:rPr>
          <w:rFonts w:hint="eastAsia" w:eastAsia="黑体"/>
          <w:b w:val="0"/>
          <w:bCs w:val="0"/>
          <w:sz w:val="30"/>
          <w:szCs w:val="32"/>
        </w:rPr>
      </w:pPr>
      <w:bookmarkStart w:id="66" w:name="_Toc16500"/>
      <w:r>
        <w:rPr>
          <w:rFonts w:ascii="Times New Roman" w:hAnsi="Times New Roman" w:eastAsia="黑体" w:cs="Times New Roman"/>
          <w:b w:val="0"/>
          <w:bCs w:val="0"/>
          <w:sz w:val="30"/>
          <w:szCs w:val="32"/>
        </w:rPr>
        <w:t>质量保障体系与全量验收测试用例矩阵</w:t>
      </w:r>
      <w:bookmarkEnd w:id="66"/>
    </w:p>
    <w:tbl>
      <w:tblPr>
        <w:tblStyle w:val="38"/>
        <w:tblW w:w="9530" w:type="dxa"/>
        <w:jc w:val="center"/>
        <w:tblLayout w:type="autofit"/>
        <w:tblCellMar>
          <w:top w:w="0" w:type="dxa"/>
          <w:left w:w="108" w:type="dxa"/>
          <w:bottom w:w="0" w:type="dxa"/>
          <w:right w:w="108" w:type="dxa"/>
        </w:tblCellMar>
      </w:tblPr>
      <w:tblGrid>
        <w:gridCol w:w="1320"/>
        <w:gridCol w:w="1421"/>
        <w:gridCol w:w="2167"/>
        <w:gridCol w:w="3492"/>
        <w:gridCol w:w="1130"/>
      </w:tblGrid>
      <w:tr w14:paraId="0632645B">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C8ABE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用例编号</w:t>
            </w:r>
          </w:p>
        </w:tc>
        <w:tc>
          <w:tcPr>
            <w:tcW w:w="142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7C103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验证要点</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488F4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测试输入与方法</w:t>
            </w:r>
          </w:p>
        </w:tc>
        <w:tc>
          <w:tcPr>
            <w:tcW w:w="349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1D3FC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期望输出与验收指标</w:t>
            </w:r>
          </w:p>
        </w:tc>
        <w:tc>
          <w:tcPr>
            <w:tcW w:w="112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CB176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阻断级别</w:t>
            </w:r>
          </w:p>
        </w:tc>
      </w:tr>
      <w:tr w14:paraId="006A3B9E">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F63F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TC-01</w:t>
            </w:r>
          </w:p>
        </w:tc>
        <w:tc>
          <w:tcPr>
            <w:tcW w:w="14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9326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lang w:val="en-US" w:eastAsia="zh-CN"/>
              </w:rPr>
              <w:t>固定</w:t>
            </w:r>
            <w:r>
              <w:rPr>
                <w:rFonts w:hint="eastAsia" w:ascii="宋体" w:hAnsi="宋体" w:eastAsia="宋体" w:cs="宋体"/>
                <w:i w:val="0"/>
                <w:iCs w:val="0"/>
                <w:color w:val="1F2937"/>
                <w:sz w:val="24"/>
                <w:szCs w:val="24"/>
              </w:rPr>
              <w:t>表格行高</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E077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CSS 样式扫描 + 像素检查</w:t>
            </w:r>
          </w:p>
        </w:tc>
        <w:tc>
          <w:tcPr>
            <w:tcW w:w="3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E639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全站所有表格行固定行高，垂直居中无抖动</w:t>
            </w:r>
          </w:p>
        </w:tc>
        <w:tc>
          <w:tcPr>
            <w:tcW w:w="11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D803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2EABAD6A">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BB22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TC-02</w:t>
            </w:r>
          </w:p>
        </w:tc>
        <w:tc>
          <w:tcPr>
            <w:tcW w:w="14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9A3E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lang w:val="en-US" w:eastAsia="zh-CN"/>
              </w:rPr>
              <w:t>一致性</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A888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自动化对标</w:t>
            </w:r>
          </w:p>
        </w:tc>
        <w:tc>
          <w:tcPr>
            <w:tcW w:w="3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38A4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浅色端功能、图表与样式 100% 一致</w:t>
            </w:r>
          </w:p>
        </w:tc>
        <w:tc>
          <w:tcPr>
            <w:tcW w:w="11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5253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69B62855">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9FF0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TC-03</w:t>
            </w:r>
          </w:p>
        </w:tc>
        <w:tc>
          <w:tcPr>
            <w:tcW w:w="14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1D5D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工序白名单判空</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9B95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选择沈变/鲁缆智慧能源等无工序单位</w:t>
            </w:r>
          </w:p>
        </w:tc>
        <w:tc>
          <w:tcPr>
            <w:tcW w:w="3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9519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工序区域整行仅输出单行"暂无相关工序！"，无大段说教</w:t>
            </w:r>
          </w:p>
        </w:tc>
        <w:tc>
          <w:tcPr>
            <w:tcW w:w="11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1A2E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02A557F9">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6509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TC-04</w:t>
            </w:r>
          </w:p>
        </w:tc>
        <w:tc>
          <w:tcPr>
            <w:tcW w:w="14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7CFC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客观中立性纯洁度</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498E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全系统文字定性词正则扫描</w:t>
            </w:r>
          </w:p>
        </w:tc>
        <w:tc>
          <w:tcPr>
            <w:tcW w:w="3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F89B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零主观定性词汇（"表现优异/运行欠佳/落后单位"等）</w:t>
            </w:r>
          </w:p>
        </w:tc>
        <w:tc>
          <w:tcPr>
            <w:tcW w:w="11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A237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082BA07D">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79AB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TC-05</w:t>
            </w:r>
          </w:p>
        </w:tc>
        <w:tc>
          <w:tcPr>
            <w:tcW w:w="14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C5C2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极限除零边界防御</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884B8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BVA 极限输入月度产量 M = 0</w:t>
            </w:r>
          </w:p>
        </w:tc>
        <w:tc>
          <w:tcPr>
            <w:tcW w:w="3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2323F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自动拦截除以零异常，单耗显示"--"，严禁 NaN 或白屏</w:t>
            </w:r>
          </w:p>
        </w:tc>
        <w:tc>
          <w:tcPr>
            <w:tcW w:w="11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7347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165AEF61">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FDD5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TC-06</w:t>
            </w:r>
          </w:p>
        </w:tc>
        <w:tc>
          <w:tcPr>
            <w:tcW w:w="14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95D7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数据录入并发防刷</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C0E6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100ms 内快速连续点击提交 3 次</w:t>
            </w:r>
          </w:p>
        </w:tc>
        <w:tc>
          <w:tcPr>
            <w:tcW w:w="3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10BB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Token 幂等拦截，仅首笔入库，提示防刷，防止重复记账</w:t>
            </w:r>
          </w:p>
        </w:tc>
        <w:tc>
          <w:tcPr>
            <w:tcW w:w="11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B62A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3CC20A60">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4CFF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TC-07</w:t>
            </w:r>
          </w:p>
        </w:tc>
        <w:tc>
          <w:tcPr>
            <w:tcW w:w="14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7678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非负防错校验</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4089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录入工作台输入产量为 -500 kVA</w:t>
            </w:r>
          </w:p>
        </w:tc>
        <w:tc>
          <w:tcPr>
            <w:tcW w:w="3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4B6AB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前端即时拦截并红框高亮，禁止发送请求</w:t>
            </w:r>
          </w:p>
        </w:tc>
        <w:tc>
          <w:tcPr>
            <w:tcW w:w="11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A7EC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11F8A713">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BE3E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TC-08</w:t>
            </w:r>
          </w:p>
        </w:tc>
        <w:tc>
          <w:tcPr>
            <w:tcW w:w="14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4B87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网络故障降级容灾</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C75F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断网混沌工程故障注入</w:t>
            </w:r>
          </w:p>
        </w:tc>
        <w:tc>
          <w:tcPr>
            <w:tcW w:w="3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CEA3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优雅提示网络连接异常，恢复后支持一键重试刷新</w:t>
            </w:r>
          </w:p>
        </w:tc>
        <w:tc>
          <w:tcPr>
            <w:tcW w:w="11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ED2C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高优先级</w:t>
            </w:r>
          </w:p>
        </w:tc>
      </w:tr>
      <w:tr w14:paraId="005313C8">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A1DC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TC-09</w:t>
            </w:r>
          </w:p>
        </w:tc>
        <w:tc>
          <w:tcPr>
            <w:tcW w:w="14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AC4F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模块八段式完整性</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3F73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全量模块结构扫描</w:t>
            </w:r>
          </w:p>
        </w:tc>
        <w:tc>
          <w:tcPr>
            <w:tcW w:w="3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1093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每个功能模块均含八段结构：定位/场景故事/交互契约/字段字典/数学模型/判定口径/边界异常/Gherkin 验收</w:t>
            </w:r>
          </w:p>
        </w:tc>
        <w:tc>
          <w:tcPr>
            <w:tcW w:w="11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6207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43FC29AE">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B8A0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TC-10</w:t>
            </w:r>
          </w:p>
        </w:tc>
        <w:tc>
          <w:tcPr>
            <w:tcW w:w="14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BC14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产业分母隔离铁律</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28D7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数据层与导出层字段扫描</w:t>
            </w:r>
          </w:p>
        </w:tc>
        <w:tc>
          <w:tcPr>
            <w:tcW w:w="3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9C8D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变压器与线缆单耗不存在同列或跨产业排名</w:t>
            </w:r>
          </w:p>
        </w:tc>
        <w:tc>
          <w:tcPr>
            <w:tcW w:w="11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E2D1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43178254">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1C16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TC-11</w:t>
            </w:r>
          </w:p>
        </w:tc>
        <w:tc>
          <w:tcPr>
            <w:tcW w:w="14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A44F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因子版本时效拦截</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9266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选用超出 effective_to 的因子</w:t>
            </w:r>
          </w:p>
        </w:tc>
        <w:tc>
          <w:tcPr>
            <w:tcW w:w="3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3985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选用动作被拦截并返回 E_VAL_FACTOR_EXPIRED</w:t>
            </w:r>
          </w:p>
        </w:tc>
        <w:tc>
          <w:tcPr>
            <w:tcW w:w="11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5195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高优先级</w:t>
            </w:r>
          </w:p>
        </w:tc>
      </w:tr>
      <w:tr w14:paraId="533F33B6">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9F3D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TC-12</w:t>
            </w:r>
          </w:p>
        </w:tc>
        <w:tc>
          <w:tcPr>
            <w:tcW w:w="14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B810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审计哈希链完整性</w:t>
            </w:r>
          </w:p>
        </w:tc>
        <w:tc>
          <w:tcPr>
            <w:tcW w:w="216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286C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篡改 LCA 报告内容后校验哈希</w:t>
            </w:r>
          </w:p>
        </w:tc>
        <w:tc>
          <w:tcPr>
            <w:tcW w:w="3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6366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校验失败并锁定当事单据，返回 E_AUDIT_HASH_BROKEN</w:t>
            </w:r>
          </w:p>
        </w:tc>
        <w:tc>
          <w:tcPr>
            <w:tcW w:w="11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1DED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bl>
    <w:p w14:paraId="63215597">
      <w:pPr>
        <w:spacing w:after="60"/>
        <w:rPr>
          <w:rFonts w:hint="eastAsia" w:ascii="宋体" w:hAnsi="宋体" w:eastAsia="宋体" w:cs="宋体"/>
          <w:i w:val="0"/>
          <w:iCs w:val="0"/>
          <w:sz w:val="24"/>
          <w:szCs w:val="24"/>
        </w:rPr>
      </w:pPr>
    </w:p>
    <w:p w14:paraId="0F536DA2">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58E55B1C">
      <w:pPr>
        <w:pStyle w:val="3"/>
        <w:numPr>
          <w:ilvl w:val="0"/>
          <w:numId w:val="7"/>
        </w:numPr>
        <w:ind w:left="0" w:leftChars="0" w:firstLine="0" w:firstLineChars="0"/>
        <w:rPr>
          <w:rFonts w:eastAsia="黑体"/>
          <w:b w:val="0"/>
          <w:bCs w:val="0"/>
          <w:sz w:val="32"/>
          <w:szCs w:val="44"/>
        </w:rPr>
      </w:pPr>
      <w:bookmarkStart w:id="67" w:name="_Toc21559"/>
      <w:r>
        <w:rPr>
          <w:rFonts w:ascii="Times New Roman" w:hAnsi="Times New Roman" w:eastAsia="黑体" w:cs="Times New Roman"/>
          <w:b w:val="0"/>
          <w:bCs w:val="0"/>
          <w:sz w:val="32"/>
          <w:szCs w:val="44"/>
        </w:rPr>
        <w:t>工程治理、状态机与合规保障体系</w:t>
      </w:r>
      <w:bookmarkEnd w:id="67"/>
    </w:p>
    <w:p w14:paraId="33439157">
      <w:pPr>
        <w:pStyle w:val="4"/>
        <w:numPr>
          <w:ilvl w:val="0"/>
          <w:numId w:val="209"/>
        </w:numPr>
        <w:topLinePunct w:val="0"/>
        <w:ind w:left="0" w:leftChars="0" w:firstLine="0" w:firstLineChars="0"/>
        <w:outlineLvl w:val="0"/>
        <w:rPr>
          <w:rFonts w:hint="eastAsia" w:eastAsia="黑体"/>
          <w:b w:val="0"/>
          <w:bCs w:val="0"/>
          <w:sz w:val="30"/>
          <w:szCs w:val="32"/>
        </w:rPr>
      </w:pPr>
      <w:bookmarkStart w:id="68" w:name="_Toc23289"/>
      <w:r>
        <w:rPr>
          <w:rFonts w:ascii="Times New Roman" w:hAnsi="Times New Roman" w:eastAsia="黑体" w:cs="Times New Roman"/>
          <w:b w:val="0"/>
          <w:bCs w:val="0"/>
          <w:sz w:val="30"/>
          <w:szCs w:val="32"/>
        </w:rPr>
        <w:t>数据治理与商密合规</w:t>
      </w:r>
    </w:p>
    <w:p w14:paraId="58FBCA29">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依据大型央国企商密规范与海外出海安全条例，建立严格的 L0~L4 数据分级、脱敏与审计留痕机制。</w:t>
      </w:r>
    </w:p>
    <w:tbl>
      <w:tblPr>
        <w:tblStyle w:val="38"/>
        <w:tblW w:w="10369" w:type="dxa"/>
        <w:jc w:val="center"/>
        <w:tblLayout w:type="autofit"/>
        <w:tblCellMar>
          <w:top w:w="0" w:type="dxa"/>
          <w:left w:w="108" w:type="dxa"/>
          <w:bottom w:w="0" w:type="dxa"/>
          <w:right w:w="108" w:type="dxa"/>
        </w:tblCellMar>
      </w:tblPr>
      <w:tblGrid>
        <w:gridCol w:w="1299"/>
        <w:gridCol w:w="817"/>
        <w:gridCol w:w="2858"/>
        <w:gridCol w:w="2758"/>
        <w:gridCol w:w="2637"/>
      </w:tblGrid>
      <w:tr w14:paraId="6CB3797D">
        <w:tblPrEx>
          <w:tblCellMar>
            <w:top w:w="0" w:type="dxa"/>
            <w:left w:w="108" w:type="dxa"/>
            <w:bottom w:w="0" w:type="dxa"/>
            <w:right w:w="108" w:type="dxa"/>
          </w:tblCellMar>
        </w:tblPrEx>
        <w:trPr>
          <w:tblHeader/>
          <w:jc w:val="center"/>
        </w:trPr>
        <w:tc>
          <w:tcPr>
            <w:tcW w:w="12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3AA02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级别标签</w:t>
            </w:r>
          </w:p>
        </w:tc>
        <w:tc>
          <w:tcPr>
            <w:tcW w:w="8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B7AC7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D396C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典型业务字段</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BF233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展示脱敏规则</w:t>
            </w:r>
          </w:p>
        </w:tc>
        <w:tc>
          <w:tcPr>
            <w:tcW w:w="26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80E33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导出与存储处理要求</w:t>
            </w:r>
          </w:p>
        </w:tc>
      </w:tr>
      <w:tr w14:paraId="0AB74A01">
        <w:tblPrEx>
          <w:tblCellMar>
            <w:top w:w="0" w:type="dxa"/>
            <w:left w:w="108" w:type="dxa"/>
            <w:bottom w:w="0" w:type="dxa"/>
            <w:right w:w="108" w:type="dxa"/>
          </w:tblCellMar>
        </w:tblPrEx>
        <w:trPr>
          <w:jc w:val="center"/>
        </w:trPr>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6AA5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L0</w:t>
            </w:r>
          </w:p>
        </w:tc>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8EE0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公开</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00B4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国家行业能耗先进值、国家准入值、折标煤系数</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B957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明文正常展示</w:t>
            </w:r>
          </w:p>
        </w:tc>
        <w:tc>
          <w:tcPr>
            <w:tcW w:w="2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5E0BC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允许对外发布与公开引用</w:t>
            </w:r>
          </w:p>
        </w:tc>
      </w:tr>
      <w:tr w14:paraId="3163CDDB">
        <w:tblPrEx>
          <w:tblCellMar>
            <w:top w:w="0" w:type="dxa"/>
            <w:left w:w="108" w:type="dxa"/>
            <w:bottom w:w="0" w:type="dxa"/>
            <w:right w:w="108" w:type="dxa"/>
          </w:tblCellMar>
        </w:tblPrEx>
        <w:trPr>
          <w:jc w:val="center"/>
        </w:trPr>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7714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L1</w:t>
            </w:r>
          </w:p>
        </w:tc>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8961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内部</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4241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各基地万元产值能耗、单位产品单耗、绿电消纳率</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17A5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全集团统一内网展示</w:t>
            </w:r>
          </w:p>
        </w:tc>
        <w:tc>
          <w:tcPr>
            <w:tcW w:w="2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FEF7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仅限特变电工内部网络访问与流转</w:t>
            </w:r>
          </w:p>
        </w:tc>
      </w:tr>
      <w:tr w14:paraId="7E19C834">
        <w:tblPrEx>
          <w:tblCellMar>
            <w:top w:w="0" w:type="dxa"/>
            <w:left w:w="108" w:type="dxa"/>
            <w:bottom w:w="0" w:type="dxa"/>
            <w:right w:w="108" w:type="dxa"/>
          </w:tblCellMar>
        </w:tblPrEx>
        <w:trPr>
          <w:jc w:val="center"/>
        </w:trPr>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9147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L2</w:t>
            </w:r>
          </w:p>
        </w:tc>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20EA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敏感</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F49F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重点设备编码、车间统计员手机号、采集表计 UUID</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8F1B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手机号保留前 3 后 4，UUID 保留尾 4 位</w:t>
            </w:r>
          </w:p>
        </w:tc>
        <w:tc>
          <w:tcPr>
            <w:tcW w:w="2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E8BC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访问审计留痕，导出带工号动态水印</w:t>
            </w:r>
          </w:p>
        </w:tc>
      </w:tr>
      <w:tr w14:paraId="0E5DC058">
        <w:tblPrEx>
          <w:tblCellMar>
            <w:top w:w="0" w:type="dxa"/>
            <w:left w:w="108" w:type="dxa"/>
            <w:bottom w:w="0" w:type="dxa"/>
            <w:right w:w="108" w:type="dxa"/>
          </w:tblCellMar>
        </w:tblPrEx>
        <w:trPr>
          <w:jc w:val="center"/>
        </w:trPr>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6CA2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L3</w:t>
            </w:r>
          </w:p>
        </w:tc>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42F5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商密</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46C6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变压器工艺配方、月度电费金额、CBAM 申报底表</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702C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电费四舍五入到万元，CBAM 底表仅 P5/PM 可见</w:t>
            </w:r>
          </w:p>
        </w:tc>
        <w:tc>
          <w:tcPr>
            <w:tcW w:w="2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ABB9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落盘 AES-256 加密存储，操作链式 Hash 留痕</w:t>
            </w:r>
          </w:p>
        </w:tc>
      </w:tr>
      <w:tr w14:paraId="0ACC3D18">
        <w:tblPrEx>
          <w:tblCellMar>
            <w:top w:w="0" w:type="dxa"/>
            <w:left w:w="108" w:type="dxa"/>
            <w:bottom w:w="0" w:type="dxa"/>
            <w:right w:w="108" w:type="dxa"/>
          </w:tblCellMar>
        </w:tblPrEx>
        <w:trPr>
          <w:jc w:val="center"/>
        </w:trPr>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7A25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L4</w:t>
            </w:r>
          </w:p>
        </w:tc>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8994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绝密</w:t>
            </w:r>
          </w:p>
        </w:tc>
        <w:tc>
          <w:tcPr>
            <w:tcW w:w="28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6E02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集团双碳战略投资路线图、上市公司核心能耗决算</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48C4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高管双重鉴权展示，强制显式全屏防截屏水印</w:t>
            </w:r>
          </w:p>
        </w:tc>
        <w:tc>
          <w:tcPr>
            <w:tcW w:w="2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2692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仅 P1 集团决策层授权访问，双人签批导出</w:t>
            </w:r>
          </w:p>
        </w:tc>
      </w:tr>
    </w:tbl>
    <w:p w14:paraId="0957058A">
      <w:pPr>
        <w:spacing w:after="60"/>
        <w:rPr>
          <w:rFonts w:hint="eastAsia" w:ascii="宋体" w:hAnsi="宋体" w:eastAsia="宋体" w:cs="宋体"/>
          <w:i w:val="0"/>
          <w:iCs w:val="0"/>
          <w:sz w:val="24"/>
          <w:szCs w:val="24"/>
        </w:rPr>
      </w:pPr>
    </w:p>
    <w:p w14:paraId="1588B8BE">
      <w:pPr>
        <w:pStyle w:val="19"/>
        <w:widowControl/>
        <w:ind w:left="0" w:leftChars="0" w:firstLine="0" w:firstLineChars="0"/>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数据法定保留与销毁期限：</w:t>
      </w:r>
    </w:p>
    <w:p w14:paraId="575ED141">
      <w:pPr>
        <w:pStyle w:val="19"/>
        <w:widowControl/>
        <w:numPr>
          <w:ilvl w:val="0"/>
          <w:numId w:val="210"/>
        </w:numPr>
        <w:ind w:left="0" w:leftChars="0" w:firstLine="0" w:firstLineChars="0"/>
        <w:rPr>
          <w:rFonts w:eastAsia="宋体"/>
          <w:b/>
          <w:i w:val="0"/>
          <w:color w:val="1E3A8A"/>
          <w:sz w:val="24"/>
          <w:szCs w:val="24"/>
        </w:rPr>
      </w:pPr>
      <w:r>
        <w:rPr>
          <w:rFonts w:ascii="Times New Roman" w:hAnsi="Times New Roman" w:eastAsia="宋体" w:cs="Times New Roman"/>
          <w:i w:val="0"/>
          <w:color w:val="1F2937"/>
          <w:sz w:val="24"/>
          <w:szCs w:val="24"/>
        </w:rPr>
        <w:t>工业时序遥测数据：在线存储 ≥ 3 年，冷归档存储 ≥ 10 年。</w:t>
      </w:r>
    </w:p>
    <w:p w14:paraId="7AE6BCD7">
      <w:pPr>
        <w:pStyle w:val="19"/>
        <w:widowControl/>
        <w:numPr>
          <w:ilvl w:val="0"/>
          <w:numId w:val="210"/>
        </w:numPr>
        <w:ind w:left="0" w:leftChars="0" w:firstLine="0" w:firstLineChars="0"/>
        <w:rPr>
          <w:rFonts w:eastAsia="宋体"/>
          <w:b/>
          <w:i w:val="0"/>
          <w:color w:val="1E3A8A"/>
          <w:sz w:val="24"/>
          <w:szCs w:val="24"/>
        </w:rPr>
      </w:pPr>
      <w:r>
        <w:rPr>
          <w:rFonts w:ascii="Times New Roman" w:hAnsi="Times New Roman" w:eastAsia="宋体" w:cs="Times New Roman"/>
          <w:i w:val="0"/>
          <w:color w:val="1F2937"/>
          <w:sz w:val="24"/>
          <w:szCs w:val="24"/>
        </w:rPr>
        <w:t>财务电费与用能台账：法定保留 ≥ 10 年，到期按国家档案法规销毁。</w:t>
      </w:r>
    </w:p>
    <w:p w14:paraId="5A11257A">
      <w:pPr>
        <w:pStyle w:val="19"/>
        <w:widowControl/>
        <w:numPr>
          <w:ilvl w:val="0"/>
          <w:numId w:val="210"/>
        </w:numPr>
        <w:ind w:left="0" w:leftChars="0" w:firstLine="0" w:firstLineChars="0"/>
        <w:rPr>
          <w:rFonts w:eastAsia="宋体"/>
          <w:b/>
          <w:i w:val="0"/>
          <w:color w:val="1E3A8A"/>
          <w:sz w:val="24"/>
          <w:szCs w:val="24"/>
        </w:rPr>
      </w:pPr>
      <w:r>
        <w:rPr>
          <w:rFonts w:ascii="Times New Roman" w:hAnsi="Times New Roman" w:eastAsia="宋体" w:cs="Times New Roman"/>
          <w:i w:val="0"/>
          <w:color w:val="1F2937"/>
          <w:sz w:val="24"/>
          <w:szCs w:val="24"/>
        </w:rPr>
        <w:t>欧盟 CBAM 申报底表：法定保留 ≥ 10 年（欧盟海关追溯要求）。</w:t>
      </w:r>
    </w:p>
    <w:p w14:paraId="3F2F626A">
      <w:pPr>
        <w:pStyle w:val="19"/>
        <w:widowControl/>
        <w:numPr>
          <w:ilvl w:val="0"/>
          <w:numId w:val="210"/>
        </w:numPr>
        <w:ind w:left="0" w:leftChars="0" w:firstLine="0" w:firstLineChars="0"/>
        <w:rPr>
          <w:rFonts w:eastAsia="宋体"/>
          <w:b/>
          <w:i w:val="0"/>
          <w:color w:val="1E3A8A"/>
          <w:sz w:val="24"/>
          <w:szCs w:val="24"/>
        </w:rPr>
      </w:pPr>
      <w:r>
        <w:rPr>
          <w:rFonts w:ascii="Times New Roman" w:hAnsi="Times New Roman" w:eastAsia="宋体" w:cs="Times New Roman"/>
          <w:i w:val="0"/>
          <w:color w:val="1F2937"/>
          <w:sz w:val="24"/>
          <w:szCs w:val="24"/>
        </w:rPr>
        <w:t>LCA 碳足迹报告与认证声明：永久留底，严禁销毁。</w:t>
      </w:r>
    </w:p>
    <w:bookmarkEnd w:id="68"/>
    <w:p w14:paraId="3E0292CC">
      <w:pPr>
        <w:pStyle w:val="4"/>
        <w:numPr>
          <w:ilvl w:val="0"/>
          <w:numId w:val="209"/>
        </w:numPr>
        <w:topLinePunct w:val="0"/>
        <w:ind w:left="0" w:leftChars="0" w:firstLine="0" w:firstLineChars="0"/>
        <w:outlineLvl w:val="0"/>
        <w:rPr>
          <w:rFonts w:hint="eastAsia" w:eastAsia="黑体"/>
          <w:b w:val="0"/>
          <w:bCs w:val="0"/>
          <w:sz w:val="30"/>
          <w:szCs w:val="32"/>
        </w:rPr>
      </w:pPr>
      <w:r>
        <w:rPr>
          <w:rFonts w:ascii="Times New Roman" w:hAnsi="Times New Roman" w:eastAsia="黑体" w:cs="Times New Roman"/>
          <w:b w:val="0"/>
          <w:bCs w:val="0"/>
          <w:sz w:val="30"/>
          <w:szCs w:val="32"/>
        </w:rPr>
        <w:t>数据冲突仲裁与降级补传治理机制（Reconciliation）</w:t>
      </w:r>
    </w:p>
    <w:p w14:paraId="17DFB00F">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平台允许边缘网关在物理断网期间本地缓存补传（ E_IO_GATEWAY_OFFLINE ），亦允许 ERP 接口超时期间由人工上传 Excel BOM（ INV-FALLBACK 模式）。两类降级通道与主线数据源恢复后必然产生时序冲突与版本冲突，本节定义强制冲突消解规则，杜绝静默覆盖与指标口径漂移。</w:t>
      </w:r>
    </w:p>
    <w:p w14:paraId="2800B42A">
      <w:pPr>
        <w:pStyle w:val="5"/>
        <w:numPr>
          <w:ilvl w:val="0"/>
          <w:numId w:val="145"/>
        </w:numPr>
        <w:ind w:left="0" w:leftChars="0" w:firstLine="0" w:firstLineChars="0"/>
        <w:outlineLvl w:val="1"/>
        <w:rPr>
          <w:rFonts w:ascii="Times New Roman" w:hAnsi="Times New Roman" w:eastAsia="黑体" w:cs="Times New Roman"/>
          <w:b w:val="0"/>
          <w:bCs w:val="0"/>
          <w:sz w:val="30"/>
          <w:szCs w:val="24"/>
        </w:rPr>
      </w:pPr>
      <w:r>
        <w:rPr>
          <w:rFonts w:ascii="Times New Roman" w:hAnsi="Times New Roman" w:eastAsia="黑体" w:cs="Times New Roman"/>
          <w:b w:val="0"/>
          <w:bCs w:val="0"/>
          <w:sz w:val="30"/>
          <w:szCs w:val="24"/>
        </w:rPr>
        <w:t>时序补传冲突消解（断网恢复场景）</w:t>
      </w:r>
    </w:p>
    <w:p w14:paraId="7DA9F511">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判定基准：以边缘网关本地 SQLite 中携带原始硬件时间戳的补传数据为准，云端接收时间仅作参考，不作为业务发生时间。</w:t>
      </w:r>
    </w:p>
    <w:p w14:paraId="1D7DABB8">
      <w:pPr>
        <w:pStyle w:val="19"/>
        <w:widowControl/>
        <w:ind w:left="0" w:leftChars="0" w:firstLine="0" w:firstLineChars="0"/>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时序重写：补传数据落库后触发时序重写，按原始硬件时间戳重新排序并覆盖同点位同时刻的云端记录，重写前后的值写入差异流水。</w:t>
      </w:r>
    </w:p>
    <w:p w14:paraId="2C444A90">
      <w:pPr>
        <w:pStyle w:val="19"/>
        <w:widowControl/>
        <w:ind w:left="0" w:leftChars="0" w:firstLine="0" w:firstLineChars="0"/>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指标重算：时序重写完成后自动重新触发当日指标物化视图重算，重算范围限于受影响组织节点与介质，不做全量重算。</w:t>
      </w:r>
    </w:p>
    <w:p w14:paraId="19E1548B">
      <w:pPr>
        <w:pStyle w:val="19"/>
        <w:widowControl/>
        <w:ind w:left="0" w:leftChars="0" w:firstLine="0" w:firstLineChars="0"/>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操作留痕：每一次补传更新均写入「补传更新」操作流水（网关编号、断网起止时间、补传点数、受影响指标清单、重算结果）。</w:t>
      </w:r>
    </w:p>
    <w:p w14:paraId="0D8A4C33">
      <w:pPr>
        <w:pStyle w:val="19"/>
        <w:widowControl/>
        <w:ind w:left="0" w:leftChars="0" w:firstLine="0" w:firstLineChars="0"/>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越界保护：补传数据时间戳早于已锁账月份期末时，不得直接改写历史锁账数据，须走特批反冲流程并生成对账待办。</w:t>
      </w:r>
    </w:p>
    <w:tbl>
      <w:tblPr>
        <w:tblStyle w:val="38"/>
        <w:tblW w:w="10379" w:type="dxa"/>
        <w:jc w:val="center"/>
        <w:tblLayout w:type="autofit"/>
        <w:tblCellMar>
          <w:top w:w="0" w:type="dxa"/>
          <w:left w:w="108" w:type="dxa"/>
          <w:bottom w:w="0" w:type="dxa"/>
          <w:right w:w="108" w:type="dxa"/>
        </w:tblCellMar>
      </w:tblPr>
      <w:tblGrid>
        <w:gridCol w:w="1418"/>
        <w:gridCol w:w="2745"/>
        <w:gridCol w:w="2976"/>
        <w:gridCol w:w="3240"/>
      </w:tblGrid>
      <w:tr w14:paraId="4A1D096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F6BCF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冲突场景</w:t>
            </w:r>
          </w:p>
        </w:tc>
        <w:tc>
          <w:tcPr>
            <w:tcW w:w="274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BA900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触发条件</w:t>
            </w:r>
          </w:p>
        </w:tc>
        <w:tc>
          <w:tcPr>
            <w:tcW w:w="297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C7FE4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仲裁规则</w:t>
            </w:r>
          </w:p>
        </w:tc>
        <w:tc>
          <w:tcPr>
            <w:tcW w:w="275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51FDB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系统动作与留痕</w:t>
            </w:r>
          </w:p>
        </w:tc>
      </w:tr>
      <w:tr w14:paraId="641826D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22CA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主备通道同时刻冲突</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19CF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网关补传与云端采集存在同点位同时刻记录</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4215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以网关本地 SQLite 原始硬件时间戳记录为准</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FDFF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覆盖云端记录，写入时序重写差异流水</w:t>
            </w:r>
          </w:p>
        </w:tc>
      </w:tr>
      <w:tr w14:paraId="745683C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84DB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补传时间戳倒序</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7B45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补传数据时间戳早于云端最新记录</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CE41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按原始硬件时间戳重排，允许乱序补传</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D1FA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触发当日指标物化视图重算</w:t>
            </w:r>
          </w:p>
        </w:tc>
      </w:tr>
      <w:tr w14:paraId="6DF38CB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02A5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补传落入已锁账月份</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1896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补传数据时间戳早于已锁账月份期末</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4F25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不得直接改写锁账数据，须走特批反冲</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EBA5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生成对账待办并触发 E_SYS_ENTRY_ALREADY_LOCKED</w:t>
            </w:r>
          </w:p>
        </w:tc>
      </w:tr>
      <w:tr w14:paraId="7A007D8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2E74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双网关重复上报</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3D79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同一测点被两台网关同时上报</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D39E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按网关优先级 + 时间戳精度仲裁，低优先级记录丢弃</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6881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记录重复上报计数并纳入链路健康度</w:t>
            </w:r>
          </w:p>
        </w:tc>
      </w:tr>
      <w:tr w14:paraId="3E33EBA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3989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补传数据超期</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AFCD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断网时长超过本地缓存容量导致数据缺口</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B3FC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缺口区间标记「数据缺失」不插值补造</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A4DB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输出数据缺失标签并纳入数据质量报告</w:t>
            </w:r>
          </w:p>
        </w:tc>
      </w:tr>
    </w:tbl>
    <w:p w14:paraId="0AE971B6">
      <w:pPr>
        <w:pStyle w:val="5"/>
        <w:numPr>
          <w:ilvl w:val="0"/>
          <w:numId w:val="145"/>
        </w:numPr>
        <w:ind w:left="0" w:leftChars="0" w:firstLine="0" w:firstLineChars="0"/>
        <w:outlineLvl w:val="1"/>
        <w:rPr>
          <w:rFonts w:ascii="Times New Roman" w:hAnsi="Times New Roman" w:eastAsia="黑体" w:cs="Times New Roman"/>
          <w:b w:val="0"/>
          <w:bCs w:val="0"/>
          <w:sz w:val="30"/>
          <w:szCs w:val="24"/>
        </w:rPr>
      </w:pPr>
      <w:r>
        <w:rPr>
          <w:rFonts w:ascii="Times New Roman" w:hAnsi="Times New Roman" w:eastAsia="黑体" w:cs="Times New Roman"/>
          <w:b w:val="0"/>
          <w:bCs w:val="0"/>
          <w:sz w:val="30"/>
          <w:szCs w:val="24"/>
        </w:rPr>
        <w:t>BOM 差异对账仲裁（ERP 恢复场景）</w:t>
      </w:r>
    </w:p>
    <w:p w14:paraId="7C75C4FB">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禁止静默覆盖：ERP 接口恢复后，系统不得静默覆盖人工上传的临时 BOM，一律进入差异对账流程。</w:t>
      </w:r>
    </w:p>
    <w:p w14:paraId="2A6861AB">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差异对账待办：系统自动比对本期人工上传 BOM 与 ERP 最新版本 BOM，生成「差异对账待办」并推送至 P4 碳核算工程师待办中心。</w:t>
      </w:r>
    </w:p>
    <w:p w14:paraId="47CDA66C">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高亮比对：对账界面高亮差异字段（物料编码、物料名称、单耗用量、物料单价、供应商），并统计差异条目数与差异金额占比。</w:t>
      </w:r>
    </w:p>
    <w:p w14:paraId="06E5ED4E">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人工裁决：由 P4 碳核算工程师逐项确认采用「ERP 最新版本」或「保留当前核准版本」；选择保留时须填写保留理由与依据。</w:t>
      </w:r>
    </w:p>
    <w:p w14:paraId="07E5544A">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裁决留痕与重算：裁决结果写入 BOM 版本裁决流水；若裁决改变已出具 LCA 报告的物料口径，自动标记受影响报告为「待重算」并阻断报告发布。</w:t>
      </w:r>
    </w:p>
    <w:tbl>
      <w:tblPr>
        <w:tblStyle w:val="38"/>
        <w:tblW w:w="10379" w:type="dxa"/>
        <w:jc w:val="center"/>
        <w:tblLayout w:type="autofit"/>
        <w:tblCellMar>
          <w:top w:w="0" w:type="dxa"/>
          <w:left w:w="108" w:type="dxa"/>
          <w:bottom w:w="0" w:type="dxa"/>
          <w:right w:w="108" w:type="dxa"/>
        </w:tblCellMar>
      </w:tblPr>
      <w:tblGrid>
        <w:gridCol w:w="1900"/>
        <w:gridCol w:w="2745"/>
        <w:gridCol w:w="2976"/>
        <w:gridCol w:w="2758"/>
      </w:tblGrid>
      <w:tr w14:paraId="09CF5B6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C21AFD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冲突场景</w:t>
            </w:r>
          </w:p>
        </w:tc>
        <w:tc>
          <w:tcPr>
            <w:tcW w:w="274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71087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触发条件</w:t>
            </w:r>
          </w:p>
        </w:tc>
        <w:tc>
          <w:tcPr>
            <w:tcW w:w="297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DCB63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仲裁规则</w:t>
            </w:r>
          </w:p>
        </w:tc>
        <w:tc>
          <w:tcPr>
            <w:tcW w:w="275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4A51A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系统动作与留痕</w:t>
            </w:r>
          </w:p>
        </w:tc>
      </w:tr>
      <w:tr w14:paraId="5E8E2AC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CCF8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人工 BOM 与 ERP BOM 不一致</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E2D9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 接口恢复且本期已存在人工上传 BOM</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3410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禁止静默覆盖，强制进入差异对账</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3088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生成差异对账待办并推送至 P4 待办中心</w:t>
            </w:r>
          </w:p>
        </w:tc>
      </w:tr>
      <w:tr w14:paraId="51395A4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45AC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差异涉及已出具报告</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B4D5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裁决改变物料口径且该批次已出具 LCA 报告</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02B2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受影响报告整体标记「待重算」</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2587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阻断报告发布并生成重算任务</w:t>
            </w:r>
          </w:p>
        </w:tc>
      </w:tr>
      <w:tr w14:paraId="2D412B4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1FB0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差异金额占比超阈值</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B1D1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差异金额占比 &gt; 5.00%</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948E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升级至 PM 与财务复核</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685C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对账待办升级，未复核不得关账</w:t>
            </w:r>
          </w:p>
        </w:tc>
      </w:tr>
      <w:tr w14:paraId="72631E7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1550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对账超期未裁决</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0434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对账待办超过 3 个工作日未裁决</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2EDA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按「当前核准版本」暂用并在数据上标注</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6AED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记录暂用标记，纳入月度数据质量报告</w:t>
            </w:r>
          </w:p>
        </w:tc>
      </w:tr>
      <w:tr w14:paraId="4119572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1119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人工 BOM 缺失版本信息</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BB79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人工上传 BOM 未填写版本号与上传依据</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540E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拒绝入库并要求补充版本信息</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9734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返回校验拦截并保留原文件供追溯</w:t>
            </w:r>
          </w:p>
        </w:tc>
      </w:tr>
    </w:tbl>
    <w:p w14:paraId="07D43C93">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静默覆盖红线：任何降级通道恢复后的数据合并，严禁静默覆盖人工核准版本；违反即判定为 P0 级数据事故并追溯责任人。</w:t>
      </w:r>
    </w:p>
    <w:p w14:paraId="5706C547">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锁账红线：已锁账月份的数据不得被补传或对账流程直接改写，必须走特批反冲流程。</w:t>
      </w:r>
    </w:p>
    <w:p w14:paraId="63B6AD33">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留痕红线：补传更新与 BOM 裁决必须全量留痕，审计日志零丢失。</w:t>
      </w:r>
    </w:p>
    <w:p w14:paraId="240EAC91">
      <w:pPr>
        <w:pStyle w:val="4"/>
        <w:numPr>
          <w:ilvl w:val="0"/>
          <w:numId w:val="209"/>
        </w:numPr>
        <w:topLinePunct w:val="0"/>
        <w:ind w:left="0" w:leftChars="0" w:firstLine="0" w:firstLineChars="0"/>
        <w:outlineLvl w:val="0"/>
        <w:rPr>
          <w:rFonts w:hint="eastAsia" w:eastAsia="黑体"/>
          <w:b w:val="0"/>
          <w:bCs w:val="0"/>
          <w:sz w:val="30"/>
          <w:szCs w:val="32"/>
        </w:rPr>
      </w:pPr>
      <w:bookmarkStart w:id="69" w:name="_Toc17792"/>
      <w:r>
        <w:rPr>
          <w:rFonts w:ascii="Times New Roman" w:hAnsi="Times New Roman" w:eastAsia="黑体" w:cs="Times New Roman"/>
          <w:b w:val="0"/>
          <w:bCs w:val="0"/>
          <w:sz w:val="30"/>
          <w:szCs w:val="32"/>
        </w:rPr>
        <w:t>关键业务长流程状态机图谱</w:t>
      </w:r>
      <w:bookmarkEnd w:id="69"/>
    </w:p>
    <w:p w14:paraId="5FBCD127">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为全系统长流程、跨角色、涉及审批与回退的业务节点定义标准化状态流转机制。</w:t>
      </w:r>
    </w:p>
    <w:tbl>
      <w:tblPr>
        <w:tblStyle w:val="38"/>
        <w:tblW w:w="9515" w:type="dxa"/>
        <w:jc w:val="center"/>
        <w:tblLayout w:type="autofit"/>
        <w:tblCellMar>
          <w:top w:w="0" w:type="dxa"/>
          <w:left w:w="108" w:type="dxa"/>
          <w:bottom w:w="0" w:type="dxa"/>
          <w:right w:w="108" w:type="dxa"/>
        </w:tblCellMar>
      </w:tblPr>
      <w:tblGrid>
        <w:gridCol w:w="1036"/>
        <w:gridCol w:w="2489"/>
        <w:gridCol w:w="3232"/>
        <w:gridCol w:w="2758"/>
      </w:tblGrid>
      <w:tr w14:paraId="3D73F72B">
        <w:tblPrEx>
          <w:tblCellMar>
            <w:top w:w="0" w:type="dxa"/>
            <w:left w:w="108" w:type="dxa"/>
            <w:bottom w:w="0" w:type="dxa"/>
            <w:right w:w="108" w:type="dxa"/>
          </w:tblCellMar>
        </w:tblPrEx>
        <w:trPr>
          <w:jc w:val="center"/>
        </w:trPr>
        <w:tc>
          <w:tcPr>
            <w:tcW w:w="103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922A5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业务流程名称</w:t>
            </w:r>
          </w:p>
        </w:tc>
        <w:tc>
          <w:tcPr>
            <w:tcW w:w="24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41978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全生命周期状态流转链</w:t>
            </w:r>
          </w:p>
        </w:tc>
        <w:tc>
          <w:tcPr>
            <w:tcW w:w="323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EF9E7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可触发动作与角色边界</w:t>
            </w:r>
          </w:p>
        </w:tc>
        <w:tc>
          <w:tcPr>
            <w:tcW w:w="275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68C4B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异常回退策略</w:t>
            </w:r>
          </w:p>
        </w:tc>
      </w:tr>
      <w:tr w14:paraId="6F02CF61">
        <w:tblPrEx>
          <w:tblCellMar>
            <w:top w:w="0" w:type="dxa"/>
            <w:left w:w="108" w:type="dxa"/>
            <w:bottom w:w="0" w:type="dxa"/>
            <w:right w:w="108" w:type="dxa"/>
          </w:tblCellMar>
        </w:tblPrEx>
        <w:trPr>
          <w:jc w:val="center"/>
        </w:trPr>
        <w:tc>
          <w:tcPr>
            <w:tcW w:w="10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07C1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碳足迹核算</w:t>
            </w:r>
          </w:p>
        </w:tc>
        <w:tc>
          <w:tcPr>
            <w:tcW w:w="24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CEB7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草稿 → 送审 → 认证中 → 已认证 → 已发布 → 已归档</w:t>
            </w:r>
          </w:p>
        </w:tc>
        <w:tc>
          <w:tcPr>
            <w:tcW w:w="32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01F4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草稿仅 P4 自身编辑；送审后锁定；认证中第三方介入；发布需 P4+PM 联合签字</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62051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机构退回时状态回退至"草稿"，释放编辑锁并记录退回意见</w:t>
            </w:r>
          </w:p>
        </w:tc>
      </w:tr>
      <w:tr w14:paraId="71A304CA">
        <w:tblPrEx>
          <w:tblCellMar>
            <w:top w:w="0" w:type="dxa"/>
            <w:left w:w="108" w:type="dxa"/>
            <w:bottom w:w="0" w:type="dxa"/>
            <w:right w:w="108" w:type="dxa"/>
          </w:tblCellMar>
        </w:tblPrEx>
        <w:trPr>
          <w:jc w:val="center"/>
        </w:trPr>
        <w:tc>
          <w:tcPr>
            <w:tcW w:w="10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22DA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关税申报</w:t>
            </w:r>
          </w:p>
        </w:tc>
        <w:tc>
          <w:tcPr>
            <w:tcW w:w="24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B033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模拟测算 → 待审 → 已提交 → 海关反馈 → 已归档</w:t>
            </w:r>
          </w:p>
        </w:tc>
        <w:tc>
          <w:tcPr>
            <w:tcW w:w="32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30F5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模拟仅 P5 可触发；提交必须经 P5 报关专家与 P1 集团决策层双重电子签章</w:t>
            </w:r>
          </w:p>
        </w:tc>
        <w:tc>
          <w:tcPr>
            <w:tcW w:w="27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C7E2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海关质询时转入"海关反馈"，补正后重新提交并生成新修订流水号</w:t>
            </w:r>
          </w:p>
        </w:tc>
      </w:tr>
      <w:tr w14:paraId="4DF62876">
        <w:tblPrEx>
          <w:tblCellMar>
            <w:top w:w="0" w:type="dxa"/>
            <w:left w:w="108" w:type="dxa"/>
            <w:bottom w:w="0" w:type="dxa"/>
            <w:right w:w="108" w:type="dxa"/>
          </w:tblCellMar>
        </w:tblPrEx>
        <w:trPr>
          <w:jc w:val="center"/>
        </w:trPr>
        <w:tc>
          <w:tcPr>
            <w:tcW w:w="10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158A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节能效益评估</w:t>
            </w:r>
          </w:p>
        </w:tc>
        <w:tc>
          <w:tcPr>
            <w:tcW w:w="24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5CC4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项目立项 → 建设施工 → 并网试运行 → 稳定运行 → 已完结</w:t>
            </w:r>
          </w:p>
        </w:tc>
        <w:tc>
          <w:tcPr>
            <w:tcW w:w="32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36B8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并网试运行需满足 90 天 M&amp;V 连续采数，验收通过方可流转至"稳定运行"</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AF27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年度复评未达标时转入"整改"，整改完毕复核转回</w:t>
            </w:r>
          </w:p>
        </w:tc>
      </w:tr>
      <w:tr w14:paraId="5E2ABC3C">
        <w:tblPrEx>
          <w:tblCellMar>
            <w:top w:w="0" w:type="dxa"/>
            <w:left w:w="108" w:type="dxa"/>
            <w:bottom w:w="0" w:type="dxa"/>
            <w:right w:w="108" w:type="dxa"/>
          </w:tblCellMar>
        </w:tblPrEx>
        <w:trPr>
          <w:jc w:val="center"/>
        </w:trPr>
        <w:tc>
          <w:tcPr>
            <w:tcW w:w="10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40B8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基层数据填报</w:t>
            </w:r>
          </w:p>
        </w:tc>
        <w:tc>
          <w:tcPr>
            <w:tcW w:w="24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00C7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空白 → 录入中 → 已暂存 → 已提交 → 已入账 → 锁账</w:t>
            </w:r>
          </w:p>
        </w:tc>
        <w:tc>
          <w:tcPr>
            <w:tcW w:w="32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B1C72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车间统计员（P3）录入暂存；动力处长审核提交；月度终了财务关账后状态变为"锁账"</w:t>
            </w:r>
          </w:p>
        </w:tc>
        <w:tc>
          <w:tcPr>
            <w:tcW w:w="27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C1C3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审核驳回时退回至"已暂存"，入账后如需纠错须走特批反冲审批流程</w:t>
            </w:r>
          </w:p>
        </w:tc>
      </w:tr>
    </w:tbl>
    <w:p w14:paraId="1F74987E">
      <w:pPr>
        <w:spacing w:after="60"/>
        <w:rPr>
          <w:rFonts w:hint="eastAsia" w:ascii="宋体" w:hAnsi="宋体" w:eastAsia="宋体" w:cs="宋体"/>
          <w:i w:val="0"/>
          <w:iCs w:val="0"/>
          <w:sz w:val="24"/>
          <w:szCs w:val="24"/>
        </w:rPr>
      </w:pPr>
    </w:p>
    <w:p w14:paraId="40B4F145">
      <w:pPr>
        <w:spacing w:after="60"/>
        <w:rPr>
          <w:rFonts w:hint="eastAsia" w:ascii="宋体" w:hAnsi="宋体" w:eastAsia="宋体" w:cs="宋体"/>
          <w:i w:val="0"/>
          <w:iCs w:val="0"/>
          <w:sz w:val="24"/>
          <w:szCs w:val="24"/>
        </w:rPr>
      </w:pPr>
    </w:p>
    <w:p w14:paraId="722CF166">
      <w:pPr>
        <w:spacing w:after="60"/>
        <w:rPr>
          <w:rFonts w:hint="eastAsia" w:ascii="宋体" w:hAnsi="宋体" w:eastAsia="宋体" w:cs="宋体"/>
          <w:i w:val="0"/>
          <w:iCs w:val="0"/>
          <w:sz w:val="24"/>
          <w:szCs w:val="24"/>
        </w:rPr>
      </w:pPr>
    </w:p>
    <w:p w14:paraId="6E0702B6">
      <w:pPr>
        <w:spacing w:after="60"/>
        <w:rPr>
          <w:rFonts w:hint="eastAsia" w:ascii="宋体" w:hAnsi="宋体" w:eastAsia="宋体" w:cs="宋体"/>
          <w:i w:val="0"/>
          <w:iCs w:val="0"/>
          <w:sz w:val="24"/>
          <w:szCs w:val="24"/>
        </w:rPr>
      </w:pPr>
    </w:p>
    <w:p w14:paraId="21A62CEE">
      <w:pPr>
        <w:pStyle w:val="4"/>
        <w:numPr>
          <w:ilvl w:val="0"/>
          <w:numId w:val="209"/>
        </w:numPr>
        <w:topLinePunct w:val="0"/>
        <w:ind w:left="0" w:leftChars="0" w:firstLine="0" w:firstLineChars="0"/>
        <w:outlineLvl w:val="0"/>
        <w:rPr>
          <w:rFonts w:hint="eastAsia" w:eastAsia="黑体"/>
          <w:b w:val="0"/>
          <w:bCs w:val="0"/>
          <w:sz w:val="30"/>
          <w:szCs w:val="32"/>
        </w:rPr>
      </w:pPr>
      <w:bookmarkStart w:id="70" w:name="_Toc31419"/>
      <w:r>
        <w:rPr>
          <w:rFonts w:ascii="Times New Roman" w:hAnsi="Times New Roman" w:eastAsia="黑体" w:cs="Times New Roman"/>
          <w:b w:val="0"/>
          <w:bCs w:val="0"/>
          <w:sz w:val="30"/>
          <w:szCs w:val="32"/>
        </w:rPr>
        <w:t>术语表与缩略语大全</w:t>
      </w:r>
      <w:bookmarkEnd w:id="70"/>
    </w:p>
    <w:tbl>
      <w:tblPr>
        <w:tblStyle w:val="38"/>
        <w:tblW w:w="9784" w:type="dxa"/>
        <w:jc w:val="center"/>
        <w:tblLayout w:type="autofit"/>
        <w:tblCellMar>
          <w:top w:w="0" w:type="dxa"/>
          <w:left w:w="108" w:type="dxa"/>
          <w:bottom w:w="0" w:type="dxa"/>
          <w:right w:w="108" w:type="dxa"/>
        </w:tblCellMar>
      </w:tblPr>
      <w:tblGrid>
        <w:gridCol w:w="1385"/>
        <w:gridCol w:w="2985"/>
        <w:gridCol w:w="3389"/>
        <w:gridCol w:w="2025"/>
      </w:tblGrid>
      <w:tr w14:paraId="7ACA92A1">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F6552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术语/缩写</w:t>
            </w:r>
          </w:p>
        </w:tc>
        <w:tc>
          <w:tcPr>
            <w:tcW w:w="298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9E890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英文全称</w:t>
            </w:r>
          </w:p>
        </w:tc>
        <w:tc>
          <w:tcPr>
            <w:tcW w:w="33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59891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工业/业务释义</w:t>
            </w:r>
          </w:p>
        </w:tc>
        <w:tc>
          <w:tcPr>
            <w:tcW w:w="202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3AC1B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PRD关联章节</w:t>
            </w:r>
          </w:p>
        </w:tc>
      </w:tr>
      <w:tr w14:paraId="37A1C1A7">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E93A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PRD</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ACC9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Product Requirements Document</w:t>
            </w:r>
          </w:p>
        </w:tc>
        <w:tc>
          <w:tcPr>
            <w:tcW w:w="33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F195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产品需求规格说明书，最高研发与交付契约</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F599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全文</w:t>
            </w:r>
          </w:p>
        </w:tc>
      </w:tr>
      <w:tr w14:paraId="39925369">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DBB8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5DA6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Carbon Border Adjustment Mechanism</w:t>
            </w:r>
          </w:p>
        </w:tc>
        <w:tc>
          <w:tcPr>
            <w:tcW w:w="33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F18C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欧盟碳边境调节机制（碳关税），2026 年正式开征</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46F2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第三章（四、CBAM 管理）</w:t>
            </w:r>
          </w:p>
        </w:tc>
      </w:tr>
      <w:tr w14:paraId="032409D3">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868F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ETS</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9B13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Emissions Trading System</w:t>
            </w:r>
          </w:p>
        </w:tc>
        <w:tc>
          <w:tcPr>
            <w:tcW w:w="33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E1DA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欧盟碳排放交易体系，碳配额实时拍卖价格</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0D62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第三章（四、CBAM 管理）</w:t>
            </w:r>
          </w:p>
        </w:tc>
      </w:tr>
      <w:tr w14:paraId="7448AB99">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54F4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5D7B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Life Cycle Assessment</w:t>
            </w:r>
          </w:p>
        </w:tc>
        <w:tc>
          <w:tcPr>
            <w:tcW w:w="33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5E39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生命周期评价（涵盖原材料、制造、运输、使用、废弃）</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0F13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第三章（三、实景数据库与碳足迹核算）</w:t>
            </w:r>
          </w:p>
        </w:tc>
      </w:tr>
      <w:tr w14:paraId="048853A9">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2B5E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BOM</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A90E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Bill of Materials</w:t>
            </w:r>
          </w:p>
        </w:tc>
        <w:tc>
          <w:tcPr>
            <w:tcW w:w="33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E07B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产品物料清单，碳足迹核算层级分解的基础输入</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DE55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第三章（三）</w:t>
            </w:r>
          </w:p>
        </w:tc>
      </w:tr>
      <w:tr w14:paraId="0CF7E791">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6FF0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SCADA</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F814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Supervisory Control and Data Acquisition</w:t>
            </w:r>
          </w:p>
        </w:tc>
        <w:tc>
          <w:tcPr>
            <w:tcW w:w="33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7949E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数据采集与监视控制系统，变配电秒级遥测来源</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E793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第二章（二、集中监管）</w:t>
            </w:r>
          </w:p>
        </w:tc>
      </w:tr>
      <w:tr w14:paraId="6B239E1D">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EB97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MQTT</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B5B2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Message Queuing Telemetry Transport</w:t>
            </w:r>
          </w:p>
        </w:tc>
        <w:tc>
          <w:tcPr>
            <w:tcW w:w="33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5BE2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轻量级物联网消息发布订阅协议，传感器上报标准</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981F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第四章（二、外部系统集成）</w:t>
            </w:r>
          </w:p>
        </w:tc>
      </w:tr>
      <w:tr w14:paraId="7B56291A">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DF4B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M&amp;V</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872C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Measurement and Verification</w:t>
            </w:r>
          </w:p>
        </w:tc>
        <w:tc>
          <w:tcPr>
            <w:tcW w:w="33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CE2B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节能量测量与验证（遵循国际通用 IPMVP 规程）</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18EF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第二章（四、零碳项目评估）</w:t>
            </w:r>
          </w:p>
        </w:tc>
      </w:tr>
      <w:tr w14:paraId="49813E38">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AF8C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kgce/tce</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2544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kilogram / ton of coal equivalent</w:t>
            </w:r>
          </w:p>
        </w:tc>
        <w:tc>
          <w:tcPr>
            <w:tcW w:w="33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85A5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千克标准煤 / 吨标准煤，我国通用综合能源计量单位</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C8AA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第二章（二/三/五）</w:t>
            </w:r>
          </w:p>
        </w:tc>
      </w:tr>
      <w:tr w14:paraId="42E9BDE4">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4944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TOU</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1B7F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Time of Use</w:t>
            </w:r>
          </w:p>
        </w:tc>
        <w:tc>
          <w:tcPr>
            <w:tcW w:w="33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66DC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分时电价制度，尖峰平谷四时段计价</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61CE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第二章（二、用能在线监测）</w:t>
            </w:r>
          </w:p>
        </w:tc>
      </w:tr>
      <w:tr w14:paraId="1F6B1906">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E083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Scope 1</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8B5A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Direct GHG Emissions</w:t>
            </w:r>
          </w:p>
        </w:tc>
        <w:tc>
          <w:tcPr>
            <w:tcW w:w="33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2BC3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范围一：企业拥有或控制的排放源燃烧化石燃料的直接排放</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2EAE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第二章（二、集中监管）</w:t>
            </w:r>
          </w:p>
        </w:tc>
      </w:tr>
      <w:tr w14:paraId="66DC5FBC">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B0A0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Scope 2</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378D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Electricity Indirect GHG Emissions</w:t>
            </w:r>
          </w:p>
        </w:tc>
        <w:tc>
          <w:tcPr>
            <w:tcW w:w="33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619B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范围二：外购电力、热力或蒸汽消费导致的间接温室气体排放</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0125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第二章（二、集中监管）</w:t>
            </w:r>
          </w:p>
        </w:tc>
      </w:tr>
      <w:tr w14:paraId="20BBEDF2">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FDD5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Scope 3</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BEC9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Other Indirect GHG Emissions</w:t>
            </w:r>
          </w:p>
        </w:tc>
        <w:tc>
          <w:tcPr>
            <w:tcW w:w="33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E3C2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范围三：企业价值链上下游所有其他间接排放（采购、外协等）</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3BB3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第三章（三）</w:t>
            </w:r>
          </w:p>
        </w:tc>
      </w:tr>
      <w:tr w14:paraId="50B2D618">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7CD9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IPMVP</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476C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International Performance Measurement and Verification Protocol</w:t>
            </w:r>
          </w:p>
        </w:tc>
        <w:tc>
          <w:tcPr>
            <w:tcW w:w="33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028F3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国际节能量测量与验证规程</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CEB7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第二章（四、项目运行评估）</w:t>
            </w:r>
          </w:p>
        </w:tc>
      </w:tr>
      <w:tr w14:paraId="3C0187B4">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2E69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EQP / BVA</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7327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Equivalence Partitioning / Boundary Value Analysis</w:t>
            </w:r>
          </w:p>
        </w:tc>
        <w:tc>
          <w:tcPr>
            <w:tcW w:w="33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D581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等价类划分与边界值分析，QA 极限测试方法论</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D828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第四章（三、质量保障体系）</w:t>
            </w:r>
          </w:p>
        </w:tc>
      </w:tr>
      <w:tr w14:paraId="639F4D44">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0068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RACI</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43DE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Responsible / Accountable / Consulted / Informed</w:t>
            </w:r>
          </w:p>
        </w:tc>
        <w:tc>
          <w:tcPr>
            <w:tcW w:w="33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DB85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责任分配矩阵，明确各项决策的唯一最终责任人</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65692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第五章（五、决策治理 RACI）</w:t>
            </w:r>
          </w:p>
        </w:tc>
      </w:tr>
    </w:tbl>
    <w:p w14:paraId="5B113B4C">
      <w:pPr>
        <w:spacing w:after="60"/>
        <w:rPr>
          <w:rFonts w:hint="eastAsia" w:ascii="宋体" w:hAnsi="宋体" w:eastAsia="宋体" w:cs="宋体"/>
          <w:i w:val="0"/>
          <w:iCs w:val="0"/>
          <w:sz w:val="24"/>
          <w:szCs w:val="24"/>
        </w:rPr>
      </w:pPr>
    </w:p>
    <w:p w14:paraId="0242C7C0">
      <w:pPr>
        <w:pStyle w:val="4"/>
        <w:numPr>
          <w:ilvl w:val="0"/>
          <w:numId w:val="209"/>
        </w:numPr>
        <w:topLinePunct w:val="0"/>
        <w:ind w:left="0" w:leftChars="0" w:firstLine="0" w:firstLineChars="0"/>
        <w:outlineLvl w:val="0"/>
        <w:rPr>
          <w:rFonts w:hint="eastAsia" w:eastAsia="黑体"/>
          <w:b w:val="0"/>
          <w:bCs w:val="0"/>
          <w:sz w:val="30"/>
          <w:szCs w:val="32"/>
        </w:rPr>
      </w:pPr>
      <w:bookmarkStart w:id="71" w:name="_Toc26887"/>
      <w:r>
        <w:rPr>
          <w:rFonts w:ascii="Times New Roman" w:hAnsi="Times New Roman" w:eastAsia="黑体" w:cs="Times New Roman"/>
          <w:b w:val="0"/>
          <w:bCs w:val="0"/>
          <w:sz w:val="30"/>
          <w:szCs w:val="32"/>
        </w:rPr>
        <w:t>标准化错误码字典与异常分级</w:t>
      </w:r>
      <w:bookmarkEnd w:id="71"/>
    </w:p>
    <w:p w14:paraId="2C739634">
      <w:pPr>
        <w:pStyle w:val="19"/>
        <w:widowControl/>
        <w:ind w:left="0" w:leftChars="0" w:firstLine="439" w:firstLineChars="183"/>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全平台执行统一规范格式：</w:t>
      </w:r>
      <w:r>
        <w:rPr>
          <w:rFonts w:ascii="Times New Roman" w:hAnsi="Times New Roman" w:eastAsia="宋体" w:cs="Times New Roman"/>
          <w:b w:val="0"/>
          <w:bCs w:val="0"/>
          <w:i w:val="0"/>
          <w:color w:val="0284C7"/>
          <w:sz w:val="24"/>
          <w:szCs w:val="24"/>
        </w:rPr>
        <w:t xml:space="preserve"> E_&lt;DOMAIN&gt;_&lt;MODULE&gt;_&lt;REASON&gt;[_&lt;SUFFIX&gt;] </w:t>
      </w:r>
      <w:r>
        <w:rPr>
          <w:rFonts w:ascii="Times New Roman" w:hAnsi="Times New Roman" w:eastAsia="宋体" w:cs="Times New Roman"/>
          <w:b w:val="0"/>
          <w:bCs w:val="0"/>
          <w:i w:val="0"/>
          <w:color w:val="1F2937"/>
          <w:sz w:val="24"/>
          <w:szCs w:val="24"/>
        </w:rPr>
        <w:t>，分划 P0 系统级、P1 业务级、P2 提示级、P3 信息级四大级别。</w:t>
      </w:r>
    </w:p>
    <w:tbl>
      <w:tblPr>
        <w:tblStyle w:val="38"/>
        <w:tblW w:w="9790" w:type="dxa"/>
        <w:jc w:val="center"/>
        <w:tblLayout w:type="autofit"/>
        <w:tblCellMar>
          <w:top w:w="0" w:type="dxa"/>
          <w:left w:w="108" w:type="dxa"/>
          <w:bottom w:w="0" w:type="dxa"/>
          <w:right w:w="108" w:type="dxa"/>
        </w:tblCellMar>
      </w:tblPr>
      <w:tblGrid>
        <w:gridCol w:w="3360"/>
        <w:gridCol w:w="1335"/>
        <w:gridCol w:w="2205"/>
        <w:gridCol w:w="2890"/>
      </w:tblGrid>
      <w:tr w14:paraId="5BA81EFC">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151E9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标准错误码</w:t>
            </w:r>
          </w:p>
        </w:tc>
        <w:tc>
          <w:tcPr>
            <w:tcW w:w="133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861C0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HTTP状态</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11C24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触发业务场景</w:t>
            </w:r>
          </w:p>
        </w:tc>
        <w:tc>
          <w:tcPr>
            <w:tcW w:w="289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F2732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前端交互与后端处理建议</w:t>
            </w:r>
          </w:p>
        </w:tc>
      </w:tr>
      <w:tr w14:paraId="17104DA0">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16042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E_VAL_ENERGY_NEGATIVE</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250E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7824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填报工作台录入电/水/气/蒸汽实物消耗负数</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A910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输入框红框高亮，提示"能源消耗量必须为非负数值"，阻断提交</w:t>
            </w:r>
          </w:p>
        </w:tc>
      </w:tr>
      <w:tr w14:paraId="3C11EACE">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6474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E_VAL_PROD_QTY_NEGATIVE</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5BCF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BDF5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录入变压器容量或线缆长度负数</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EE95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输入框红框高亮，提示"合格产品产量必须为非负数值"，阻断提交</w:t>
            </w:r>
          </w:p>
        </w:tc>
      </w:tr>
      <w:tr w14:paraId="7740B272">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8038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E_VAL_MON_KVA_ZERO</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2C52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7716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变压器单耗核算时输入产量分母为 0</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AEF8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提示"当月产量为 0 无法直接计算单耗"，要求核对报工单据</w:t>
            </w:r>
          </w:p>
        </w:tc>
      </w:tr>
      <w:tr w14:paraId="7EA9E2D9">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189E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E_VAL_FACTOR_EXPIRED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7F712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FABA8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选用已过有效期的碳排放因子版本</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7ED0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因子标签标红，禁用"选用"按钮，提示"该因子已过期，请升级最新库"</w:t>
            </w:r>
          </w:p>
        </w:tc>
      </w:tr>
      <w:tr w14:paraId="43671F33">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46E5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E_VAL_LCA_TOTAL_NEGATIVE</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5C0C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8E6E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滚算加总结果出现负数</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2A43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阻断保存，提示"产品生命周期碳足迹不可小于零"</w:t>
            </w:r>
          </w:p>
        </w:tc>
      </w:tr>
      <w:tr w14:paraId="524202A0">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5203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E_CALC_UNIT_DIV_ZERO_SOFT</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00DE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E792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单耗或万元产值分母为 0（停产检修）</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BED8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核心安全兜底：前端安全显示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，无报错，悬停友好说明</w:t>
            </w:r>
          </w:p>
        </w:tc>
      </w:tr>
      <w:tr w14:paraId="1EDDBD9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D798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E_CALC_LCA_TDIV_ZERO</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1E10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422</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4B7A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LCA 试验阶段录入工时 </w:t>
            </w:r>
            <w:r>
              <w:rPr>
                <w:rFonts w:hint="eastAsia" w:ascii="宋体" w:hAnsi="宋体" w:eastAsia="宋体" w:cs="宋体"/>
                <w:i w:val="0"/>
                <w:iCs w:val="0"/>
                <w:color w:val="15803D"/>
                <w:sz w:val="24"/>
                <w:szCs w:val="24"/>
              </w:rPr>
              <w:t>T_m = 0</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F4AA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提示"试验工时不可为 0"，阻断阶段算式生成</w:t>
            </w:r>
          </w:p>
        </w:tc>
      </w:tr>
      <w:tr w14:paraId="3674B533">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608E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E_CALC_LCA_SUM_MISMATCH</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4402D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A6D6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 阶段碳排加总与总碳排容差超出 0.01</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6F5D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后台阻断证书签发与对外发布，触发算法引擎重新核算</w:t>
            </w:r>
          </w:p>
        </w:tc>
      </w:tr>
      <w:tr w14:paraId="0A0CE687">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3F4E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E_IO_MQTT_TIMEOUT</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1F41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504</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171D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物联网 SCADA 网关 5 秒无遥测心跳</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2DFE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自动降级读取时序库最近缓存快照，图表提示离线状态</w:t>
            </w:r>
          </w:p>
        </w:tc>
      </w:tr>
      <w:tr w14:paraId="47447ECD">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F541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E_IO_GATEWAY_OFFLINE</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003E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503</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C77E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变电站边缘一体机物理断网</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AA29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启动边缘一体机本地断点续传机制，恢复联网后自动同步</w:t>
            </w:r>
          </w:p>
        </w:tc>
      </w:tr>
      <w:tr w14:paraId="0A1F9B8A">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8ED2D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E_AUTH_RBAC_FORBIDDEN</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4182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8CEB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车间填报员越权访问 CBAM 申报底表</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EBB8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API 网关切面拦截，跳转专属 403 无权限页面，记录安全审计日志</w:t>
            </w:r>
          </w:p>
        </w:tc>
      </w:tr>
      <w:tr w14:paraId="1E1FB32F">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725D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E_AUTH_TOKEN_EXPIRED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88A0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401</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3A52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JWT 鉴权凭据超出有效期限</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A7F4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提示"会话已过期"，保留用户当前填报草稿后平滑跳转登录页</w:t>
            </w:r>
          </w:p>
        </w:tc>
      </w:tr>
      <w:tr w14:paraId="4BC13B6C">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BAD3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E_AUTH_SIGN_INVALID</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549A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5DBD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客户端上送报文 HMAC-SHA256 签名错误</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2B91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拒绝处理请求，记录潜在重放攻击与中间人篡改安全告警</w:t>
            </w:r>
          </w:p>
        </w:tc>
      </w:tr>
      <w:tr w14:paraId="08F4052D">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DAC7F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E_EXT_ETS_PRICE_STALE</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0A75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5FF7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欧洲能源交易所 ETS 价格超 24h 未同步</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3F46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界面标黄标注价格时间戳，允许用户基于最近有效历史均价测算</w:t>
            </w:r>
          </w:p>
        </w:tc>
      </w:tr>
      <w:tr w14:paraId="7059FF71">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9D3A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E_EXT_ERP_BOM_TIMEOUT</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24A6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504</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9D58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SAP/用友 ERP 系统 BOM 查询接口超时</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C1F9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重试 3 次后自动降级使用系统本地缓存的 BOM 历史快照版本</w:t>
            </w:r>
          </w:p>
        </w:tc>
      </w:tr>
      <w:tr w14:paraId="47982E9E">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2B52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E_EXT_ECOINVENT_LICENSE</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0312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503</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8CB8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Ecoinvent 因子库商业授权到期</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19B8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自动降级使用中国本土生命周期数据库（CLCD）因子兜底</w:t>
            </w:r>
          </w:p>
        </w:tc>
      </w:tr>
      <w:tr w14:paraId="2E1BBFD9">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3648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E_SYS_DB_CONN_LOST</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EAE0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AA87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主数据库集群连接池断开</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EC99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30 秒内高可用集群备库无缝接管，系统自动切换至只读模式</w:t>
            </w:r>
          </w:p>
        </w:tc>
      </w:tr>
      <w:tr w14:paraId="0F8A6200">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2420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E_SYS_REDIS_CRASH</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3544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27C2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Redis 缓存集群节点宕机</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F1A6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自动降级直查主库，业务流程不中断</w:t>
            </w:r>
          </w:p>
        </w:tc>
      </w:tr>
      <w:tr w14:paraId="0DDD31ED">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C898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E_SYS_CONCURRENCY_LOCK</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99F7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CE5E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100ms 内快速连续双击"提交"按钮</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9FB2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分布式锁拦截并发重复请求，仅允许首笔交易成功入库</w:t>
            </w:r>
          </w:p>
        </w:tc>
      </w:tr>
      <w:tr w14:paraId="54E02C7B">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C9DE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E_QM_WHITE_LIST_MISS</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D74B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46C2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组织树选中的单位不属于工序白名单</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A411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单行纯文本干练输出：</w:t>
            </w:r>
            <w:r>
              <w:rPr>
                <w:rFonts w:hint="eastAsia" w:ascii="宋体" w:hAnsi="宋体" w:eastAsia="宋体" w:cs="宋体"/>
                <w:b w:val="0"/>
                <w:i w:val="0"/>
                <w:iCs w:val="0"/>
                <w:color w:val="0284C7"/>
                <w:sz w:val="24"/>
                <w:szCs w:val="24"/>
              </w:rPr>
              <w:t xml:space="preserve"> 暂无相关工序！ </w:t>
            </w:r>
            <w:r>
              <w:rPr>
                <w:rFonts w:hint="eastAsia" w:ascii="宋体" w:hAnsi="宋体" w:eastAsia="宋体" w:cs="宋体"/>
                <w:i w:val="0"/>
                <w:iCs w:val="0"/>
                <w:color w:val="1F2937"/>
                <w:sz w:val="24"/>
                <w:szCs w:val="24"/>
              </w:rPr>
              <w:t>，严禁大段解释</w:t>
            </w:r>
          </w:p>
        </w:tc>
      </w:tr>
      <w:tr w14:paraId="700AA380">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82D5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E_AUDIT_HASH_BROKEN</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9679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500</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BED3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报告或 CBAM 报关包哈希比对失败</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BD36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导出引擎强制阻断，标记"数据已被非法篡改"，锁定当事单据</w:t>
            </w:r>
          </w:p>
        </w:tc>
      </w:tr>
      <w:tr w14:paraId="41AE3D0E">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78DE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E_VAL_CBAM_SCHEMA_INVALID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3F0C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A6E3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申报 XML 不符合欧盟 XSD 规范</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58A9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提示具体节点 Schema 违规信息，阻断申报包导出出境</w:t>
            </w:r>
          </w:p>
        </w:tc>
      </w:tr>
      <w:tr w14:paraId="4056B3DC">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3C53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E_SYS_ENTRY_ALREADY_LOCKED</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B418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854A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试图修改已锁账月度的产量或能耗数据</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597D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提示"当月财务账期已关账锁定，如需修正需由 P1 集团高管特批"</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7DC6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E_VAL_PRJ_MV_BASELINE_EMPTY</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8631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E1E7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节能技改效益评估缺少基准期能耗记录</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DB5C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阻断评估，提示"必须录入技改前至少 12 个月的基准期负荷数据"</w:t>
            </w:r>
          </w:p>
        </w:tc>
      </w:tr>
    </w:tbl>
    <w:p w14:paraId="3C7A0E29">
      <w:pPr>
        <w:spacing w:after="60"/>
        <w:rPr>
          <w:rFonts w:hint="eastAsia" w:ascii="宋体" w:hAnsi="宋体" w:eastAsia="宋体" w:cs="宋体"/>
          <w:i w:val="0"/>
          <w:iCs w:val="0"/>
          <w:sz w:val="24"/>
          <w:szCs w:val="24"/>
        </w:rPr>
      </w:pPr>
    </w:p>
    <w:p w14:paraId="6F6E68CD">
      <w:pPr>
        <w:pStyle w:val="4"/>
        <w:numPr>
          <w:ilvl w:val="0"/>
          <w:numId w:val="209"/>
        </w:numPr>
        <w:topLinePunct w:val="0"/>
        <w:ind w:left="0" w:leftChars="0" w:firstLine="0" w:firstLineChars="0"/>
        <w:outlineLvl w:val="0"/>
        <w:rPr>
          <w:rFonts w:hint="eastAsia" w:eastAsia="黑体"/>
          <w:b w:val="0"/>
          <w:bCs w:val="0"/>
          <w:sz w:val="30"/>
          <w:szCs w:val="32"/>
        </w:rPr>
      </w:pPr>
      <w:bookmarkStart w:id="72" w:name="_Toc28375"/>
      <w:r>
        <w:rPr>
          <w:rFonts w:ascii="Times New Roman" w:hAnsi="Times New Roman" w:eastAsia="黑体" w:cs="Times New Roman"/>
          <w:b w:val="0"/>
          <w:bCs w:val="0"/>
          <w:sz w:val="30"/>
          <w:szCs w:val="32"/>
        </w:rPr>
        <w:t>决策治理责任矩阵</w:t>
      </w:r>
      <w:bookmarkEnd w:id="72"/>
    </w:p>
    <w:p w14:paraId="48C1917A">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明确关键决策点单一 A（唯一最终责任人），杜绝职责推诿。R = 执行，A = 唯一最终责任人，C = 被咨询，I = 被告知。</w:t>
      </w:r>
    </w:p>
    <w:tbl>
      <w:tblPr>
        <w:tblStyle w:val="38"/>
        <w:tblW w:w="9780" w:type="dxa"/>
        <w:jc w:val="center"/>
        <w:tblLayout w:type="autofit"/>
        <w:tblCellMar>
          <w:top w:w="0" w:type="dxa"/>
          <w:left w:w="108" w:type="dxa"/>
          <w:bottom w:w="0" w:type="dxa"/>
          <w:right w:w="108" w:type="dxa"/>
        </w:tblCellMar>
      </w:tblPr>
      <w:tblGrid>
        <w:gridCol w:w="3896"/>
        <w:gridCol w:w="1141"/>
        <w:gridCol w:w="1419"/>
        <w:gridCol w:w="1141"/>
        <w:gridCol w:w="440"/>
        <w:gridCol w:w="581"/>
        <w:gridCol w:w="441"/>
        <w:gridCol w:w="721"/>
      </w:tblGrid>
      <w:tr w14:paraId="5E5D2976">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FDDE80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核心决策事项</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CC702C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P1 集团</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81E160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P4 碳专员</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EFAF3E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P5 报关</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B616F4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PM</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7D1EFB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Dev</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772EB7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QA</w:t>
            </w:r>
          </w:p>
        </w:tc>
        <w:tc>
          <w:tcPr>
            <w:tcW w:w="72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087A9B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法务</w:t>
            </w:r>
          </w:p>
        </w:tc>
      </w:tr>
      <w:tr w14:paraId="2FAE18F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FEA72B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北极星指标与业务范围定义</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50A772D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0B56A85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4127519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50C5779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29FA670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60FB50C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7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49FBA2D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r>
      <w:tr w14:paraId="4627567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3D5BA5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LCA碳足迹报告正式对外签发</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10A5CE7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4D183D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6BCF034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11E8E26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42168A0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0E1512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7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652598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r>
      <w:tr w14:paraId="7715604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C20CE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欧盟CBAM申报数据包终审报送</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5D2687C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15306D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79F71F6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2FCCD1B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1AD8612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09BE367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7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4F2D635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r>
      <w:tr w14:paraId="26767E3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A85203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月度基层数据关账与反冲审批</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15ED4A7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4DC865F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2E1CF2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457564D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591F620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73062D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7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12BE04C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r>
      <w:tr w14:paraId="2F2F2AB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D713EC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统一错误码与API契约变更</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3069334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451F313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7A96537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2C01753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384FFB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422D861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7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74BE415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r>
      <w:tr w14:paraId="06B23B3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75BFA2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铁律修订</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77132C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25BD0DA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DFC68A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58E0566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5969F26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35BE41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w:t>
            </w:r>
          </w:p>
        </w:tc>
        <w:tc>
          <w:tcPr>
            <w:tcW w:w="7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46144C4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r>
      <w:tr w14:paraId="014DF23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CA31E2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权威工序白名单判定扩展</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537EEBA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4F13FA5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04D06F6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2719A9F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7483FB5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7DB23B3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7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1E89146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r>
      <w:tr w14:paraId="265306E9">
        <w:tblPrEx>
          <w:tblCellMar>
            <w:top w:w="0" w:type="dxa"/>
            <w:left w:w="108" w:type="dxa"/>
            <w:bottom w:w="0" w:type="dxa"/>
            <w:right w:w="108" w:type="dxa"/>
          </w:tblCellMar>
        </w:tblPrEx>
        <w:trPr>
          <w:jc w:val="center"/>
        </w:trPr>
        <w:tc>
          <w:tcPr>
            <w:tcW w:w="38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DA2B9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模块八段式结构完整性评审</w:t>
            </w:r>
          </w:p>
        </w:tc>
        <w:tc>
          <w:tcPr>
            <w:tcW w:w="11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2458D5B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141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2EC17A9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11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4DD1F9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44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1483C34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w:t>
            </w:r>
          </w:p>
        </w:tc>
        <w:tc>
          <w:tcPr>
            <w:tcW w:w="5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591AF12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4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68E1126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7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212CA2B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r>
    </w:tbl>
    <w:p w14:paraId="4100EACE">
      <w:pPr>
        <w:spacing w:after="60"/>
        <w:rPr>
          <w:rFonts w:hint="eastAsia" w:ascii="宋体" w:hAnsi="宋体" w:eastAsia="宋体" w:cs="宋体"/>
          <w:i w:val="0"/>
          <w:iCs w:val="0"/>
          <w:sz w:val="24"/>
          <w:szCs w:val="24"/>
        </w:rPr>
      </w:pPr>
    </w:p>
    <w:p w14:paraId="3A8CC811">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29F67193">
      <w:pPr>
        <w:pStyle w:val="3"/>
        <w:numPr>
          <w:ilvl w:val="0"/>
          <w:numId w:val="7"/>
        </w:numPr>
        <w:ind w:left="0" w:leftChars="0" w:firstLine="0" w:firstLineChars="0"/>
        <w:rPr>
          <w:rFonts w:eastAsia="黑体"/>
          <w:b w:val="0"/>
          <w:bCs w:val="0"/>
          <w:sz w:val="32"/>
          <w:szCs w:val="44"/>
        </w:rPr>
      </w:pPr>
      <w:bookmarkStart w:id="73" w:name="_Toc15165"/>
      <w:r>
        <w:rPr>
          <w:rFonts w:ascii="Times New Roman" w:hAnsi="Times New Roman" w:eastAsia="黑体" w:cs="Times New Roman"/>
          <w:b w:val="0"/>
          <w:bCs w:val="0"/>
          <w:sz w:val="32"/>
          <w:szCs w:val="44"/>
        </w:rPr>
        <w:t>非功能需求与性能指标</w:t>
      </w:r>
      <w:bookmarkEnd w:id="73"/>
    </w:p>
    <w:p w14:paraId="5C2D59ED">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本章定义平台级非功能需求基线。已回捞 PRD-07 分卷（产品碳足迹集采中心·LCA 模块）中已验证的指标作为基准；集控中心、大屏、报表等其余模块指标已于本次架构评审定稿，全部指标均具备可测量位置与测量方法。</w:t>
      </w:r>
    </w:p>
    <w:p w14:paraId="49E99F43">
      <w:pPr>
        <w:pStyle w:val="4"/>
        <w:numPr>
          <w:ilvl w:val="0"/>
          <w:numId w:val="211"/>
        </w:numPr>
        <w:topLinePunct w:val="0"/>
        <w:ind w:left="0" w:leftChars="0" w:firstLine="0" w:firstLineChars="0"/>
        <w:outlineLvl w:val="0"/>
        <w:rPr>
          <w:rFonts w:hint="eastAsia" w:eastAsia="黑体"/>
          <w:b w:val="0"/>
          <w:bCs w:val="0"/>
          <w:sz w:val="30"/>
          <w:szCs w:val="32"/>
        </w:rPr>
      </w:pPr>
      <w:bookmarkStart w:id="74" w:name="_Toc3256"/>
      <w:r>
        <w:rPr>
          <w:rFonts w:ascii="Times New Roman" w:hAnsi="Times New Roman" w:eastAsia="黑体" w:cs="Times New Roman"/>
          <w:b w:val="0"/>
          <w:bCs w:val="0"/>
          <w:sz w:val="30"/>
          <w:szCs w:val="32"/>
        </w:rPr>
        <w:t>性能指标基线</w:t>
      </w:r>
      <w:bookmarkEnd w:id="74"/>
    </w:p>
    <w:tbl>
      <w:tblPr>
        <w:tblStyle w:val="38"/>
        <w:tblW w:w="9784" w:type="dxa"/>
        <w:jc w:val="center"/>
        <w:tblLayout w:type="autofit"/>
        <w:tblCellMar>
          <w:top w:w="0" w:type="dxa"/>
          <w:left w:w="108" w:type="dxa"/>
          <w:bottom w:w="0" w:type="dxa"/>
          <w:right w:w="108" w:type="dxa"/>
        </w:tblCellMar>
      </w:tblPr>
      <w:tblGrid>
        <w:gridCol w:w="3915"/>
        <w:gridCol w:w="2152"/>
        <w:gridCol w:w="3717"/>
      </w:tblGrid>
      <w:tr w14:paraId="7917B019">
        <w:tblPrEx>
          <w:tblCellMar>
            <w:top w:w="0" w:type="dxa"/>
            <w:left w:w="108" w:type="dxa"/>
            <w:bottom w:w="0" w:type="dxa"/>
            <w:right w:w="108" w:type="dxa"/>
          </w:tblCellMar>
        </w:tblPrEx>
        <w:trPr>
          <w:tblHeade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A10284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指标</w:t>
            </w:r>
          </w:p>
        </w:tc>
        <w:tc>
          <w:tcPr>
            <w:tcW w:w="215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175FE3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阈值</w:t>
            </w:r>
          </w:p>
        </w:tc>
        <w:tc>
          <w:tcPr>
            <w:tcW w:w="37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A14098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测量位置</w:t>
            </w:r>
          </w:p>
        </w:tc>
      </w:tr>
      <w:tr w14:paraId="7F54AF6C">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E585E6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LCP（最大内容绘制）</w:t>
            </w:r>
          </w:p>
        </w:tc>
        <w:tc>
          <w:tcPr>
            <w:tcW w:w="21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0BCBF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1.8s</w:t>
            </w:r>
          </w:p>
        </w:tc>
        <w:tc>
          <w:tcPr>
            <w:tcW w:w="37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373D4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路由进入</w:t>
            </w:r>
          </w:p>
        </w:tc>
      </w:tr>
      <w:tr w14:paraId="1A4BEED6">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929E97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INP（交互响应延迟）</w:t>
            </w:r>
          </w:p>
        </w:tc>
        <w:tc>
          <w:tcPr>
            <w:tcW w:w="21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DB58E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100ms</w:t>
            </w:r>
          </w:p>
        </w:tc>
        <w:tc>
          <w:tcPr>
            <w:tcW w:w="37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966C1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模块切换、因子点击</w:t>
            </w:r>
          </w:p>
        </w:tc>
      </w:tr>
      <w:tr w14:paraId="5C0851D6">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0B4D61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CLS（累计布局偏移）</w:t>
            </w:r>
          </w:p>
        </w:tc>
        <w:tc>
          <w:tcPr>
            <w:tcW w:w="21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BF4DF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0.05</w:t>
            </w:r>
          </w:p>
        </w:tc>
        <w:tc>
          <w:tcPr>
            <w:tcW w:w="37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FA615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列表 / 表格加载</w:t>
            </w:r>
          </w:p>
        </w:tc>
      </w:tr>
      <w:tr w14:paraId="599B6C23">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2A2F8E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单 SKU 计算</w:t>
            </w:r>
          </w:p>
        </w:tc>
        <w:tc>
          <w:tcPr>
            <w:tcW w:w="21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5378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5s</w:t>
            </w:r>
          </w:p>
        </w:tc>
        <w:tc>
          <w:tcPr>
            <w:tcW w:w="37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25845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 阶段滚算</w:t>
            </w:r>
          </w:p>
        </w:tc>
      </w:tr>
      <w:tr w14:paraId="33B4DEF7">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69B94C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中英双语报告生成</w:t>
            </w:r>
          </w:p>
        </w:tc>
        <w:tc>
          <w:tcPr>
            <w:tcW w:w="21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AB5A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15s</w:t>
            </w:r>
          </w:p>
        </w:tc>
        <w:tc>
          <w:tcPr>
            <w:tcW w:w="37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C8571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PDF 导出</w:t>
            </w:r>
          </w:p>
        </w:tc>
      </w:tr>
      <w:tr w14:paraId="2A49B147">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2B6D8D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实时测算</w:t>
            </w:r>
          </w:p>
        </w:tc>
        <w:tc>
          <w:tcPr>
            <w:tcW w:w="21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F0D3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3s</w:t>
            </w:r>
          </w:p>
        </w:tc>
        <w:tc>
          <w:tcPr>
            <w:tcW w:w="37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66746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ETS 价格刷新</w:t>
            </w:r>
          </w:p>
        </w:tc>
      </w:tr>
      <w:tr w14:paraId="1F27407F">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928887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大屏首屏加载</w:t>
            </w:r>
          </w:p>
        </w:tc>
        <w:tc>
          <w:tcPr>
            <w:tcW w:w="21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1F73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3.0s</w:t>
            </w:r>
          </w:p>
        </w:tc>
        <w:tc>
          <w:tcPr>
            <w:tcW w:w="37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08A5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46:9 环幕进入（含 3D 浮雕地图与航标粒子渲染完成）</w:t>
            </w:r>
          </w:p>
        </w:tc>
      </w:tr>
      <w:tr w14:paraId="2FC542D2">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368BE0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图表查询 P95 响应</w:t>
            </w:r>
          </w:p>
        </w:tc>
        <w:tc>
          <w:tcPr>
            <w:tcW w:w="21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F9784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800ms</w:t>
            </w:r>
          </w:p>
        </w:tc>
        <w:tc>
          <w:tcPr>
            <w:tcW w:w="37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D98ED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跨月单指标趋势查询</w:t>
            </w:r>
          </w:p>
        </w:tc>
      </w:tr>
      <w:tr w14:paraId="7613FD72">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065CA5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全集团月度用能报表生成</w:t>
            </w:r>
          </w:p>
        </w:tc>
        <w:tc>
          <w:tcPr>
            <w:tcW w:w="21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BA0D7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2.0s</w:t>
            </w:r>
          </w:p>
        </w:tc>
        <w:tc>
          <w:tcPr>
            <w:tcW w:w="37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DB754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全集团 21 家工厂月度用能报表</w:t>
            </w:r>
          </w:p>
        </w:tc>
      </w:tr>
      <w:tr w14:paraId="29B1BADB">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C81F0C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三维场景运行帧率（FPS）</w:t>
            </w:r>
          </w:p>
        </w:tc>
        <w:tc>
          <w:tcPr>
            <w:tcW w:w="21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CFD54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45 FPS</w:t>
            </w:r>
          </w:p>
        </w:tc>
        <w:tc>
          <w:tcPr>
            <w:tcW w:w="37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0423C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46:9 环幕与三维场景持续运行</w:t>
            </w:r>
          </w:p>
        </w:tc>
      </w:tr>
      <w:tr w14:paraId="412740C7">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D536DB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 万行级多维明细台账异步导出</w:t>
            </w:r>
          </w:p>
        </w:tc>
        <w:tc>
          <w:tcPr>
            <w:tcW w:w="21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0F696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30s</w:t>
            </w:r>
          </w:p>
        </w:tc>
        <w:tc>
          <w:tcPr>
            <w:tcW w:w="37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20260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后台下载中心推流下载</w:t>
            </w:r>
          </w:p>
        </w:tc>
      </w:tr>
    </w:tbl>
    <w:p w14:paraId="12C6BF21">
      <w:pPr>
        <w:pStyle w:val="4"/>
        <w:numPr>
          <w:ilvl w:val="0"/>
          <w:numId w:val="211"/>
        </w:numPr>
        <w:topLinePunct w:val="0"/>
        <w:ind w:left="0" w:leftChars="0" w:firstLine="0" w:firstLineChars="0"/>
        <w:outlineLvl w:val="0"/>
        <w:rPr>
          <w:rFonts w:hint="eastAsia" w:eastAsia="黑体"/>
          <w:b w:val="0"/>
          <w:bCs w:val="0"/>
          <w:sz w:val="30"/>
          <w:szCs w:val="32"/>
        </w:rPr>
      </w:pPr>
      <w:bookmarkStart w:id="75" w:name="_Toc17329"/>
      <w:r>
        <w:rPr>
          <w:rFonts w:ascii="Times New Roman" w:hAnsi="Times New Roman" w:eastAsia="黑体" w:cs="Times New Roman"/>
          <w:b w:val="0"/>
          <w:bCs w:val="0"/>
          <w:sz w:val="30"/>
          <w:szCs w:val="32"/>
        </w:rPr>
        <w:t>可靠性与可观测性基线</w:t>
      </w:r>
      <w:bookmarkEnd w:id="75"/>
    </w:p>
    <w:tbl>
      <w:tblPr>
        <w:tblStyle w:val="38"/>
        <w:tblW w:w="9784" w:type="dxa"/>
        <w:jc w:val="center"/>
        <w:tblLayout w:type="autofit"/>
        <w:tblCellMar>
          <w:top w:w="0" w:type="dxa"/>
          <w:left w:w="108" w:type="dxa"/>
          <w:bottom w:w="0" w:type="dxa"/>
          <w:right w:w="108" w:type="dxa"/>
        </w:tblCellMar>
      </w:tblPr>
      <w:tblGrid>
        <w:gridCol w:w="2045"/>
        <w:gridCol w:w="7739"/>
      </w:tblGrid>
      <w:tr w14:paraId="7CB8D4CE">
        <w:tblPrEx>
          <w:tblCellMar>
            <w:top w:w="0" w:type="dxa"/>
            <w:left w:w="108" w:type="dxa"/>
            <w:bottom w:w="0" w:type="dxa"/>
            <w:right w:w="108" w:type="dxa"/>
          </w:tblCellMar>
        </w:tblPrEx>
        <w:trPr>
          <w:tblHeader/>
          <w:jc w:val="center"/>
        </w:trPr>
        <w:tc>
          <w:tcPr>
            <w:tcW w:w="204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4AB14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项</w:t>
            </w:r>
          </w:p>
        </w:tc>
        <w:tc>
          <w:tcPr>
            <w:tcW w:w="77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31D69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阈值</w:t>
            </w:r>
          </w:p>
        </w:tc>
      </w:tr>
      <w:tr w14:paraId="74B65E9C">
        <w:tblPrEx>
          <w:tblCellMar>
            <w:top w:w="0" w:type="dxa"/>
            <w:left w:w="108" w:type="dxa"/>
            <w:bottom w:w="0" w:type="dxa"/>
            <w:right w:w="108" w:type="dxa"/>
          </w:tblCellMar>
        </w:tblPrEx>
        <w:trPr>
          <w:jc w:val="center"/>
        </w:trPr>
        <w:tc>
          <w:tcPr>
            <w:tcW w:w="20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DC14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模块可用性 SLO</w:t>
            </w:r>
          </w:p>
        </w:tc>
        <w:tc>
          <w:tcPr>
            <w:tcW w:w="77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EB83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99.9%（年宕机 ≤ 8.76h）</w:t>
            </w:r>
          </w:p>
        </w:tc>
      </w:tr>
      <w:tr w14:paraId="45CF3F57">
        <w:tblPrEx>
          <w:tblCellMar>
            <w:top w:w="0" w:type="dxa"/>
            <w:left w:w="108" w:type="dxa"/>
            <w:bottom w:w="0" w:type="dxa"/>
            <w:right w:w="108" w:type="dxa"/>
          </w:tblCellMar>
        </w:tblPrEx>
        <w:trPr>
          <w:jc w:val="center"/>
        </w:trPr>
        <w:tc>
          <w:tcPr>
            <w:tcW w:w="20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3E88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P99 计算响应</w:t>
            </w:r>
          </w:p>
        </w:tc>
        <w:tc>
          <w:tcPr>
            <w:tcW w:w="77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29BA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5s</w:t>
            </w:r>
          </w:p>
        </w:tc>
      </w:tr>
      <w:tr w14:paraId="1A166427">
        <w:tblPrEx>
          <w:tblCellMar>
            <w:top w:w="0" w:type="dxa"/>
            <w:left w:w="108" w:type="dxa"/>
            <w:bottom w:w="0" w:type="dxa"/>
            <w:right w:w="108" w:type="dxa"/>
          </w:tblCellMar>
        </w:tblPrEx>
        <w:trPr>
          <w:jc w:val="center"/>
        </w:trPr>
        <w:tc>
          <w:tcPr>
            <w:tcW w:w="20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316B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外部接口失败熔断</w:t>
            </w:r>
          </w:p>
        </w:tc>
        <w:tc>
          <w:tcPr>
            <w:tcW w:w="77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78039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 次 / 分钟</w:t>
            </w:r>
          </w:p>
        </w:tc>
      </w:tr>
      <w:tr w14:paraId="2284914F">
        <w:tblPrEx>
          <w:tblCellMar>
            <w:top w:w="0" w:type="dxa"/>
            <w:left w:w="108" w:type="dxa"/>
            <w:bottom w:w="0" w:type="dxa"/>
            <w:right w:w="108" w:type="dxa"/>
          </w:tblCellMar>
        </w:tblPrEx>
        <w:trPr>
          <w:jc w:val="center"/>
        </w:trPr>
        <w:tc>
          <w:tcPr>
            <w:tcW w:w="20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EF3C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因子库命中率</w:t>
            </w:r>
          </w:p>
        </w:tc>
        <w:tc>
          <w:tcPr>
            <w:tcW w:w="77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7F75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95%</w:t>
            </w:r>
          </w:p>
        </w:tc>
      </w:tr>
      <w:tr w14:paraId="0AC4D112">
        <w:tblPrEx>
          <w:tblCellMar>
            <w:top w:w="0" w:type="dxa"/>
            <w:left w:w="108" w:type="dxa"/>
            <w:bottom w:w="0" w:type="dxa"/>
            <w:right w:w="108" w:type="dxa"/>
          </w:tblCellMar>
        </w:tblPrEx>
        <w:trPr>
          <w:jc w:val="center"/>
        </w:trPr>
        <w:tc>
          <w:tcPr>
            <w:tcW w:w="20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98EE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审计日志零丢失</w:t>
            </w:r>
          </w:p>
        </w:tc>
        <w:tc>
          <w:tcPr>
            <w:tcW w:w="77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098A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100%</w:t>
            </w:r>
          </w:p>
        </w:tc>
      </w:tr>
      <w:tr w14:paraId="63154687">
        <w:tblPrEx>
          <w:tblCellMar>
            <w:top w:w="0" w:type="dxa"/>
            <w:left w:w="108" w:type="dxa"/>
            <w:bottom w:w="0" w:type="dxa"/>
            <w:right w:w="108" w:type="dxa"/>
          </w:tblCellMar>
        </w:tblPrEx>
        <w:trPr>
          <w:jc w:val="center"/>
        </w:trPr>
        <w:tc>
          <w:tcPr>
            <w:tcW w:w="20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1ACA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可观测性埋点</w:t>
            </w:r>
          </w:p>
        </w:tc>
        <w:tc>
          <w:tcPr>
            <w:tcW w:w="77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A8CB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OpenTelemetry Span：lca.compute.total / lca.compute.stage.* / lca.audit.hash / lca.cbam.compute</w:t>
            </w:r>
          </w:p>
        </w:tc>
      </w:tr>
      <w:tr w14:paraId="1B1CBA25">
        <w:tblPrEx>
          <w:tblCellMar>
            <w:top w:w="0" w:type="dxa"/>
            <w:left w:w="108" w:type="dxa"/>
            <w:bottom w:w="0" w:type="dxa"/>
            <w:right w:w="108" w:type="dxa"/>
          </w:tblCellMar>
        </w:tblPrEx>
        <w:trPr>
          <w:jc w:val="center"/>
        </w:trPr>
        <w:tc>
          <w:tcPr>
            <w:tcW w:w="20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65F4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大屏连续运行稳定性</w:t>
            </w:r>
          </w:p>
        </w:tc>
        <w:tc>
          <w:tcPr>
            <w:tcW w:w="77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59D7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7×24 小时连续运行，30 天内首屏加载时长与帧率无衰减</w:t>
            </w:r>
          </w:p>
        </w:tc>
      </w:tr>
    </w:tbl>
    <w:p w14:paraId="542D136C">
      <w:pPr>
        <w:spacing w:after="60"/>
        <w:rPr>
          <w:rFonts w:hint="eastAsia" w:ascii="宋体" w:hAnsi="宋体" w:eastAsia="宋体" w:cs="宋体"/>
          <w:i w:val="0"/>
          <w:iCs w:val="0"/>
          <w:sz w:val="24"/>
          <w:szCs w:val="24"/>
        </w:rPr>
      </w:pPr>
    </w:p>
    <w:p w14:paraId="574BA7D6">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7F9EA9C2">
      <w:pPr>
        <w:pStyle w:val="3"/>
        <w:numPr>
          <w:ilvl w:val="0"/>
          <w:numId w:val="7"/>
        </w:numPr>
        <w:ind w:left="0" w:leftChars="0" w:firstLine="0" w:firstLineChars="0"/>
        <w:rPr>
          <w:rFonts w:eastAsia="黑体"/>
          <w:b w:val="0"/>
          <w:bCs w:val="0"/>
          <w:sz w:val="32"/>
          <w:szCs w:val="44"/>
        </w:rPr>
      </w:pPr>
      <w:bookmarkStart w:id="76" w:name="_Toc28220"/>
      <w:r>
        <w:rPr>
          <w:rFonts w:ascii="Times New Roman" w:hAnsi="Times New Roman" w:eastAsia="黑体" w:cs="Times New Roman"/>
          <w:b w:val="0"/>
          <w:bCs w:val="0"/>
          <w:sz w:val="32"/>
          <w:szCs w:val="44"/>
        </w:rPr>
        <w:t>技术架构与系统选型</w:t>
      </w:r>
      <w:bookmarkEnd w:id="76"/>
    </w:p>
    <w:p w14:paraId="67085398">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平台正式生产架构已通过架构评审裁决（见本节 ADR 与「技术决策裁决记录与残留待确认项」表）。下表为原型实现基线（《系统开发技术文档》TECHNICAL_DOCUMENTATION.md v1.01）与关键架构决策（ADR）。</w:t>
      </w:r>
    </w:p>
    <w:p w14:paraId="5DEC781D">
      <w:pPr>
        <w:pStyle w:val="4"/>
        <w:numPr>
          <w:ilvl w:val="0"/>
          <w:numId w:val="212"/>
        </w:numPr>
        <w:topLinePunct w:val="0"/>
        <w:ind w:left="0" w:leftChars="0" w:firstLine="0" w:firstLineChars="0"/>
        <w:outlineLvl w:val="0"/>
        <w:rPr>
          <w:rFonts w:hint="eastAsia" w:eastAsia="黑体"/>
          <w:b w:val="0"/>
          <w:bCs w:val="0"/>
          <w:sz w:val="30"/>
          <w:szCs w:val="32"/>
        </w:rPr>
      </w:pPr>
      <w:bookmarkStart w:id="77" w:name="_Toc19241"/>
      <w:r>
        <w:rPr>
          <w:rFonts w:ascii="Times New Roman" w:hAnsi="Times New Roman" w:eastAsia="黑体" w:cs="Times New Roman"/>
          <w:b w:val="0"/>
          <w:bCs w:val="0"/>
          <w:sz w:val="30"/>
          <w:szCs w:val="32"/>
        </w:rPr>
        <w:t>原型实现技术栈</w:t>
      </w:r>
      <w:bookmarkEnd w:id="77"/>
    </w:p>
    <w:tbl>
      <w:tblPr>
        <w:tblStyle w:val="38"/>
        <w:tblW w:w="9784" w:type="dxa"/>
        <w:jc w:val="center"/>
        <w:tblLayout w:type="autofit"/>
        <w:tblCellMar>
          <w:top w:w="0" w:type="dxa"/>
          <w:left w:w="108" w:type="dxa"/>
          <w:bottom w:w="0" w:type="dxa"/>
          <w:right w:w="108" w:type="dxa"/>
        </w:tblCellMar>
      </w:tblPr>
      <w:tblGrid>
        <w:gridCol w:w="2311"/>
        <w:gridCol w:w="4804"/>
        <w:gridCol w:w="2669"/>
      </w:tblGrid>
      <w:tr w14:paraId="75D9DD51">
        <w:tblPrEx>
          <w:tblCellMar>
            <w:top w:w="0" w:type="dxa"/>
            <w:left w:w="108" w:type="dxa"/>
            <w:bottom w:w="0" w:type="dxa"/>
            <w:right w:w="108" w:type="dxa"/>
          </w:tblCellMar>
        </w:tblPrEx>
        <w:trPr>
          <w:tblHeade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E14F01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分层维度</w:t>
            </w:r>
          </w:p>
        </w:tc>
        <w:tc>
          <w:tcPr>
            <w:tcW w:w="480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008530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技术选型</w:t>
            </w:r>
          </w:p>
        </w:tc>
        <w:tc>
          <w:tcPr>
            <w:tcW w:w="266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A5FA4A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版本</w:t>
            </w:r>
          </w:p>
        </w:tc>
      </w:tr>
      <w:tr w14:paraId="48F3D9EE">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46B01E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基础框架</w:t>
            </w:r>
          </w:p>
        </w:tc>
        <w:tc>
          <w:tcPr>
            <w:tcW w:w="48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1F6B9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Next.js（App Router）</w:t>
            </w:r>
          </w:p>
        </w:tc>
        <w:tc>
          <w:tcPr>
            <w:tcW w:w="26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621E5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16.3.0</w:t>
            </w:r>
          </w:p>
        </w:tc>
      </w:tr>
      <w:tr w14:paraId="0D444878">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F4229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视图引擎</w:t>
            </w:r>
          </w:p>
        </w:tc>
        <w:tc>
          <w:tcPr>
            <w:tcW w:w="48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66008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React</w:t>
            </w:r>
          </w:p>
        </w:tc>
        <w:tc>
          <w:tcPr>
            <w:tcW w:w="26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3593F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19.0.0</w:t>
            </w:r>
          </w:p>
        </w:tc>
      </w:tr>
      <w:tr w14:paraId="656F4ADD">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1984A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开发语言</w:t>
            </w:r>
          </w:p>
        </w:tc>
        <w:tc>
          <w:tcPr>
            <w:tcW w:w="48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8E6D1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TypeScript（strict）</w:t>
            </w:r>
          </w:p>
        </w:tc>
        <w:tc>
          <w:tcPr>
            <w:tcW w:w="26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DAB5E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5.x</w:t>
            </w:r>
          </w:p>
        </w:tc>
      </w:tr>
      <w:tr w14:paraId="6FBDA88F">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80CB37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样式体系</w:t>
            </w:r>
          </w:p>
        </w:tc>
        <w:tc>
          <w:tcPr>
            <w:tcW w:w="48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BD711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Tailwind CSS + PostCSS</w:t>
            </w:r>
          </w:p>
        </w:tc>
        <w:tc>
          <w:tcPr>
            <w:tcW w:w="26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C842B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w:t>
            </w:r>
          </w:p>
        </w:tc>
      </w:tr>
      <w:tr w14:paraId="2C3CF117">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3B92D6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图标库</w:t>
            </w:r>
          </w:p>
        </w:tc>
        <w:tc>
          <w:tcPr>
            <w:tcW w:w="48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E154F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Lucide React</w:t>
            </w:r>
          </w:p>
        </w:tc>
        <w:tc>
          <w:tcPr>
            <w:tcW w:w="26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AC373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1.16.0</w:t>
            </w:r>
          </w:p>
        </w:tc>
      </w:tr>
      <w:tr w14:paraId="67A77374">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341108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数据可视化</w:t>
            </w:r>
          </w:p>
        </w:tc>
        <w:tc>
          <w:tcPr>
            <w:tcW w:w="48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246C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ECharts / Recharts</w:t>
            </w:r>
          </w:p>
        </w:tc>
        <w:tc>
          <w:tcPr>
            <w:tcW w:w="26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7F8DF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6.1.0 / 3.10.1</w:t>
            </w:r>
          </w:p>
        </w:tc>
      </w:tr>
      <w:tr w14:paraId="7DF32087">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BC3EE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空间地理渲染</w:t>
            </w:r>
          </w:p>
        </w:tc>
        <w:tc>
          <w:tcPr>
            <w:tcW w:w="48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35D13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React Simple Maps + D3 Geo</w:t>
            </w:r>
          </w:p>
        </w:tc>
        <w:tc>
          <w:tcPr>
            <w:tcW w:w="26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CD06D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3.0.0 / 3.1.1</w:t>
            </w:r>
          </w:p>
        </w:tc>
      </w:tr>
      <w:tr w14:paraId="6736DC50">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B1E55C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3D 数字孪生</w:t>
            </w:r>
          </w:p>
        </w:tc>
        <w:tc>
          <w:tcPr>
            <w:tcW w:w="48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F0BE3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Three.js</w:t>
            </w:r>
          </w:p>
        </w:tc>
        <w:tc>
          <w:tcPr>
            <w:tcW w:w="26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17146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180（r180）</w:t>
            </w:r>
          </w:p>
        </w:tc>
      </w:tr>
      <w:tr w14:paraId="7F81B747">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C559A5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时序数据库</w:t>
            </w:r>
          </w:p>
        </w:tc>
        <w:tc>
          <w:tcPr>
            <w:tcW w:w="48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226FA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TDengine（边缘侧 SQLite 本地缓存）</w:t>
            </w:r>
          </w:p>
        </w:tc>
        <w:tc>
          <w:tcPr>
            <w:tcW w:w="26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13880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3.x</w:t>
            </w:r>
          </w:p>
        </w:tc>
      </w:tr>
    </w:tbl>
    <w:p w14:paraId="2AFAAF6E">
      <w:pPr>
        <w:spacing w:after="60"/>
        <w:rPr>
          <w:rFonts w:hint="eastAsia" w:ascii="宋体" w:hAnsi="宋体" w:eastAsia="宋体" w:cs="宋体"/>
          <w:i w:val="0"/>
          <w:iCs w:val="0"/>
          <w:sz w:val="24"/>
          <w:szCs w:val="24"/>
        </w:rPr>
      </w:pPr>
    </w:p>
    <w:p w14:paraId="086F35C0">
      <w:pPr>
        <w:pStyle w:val="4"/>
        <w:numPr>
          <w:ilvl w:val="0"/>
          <w:numId w:val="212"/>
        </w:numPr>
        <w:topLinePunct w:val="0"/>
        <w:ind w:left="0" w:leftChars="0" w:firstLine="0" w:firstLineChars="0"/>
        <w:outlineLvl w:val="0"/>
        <w:rPr>
          <w:rFonts w:hint="eastAsia" w:eastAsia="黑体"/>
          <w:b w:val="0"/>
          <w:bCs w:val="0"/>
          <w:sz w:val="30"/>
          <w:szCs w:val="32"/>
        </w:rPr>
      </w:pPr>
      <w:bookmarkStart w:id="78" w:name="_Toc32230"/>
      <w:r>
        <w:rPr>
          <w:rFonts w:ascii="Times New Roman" w:hAnsi="Times New Roman" w:eastAsia="黑体" w:cs="Times New Roman"/>
          <w:b w:val="0"/>
          <w:bCs w:val="0"/>
          <w:sz w:val="30"/>
          <w:szCs w:val="32"/>
        </w:rPr>
        <w:t>关键架构决策（ADR）</w:t>
      </w:r>
      <w:bookmarkEnd w:id="78"/>
    </w:p>
    <w:tbl>
      <w:tblPr>
        <w:tblStyle w:val="38"/>
        <w:tblW w:w="9784" w:type="dxa"/>
        <w:jc w:val="center"/>
        <w:tblLayout w:type="autofit"/>
        <w:tblCellMar>
          <w:top w:w="0" w:type="dxa"/>
          <w:left w:w="108" w:type="dxa"/>
          <w:bottom w:w="0" w:type="dxa"/>
          <w:right w:w="108" w:type="dxa"/>
        </w:tblCellMar>
      </w:tblPr>
      <w:tblGrid>
        <w:gridCol w:w="1165"/>
        <w:gridCol w:w="4774"/>
        <w:gridCol w:w="3845"/>
      </w:tblGrid>
      <w:tr w14:paraId="71BAB817">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C2AB8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ADR</w:t>
            </w:r>
          </w:p>
        </w:tc>
        <w:tc>
          <w:tcPr>
            <w:tcW w:w="477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62A26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决策</w:t>
            </w:r>
          </w:p>
        </w:tc>
        <w:tc>
          <w:tcPr>
            <w:tcW w:w="384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F36A9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理由</w:t>
            </w:r>
          </w:p>
        </w:tc>
      </w:tr>
      <w:tr w14:paraId="2BDF90E2">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FF8E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ADR-CF-001</w:t>
            </w:r>
          </w:p>
        </w:tc>
        <w:tc>
          <w:tcPr>
            <w:tcW w:w="47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C9FD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时序数据 TDengine 3.x（边缘侧 SQLite 本地缓存）、关系数据 PostgreSQL 物理隔离</w:t>
            </w:r>
          </w:p>
        </w:tc>
        <w:tc>
          <w:tcPr>
            <w:tcW w:w="3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650F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IoT 秒级高频遥测与台账数据异构；时序库选型已由 ADR-SYS-001 最终收敛，本条时序库部分以 ADR-SYS-001 为准</w:t>
            </w:r>
          </w:p>
        </w:tc>
      </w:tr>
      <w:tr w14:paraId="2C9C1EED">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5061C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ADR-CF-002</w:t>
            </w:r>
          </w:p>
        </w:tc>
        <w:tc>
          <w:tcPr>
            <w:tcW w:w="47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B10F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因子库版本化（effective_from / effective_to / version_id）</w:t>
            </w:r>
          </w:p>
        </w:tc>
        <w:tc>
          <w:tcPr>
            <w:tcW w:w="38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D127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跨年因子版本对齐与可追溯</w:t>
            </w:r>
          </w:p>
        </w:tc>
      </w:tr>
      <w:tr w14:paraId="65797DFB">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100F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ADR-CF-003</w:t>
            </w:r>
          </w:p>
        </w:tc>
        <w:tc>
          <w:tcPr>
            <w:tcW w:w="47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8593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审计哈希链逐节点存证，尾节点校验 prev 引用</w:t>
            </w:r>
          </w:p>
        </w:tc>
        <w:tc>
          <w:tcPr>
            <w:tcW w:w="3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EAC8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计算过程防篡改与可审计</w:t>
            </w:r>
          </w:p>
        </w:tc>
      </w:tr>
      <w:tr w14:paraId="0C68B3DD">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1696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ADR-CF-005</w:t>
            </w:r>
          </w:p>
        </w:tc>
        <w:tc>
          <w:tcPr>
            <w:tcW w:w="47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EF5C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报告导出强制水印 + 操作员工号 + 时间戳嵌入</w:t>
            </w:r>
          </w:p>
        </w:tc>
        <w:tc>
          <w:tcPr>
            <w:tcW w:w="38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A10E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对外交付文件的防伪与追责</w:t>
            </w:r>
          </w:p>
        </w:tc>
      </w:tr>
      <w:tr w14:paraId="324D0B03">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8FCA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ADR-MON-001</w:t>
            </w:r>
          </w:p>
        </w:tc>
        <w:tc>
          <w:tcPr>
            <w:tcW w:w="47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C5CA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指标聚合在数据库物化视图层完成，应用层不再二次聚合</w:t>
            </w:r>
          </w:p>
        </w:tc>
        <w:tc>
          <w:tcPr>
            <w:tcW w:w="3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3A9D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保证聚合口径统一、避免应用层口径漂移</w:t>
            </w:r>
          </w:p>
        </w:tc>
      </w:tr>
      <w:tr w14:paraId="7387B38B">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ED51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ADR-SYS-001</w:t>
            </w:r>
          </w:p>
        </w:tc>
        <w:tc>
          <w:tcPr>
            <w:tcW w:w="47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8570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时序数据库最终裁决为 TDengine 3.x（边缘侧 SQLite 本地缓存）</w:t>
            </w:r>
          </w:p>
        </w:tc>
        <w:tc>
          <w:tcPr>
            <w:tcW w:w="3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992A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单节点高压缩比（实测 ≥ 10:1）、原生 SQL 语法、超级表天然适配工业测点物联网场景，规避多节点运维成本</w:t>
            </w:r>
          </w:p>
        </w:tc>
      </w:tr>
      <w:tr w14:paraId="7EBDF582">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E6A9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ADR-SYS-002</w:t>
            </w:r>
          </w:p>
        </w:tc>
        <w:tc>
          <w:tcPr>
            <w:tcW w:w="47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3DA4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暗黑 / 浅色双端同构采用 Tailwind CSS class 模式 + CSS 自定义属性（CSS Custom Properties）主题动态注入</w:t>
            </w:r>
          </w:p>
        </w:tc>
        <w:tc>
          <w:tcPr>
            <w:tcW w:w="3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77FA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一套 DOM 结构承载两套主题变量，保障 TC-02 要求的 76 个路由样式 100% 同构对标</w:t>
            </w:r>
          </w:p>
        </w:tc>
      </w:tr>
      <w:tr w14:paraId="259522E9">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045C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ADR-SYS-003</w:t>
            </w:r>
          </w:p>
        </w:tc>
        <w:tc>
          <w:tcPr>
            <w:tcW w:w="47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7693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采集频率分层：边端 1s~5s 本地闭环告警，云端 15 分钟等间隔汇聚，仅 32 台特种设备动态高频透传</w:t>
            </w:r>
          </w:p>
        </w:tc>
        <w:tc>
          <w:tcPr>
            <w:tcW w:w="3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B497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规避全量秒级上报造成的带宽瓶颈与数仓膨胀</w:t>
            </w:r>
          </w:p>
        </w:tc>
      </w:tr>
      <w:tr w14:paraId="46C9F7C6">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7576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ADR-SYS-004</w:t>
            </w:r>
          </w:p>
        </w:tc>
        <w:tc>
          <w:tcPr>
            <w:tcW w:w="47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8947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申报包出境前置信安合规网关 + 严格字段白名单</w:t>
            </w:r>
          </w:p>
        </w:tc>
        <w:tc>
          <w:tcPr>
            <w:tcW w:w="3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0072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满足数据出境安全评估与商业秘密 L3~L4 剥离要求</w:t>
            </w:r>
          </w:p>
        </w:tc>
      </w:tr>
    </w:tbl>
    <w:p w14:paraId="501B4D4A">
      <w:pPr>
        <w:spacing w:after="60"/>
        <w:rPr>
          <w:rFonts w:hint="eastAsia" w:ascii="宋体" w:hAnsi="宋体" w:eastAsia="宋体" w:cs="宋体"/>
          <w:i w:val="0"/>
          <w:iCs w:val="0"/>
          <w:sz w:val="24"/>
          <w:szCs w:val="24"/>
        </w:rPr>
      </w:pPr>
    </w:p>
    <w:p w14:paraId="3A45378E">
      <w:pPr>
        <w:pStyle w:val="4"/>
        <w:numPr>
          <w:ilvl w:val="0"/>
          <w:numId w:val="212"/>
        </w:numPr>
        <w:topLinePunct w:val="0"/>
        <w:ind w:left="0" w:leftChars="0" w:firstLine="0" w:firstLineChars="0"/>
        <w:outlineLvl w:val="0"/>
        <w:rPr>
          <w:rFonts w:hint="eastAsia" w:eastAsia="黑体"/>
          <w:b w:val="0"/>
          <w:bCs w:val="0"/>
          <w:sz w:val="30"/>
          <w:szCs w:val="32"/>
        </w:rPr>
      </w:pPr>
      <w:bookmarkStart w:id="79" w:name="_Toc11149"/>
      <w:bookmarkEnd w:id="79"/>
      <w:r>
        <w:rPr>
          <w:rFonts w:ascii="Times New Roman" w:hAnsi="Times New Roman" w:eastAsia="黑体" w:cs="Times New Roman"/>
          <w:b w:val="0"/>
          <w:bCs w:val="0"/>
          <w:sz w:val="30"/>
          <w:szCs w:val="32"/>
        </w:rPr>
        <w:t>技术决策裁决记录与残留待确认项</w:t>
      </w:r>
    </w:p>
    <w:tbl>
      <w:tblPr>
        <w:tblStyle w:val="38"/>
        <w:tblW w:w="9784" w:type="dxa"/>
        <w:jc w:val="center"/>
        <w:tblLayout w:type="autofit"/>
        <w:tblCellMar>
          <w:top w:w="0" w:type="dxa"/>
          <w:left w:w="108" w:type="dxa"/>
          <w:bottom w:w="0" w:type="dxa"/>
          <w:right w:w="108" w:type="dxa"/>
        </w:tblCellMar>
      </w:tblPr>
      <w:tblGrid>
        <w:gridCol w:w="3730"/>
        <w:gridCol w:w="4061"/>
        <w:gridCol w:w="1993"/>
      </w:tblGrid>
      <w:tr w14:paraId="7CD5A58F">
        <w:tblPrEx>
          <w:tblCellMar>
            <w:top w:w="0" w:type="dxa"/>
            <w:left w:w="108" w:type="dxa"/>
            <w:bottom w:w="0" w:type="dxa"/>
            <w:right w:w="108" w:type="dxa"/>
          </w:tblCellMar>
        </w:tblPrEx>
        <w:trPr>
          <w:jc w:val="center"/>
        </w:trPr>
        <w:tc>
          <w:tcPr>
            <w:tcW w:w="373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D6811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决策项</w:t>
            </w:r>
          </w:p>
        </w:tc>
        <w:tc>
          <w:tcPr>
            <w:tcW w:w="406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F03FE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说明</w:t>
            </w:r>
          </w:p>
        </w:tc>
        <w:tc>
          <w:tcPr>
            <w:tcW w:w="199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FE86C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状态</w:t>
            </w:r>
          </w:p>
        </w:tc>
      </w:tr>
      <w:tr w14:paraId="619D6BAD">
        <w:tblPrEx>
          <w:tblCellMar>
            <w:top w:w="0" w:type="dxa"/>
            <w:left w:w="108" w:type="dxa"/>
            <w:bottom w:w="0" w:type="dxa"/>
            <w:right w:w="108" w:type="dxa"/>
          </w:tblCellMar>
        </w:tblPrEx>
        <w:trPr>
          <w:jc w:val="center"/>
        </w:trPr>
        <w:tc>
          <w:tcPr>
            <w:tcW w:w="37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CA8B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时序数据库最终选型</w:t>
            </w:r>
          </w:p>
        </w:tc>
        <w:tc>
          <w:tcPr>
            <w:tcW w:w="40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D662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已裁决为 TDengine 3.x（边缘侧 SQLite 本地缓存），见 ADR-SYS-001</w:t>
            </w:r>
          </w:p>
        </w:tc>
        <w:tc>
          <w:tcPr>
            <w:tcW w:w="19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96E0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已裁决（2026-09-16）</w:t>
            </w:r>
          </w:p>
        </w:tc>
      </w:tr>
      <w:tr w14:paraId="5E9DD5A4">
        <w:tblPrEx>
          <w:tblCellMar>
            <w:top w:w="0" w:type="dxa"/>
            <w:left w:w="108" w:type="dxa"/>
            <w:bottom w:w="0" w:type="dxa"/>
            <w:right w:w="108" w:type="dxa"/>
          </w:tblCellMar>
        </w:tblPrEx>
        <w:trPr>
          <w:jc w:val="center"/>
        </w:trPr>
        <w:tc>
          <w:tcPr>
            <w:tcW w:w="37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0638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边缘一体机操作系统与容器运行时</w:t>
            </w:r>
          </w:p>
        </w:tc>
        <w:tc>
          <w:tcPr>
            <w:tcW w:w="40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3033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断点续传与本地闭环控制承载环境</w:t>
            </w:r>
          </w:p>
        </w:tc>
        <w:tc>
          <w:tcPr>
            <w:tcW w:w="19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4BD50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待硬件方案确认</w:t>
            </w:r>
          </w:p>
        </w:tc>
      </w:tr>
      <w:tr w14:paraId="7D23B032">
        <w:tblPrEx>
          <w:tblCellMar>
            <w:top w:w="0" w:type="dxa"/>
            <w:left w:w="108" w:type="dxa"/>
            <w:bottom w:w="0" w:type="dxa"/>
            <w:right w:w="108" w:type="dxa"/>
          </w:tblCellMar>
        </w:tblPrEx>
        <w:trPr>
          <w:jc w:val="center"/>
        </w:trPr>
        <w:tc>
          <w:tcPr>
            <w:tcW w:w="37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A7DA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ETS 碳价与 Ecoinvent 接口代理部署位置</w:t>
            </w:r>
          </w:p>
        </w:tc>
        <w:tc>
          <w:tcPr>
            <w:tcW w:w="40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B618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部署于境内 DMZ 代理节点，全部出境流量经数据出境合规网关，见第十章第二节</w:t>
            </w:r>
          </w:p>
        </w:tc>
        <w:tc>
          <w:tcPr>
            <w:tcW w:w="19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427E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已裁决（2026-09-16）</w:t>
            </w:r>
          </w:p>
        </w:tc>
      </w:tr>
      <w:tr w14:paraId="1AA6E871">
        <w:tblPrEx>
          <w:tblCellMar>
            <w:top w:w="0" w:type="dxa"/>
            <w:left w:w="108" w:type="dxa"/>
            <w:bottom w:w="0" w:type="dxa"/>
            <w:right w:w="108" w:type="dxa"/>
          </w:tblCellMar>
        </w:tblPrEx>
        <w:trPr>
          <w:jc w:val="center"/>
        </w:trPr>
        <w:tc>
          <w:tcPr>
            <w:tcW w:w="37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4B7A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双端（暗黑 / 浅色）同构实现方式</w:t>
            </w:r>
          </w:p>
        </w:tc>
        <w:tc>
          <w:tcPr>
            <w:tcW w:w="40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2E11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Tailwind CSS class 模式 + CSS 自定义属性主题动态注入，见 ADR-SYS-002</w:t>
            </w:r>
          </w:p>
        </w:tc>
        <w:tc>
          <w:tcPr>
            <w:tcW w:w="19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BFE4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已裁决（2026-09-16）</w:t>
            </w:r>
          </w:p>
        </w:tc>
      </w:tr>
      <w:tr w14:paraId="74573854">
        <w:tblPrEx>
          <w:tblCellMar>
            <w:top w:w="0" w:type="dxa"/>
            <w:left w:w="108" w:type="dxa"/>
            <w:bottom w:w="0" w:type="dxa"/>
            <w:right w:w="108" w:type="dxa"/>
          </w:tblCellMar>
        </w:tblPrEx>
        <w:trPr>
          <w:jc w:val="center"/>
        </w:trPr>
        <w:tc>
          <w:tcPr>
            <w:tcW w:w="37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0913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云端采集频率分层策略</w:t>
            </w:r>
          </w:p>
        </w:tc>
        <w:tc>
          <w:tcPr>
            <w:tcW w:w="40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D81A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边端 1s~5s / 云端 15 min / 32 台特种设备试验期动态高频透传，见 ADR-SYS-003</w:t>
            </w:r>
          </w:p>
        </w:tc>
        <w:tc>
          <w:tcPr>
            <w:tcW w:w="19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3EF3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已裁决（2026-09-16）</w:t>
            </w:r>
          </w:p>
        </w:tc>
      </w:tr>
    </w:tbl>
    <w:p w14:paraId="03AC9A52">
      <w:pPr>
        <w:spacing w:after="60"/>
        <w:rPr>
          <w:rFonts w:hint="eastAsia" w:ascii="宋体" w:hAnsi="宋体" w:eastAsia="宋体" w:cs="宋体"/>
          <w:i w:val="0"/>
          <w:iCs w:val="0"/>
          <w:sz w:val="24"/>
          <w:szCs w:val="24"/>
        </w:rPr>
      </w:pPr>
    </w:p>
    <w:p w14:paraId="2B202E37">
      <w:pPr>
        <w:pStyle w:val="3"/>
        <w:numPr>
          <w:ilvl w:val="0"/>
          <w:numId w:val="7"/>
        </w:numPr>
        <w:ind w:left="0" w:leftChars="0" w:firstLine="0" w:firstLineChars="0"/>
        <w:rPr>
          <w:rFonts w:eastAsia="黑体"/>
          <w:b w:val="0"/>
          <w:bCs w:val="0"/>
          <w:sz w:val="32"/>
          <w:szCs w:val="44"/>
        </w:rPr>
      </w:pPr>
      <w:bookmarkStart w:id="80" w:name="_Toc10669"/>
      <w:r>
        <w:rPr>
          <w:rFonts w:ascii="Times New Roman" w:hAnsi="Times New Roman" w:eastAsia="黑体" w:cs="Times New Roman"/>
          <w:b w:val="0"/>
          <w:bCs w:val="0"/>
          <w:sz w:val="32"/>
          <w:szCs w:val="44"/>
        </w:rPr>
        <w:t>系统级公共模块需求</w:t>
      </w:r>
      <w:bookmarkEnd w:id="80"/>
    </w:p>
    <w:p w14:paraId="740231A3">
      <w:pPr>
        <w:pStyle w:val="4"/>
        <w:numPr>
          <w:ilvl w:val="0"/>
          <w:numId w:val="213"/>
        </w:numPr>
        <w:topLinePunct w:val="0"/>
        <w:ind w:left="0" w:leftChars="0" w:firstLine="0" w:firstLineChars="0"/>
        <w:outlineLvl w:val="0"/>
        <w:rPr>
          <w:rFonts w:hint="eastAsia" w:eastAsia="黑体"/>
          <w:b w:val="0"/>
          <w:bCs w:val="0"/>
          <w:sz w:val="30"/>
          <w:szCs w:val="32"/>
        </w:rPr>
      </w:pPr>
      <w:bookmarkStart w:id="81" w:name="_Toc20479"/>
      <w:r>
        <w:rPr>
          <w:rFonts w:ascii="Times New Roman" w:hAnsi="Times New Roman" w:eastAsia="黑体" w:cs="Times New Roman"/>
          <w:b w:val="0"/>
          <w:bCs w:val="0"/>
          <w:sz w:val="30"/>
          <w:szCs w:val="32"/>
        </w:rPr>
        <w:t>公共模块清单</w:t>
      </w:r>
      <w:bookmarkEnd w:id="81"/>
    </w:p>
    <w:tbl>
      <w:tblPr>
        <w:tblStyle w:val="38"/>
        <w:tblW w:w="9784" w:type="dxa"/>
        <w:jc w:val="center"/>
        <w:tblLayout w:type="autofit"/>
        <w:tblCellMar>
          <w:top w:w="0" w:type="dxa"/>
          <w:left w:w="108" w:type="dxa"/>
          <w:bottom w:w="0" w:type="dxa"/>
          <w:right w:w="108" w:type="dxa"/>
        </w:tblCellMar>
      </w:tblPr>
      <w:tblGrid>
        <w:gridCol w:w="2189"/>
        <w:gridCol w:w="5523"/>
        <w:gridCol w:w="2072"/>
      </w:tblGrid>
      <w:tr w14:paraId="47E526AF">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79DE5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模块名称</w:t>
            </w:r>
          </w:p>
        </w:tc>
        <w:tc>
          <w:tcPr>
            <w:tcW w:w="552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8423F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功能概述</w:t>
            </w:r>
          </w:p>
        </w:tc>
        <w:tc>
          <w:tcPr>
            <w:tcW w:w="20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ADFB0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服务对象</w:t>
            </w:r>
          </w:p>
        </w:tc>
      </w:tr>
      <w:tr w14:paraId="308FEF8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6255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组织架构与 RBAC 权限配置</w:t>
            </w:r>
          </w:p>
        </w:tc>
        <w:tc>
          <w:tcPr>
            <w:tcW w:w="55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01B3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六级组织节点维护、角色与权限矩阵配置、数据范围隔离策略</w:t>
            </w:r>
          </w:p>
        </w:tc>
        <w:tc>
          <w:tcPr>
            <w:tcW w:w="20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5860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全体模块</w:t>
            </w:r>
          </w:p>
        </w:tc>
      </w:tr>
      <w:tr w14:paraId="32843BE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CB9B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统一工作流引擎</w:t>
            </w:r>
          </w:p>
        </w:tc>
        <w:tc>
          <w:tcPr>
            <w:tcW w:w="5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50BF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审批流配置与实例流转（参数变更审批、评估复核、申报双签）</w:t>
            </w:r>
          </w:p>
        </w:tc>
        <w:tc>
          <w:tcPr>
            <w:tcW w:w="20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DB9F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第二/三/五章各审批环节</w:t>
            </w:r>
          </w:p>
        </w:tc>
      </w:tr>
      <w:tr w14:paraId="5042CA6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714E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告警中枢</w:t>
            </w:r>
          </w:p>
        </w:tc>
        <w:tc>
          <w:tcPr>
            <w:tcW w:w="55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949D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越限告警、通讯异常、证书到期、因子过期等事件的统一汇聚、分级与派单</w:t>
            </w:r>
          </w:p>
        </w:tc>
        <w:tc>
          <w:tcPr>
            <w:tcW w:w="20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5D1E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全体模块</w:t>
            </w:r>
          </w:p>
        </w:tc>
      </w:tr>
      <w:tr w14:paraId="3B04490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1463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消息与待办中心</w:t>
            </w:r>
          </w:p>
        </w:tc>
        <w:tc>
          <w:tcPr>
            <w:tcW w:w="5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DDBE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站内消息、待办工单、批示流转</w:t>
            </w:r>
          </w:p>
        </w:tc>
        <w:tc>
          <w:tcPr>
            <w:tcW w:w="20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508A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P1~P6 全角色</w:t>
            </w:r>
          </w:p>
        </w:tc>
      </w:tr>
      <w:tr w14:paraId="1A4D2B3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9EF4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导出中心</w:t>
            </w:r>
          </w:p>
        </w:tc>
        <w:tc>
          <w:tcPr>
            <w:tcW w:w="55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B90F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统一报表与报告导出、异步大文件生成、水印与哈希注入</w:t>
            </w:r>
          </w:p>
        </w:tc>
        <w:tc>
          <w:tcPr>
            <w:tcW w:w="20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9339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报表 / 报告 / 台账</w:t>
            </w:r>
          </w:p>
        </w:tc>
      </w:tr>
      <w:tr w14:paraId="149466D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8852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审计日志中心</w:t>
            </w:r>
          </w:p>
        </w:tc>
        <w:tc>
          <w:tcPr>
            <w:tcW w:w="5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C5A5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操作留痕、审计哈希链存证、越权事件记录</w:t>
            </w:r>
          </w:p>
        </w:tc>
        <w:tc>
          <w:tcPr>
            <w:tcW w:w="20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48A0A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全体模块</w:t>
            </w:r>
          </w:p>
        </w:tc>
      </w:tr>
      <w:tr w14:paraId="7F92A5B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B54E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数据字典与介质配置</w:t>
            </w:r>
          </w:p>
        </w:tc>
        <w:tc>
          <w:tcPr>
            <w:tcW w:w="55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6CAF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能源介质字典、单位字典、枚举值字典集中管理</w:t>
            </w:r>
          </w:p>
        </w:tc>
        <w:tc>
          <w:tcPr>
            <w:tcW w:w="20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DB24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全体模块</w:t>
            </w:r>
          </w:p>
        </w:tc>
      </w:tr>
      <w:tr w14:paraId="292F70F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A5E6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采集通讯与接口配置</w:t>
            </w:r>
          </w:p>
        </w:tc>
        <w:tc>
          <w:tcPr>
            <w:tcW w:w="5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21DB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采集网关注册、协议参数配置、接口健康监控与熔断阈值</w:t>
            </w:r>
          </w:p>
        </w:tc>
        <w:tc>
          <w:tcPr>
            <w:tcW w:w="20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EBA2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第二章各监测模块</w:t>
            </w:r>
          </w:p>
        </w:tc>
      </w:tr>
      <w:tr w14:paraId="6CBDE88C">
        <w:tblPrEx>
          <w:tblCellMar>
            <w:top w:w="0" w:type="dxa"/>
            <w:left w:w="108" w:type="dxa"/>
            <w:bottom w:w="0" w:type="dxa"/>
            <w:right w:w="108" w:type="dxa"/>
          </w:tblCellMar>
        </w:tblPrEx>
        <w:trPr>
          <w:jc w:val="center"/>
        </w:trPr>
        <w:tc>
          <w:tcPr>
            <w:tcW w:w="21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8560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AI 智能专家工作台</w:t>
            </w:r>
          </w:p>
        </w:tc>
        <w:tc>
          <w:tcPr>
            <w:tcW w:w="55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49A5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能耗异常智能诊断、减碳路径推荐、问答式数据检索</w:t>
            </w:r>
          </w:p>
        </w:tc>
        <w:tc>
          <w:tcPr>
            <w:tcW w:w="20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E5F6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P1 / P2 / P4</w:t>
            </w:r>
          </w:p>
        </w:tc>
      </w:tr>
    </w:tbl>
    <w:p w14:paraId="3AB1E8BD">
      <w:pPr>
        <w:spacing w:after="60"/>
        <w:rPr>
          <w:rFonts w:hint="eastAsia" w:ascii="宋体" w:hAnsi="宋体" w:eastAsia="宋体" w:cs="宋体"/>
          <w:i w:val="0"/>
          <w:iCs w:val="0"/>
          <w:sz w:val="24"/>
          <w:szCs w:val="24"/>
        </w:rPr>
      </w:pPr>
    </w:p>
    <w:p w14:paraId="42B91BC2">
      <w:pPr>
        <w:pStyle w:val="4"/>
        <w:numPr>
          <w:ilvl w:val="0"/>
          <w:numId w:val="213"/>
        </w:numPr>
        <w:topLinePunct w:val="0"/>
        <w:ind w:left="0" w:leftChars="0" w:firstLine="0" w:firstLineChars="0"/>
        <w:outlineLvl w:val="0"/>
        <w:rPr>
          <w:rFonts w:hint="eastAsia" w:eastAsia="黑体"/>
          <w:b w:val="0"/>
          <w:bCs w:val="0"/>
          <w:sz w:val="30"/>
          <w:szCs w:val="32"/>
        </w:rPr>
      </w:pPr>
      <w:bookmarkStart w:id="82" w:name="_Toc6437"/>
      <w:r>
        <w:rPr>
          <w:rFonts w:ascii="Times New Roman" w:hAnsi="Times New Roman" w:eastAsia="黑体" w:cs="Times New Roman"/>
          <w:b w:val="0"/>
          <w:bCs w:val="0"/>
          <w:sz w:val="30"/>
          <w:szCs w:val="32"/>
        </w:rPr>
        <w:t>告警中枢分级与响应契约</w:t>
      </w:r>
      <w:bookmarkEnd w:id="82"/>
    </w:p>
    <w:tbl>
      <w:tblPr>
        <w:tblStyle w:val="38"/>
        <w:tblW w:w="9784" w:type="dxa"/>
        <w:jc w:val="center"/>
        <w:tblLayout w:type="autofit"/>
        <w:tblCellMar>
          <w:top w:w="0" w:type="dxa"/>
          <w:left w:w="108" w:type="dxa"/>
          <w:bottom w:w="0" w:type="dxa"/>
          <w:right w:w="108" w:type="dxa"/>
        </w:tblCellMar>
      </w:tblPr>
      <w:tblGrid>
        <w:gridCol w:w="1500"/>
        <w:gridCol w:w="4371"/>
        <w:gridCol w:w="2017"/>
        <w:gridCol w:w="1896"/>
      </w:tblGrid>
      <w:tr w14:paraId="5DB88500">
        <w:tblPrEx>
          <w:tblCellMar>
            <w:top w:w="0" w:type="dxa"/>
            <w:left w:w="108" w:type="dxa"/>
            <w:bottom w:w="0" w:type="dxa"/>
            <w:right w:w="108" w:type="dxa"/>
          </w:tblCellMar>
        </w:tblPrEx>
        <w:trPr>
          <w:jc w:val="center"/>
        </w:trPr>
        <w:tc>
          <w:tcPr>
            <w:tcW w:w="150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37CA6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告警等级</w:t>
            </w:r>
          </w:p>
        </w:tc>
        <w:tc>
          <w:tcPr>
            <w:tcW w:w="437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1E238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触发条件</w:t>
            </w:r>
          </w:p>
        </w:tc>
        <w:tc>
          <w:tcPr>
            <w:tcW w:w="20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9E0BD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通知方式</w:t>
            </w:r>
          </w:p>
        </w:tc>
        <w:tc>
          <w:tcPr>
            <w:tcW w:w="189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121DE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响应时限</w:t>
            </w:r>
          </w:p>
        </w:tc>
      </w:tr>
      <w:tr w14:paraId="35C67A9D">
        <w:tblPrEx>
          <w:tblCellMar>
            <w:top w:w="0" w:type="dxa"/>
            <w:left w:w="108" w:type="dxa"/>
            <w:bottom w:w="0" w:type="dxa"/>
            <w:right w:w="108" w:type="dxa"/>
          </w:tblCellMar>
        </w:tblPrEx>
        <w:trPr>
          <w:jc w:val="center"/>
        </w:trPr>
        <w:tc>
          <w:tcPr>
            <w:tcW w:w="15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5249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P0 系统级</w:t>
            </w:r>
          </w:p>
        </w:tc>
        <w:tc>
          <w:tcPr>
            <w:tcW w:w="437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5D6D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主库连接中断、核心服务不可用</w:t>
            </w:r>
          </w:p>
        </w:tc>
        <w:tc>
          <w:tcPr>
            <w:tcW w:w="20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8D486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电话 + 短信 + 站内</w:t>
            </w:r>
          </w:p>
        </w:tc>
        <w:tc>
          <w:tcPr>
            <w:tcW w:w="18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D2BA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分钟内响应</w:t>
            </w:r>
          </w:p>
        </w:tc>
      </w:tr>
      <w:tr w14:paraId="0267AA27">
        <w:tblPrEx>
          <w:tblCellMar>
            <w:top w:w="0" w:type="dxa"/>
            <w:left w:w="108" w:type="dxa"/>
            <w:bottom w:w="0" w:type="dxa"/>
            <w:right w:w="108" w:type="dxa"/>
          </w:tblCellMar>
        </w:tblPrEx>
        <w:trPr>
          <w:jc w:val="center"/>
        </w:trPr>
        <w:tc>
          <w:tcPr>
            <w:tcW w:w="15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2B8A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P1 业务级</w:t>
            </w:r>
          </w:p>
        </w:tc>
        <w:tc>
          <w:tcPr>
            <w:tcW w:w="43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6D36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采集超时、越权访问、哈希校验失败、认证超时</w:t>
            </w:r>
          </w:p>
        </w:tc>
        <w:tc>
          <w:tcPr>
            <w:tcW w:w="20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8BC9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短信 + 站内</w:t>
            </w:r>
          </w:p>
        </w:tc>
        <w:tc>
          <w:tcPr>
            <w:tcW w:w="18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F00B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 小时内响应</w:t>
            </w:r>
          </w:p>
        </w:tc>
      </w:tr>
      <w:tr w14:paraId="2972178D">
        <w:tblPrEx>
          <w:tblCellMar>
            <w:top w:w="0" w:type="dxa"/>
            <w:left w:w="108" w:type="dxa"/>
            <w:bottom w:w="0" w:type="dxa"/>
            <w:right w:w="108" w:type="dxa"/>
          </w:tblCellMar>
        </w:tblPrEx>
        <w:trPr>
          <w:jc w:val="center"/>
        </w:trPr>
        <w:tc>
          <w:tcPr>
            <w:tcW w:w="15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5039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P2 提示级</w:t>
            </w:r>
          </w:p>
        </w:tc>
        <w:tc>
          <w:tcPr>
            <w:tcW w:w="437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3127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数值非法、因子过期、碳价滞后、锁账冲突</w:t>
            </w:r>
          </w:p>
        </w:tc>
        <w:tc>
          <w:tcPr>
            <w:tcW w:w="20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E0D3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站内消息</w:t>
            </w:r>
          </w:p>
        </w:tc>
        <w:tc>
          <w:tcPr>
            <w:tcW w:w="18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20BC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当日处理</w:t>
            </w:r>
          </w:p>
        </w:tc>
      </w:tr>
      <w:tr w14:paraId="125BADB8">
        <w:tblPrEx>
          <w:tblCellMar>
            <w:top w:w="0" w:type="dxa"/>
            <w:left w:w="108" w:type="dxa"/>
            <w:bottom w:w="0" w:type="dxa"/>
            <w:right w:w="108" w:type="dxa"/>
          </w:tblCellMar>
        </w:tblPrEx>
        <w:trPr>
          <w:jc w:val="center"/>
        </w:trPr>
        <w:tc>
          <w:tcPr>
            <w:tcW w:w="15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77DD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P3 信息级</w:t>
            </w:r>
          </w:p>
        </w:tc>
        <w:tc>
          <w:tcPr>
            <w:tcW w:w="43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D44F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除零软降级、白名单判空、数据延迟</w:t>
            </w:r>
          </w:p>
        </w:tc>
        <w:tc>
          <w:tcPr>
            <w:tcW w:w="20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E562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界面内表达，不推送</w:t>
            </w:r>
          </w:p>
        </w:tc>
        <w:tc>
          <w:tcPr>
            <w:tcW w:w="18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06ED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无需响应</w:t>
            </w:r>
          </w:p>
        </w:tc>
      </w:tr>
    </w:tbl>
    <w:p w14:paraId="63507791">
      <w:pPr>
        <w:spacing w:after="60"/>
        <w:rPr>
          <w:rFonts w:hint="eastAsia" w:ascii="宋体" w:hAnsi="宋体" w:eastAsia="宋体" w:cs="宋体"/>
          <w:i w:val="0"/>
          <w:iCs w:val="0"/>
          <w:sz w:val="24"/>
          <w:szCs w:val="24"/>
        </w:rPr>
      </w:pPr>
    </w:p>
    <w:p w14:paraId="2EE34191">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305D2415">
      <w:pPr>
        <w:pStyle w:val="3"/>
        <w:numPr>
          <w:ilvl w:val="0"/>
          <w:numId w:val="7"/>
        </w:numPr>
        <w:ind w:left="0" w:leftChars="0" w:firstLine="0" w:firstLineChars="0"/>
        <w:rPr>
          <w:rFonts w:eastAsia="黑体"/>
          <w:b w:val="0"/>
          <w:bCs w:val="0"/>
          <w:sz w:val="32"/>
          <w:szCs w:val="44"/>
        </w:rPr>
      </w:pPr>
      <w:bookmarkStart w:id="83" w:name="_Toc28372"/>
      <w:r>
        <w:rPr>
          <w:rFonts w:ascii="Times New Roman" w:hAnsi="Times New Roman" w:eastAsia="黑体" w:cs="Times New Roman"/>
          <w:b w:val="0"/>
          <w:bCs w:val="0"/>
          <w:sz w:val="32"/>
          <w:szCs w:val="44"/>
        </w:rPr>
        <w:t>安全与合规需求</w:t>
      </w:r>
      <w:bookmarkEnd w:id="83"/>
    </w:p>
    <w:p w14:paraId="20DEEF53">
      <w:pPr>
        <w:pStyle w:val="4"/>
        <w:numPr>
          <w:ilvl w:val="0"/>
          <w:numId w:val="214"/>
        </w:numPr>
        <w:topLinePunct w:val="0"/>
        <w:ind w:left="0" w:leftChars="0" w:firstLine="0" w:firstLineChars="0"/>
        <w:outlineLvl w:val="0"/>
        <w:rPr>
          <w:rFonts w:hint="eastAsia" w:eastAsia="黑体"/>
          <w:b w:val="0"/>
          <w:bCs w:val="0"/>
          <w:sz w:val="30"/>
          <w:szCs w:val="32"/>
        </w:rPr>
      </w:pPr>
      <w:bookmarkStart w:id="84" w:name="_Toc27157"/>
      <w:r>
        <w:rPr>
          <w:rFonts w:ascii="Times New Roman" w:hAnsi="Times New Roman" w:eastAsia="黑体" w:cs="Times New Roman"/>
          <w:b w:val="0"/>
          <w:bCs w:val="0"/>
          <w:sz w:val="30"/>
          <w:szCs w:val="32"/>
        </w:rPr>
        <w:t>网络安全防护体系</w:t>
      </w:r>
      <w:bookmarkEnd w:id="84"/>
    </w:p>
    <w:tbl>
      <w:tblPr>
        <w:tblStyle w:val="38"/>
        <w:tblW w:w="9784" w:type="dxa"/>
        <w:jc w:val="center"/>
        <w:tblLayout w:type="autofit"/>
        <w:tblCellMar>
          <w:top w:w="0" w:type="dxa"/>
          <w:left w:w="108" w:type="dxa"/>
          <w:bottom w:w="0" w:type="dxa"/>
          <w:right w:w="108" w:type="dxa"/>
        </w:tblCellMar>
      </w:tblPr>
      <w:tblGrid>
        <w:gridCol w:w="1793"/>
        <w:gridCol w:w="7991"/>
      </w:tblGrid>
      <w:tr w14:paraId="45E4DBCD">
        <w:trPr>
          <w:tblHeader/>
          <w:jc w:val="center"/>
        </w:trPr>
        <w:tc>
          <w:tcPr>
            <w:tcW w:w="179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3E204F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防护项</w:t>
            </w:r>
          </w:p>
        </w:tc>
        <w:tc>
          <w:tcPr>
            <w:tcW w:w="799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FEF810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要求</w:t>
            </w:r>
          </w:p>
        </w:tc>
      </w:tr>
      <w:tr w14:paraId="0A02C151">
        <w:tblPrEx>
          <w:tblCellMar>
            <w:top w:w="0" w:type="dxa"/>
            <w:left w:w="108" w:type="dxa"/>
            <w:bottom w:w="0" w:type="dxa"/>
            <w:right w:w="108" w:type="dxa"/>
          </w:tblCellMar>
        </w:tblPrEx>
        <w:trPr>
          <w:jc w:val="center"/>
        </w:trPr>
        <w:tc>
          <w:tcPr>
            <w:tcW w:w="17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8F5865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传输安全</w:t>
            </w:r>
          </w:p>
        </w:tc>
        <w:tc>
          <w:tcPr>
            <w:tcW w:w="79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689E3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全站强制 HTTPS / TLS 1.2+，内部服务间 mTLS</w:t>
            </w:r>
          </w:p>
        </w:tc>
      </w:tr>
      <w:tr w14:paraId="3A5865EA">
        <w:tblPrEx>
          <w:tblCellMar>
            <w:top w:w="0" w:type="dxa"/>
            <w:left w:w="108" w:type="dxa"/>
            <w:bottom w:w="0" w:type="dxa"/>
            <w:right w:w="108" w:type="dxa"/>
          </w:tblCellMar>
        </w:tblPrEx>
        <w:trPr>
          <w:jc w:val="center"/>
        </w:trPr>
        <w:tc>
          <w:tcPr>
            <w:tcW w:w="17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9000C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身份认证</w:t>
            </w:r>
          </w:p>
        </w:tc>
        <w:tc>
          <w:tcPr>
            <w:tcW w:w="79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0B9BD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JWT + 刷新令牌滚动机制；越权操作强制二次鉴权</w:t>
            </w:r>
          </w:p>
        </w:tc>
      </w:tr>
      <w:tr w14:paraId="2B2E52F7">
        <w:tblPrEx>
          <w:tblCellMar>
            <w:top w:w="0" w:type="dxa"/>
            <w:left w:w="108" w:type="dxa"/>
            <w:bottom w:w="0" w:type="dxa"/>
            <w:right w:w="108" w:type="dxa"/>
          </w:tblCellMar>
        </w:tblPrEx>
        <w:trPr>
          <w:jc w:val="center"/>
        </w:trPr>
        <w:tc>
          <w:tcPr>
            <w:tcW w:w="17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8DF1C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报文完整性</w:t>
            </w:r>
          </w:p>
        </w:tc>
        <w:tc>
          <w:tcPr>
            <w:tcW w:w="79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5C89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关键写接口强制 HMAC-SHA256 签名，防重放攻击</w:t>
            </w:r>
          </w:p>
        </w:tc>
      </w:tr>
      <w:tr w14:paraId="11C925E9">
        <w:tblPrEx>
          <w:tblCellMar>
            <w:top w:w="0" w:type="dxa"/>
            <w:left w:w="108" w:type="dxa"/>
            <w:bottom w:w="0" w:type="dxa"/>
            <w:right w:w="108" w:type="dxa"/>
          </w:tblCellMar>
        </w:tblPrEx>
        <w:trPr>
          <w:jc w:val="center"/>
        </w:trPr>
        <w:tc>
          <w:tcPr>
            <w:tcW w:w="17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693732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存储加密</w:t>
            </w:r>
          </w:p>
        </w:tc>
        <w:tc>
          <w:tcPr>
            <w:tcW w:w="79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F3841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L3 及以上数据落盘 AES-256 加密</w:t>
            </w:r>
          </w:p>
        </w:tc>
      </w:tr>
      <w:tr w14:paraId="34954444">
        <w:tblPrEx>
          <w:tblCellMar>
            <w:top w:w="0" w:type="dxa"/>
            <w:left w:w="108" w:type="dxa"/>
            <w:bottom w:w="0" w:type="dxa"/>
            <w:right w:w="108" w:type="dxa"/>
          </w:tblCellMar>
        </w:tblPrEx>
        <w:trPr>
          <w:jc w:val="center"/>
        </w:trPr>
        <w:tc>
          <w:tcPr>
            <w:tcW w:w="17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CD4AE4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防截屏</w:t>
            </w:r>
          </w:p>
        </w:tc>
        <w:tc>
          <w:tcPr>
            <w:tcW w:w="79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3A54E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L4 级数据展示强制全屏动态水印</w:t>
            </w:r>
          </w:p>
        </w:tc>
      </w:tr>
      <w:tr w14:paraId="375E4443">
        <w:tblPrEx>
          <w:tblCellMar>
            <w:top w:w="0" w:type="dxa"/>
            <w:left w:w="108" w:type="dxa"/>
            <w:bottom w:w="0" w:type="dxa"/>
            <w:right w:w="108" w:type="dxa"/>
          </w:tblCellMar>
        </w:tblPrEx>
        <w:trPr>
          <w:jc w:val="center"/>
        </w:trPr>
        <w:tc>
          <w:tcPr>
            <w:tcW w:w="17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B5103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接口防护</w:t>
            </w:r>
          </w:p>
        </w:tc>
        <w:tc>
          <w:tcPr>
            <w:tcW w:w="79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DC720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限流、熔断（5 次/分钟）、参数校验与 SQL 注入防护</w:t>
            </w:r>
          </w:p>
        </w:tc>
      </w:tr>
    </w:tbl>
    <w:p w14:paraId="3DCC7529">
      <w:pPr>
        <w:spacing w:after="60"/>
        <w:rPr>
          <w:rFonts w:hint="eastAsia" w:ascii="宋体" w:hAnsi="宋体" w:eastAsia="宋体" w:cs="宋体"/>
          <w:i w:val="0"/>
          <w:iCs w:val="0"/>
          <w:sz w:val="24"/>
          <w:szCs w:val="24"/>
        </w:rPr>
      </w:pPr>
    </w:p>
    <w:p w14:paraId="0A008F55">
      <w:pPr>
        <w:pStyle w:val="4"/>
        <w:numPr>
          <w:ilvl w:val="0"/>
          <w:numId w:val="214"/>
        </w:numPr>
        <w:topLinePunct w:val="0"/>
        <w:ind w:left="0" w:leftChars="0" w:firstLine="0" w:firstLineChars="0"/>
        <w:outlineLvl w:val="0"/>
        <w:rPr>
          <w:rFonts w:hint="eastAsia" w:eastAsia="黑体"/>
          <w:b w:val="0"/>
          <w:bCs w:val="0"/>
          <w:sz w:val="30"/>
          <w:szCs w:val="32"/>
        </w:rPr>
      </w:pPr>
      <w:bookmarkStart w:id="85" w:name="_Toc5203"/>
      <w:r>
        <w:rPr>
          <w:rFonts w:ascii="Times New Roman" w:hAnsi="Times New Roman" w:eastAsia="黑体" w:cs="Times New Roman"/>
          <w:b w:val="0"/>
          <w:bCs w:val="0"/>
          <w:sz w:val="30"/>
          <w:szCs w:val="32"/>
        </w:rPr>
        <w:t>数据出境与合规</w:t>
      </w:r>
      <w:bookmarkEnd w:id="85"/>
    </w:p>
    <w:p w14:paraId="0D91A461">
      <w:pPr>
        <w:pStyle w:val="19"/>
        <w:widowControl/>
        <w:numPr>
          <w:ilvl w:val="0"/>
          <w:numId w:val="215"/>
        </w:numPr>
        <w:ind w:left="0" w:leftChars="0" w:firstLine="440" w:firstLineChars="0"/>
        <w:rPr>
          <w:rFonts w:eastAsia="宋体"/>
          <w:b/>
          <w:i w:val="0"/>
          <w:color w:val="0284C7"/>
          <w:sz w:val="24"/>
          <w:szCs w:val="24"/>
        </w:rPr>
      </w:pPr>
      <w:r>
        <w:rPr>
          <w:rFonts w:ascii="Times New Roman" w:hAnsi="Times New Roman" w:eastAsia="宋体" w:cs="Times New Roman"/>
          <w:i w:val="0"/>
          <w:color w:val="1F2937"/>
          <w:sz w:val="24"/>
          <w:szCs w:val="24"/>
        </w:rPr>
        <w:t>CBAM 申报数据与 Ecoinvent 因子数据的跨境传输路径与审批已明确：全部出境流量须经「信安合规前置网关」，并执行严格字段白名单机制，详见本章「CBAM 数据出境安全合规前置方案」。</w:t>
      </w:r>
    </w:p>
    <w:p w14:paraId="4ED167B2">
      <w:pPr>
        <w:pStyle w:val="19"/>
        <w:widowControl/>
        <w:numPr>
          <w:ilvl w:val="0"/>
          <w:numId w:val="215"/>
        </w:numPr>
        <w:ind w:left="0" w:leftChars="0" w:firstLine="440" w:firstLineChars="0"/>
        <w:rPr>
          <w:rFonts w:eastAsia="宋体"/>
          <w:b/>
          <w:i w:val="0"/>
          <w:color w:val="0284C7"/>
          <w:sz w:val="24"/>
          <w:szCs w:val="24"/>
        </w:rPr>
      </w:pPr>
      <w:r>
        <w:rPr>
          <w:rFonts w:ascii="Times New Roman" w:hAnsi="Times New Roman" w:eastAsia="宋体" w:cs="Times New Roman"/>
          <w:i w:val="0"/>
          <w:color w:val="1F2937"/>
          <w:sz w:val="24"/>
          <w:szCs w:val="24"/>
        </w:rPr>
        <w:t>欧盟客户与审查专员的数据访问须遵循 GDPR 最小必要原则，仅开放脱敏后的碳足迹结果数据；个人信息一律本地剥离，不得随申报包出境。</w:t>
      </w:r>
    </w:p>
    <w:p w14:paraId="5603EC0C">
      <w:pPr>
        <w:pStyle w:val="19"/>
        <w:widowControl/>
        <w:numPr>
          <w:ilvl w:val="0"/>
          <w:numId w:val="215"/>
        </w:numPr>
        <w:ind w:left="0" w:leftChars="0" w:firstLine="440" w:firstLineChars="0"/>
        <w:rPr>
          <w:rFonts w:eastAsia="宋体"/>
          <w:b/>
          <w:i w:val="0"/>
          <w:color w:val="0284C7"/>
          <w:sz w:val="24"/>
          <w:szCs w:val="24"/>
        </w:rPr>
      </w:pPr>
      <w:r>
        <w:rPr>
          <w:rFonts w:ascii="Times New Roman" w:hAnsi="Times New Roman" w:eastAsia="宋体" w:cs="Times New Roman"/>
          <w:i w:val="0"/>
          <w:color w:val="1F2937"/>
          <w:sz w:val="24"/>
          <w:szCs w:val="24"/>
        </w:rPr>
        <w:t>外部审计沙箱（P6）与生产数据物理隔离，仅可访问指定报告与凭证，且禁止全量导出。</w:t>
      </w:r>
    </w:p>
    <w:bookmarkEnd w:id="55"/>
    <w:p w14:paraId="7EF1A914">
      <w:pPr>
        <w:pStyle w:val="5"/>
        <w:numPr>
          <w:ilvl w:val="0"/>
          <w:numId w:val="145"/>
        </w:numPr>
        <w:ind w:left="0" w:leftChars="0" w:firstLine="0" w:firstLineChars="0"/>
        <w:outlineLvl w:val="1"/>
        <w:rPr>
          <w:rFonts w:ascii="Times New Roman" w:hAnsi="Times New Roman" w:eastAsia="黑体" w:cs="Times New Roman"/>
          <w:b w:val="0"/>
          <w:bCs w:val="0"/>
          <w:sz w:val="30"/>
          <w:szCs w:val="24"/>
        </w:rPr>
      </w:pPr>
      <w:r>
        <w:rPr>
          <w:rFonts w:ascii="Times New Roman" w:hAnsi="Times New Roman" w:eastAsia="黑体" w:cs="Times New Roman"/>
          <w:b w:val="0"/>
          <w:bCs w:val="0"/>
          <w:sz w:val="30"/>
          <w:szCs w:val="24"/>
        </w:rPr>
        <w:t>CBAM 数据出境安全合规前置方案</w:t>
      </w:r>
    </w:p>
    <w:p w14:paraId="1D67E731">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前置合规网关：系统在生成欧盟官方 CBAM Communication Template XML 申报包出境前，强制经过「信安合规前置过滤审查」；未通过审查的申报包不得出网关，网关留存请求方、报文哈希、审查结论与放行时间。</w:t>
      </w:r>
    </w:p>
    <w:p w14:paraId="16AB840E">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严格字段白名单机制：对变压器工艺配方、原辅料采购单价、车间工人个人信息等高密级商业秘密（L3~L4）执行本地强制剥离与脱敏，仅允许出口申报必需的税号、重量、直接排放强度与前驱物隐含间接排放强度输出。</w:t>
      </w:r>
    </w:p>
    <w:p w14:paraId="47B5259B">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最小必要复核与授权：出境字段清单按季度复核，新增出境字段须经信息安全合规组与法务双签后方可加入白名单；临时专项出境须逐次申请并留存审批单号。</w:t>
      </w:r>
    </w:p>
    <w:tbl>
      <w:tblPr>
        <w:tblStyle w:val="38"/>
        <w:tblW w:w="9784" w:type="dxa"/>
        <w:jc w:val="center"/>
        <w:tblLayout w:type="autofit"/>
        <w:tblCellMar>
          <w:top w:w="0" w:type="dxa"/>
          <w:left w:w="108" w:type="dxa"/>
          <w:bottom w:w="0" w:type="dxa"/>
          <w:right w:w="108" w:type="dxa"/>
        </w:tblCellMar>
      </w:tblPr>
      <w:tblGrid>
        <w:gridCol w:w="2083"/>
        <w:gridCol w:w="4094"/>
        <w:gridCol w:w="1737"/>
        <w:gridCol w:w="1870"/>
      </w:tblGrid>
      <w:tr w14:paraId="0A19D58C">
        <w:tblPrEx>
          <w:tblCellMar>
            <w:top w:w="0" w:type="dxa"/>
            <w:left w:w="108" w:type="dxa"/>
            <w:bottom w:w="0" w:type="dxa"/>
            <w:right w:w="108" w:type="dxa"/>
          </w:tblCellMar>
        </w:tblPrEx>
        <w:trPr>
          <w:tblHeader/>
          <w:jc w:val="center"/>
        </w:trPr>
        <w:tc>
          <w:tcPr>
            <w:tcW w:w="208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01F4C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字段类别</w:t>
            </w:r>
          </w:p>
        </w:tc>
        <w:tc>
          <w:tcPr>
            <w:tcW w:w="409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A87D4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允许出境字段</w:t>
            </w:r>
          </w:p>
        </w:tc>
        <w:tc>
          <w:tcPr>
            <w:tcW w:w="17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A1F69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本地强制剥离 / 脱敏字段</w:t>
            </w:r>
          </w:p>
        </w:tc>
        <w:tc>
          <w:tcPr>
            <w:tcW w:w="187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0DB87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合规依据</w:t>
            </w:r>
          </w:p>
        </w:tc>
      </w:tr>
      <w:tr w14:paraId="6FF1B605">
        <w:tblPrEx>
          <w:tblCellMar>
            <w:top w:w="0" w:type="dxa"/>
            <w:left w:w="108" w:type="dxa"/>
            <w:bottom w:w="0" w:type="dxa"/>
            <w:right w:w="108" w:type="dxa"/>
          </w:tblCellMar>
        </w:tblPrEx>
        <w:trPr>
          <w:jc w:val="center"/>
        </w:trPr>
        <w:tc>
          <w:tcPr>
            <w:tcW w:w="20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B020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申报主体信息</w:t>
            </w:r>
          </w:p>
        </w:tc>
        <w:tc>
          <w:tcPr>
            <w:tcW w:w="40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A45E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生产商注册名、CBAM 注册号、报关税号（CN Code）、生产国别</w:t>
            </w:r>
          </w:p>
        </w:tc>
        <w:tc>
          <w:tcPr>
            <w:tcW w:w="17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08D7C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统一社会信用代码明细、银行账户信息</w:t>
            </w:r>
          </w:p>
        </w:tc>
        <w:tc>
          <w:tcPr>
            <w:tcW w:w="187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DAAF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 2023/956 号条例申报字段要求</w:t>
            </w:r>
          </w:p>
        </w:tc>
      </w:tr>
      <w:tr w14:paraId="105A5D23">
        <w:tblPrEx>
          <w:tblCellMar>
            <w:top w:w="0" w:type="dxa"/>
            <w:left w:w="108" w:type="dxa"/>
            <w:bottom w:w="0" w:type="dxa"/>
            <w:right w:w="108" w:type="dxa"/>
          </w:tblCellMar>
        </w:tblPrEx>
        <w:trPr>
          <w:jc w:val="center"/>
        </w:trPr>
        <w:tc>
          <w:tcPr>
            <w:tcW w:w="20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1CD0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产品与产量</w:t>
            </w:r>
          </w:p>
        </w:tc>
        <w:tc>
          <w:tcPr>
            <w:tcW w:w="40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8513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产品名称、规格型号、净质量（t）、生产周期</w:t>
            </w:r>
          </w:p>
        </w:tc>
        <w:tc>
          <w:tcPr>
            <w:tcW w:w="17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2F4A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变压器工艺配方、设计图纸编号、核心工艺技术参数</w:t>
            </w:r>
          </w:p>
        </w:tc>
        <w:tc>
          <w:tcPr>
            <w:tcW w:w="187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97D9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数据出境安全评估 + 商业秘密管控</w:t>
            </w:r>
          </w:p>
        </w:tc>
      </w:tr>
      <w:tr w14:paraId="11BBD301">
        <w:tblPrEx>
          <w:tblCellMar>
            <w:top w:w="0" w:type="dxa"/>
            <w:left w:w="108" w:type="dxa"/>
            <w:bottom w:w="0" w:type="dxa"/>
            <w:right w:w="108" w:type="dxa"/>
          </w:tblCellMar>
        </w:tblPrEx>
        <w:trPr>
          <w:jc w:val="center"/>
        </w:trPr>
        <w:tc>
          <w:tcPr>
            <w:tcW w:w="20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C523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排放数据</w:t>
            </w:r>
          </w:p>
        </w:tc>
        <w:tc>
          <w:tcPr>
            <w:tcW w:w="40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DFFFD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直接排放强度、前驱物隐含间接排放强度、间接排放量</w:t>
            </w:r>
          </w:p>
        </w:tc>
        <w:tc>
          <w:tcPr>
            <w:tcW w:w="17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C271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车间级分工序能耗明细、关键设备台账</w:t>
            </w:r>
          </w:p>
        </w:tc>
        <w:tc>
          <w:tcPr>
            <w:tcW w:w="187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A2BB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 CBAM 实施条例计算方法</w:t>
            </w:r>
          </w:p>
        </w:tc>
      </w:tr>
      <w:tr w14:paraId="65F4D3D8">
        <w:tblPrEx>
          <w:tblCellMar>
            <w:top w:w="0" w:type="dxa"/>
            <w:left w:w="108" w:type="dxa"/>
            <w:bottom w:w="0" w:type="dxa"/>
            <w:right w:w="108" w:type="dxa"/>
          </w:tblCellMar>
        </w:tblPrEx>
        <w:trPr>
          <w:jc w:val="center"/>
        </w:trPr>
        <w:tc>
          <w:tcPr>
            <w:tcW w:w="20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1D2E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成本与价格</w:t>
            </w:r>
          </w:p>
        </w:tc>
        <w:tc>
          <w:tcPr>
            <w:tcW w:w="40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9B7E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—（一律不出境）</w:t>
            </w:r>
          </w:p>
        </w:tc>
        <w:tc>
          <w:tcPr>
            <w:tcW w:w="17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6A40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原辅料采购单价、供应商名称与账期、成本构成明细</w:t>
            </w:r>
          </w:p>
        </w:tc>
        <w:tc>
          <w:tcPr>
            <w:tcW w:w="187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41622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商业秘密 L3~L4 强制剥离</w:t>
            </w:r>
          </w:p>
        </w:tc>
      </w:tr>
      <w:tr w14:paraId="4B4D2C53">
        <w:tblPrEx>
          <w:tblCellMar>
            <w:top w:w="0" w:type="dxa"/>
            <w:left w:w="108" w:type="dxa"/>
            <w:bottom w:w="0" w:type="dxa"/>
            <w:right w:w="108" w:type="dxa"/>
          </w:tblCellMar>
        </w:tblPrEx>
        <w:trPr>
          <w:jc w:val="center"/>
        </w:trPr>
        <w:tc>
          <w:tcPr>
            <w:tcW w:w="20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9EEE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人员信息</w:t>
            </w:r>
          </w:p>
        </w:tc>
        <w:tc>
          <w:tcPr>
            <w:tcW w:w="40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6677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—（一律不出境）</w:t>
            </w:r>
          </w:p>
        </w:tc>
        <w:tc>
          <w:tcPr>
            <w:tcW w:w="17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77F6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车间工人姓名、工号、身份证件信息、薪酬数据</w:t>
            </w:r>
          </w:p>
        </w:tc>
        <w:tc>
          <w:tcPr>
            <w:tcW w:w="187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D214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个人信息保护法 + GDPR</w:t>
            </w:r>
          </w:p>
        </w:tc>
      </w:tr>
      <w:tr w14:paraId="6C35AE40">
        <w:tblPrEx>
          <w:tblCellMar>
            <w:top w:w="0" w:type="dxa"/>
            <w:left w:w="108" w:type="dxa"/>
            <w:bottom w:w="0" w:type="dxa"/>
            <w:right w:w="108" w:type="dxa"/>
          </w:tblCellMar>
        </w:tblPrEx>
        <w:trPr>
          <w:jc w:val="center"/>
        </w:trPr>
        <w:tc>
          <w:tcPr>
            <w:tcW w:w="20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06483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因子数据</w:t>
            </w:r>
          </w:p>
        </w:tc>
        <w:tc>
          <w:tcPr>
            <w:tcW w:w="40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228E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公开标准因子结果值（Ecoinvent 结果值）</w:t>
            </w:r>
          </w:p>
        </w:tc>
        <w:tc>
          <w:tcPr>
            <w:tcW w:w="17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EC35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Ecoinvent License 账号凭据、原始数据集文件</w:t>
            </w:r>
          </w:p>
        </w:tc>
        <w:tc>
          <w:tcPr>
            <w:tcW w:w="187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CC1B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License 协议 + 数据出境合规组审批</w:t>
            </w:r>
          </w:p>
        </w:tc>
      </w:tr>
      <w:tr w14:paraId="5A4586A8">
        <w:tblPrEx>
          <w:tblCellMar>
            <w:top w:w="0" w:type="dxa"/>
            <w:left w:w="108" w:type="dxa"/>
            <w:bottom w:w="0" w:type="dxa"/>
            <w:right w:w="108" w:type="dxa"/>
          </w:tblCellMar>
        </w:tblPrEx>
        <w:trPr>
          <w:jc w:val="center"/>
        </w:trPr>
        <w:tc>
          <w:tcPr>
            <w:tcW w:w="20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EC2C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报文本身</w:t>
            </w:r>
          </w:p>
        </w:tc>
        <w:tc>
          <w:tcPr>
            <w:tcW w:w="40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F11C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Communication Template XML 申报包报文体与哈希</w:t>
            </w:r>
          </w:p>
        </w:tc>
        <w:tc>
          <w:tcPr>
            <w:tcW w:w="17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A4FB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申报包内嵌的原始凭证附件与系统截图</w:t>
            </w:r>
          </w:p>
        </w:tc>
        <w:tc>
          <w:tcPr>
            <w:tcW w:w="187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C645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信安合规前置网关放行规则</w:t>
            </w:r>
          </w:p>
        </w:tc>
      </w:tr>
    </w:tbl>
    <w:p w14:paraId="1F99D46C">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白名单外零放行：白名单外的任何字段一律默认拒绝出境，网关返回拦截原因并生成审计事件，不提供人工强制放行开关。</w:t>
      </w:r>
    </w:p>
    <w:p w14:paraId="066829F5">
      <w:pPr>
        <w:pStyle w:val="4"/>
        <w:numPr>
          <w:ilvl w:val="0"/>
          <w:numId w:val="214"/>
        </w:numPr>
        <w:topLinePunct w:val="0"/>
        <w:ind w:left="0" w:leftChars="0" w:firstLine="0" w:firstLineChars="0"/>
        <w:outlineLvl w:val="0"/>
        <w:rPr>
          <w:rFonts w:hint="eastAsia" w:eastAsia="黑体"/>
          <w:b w:val="0"/>
          <w:bCs w:val="0"/>
          <w:sz w:val="30"/>
          <w:szCs w:val="32"/>
        </w:rPr>
      </w:pPr>
      <w:bookmarkStart w:id="86" w:name="_Toc20164"/>
      <w:bookmarkEnd w:id="86"/>
      <w:r>
        <w:rPr>
          <w:rFonts w:ascii="Times New Roman" w:hAnsi="Times New Roman" w:eastAsia="黑体" w:cs="Times New Roman"/>
          <w:b w:val="0"/>
          <w:bCs w:val="0"/>
          <w:sz w:val="30"/>
          <w:szCs w:val="32"/>
        </w:rPr>
        <w:t>安全合规遗留待确认项清单</w:t>
      </w:r>
    </w:p>
    <w:tbl>
      <w:tblPr>
        <w:tblStyle w:val="38"/>
        <w:tblW w:w="9784" w:type="dxa"/>
        <w:jc w:val="center"/>
        <w:tblLayout w:type="autofit"/>
        <w:tblCellMar>
          <w:top w:w="0" w:type="dxa"/>
          <w:left w:w="108" w:type="dxa"/>
          <w:bottom w:w="0" w:type="dxa"/>
          <w:right w:w="108" w:type="dxa"/>
        </w:tblCellMar>
      </w:tblPr>
      <w:tblGrid>
        <w:gridCol w:w="3449"/>
        <w:gridCol w:w="2130"/>
        <w:gridCol w:w="4205"/>
      </w:tblGrid>
      <w:tr w14:paraId="0F8536A6">
        <w:tblPrEx>
          <w:tblCellMar>
            <w:top w:w="0" w:type="dxa"/>
            <w:left w:w="108" w:type="dxa"/>
            <w:bottom w:w="0" w:type="dxa"/>
            <w:right w:w="108" w:type="dxa"/>
          </w:tblCellMar>
        </w:tblPrEx>
        <w:trPr>
          <w:tblHeader/>
          <w:jc w:val="center"/>
        </w:trPr>
        <w:tc>
          <w:tcPr>
            <w:tcW w:w="344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40990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事项</w:t>
            </w:r>
          </w:p>
        </w:tc>
        <w:tc>
          <w:tcPr>
            <w:tcW w:w="213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8877A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责任方</w:t>
            </w:r>
          </w:p>
        </w:tc>
        <w:tc>
          <w:tcPr>
            <w:tcW w:w="420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0B011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状态</w:t>
            </w:r>
          </w:p>
        </w:tc>
      </w:tr>
      <w:tr w14:paraId="42D2281A">
        <w:tblPrEx>
          <w:tblCellMar>
            <w:top w:w="0" w:type="dxa"/>
            <w:left w:w="108" w:type="dxa"/>
            <w:bottom w:w="0" w:type="dxa"/>
            <w:right w:w="108" w:type="dxa"/>
          </w:tblCellMar>
        </w:tblPrEx>
        <w:trPr>
          <w:jc w:val="center"/>
        </w:trPr>
        <w:tc>
          <w:tcPr>
            <w:tcW w:w="34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1D8B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等保测评等级目标</w:t>
            </w:r>
          </w:p>
        </w:tc>
        <w:tc>
          <w:tcPr>
            <w:tcW w:w="21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7C10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信息安全合规组</w:t>
            </w:r>
          </w:p>
        </w:tc>
        <w:tc>
          <w:tcPr>
            <w:tcW w:w="420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A120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待确认</w:t>
            </w:r>
          </w:p>
        </w:tc>
      </w:tr>
      <w:tr w14:paraId="68F83CCA">
        <w:tblPrEx>
          <w:tblCellMar>
            <w:top w:w="0" w:type="dxa"/>
            <w:left w:w="108" w:type="dxa"/>
            <w:bottom w:w="0" w:type="dxa"/>
            <w:right w:w="108" w:type="dxa"/>
          </w:tblCellMar>
        </w:tblPrEx>
        <w:trPr>
          <w:jc w:val="center"/>
        </w:trPr>
        <w:tc>
          <w:tcPr>
            <w:tcW w:w="34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0C2B9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国密算法适配范围</w:t>
            </w:r>
          </w:p>
        </w:tc>
        <w:tc>
          <w:tcPr>
            <w:tcW w:w="21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93D9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信息安全合规组</w:t>
            </w:r>
          </w:p>
        </w:tc>
        <w:tc>
          <w:tcPr>
            <w:tcW w:w="4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BE28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待确认</w:t>
            </w:r>
          </w:p>
        </w:tc>
      </w:tr>
      <w:tr w14:paraId="0D925076">
        <w:tblPrEx>
          <w:tblCellMar>
            <w:top w:w="0" w:type="dxa"/>
            <w:left w:w="108" w:type="dxa"/>
            <w:bottom w:w="0" w:type="dxa"/>
            <w:right w:w="108" w:type="dxa"/>
          </w:tblCellMar>
        </w:tblPrEx>
        <w:trPr>
          <w:jc w:val="center"/>
        </w:trPr>
        <w:tc>
          <w:tcPr>
            <w:tcW w:w="34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0917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数据出境审批路径</w:t>
            </w:r>
          </w:p>
        </w:tc>
        <w:tc>
          <w:tcPr>
            <w:tcW w:w="21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8A84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信息安全合规组</w:t>
            </w:r>
          </w:p>
        </w:tc>
        <w:tc>
          <w:tcPr>
            <w:tcW w:w="420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0D6E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已明确（信安合规前置网关 + 严格字段白名单，见第十章第二节）</w:t>
            </w:r>
          </w:p>
        </w:tc>
      </w:tr>
      <w:tr w14:paraId="16355E72">
        <w:tblPrEx>
          <w:tblCellMar>
            <w:top w:w="0" w:type="dxa"/>
            <w:left w:w="108" w:type="dxa"/>
            <w:bottom w:w="0" w:type="dxa"/>
            <w:right w:w="108" w:type="dxa"/>
          </w:tblCellMar>
        </w:tblPrEx>
        <w:trPr>
          <w:jc w:val="center"/>
        </w:trPr>
        <w:tc>
          <w:tcPr>
            <w:tcW w:w="34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F700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GDPR 数据主体权利响应流程</w:t>
            </w:r>
          </w:p>
        </w:tc>
        <w:tc>
          <w:tcPr>
            <w:tcW w:w="21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CF9C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法务</w:t>
            </w:r>
          </w:p>
        </w:tc>
        <w:tc>
          <w:tcPr>
            <w:tcW w:w="4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8FB1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已明确（GDPR 最小必要 + 个人信息本地剥离，见第十章第二节）</w:t>
            </w:r>
          </w:p>
        </w:tc>
      </w:tr>
    </w:tbl>
    <w:p w14:paraId="5F2589ED">
      <w:pPr>
        <w:spacing w:after="60"/>
        <w:rPr>
          <w:rFonts w:hint="eastAsia" w:ascii="宋体" w:hAnsi="宋体" w:eastAsia="宋体" w:cs="宋体"/>
          <w:i w:val="0"/>
          <w:iCs w:val="0"/>
          <w:sz w:val="24"/>
          <w:szCs w:val="24"/>
        </w:rPr>
      </w:pPr>
    </w:p>
    <w:p w14:paraId="6C06710C">
      <w:pPr>
        <w:pStyle w:val="3"/>
        <w:numPr>
          <w:ilvl w:val="0"/>
          <w:numId w:val="7"/>
        </w:numPr>
        <w:ind w:left="0" w:leftChars="0" w:firstLine="0" w:firstLineChars="0"/>
        <w:rPr>
          <w:rFonts w:eastAsia="黑体"/>
          <w:b w:val="0"/>
          <w:bCs w:val="0"/>
          <w:sz w:val="32"/>
          <w:szCs w:val="44"/>
        </w:rPr>
      </w:pPr>
      <w:bookmarkStart w:id="87" w:name="_Toc3168"/>
      <w:r>
        <w:rPr>
          <w:rFonts w:ascii="Times New Roman" w:hAnsi="Times New Roman" w:eastAsia="黑体" w:cs="Times New Roman"/>
          <w:b w:val="0"/>
          <w:bCs w:val="0"/>
          <w:sz w:val="32"/>
          <w:szCs w:val="44"/>
        </w:rPr>
        <w:t>外部系统集成与数据采集点表</w:t>
      </w:r>
      <w:bookmarkEnd w:id="87"/>
    </w:p>
    <w:p w14:paraId="34955927">
      <w:pPr>
        <w:pStyle w:val="4"/>
        <w:numPr>
          <w:ilvl w:val="0"/>
          <w:numId w:val="216"/>
        </w:numPr>
        <w:topLinePunct w:val="0"/>
        <w:ind w:left="0" w:leftChars="0" w:firstLine="0" w:firstLineChars="0"/>
        <w:outlineLvl w:val="0"/>
        <w:rPr>
          <w:rFonts w:hint="eastAsia" w:eastAsia="黑体"/>
          <w:b w:val="0"/>
          <w:bCs w:val="0"/>
          <w:sz w:val="30"/>
          <w:szCs w:val="32"/>
        </w:rPr>
      </w:pPr>
      <w:bookmarkStart w:id="88" w:name="_Toc882"/>
      <w:r>
        <w:rPr>
          <w:rFonts w:ascii="Times New Roman" w:hAnsi="Times New Roman" w:eastAsia="黑体" w:cs="Times New Roman"/>
          <w:b w:val="0"/>
          <w:bCs w:val="0"/>
          <w:sz w:val="30"/>
          <w:szCs w:val="32"/>
        </w:rPr>
        <w:t>集成接口</w:t>
      </w:r>
      <w:bookmarkEnd w:id="88"/>
    </w:p>
    <w:tbl>
      <w:tblPr>
        <w:tblStyle w:val="38"/>
        <w:tblW w:w="9454" w:type="dxa"/>
        <w:jc w:val="center"/>
        <w:tblLayout w:type="autofit"/>
        <w:tblCellMar>
          <w:top w:w="0" w:type="dxa"/>
          <w:left w:w="108" w:type="dxa"/>
          <w:bottom w:w="0" w:type="dxa"/>
          <w:right w:w="108" w:type="dxa"/>
        </w:tblCellMar>
      </w:tblPr>
      <w:tblGrid>
        <w:gridCol w:w="1513"/>
        <w:gridCol w:w="1364"/>
        <w:gridCol w:w="1307"/>
        <w:gridCol w:w="2006"/>
        <w:gridCol w:w="3264"/>
      </w:tblGrid>
      <w:tr w14:paraId="7035A91E">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C2451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系统名称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0D725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集成内容</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65A9D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协议/方式</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1F919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同步频率</w:t>
            </w:r>
          </w:p>
        </w:tc>
        <w:tc>
          <w:tcPr>
            <w:tcW w:w="326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E6F00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异常降级策略</w:t>
            </w:r>
          </w:p>
        </w:tc>
      </w:tr>
      <w:tr w14:paraId="4CBC56A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2B010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IoT 采集网关</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05D5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电表、流量计、变送器遥测</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8BED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Modbus-TCP / MQTT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4DAD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分钟（云端汇聚）/ 1s~5s（特种设备透传）</w:t>
            </w:r>
          </w:p>
        </w:tc>
        <w:tc>
          <w:tcPr>
            <w:tcW w:w="32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BFBB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缓存快照 + 数据延迟标签</w:t>
            </w:r>
          </w:p>
        </w:tc>
      </w:tr>
      <w:tr w14:paraId="3E08FB2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B1EC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SAP / 用友 ERP</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9AB5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BOM 清单、产值、财务电费</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0444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OpenAPI 3.0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3117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定时同步</w:t>
            </w:r>
          </w:p>
        </w:tc>
        <w:tc>
          <w:tcPr>
            <w:tcW w:w="32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F6CE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E_EXT_ERP_BOM_TIMEOUT 降级本地缓存</w:t>
            </w:r>
          </w:p>
        </w:tc>
      </w:tr>
      <w:tr w14:paraId="1BBCD02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0716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MES 制造执行系统</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9BBC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报工产量、工时、工序四元组</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5AE4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OpenAPI 3.0</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FD62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定时同步</w:t>
            </w:r>
          </w:p>
        </w:tc>
        <w:tc>
          <w:tcPr>
            <w:tcW w:w="32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AACD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人工上传兜底（INV-FALLBACK）</w:t>
            </w:r>
          </w:p>
        </w:tc>
      </w:tr>
      <w:tr w14:paraId="1BB9DFE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694F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欧洲能源交易所 EEX</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1769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ETS 碳配额结算均价</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9A55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REST API</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EF7E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小时级（建议）</w:t>
            </w:r>
          </w:p>
        </w:tc>
        <w:tc>
          <w:tcPr>
            <w:tcW w:w="32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3D303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E_EXT_ETS_PRICE_STALE 标注时间戳</w:t>
            </w:r>
          </w:p>
        </w:tc>
      </w:tr>
      <w:tr w14:paraId="65E84F0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3199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Ecoinvent 因子库</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9725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跨境物料碳因子</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1883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License API</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376A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按需检索</w:t>
            </w:r>
          </w:p>
        </w:tc>
        <w:tc>
          <w:tcPr>
            <w:tcW w:w="32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8AB7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E_EXT_ECOINVENT_LICENSE 降级 CLCD</w:t>
            </w:r>
          </w:p>
        </w:tc>
      </w:tr>
      <w:tr w14:paraId="26CAF6E7">
        <w:tblPrEx>
          <w:tblCellMar>
            <w:top w:w="0" w:type="dxa"/>
            <w:left w:w="108" w:type="dxa"/>
            <w:bottom w:w="0" w:type="dxa"/>
            <w:right w:w="108" w:type="dxa"/>
          </w:tblCellMar>
        </w:tblPrEx>
        <w:trPr>
          <w:jc w:val="center"/>
        </w:trPr>
        <w:tc>
          <w:tcPr>
            <w:tcW w:w="151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7B4C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国家绿证平台</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70DB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绿证核销凭证</w:t>
            </w:r>
          </w:p>
        </w:tc>
        <w:tc>
          <w:tcPr>
            <w:tcW w:w="130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F921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文件导入</w:t>
            </w:r>
          </w:p>
        </w:tc>
        <w:tc>
          <w:tcPr>
            <w:tcW w:w="20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484CD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w:t>
            </w:r>
          </w:p>
        </w:tc>
        <w:tc>
          <w:tcPr>
            <w:tcW w:w="32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E889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手工上传佐证</w:t>
            </w:r>
          </w:p>
        </w:tc>
      </w:tr>
    </w:tbl>
    <w:p w14:paraId="46B03521">
      <w:pPr>
        <w:spacing w:after="60"/>
        <w:rPr>
          <w:rFonts w:hint="eastAsia" w:ascii="宋体" w:hAnsi="宋体" w:eastAsia="宋体" w:cs="宋体"/>
          <w:i w:val="0"/>
          <w:iCs w:val="0"/>
          <w:sz w:val="24"/>
          <w:szCs w:val="24"/>
        </w:rPr>
      </w:pPr>
    </w:p>
    <w:p w14:paraId="58F68849">
      <w:pPr>
        <w:pStyle w:val="4"/>
        <w:numPr>
          <w:ilvl w:val="0"/>
          <w:numId w:val="216"/>
        </w:numPr>
        <w:topLinePunct w:val="0"/>
        <w:ind w:left="0" w:leftChars="0" w:firstLine="0" w:firstLineChars="0"/>
        <w:outlineLvl w:val="0"/>
        <w:rPr>
          <w:rFonts w:hint="eastAsia" w:eastAsia="黑体"/>
          <w:b w:val="0"/>
          <w:bCs w:val="0"/>
          <w:sz w:val="30"/>
          <w:szCs w:val="32"/>
        </w:rPr>
      </w:pPr>
      <w:bookmarkStart w:id="89" w:name="_Toc27256"/>
      <w:r>
        <w:rPr>
          <w:rFonts w:ascii="Times New Roman" w:hAnsi="Times New Roman" w:eastAsia="黑体" w:cs="Times New Roman"/>
          <w:b w:val="0"/>
          <w:bCs w:val="0"/>
          <w:sz w:val="30"/>
          <w:szCs w:val="32"/>
        </w:rPr>
        <w:t>采集点表（核心点位）</w:t>
      </w:r>
      <w:bookmarkEnd w:id="89"/>
    </w:p>
    <w:tbl>
      <w:tblPr>
        <w:tblStyle w:val="38"/>
        <w:tblW w:w="9450" w:type="dxa"/>
        <w:jc w:val="center"/>
        <w:tblLayout w:type="autofit"/>
        <w:tblCellMar>
          <w:top w:w="0" w:type="dxa"/>
          <w:left w:w="108" w:type="dxa"/>
          <w:bottom w:w="0" w:type="dxa"/>
          <w:right w:w="108" w:type="dxa"/>
        </w:tblCellMar>
      </w:tblPr>
      <w:tblGrid>
        <w:gridCol w:w="630"/>
        <w:gridCol w:w="851"/>
        <w:gridCol w:w="2071"/>
        <w:gridCol w:w="1121"/>
        <w:gridCol w:w="1121"/>
        <w:gridCol w:w="3656"/>
      </w:tblGrid>
      <w:tr w14:paraId="175C2F8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794D90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BAB875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介质</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1198D1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点位名称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3F3793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687124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65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D48AFF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采集频率（边端/云端）</w:t>
            </w:r>
          </w:p>
        </w:tc>
      </w:tr>
      <w:tr w14:paraId="1040FF8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AFF060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CBA6A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5E0DD7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三相电压</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D5D1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1C2E2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V</w:t>
            </w:r>
          </w:p>
        </w:tc>
        <w:tc>
          <w:tcPr>
            <w:tcW w:w="3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E3980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r w14:paraId="7ECE8AE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A0A3EB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A4ECE3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E8B39D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三相电流</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073A3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5B854A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3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B0EAA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r w14:paraId="4D29F6A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D894E4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B59503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A2F06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总有功功率</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F146F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E0ABE2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3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8389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r w14:paraId="6A5B6CD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280DF3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F6F594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2C22FF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功率因数</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9A950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EEFE75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cosφ</w:t>
            </w:r>
          </w:p>
        </w:tc>
        <w:tc>
          <w:tcPr>
            <w:tcW w:w="3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8F65B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r w14:paraId="4940F51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32E28E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2489CF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D8A9DF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正向有功电能</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38CE6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0A39D6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3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77174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min（云端汇聚）</w:t>
            </w:r>
          </w:p>
        </w:tc>
      </w:tr>
      <w:tr w14:paraId="3C22967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77375D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32909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B280FE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反向有功电能</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32885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89044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3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17297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min（云端汇聚）</w:t>
            </w:r>
          </w:p>
        </w:tc>
      </w:tr>
      <w:tr w14:paraId="3311454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8363B2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008B92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4AA02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正向无功电能</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3BE09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E4D0F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kvarh</w:t>
            </w:r>
          </w:p>
        </w:tc>
        <w:tc>
          <w:tcPr>
            <w:tcW w:w="3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B5FF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min（云端汇聚）</w:t>
            </w:r>
          </w:p>
        </w:tc>
      </w:tr>
      <w:tr w14:paraId="13919CE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D1C4A8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D6A9EB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39733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反向无功电能</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5EF48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DD52F8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kvarh</w:t>
            </w:r>
          </w:p>
        </w:tc>
        <w:tc>
          <w:tcPr>
            <w:tcW w:w="3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716A7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min（云端汇聚）</w:t>
            </w:r>
          </w:p>
        </w:tc>
      </w:tr>
      <w:tr w14:paraId="172E6F5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5E0884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38450D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87DB2F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水压</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5193E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3F9F25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MPa</w:t>
            </w:r>
          </w:p>
        </w:tc>
        <w:tc>
          <w:tcPr>
            <w:tcW w:w="3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1D6A9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r w14:paraId="4FB788D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A6E41D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637D6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6EFDE6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累计流量</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94D1D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28926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w:t>
            </w:r>
          </w:p>
        </w:tc>
        <w:tc>
          <w:tcPr>
            <w:tcW w:w="3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48CFF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min（云端汇聚）</w:t>
            </w:r>
          </w:p>
        </w:tc>
      </w:tr>
      <w:tr w14:paraId="08A8292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4CAB9D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F8081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6B66D1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瞬时流量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E769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BF8D81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m³/h</w:t>
            </w:r>
          </w:p>
        </w:tc>
        <w:tc>
          <w:tcPr>
            <w:tcW w:w="3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DD228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r w14:paraId="563C654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833EB8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5C7603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天然气</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2781CB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累计流量</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4A53D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73AEB0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w:t>
            </w:r>
          </w:p>
        </w:tc>
        <w:tc>
          <w:tcPr>
            <w:tcW w:w="3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08107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min（云端汇聚）</w:t>
            </w:r>
          </w:p>
        </w:tc>
      </w:tr>
      <w:tr w14:paraId="229B729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B99003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49260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蒸汽</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631F0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瞬时蒸汽流量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DEC7A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3395EA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t/h</w:t>
            </w:r>
          </w:p>
        </w:tc>
        <w:tc>
          <w:tcPr>
            <w:tcW w:w="3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4359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r w14:paraId="7446EF66">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C51A5F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5C1915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蒸汽</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B6C13D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供汽管道工作压力</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8289C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01730D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MPa</w:t>
            </w:r>
          </w:p>
        </w:tc>
        <w:tc>
          <w:tcPr>
            <w:tcW w:w="3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6DD6A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r w14:paraId="2D009624">
        <w:tblPrEx>
          <w:tblCellMar>
            <w:top w:w="0" w:type="dxa"/>
            <w:left w:w="108" w:type="dxa"/>
            <w:bottom w:w="0" w:type="dxa"/>
            <w:right w:w="108" w:type="dxa"/>
          </w:tblCellMar>
        </w:tblPrEx>
        <w:trPr>
          <w:jc w:val="center"/>
        </w:trPr>
        <w:tc>
          <w:tcPr>
            <w:tcW w:w="6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69F04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w:t>
            </w:r>
          </w:p>
        </w:tc>
        <w:tc>
          <w:tcPr>
            <w:tcW w:w="85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ECB272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蒸汽</w:t>
            </w:r>
          </w:p>
        </w:tc>
        <w:tc>
          <w:tcPr>
            <w:tcW w:w="207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A2628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供汽温度</w:t>
            </w:r>
          </w:p>
        </w:tc>
        <w:tc>
          <w:tcPr>
            <w:tcW w:w="11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79C3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1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ABF82F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3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D901B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bl>
    <w:p w14:paraId="74C3A2BE">
      <w:pPr>
        <w:spacing w:after="60"/>
        <w:rPr>
          <w:rFonts w:hint="eastAsia" w:ascii="宋体" w:hAnsi="宋体" w:eastAsia="宋体" w:cs="宋体"/>
          <w:i w:val="0"/>
          <w:iCs w:val="0"/>
          <w:sz w:val="24"/>
          <w:szCs w:val="24"/>
        </w:rPr>
      </w:pPr>
    </w:p>
    <w:p w14:paraId="0505B9F6">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采集频率说明：边端 1s~5s 高频采集仅用于本地滑动窗口越限判定与断网缓存，不上云全量透传；云端常规汇聚频率统一为 15 分钟等间隔打点，全集团 15 大园区表计不再全量秒级上报，以规避带宽瓶颈与数仓膨胀。32 台特种工艺设备试验期可动态开启 1s~5s 高频透传（见第二章「用能在线监测」）。</w:t>
      </w:r>
    </w:p>
    <w:p w14:paraId="18DCFF7C">
      <w:pPr>
        <w:pStyle w:val="4"/>
        <w:numPr>
          <w:ilvl w:val="0"/>
          <w:numId w:val="216"/>
        </w:numPr>
        <w:topLinePunct w:val="0"/>
        <w:ind w:left="0" w:leftChars="0" w:firstLine="0" w:firstLineChars="0"/>
        <w:outlineLvl w:val="0"/>
        <w:rPr>
          <w:rFonts w:hint="eastAsia" w:eastAsia="黑体"/>
          <w:b w:val="0"/>
          <w:bCs w:val="0"/>
          <w:sz w:val="30"/>
          <w:szCs w:val="32"/>
        </w:rPr>
      </w:pPr>
      <w:bookmarkStart w:id="90" w:name="_Toc31967"/>
      <w:r>
        <w:rPr>
          <w:rFonts w:ascii="Times New Roman" w:hAnsi="Times New Roman" w:eastAsia="黑体" w:cs="Times New Roman"/>
          <w:b w:val="0"/>
          <w:bCs w:val="0"/>
          <w:sz w:val="30"/>
          <w:szCs w:val="32"/>
        </w:rPr>
        <w:t>外部数据源与授权</w:t>
      </w:r>
      <w:bookmarkEnd w:id="90"/>
    </w:p>
    <w:tbl>
      <w:tblPr>
        <w:tblStyle w:val="38"/>
        <w:tblW w:w="9744" w:type="dxa"/>
        <w:jc w:val="center"/>
        <w:tblLayout w:type="autofit"/>
        <w:tblCellMar>
          <w:top w:w="0" w:type="dxa"/>
          <w:left w:w="108" w:type="dxa"/>
          <w:bottom w:w="0" w:type="dxa"/>
          <w:right w:w="108" w:type="dxa"/>
        </w:tblCellMar>
      </w:tblPr>
      <w:tblGrid>
        <w:gridCol w:w="3216"/>
        <w:gridCol w:w="1776"/>
        <w:gridCol w:w="1536"/>
        <w:gridCol w:w="3216"/>
      </w:tblGrid>
      <w:tr w14:paraId="16B270B2">
        <w:tblPrEx>
          <w:tblCellMar>
            <w:top w:w="0" w:type="dxa"/>
            <w:left w:w="108" w:type="dxa"/>
            <w:bottom w:w="0" w:type="dxa"/>
            <w:right w:w="108" w:type="dxa"/>
          </w:tblCellMar>
        </w:tblPrEx>
        <w:trPr>
          <w:tblHeader/>
          <w:jc w:val="center"/>
        </w:trPr>
        <w:tc>
          <w:tcPr>
            <w:tcW w:w="321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9FA64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数据源</w:t>
            </w:r>
          </w:p>
        </w:tc>
        <w:tc>
          <w:tcPr>
            <w:tcW w:w="177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CF4E4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授权方式</w:t>
            </w:r>
          </w:p>
        </w:tc>
        <w:tc>
          <w:tcPr>
            <w:tcW w:w="153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E5BEC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授权状态</w:t>
            </w:r>
          </w:p>
        </w:tc>
        <w:tc>
          <w:tcPr>
            <w:tcW w:w="321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F31E0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备注</w:t>
            </w:r>
          </w:p>
        </w:tc>
      </w:tr>
      <w:tr w14:paraId="6B00D314">
        <w:tblPrEx>
          <w:tblCellMar>
            <w:top w:w="0" w:type="dxa"/>
            <w:left w:w="108" w:type="dxa"/>
            <w:bottom w:w="0" w:type="dxa"/>
            <w:right w:w="108" w:type="dxa"/>
          </w:tblCellMar>
        </w:tblPrEx>
        <w:trPr>
          <w:jc w:val="center"/>
        </w:trPr>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25AE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国家自然资源部标准地图服务</w:t>
            </w:r>
          </w:p>
        </w:tc>
        <w:tc>
          <w:tcPr>
            <w:tcW w:w="17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DE17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公开</w:t>
            </w:r>
          </w:p>
        </w:tc>
        <w:tc>
          <w:tcPr>
            <w:tcW w:w="15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B07B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已具备</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3D1C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大屏底图，审图号须常驻展示</w:t>
            </w:r>
          </w:p>
        </w:tc>
      </w:tr>
      <w:tr w14:paraId="76F2FFD7">
        <w:tblPrEx>
          <w:tblCellMar>
            <w:top w:w="0" w:type="dxa"/>
            <w:left w:w="108" w:type="dxa"/>
            <w:bottom w:w="0" w:type="dxa"/>
            <w:right w:w="108" w:type="dxa"/>
          </w:tblCellMar>
        </w:tblPrEx>
        <w:trPr>
          <w:jc w:val="center"/>
        </w:trPr>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D402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Ecoinvent v3.8</w:t>
            </w:r>
          </w:p>
        </w:tc>
        <w:tc>
          <w:tcPr>
            <w:tcW w:w="17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2937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商业 License</w:t>
            </w:r>
          </w:p>
        </w:tc>
        <w:tc>
          <w:tcPr>
            <w:tcW w:w="15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44B9F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【待确认】</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59C9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过期自动降级 CLCD</w:t>
            </w:r>
          </w:p>
        </w:tc>
      </w:tr>
      <w:tr w14:paraId="4ADE44B5">
        <w:tblPrEx>
          <w:tblCellMar>
            <w:top w:w="0" w:type="dxa"/>
            <w:left w:w="108" w:type="dxa"/>
            <w:bottom w:w="0" w:type="dxa"/>
            <w:right w:w="108" w:type="dxa"/>
          </w:tblCellMar>
        </w:tblPrEx>
        <w:trPr>
          <w:jc w:val="center"/>
        </w:trPr>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AC98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CLCD 中国生命周期数据库</w:t>
            </w:r>
          </w:p>
        </w:tc>
        <w:tc>
          <w:tcPr>
            <w:tcW w:w="17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8001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商业授权</w:t>
            </w:r>
          </w:p>
        </w:tc>
        <w:tc>
          <w:tcPr>
            <w:tcW w:w="15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4DF1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【待确认】</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F151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本土近似因子来源</w:t>
            </w:r>
          </w:p>
        </w:tc>
      </w:tr>
      <w:tr w14:paraId="745E9AF2">
        <w:tblPrEx>
          <w:tblCellMar>
            <w:top w:w="0" w:type="dxa"/>
            <w:left w:w="108" w:type="dxa"/>
            <w:bottom w:w="0" w:type="dxa"/>
            <w:right w:w="108" w:type="dxa"/>
          </w:tblCellMar>
        </w:tblPrEx>
        <w:trPr>
          <w:jc w:val="center"/>
        </w:trPr>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67F0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欧洲能源交易所 EEX</w:t>
            </w:r>
          </w:p>
        </w:tc>
        <w:tc>
          <w:tcPr>
            <w:tcW w:w="17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752D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公开数据接口</w:t>
            </w:r>
          </w:p>
        </w:tc>
        <w:tc>
          <w:tcPr>
            <w:tcW w:w="15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25B3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【待确认】</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C8B9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ETS 碳价来源</w:t>
            </w:r>
          </w:p>
        </w:tc>
      </w:tr>
    </w:tbl>
    <w:p w14:paraId="6ECCB9A2">
      <w:pPr>
        <w:spacing w:after="60"/>
        <w:rPr>
          <w:rFonts w:hint="eastAsia" w:ascii="宋体" w:hAnsi="宋体" w:eastAsia="宋体" w:cs="宋体"/>
          <w:i w:val="0"/>
          <w:iCs w:val="0"/>
          <w:sz w:val="24"/>
          <w:szCs w:val="24"/>
        </w:rPr>
      </w:pPr>
    </w:p>
    <w:p w14:paraId="6E9EB342">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20641015">
      <w:pPr>
        <w:pStyle w:val="3"/>
        <w:numPr>
          <w:ilvl w:val="0"/>
          <w:numId w:val="7"/>
        </w:numPr>
        <w:ind w:left="0" w:leftChars="0" w:firstLine="0" w:firstLineChars="0"/>
        <w:rPr>
          <w:rFonts w:eastAsia="黑体"/>
          <w:b w:val="0"/>
          <w:bCs w:val="0"/>
          <w:sz w:val="32"/>
          <w:szCs w:val="44"/>
        </w:rPr>
      </w:pPr>
      <w:bookmarkStart w:id="91" w:name="_Toc10931"/>
      <w:r>
        <w:rPr>
          <w:rFonts w:ascii="Times New Roman" w:hAnsi="Times New Roman" w:eastAsia="黑体" w:cs="Times New Roman"/>
          <w:b w:val="0"/>
          <w:bCs w:val="0"/>
          <w:sz w:val="32"/>
          <w:szCs w:val="44"/>
        </w:rPr>
        <w:t>测试与验收基线</w:t>
      </w:r>
      <w:bookmarkEnd w:id="91"/>
    </w:p>
    <w:p w14:paraId="015379B9">
      <w:pPr>
        <w:pStyle w:val="4"/>
        <w:numPr>
          <w:ilvl w:val="0"/>
          <w:numId w:val="217"/>
        </w:numPr>
        <w:topLinePunct w:val="0"/>
        <w:ind w:left="0" w:leftChars="0" w:firstLine="0" w:firstLineChars="0"/>
        <w:outlineLvl w:val="0"/>
        <w:rPr>
          <w:rFonts w:hint="eastAsia" w:eastAsia="黑体"/>
          <w:b w:val="0"/>
          <w:bCs w:val="0"/>
          <w:sz w:val="30"/>
          <w:szCs w:val="32"/>
        </w:rPr>
      </w:pPr>
      <w:bookmarkStart w:id="92" w:name="_Toc32719"/>
      <w:r>
        <w:rPr>
          <w:rFonts w:ascii="Times New Roman" w:hAnsi="Times New Roman" w:eastAsia="黑体" w:cs="Times New Roman"/>
          <w:b w:val="0"/>
          <w:bCs w:val="0"/>
          <w:sz w:val="30"/>
          <w:szCs w:val="32"/>
        </w:rPr>
        <w:t>验收准则</w:t>
      </w:r>
      <w:bookmarkEnd w:id="92"/>
    </w:p>
    <w:p w14:paraId="77BD826C">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全平台所有功能模块的验收均须满足以下基础准则：</w:t>
      </w:r>
    </w:p>
    <w:p w14:paraId="6500A6A8">
      <w:pPr>
        <w:pStyle w:val="19"/>
        <w:widowControl/>
        <w:numPr>
          <w:ilvl w:val="0"/>
          <w:numId w:val="218"/>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结构完整性</w:t>
      </w:r>
      <w:r>
        <w:rPr>
          <w:rFonts w:ascii="Times New Roman" w:hAnsi="Times New Roman" w:eastAsia="宋体" w:cs="Times New Roman"/>
          <w:i w:val="0"/>
          <w:color w:val="1F2937"/>
          <w:sz w:val="24"/>
          <w:szCs w:val="24"/>
        </w:rPr>
        <w:t>：每个模块文档均含八段结构，缺任一段视为未完成。</w:t>
      </w:r>
    </w:p>
    <w:p w14:paraId="4C584E69">
      <w:pPr>
        <w:pStyle w:val="19"/>
        <w:widowControl/>
        <w:numPr>
          <w:ilvl w:val="0"/>
          <w:numId w:val="218"/>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字段级可测</w:t>
      </w:r>
      <w:r>
        <w:rPr>
          <w:rFonts w:ascii="Times New Roman" w:hAnsi="Times New Roman" w:eastAsia="宋体" w:cs="Times New Roman"/>
          <w:i w:val="0"/>
          <w:color w:val="1F2937"/>
          <w:sz w:val="24"/>
          <w:szCs w:val="24"/>
        </w:rPr>
        <w:t>：字段字典中每一字段均有明确的校验与约束规则，无规则者不得进入测试。</w:t>
      </w:r>
    </w:p>
    <w:p w14:paraId="120F460A">
      <w:pPr>
        <w:pStyle w:val="19"/>
        <w:widowControl/>
        <w:numPr>
          <w:ilvl w:val="0"/>
          <w:numId w:val="218"/>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公式一致性</w:t>
      </w:r>
      <w:r>
        <w:rPr>
          <w:rFonts w:ascii="Times New Roman" w:hAnsi="Times New Roman" w:eastAsia="宋体" w:cs="Times New Roman"/>
          <w:i w:val="0"/>
          <w:color w:val="1F2937"/>
          <w:sz w:val="24"/>
          <w:szCs w:val="24"/>
        </w:rPr>
        <w:t>：文档所载公式与实现代码一致，抽样比对差异为 0。</w:t>
      </w:r>
    </w:p>
    <w:p w14:paraId="101A86B5">
      <w:pPr>
        <w:pStyle w:val="19"/>
        <w:widowControl/>
        <w:numPr>
          <w:ilvl w:val="0"/>
          <w:numId w:val="218"/>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异常可复现</w:t>
      </w:r>
      <w:r>
        <w:rPr>
          <w:rFonts w:ascii="Times New Roman" w:hAnsi="Times New Roman" w:eastAsia="宋体" w:cs="Times New Roman"/>
          <w:i w:val="0"/>
          <w:color w:val="1F2937"/>
          <w:sz w:val="24"/>
          <w:szCs w:val="24"/>
        </w:rPr>
        <w:t>：文档所载每个错误码均可通过对应操作稳定复现。</w:t>
      </w:r>
    </w:p>
    <w:p w14:paraId="428DB858">
      <w:pPr>
        <w:pStyle w:val="19"/>
        <w:widowControl/>
        <w:numPr>
          <w:ilvl w:val="0"/>
          <w:numId w:val="218"/>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客观中立性</w:t>
      </w:r>
      <w:r>
        <w:rPr>
          <w:rFonts w:ascii="Times New Roman" w:hAnsi="Times New Roman" w:eastAsia="宋体" w:cs="Times New Roman"/>
          <w:i w:val="0"/>
          <w:color w:val="1F2937"/>
          <w:sz w:val="24"/>
          <w:szCs w:val="24"/>
        </w:rPr>
        <w:t>：全系统文字零主观定性词汇。</w:t>
      </w:r>
    </w:p>
    <w:p w14:paraId="2087EA42">
      <w:pPr>
        <w:pStyle w:val="19"/>
        <w:widowControl/>
        <w:numPr>
          <w:ilvl w:val="0"/>
          <w:numId w:val="218"/>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除零零异常</w:t>
      </w:r>
      <w:r>
        <w:rPr>
          <w:rFonts w:ascii="Times New Roman" w:hAnsi="Times New Roman" w:eastAsia="宋体" w:cs="Times New Roman"/>
          <w:i w:val="0"/>
          <w:color w:val="1F2937"/>
          <w:sz w:val="24"/>
          <w:szCs w:val="24"/>
        </w:rPr>
        <w:t xml:space="preserve">：任何分母为 0 场景均输出 </w:t>
      </w:r>
      <w:r>
        <w:rPr>
          <w:rFonts w:ascii="Times New Roman" w:hAnsi="Times New Roman" w:eastAsia="宋体" w:cs="Times New Roman"/>
          <w:b w:val="0"/>
          <w:i w:val="0"/>
          <w:color w:val="0284C7"/>
          <w:sz w:val="24"/>
          <w:szCs w:val="24"/>
        </w:rPr>
        <w:t xml:space="preserve"> -- </w:t>
      </w:r>
      <w:r>
        <w:rPr>
          <w:rFonts w:ascii="Times New Roman" w:hAnsi="Times New Roman" w:eastAsia="宋体" w:cs="Times New Roman"/>
          <w:i w:val="0"/>
          <w:color w:val="1F2937"/>
          <w:sz w:val="24"/>
          <w:szCs w:val="24"/>
        </w:rPr>
        <w:t>，无 NaN / Infinity / 白屏。</w:t>
      </w:r>
    </w:p>
    <w:p w14:paraId="0062C049">
      <w:pPr>
        <w:pStyle w:val="4"/>
        <w:numPr>
          <w:ilvl w:val="0"/>
          <w:numId w:val="217"/>
        </w:numPr>
        <w:topLinePunct w:val="0"/>
        <w:ind w:left="0" w:leftChars="0" w:firstLine="0" w:firstLineChars="0"/>
        <w:outlineLvl w:val="0"/>
        <w:rPr>
          <w:rFonts w:hint="eastAsia" w:eastAsia="黑体"/>
          <w:b w:val="0"/>
          <w:bCs w:val="0"/>
          <w:sz w:val="30"/>
          <w:szCs w:val="32"/>
        </w:rPr>
      </w:pPr>
      <w:bookmarkStart w:id="93" w:name="_Toc31649"/>
      <w:r>
        <w:rPr>
          <w:rFonts w:ascii="Times New Roman" w:hAnsi="Times New Roman" w:eastAsia="黑体" w:cs="Times New Roman"/>
          <w:b w:val="0"/>
          <w:bCs w:val="0"/>
          <w:sz w:val="30"/>
          <w:szCs w:val="32"/>
        </w:rPr>
        <w:t>破坏性测试矩阵（EQP / BVA）</w:t>
      </w:r>
      <w:bookmarkEnd w:id="93"/>
    </w:p>
    <w:tbl>
      <w:tblPr>
        <w:tblStyle w:val="38"/>
        <w:tblW w:w="9454" w:type="dxa"/>
        <w:jc w:val="center"/>
        <w:tblLayout w:type="autofit"/>
        <w:tblCellMar>
          <w:top w:w="0" w:type="dxa"/>
          <w:left w:w="108" w:type="dxa"/>
          <w:bottom w:w="0" w:type="dxa"/>
          <w:right w:w="108" w:type="dxa"/>
        </w:tblCellMar>
      </w:tblPr>
      <w:tblGrid>
        <w:gridCol w:w="1882"/>
        <w:gridCol w:w="2564"/>
        <w:gridCol w:w="2472"/>
        <w:gridCol w:w="2536"/>
      </w:tblGrid>
      <w:tr w14:paraId="34FC6349">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CC90E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测试类别</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55AF1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测试方法</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43DB0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覆盖范围</w:t>
            </w:r>
          </w:p>
        </w:tc>
        <w:tc>
          <w:tcPr>
            <w:tcW w:w="253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15C5A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通过标准</w:t>
            </w:r>
          </w:p>
        </w:tc>
      </w:tr>
      <w:tr w14:paraId="04D32AE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C331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等价类划分（EQP）</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30C8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按有效/无效等价类构造用例</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EC89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全部数值型输入字段</w:t>
            </w:r>
          </w:p>
        </w:tc>
        <w:tc>
          <w:tcPr>
            <w:tcW w:w="25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A636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无效等价类 100% 被拦截</w:t>
            </w:r>
          </w:p>
        </w:tc>
      </w:tr>
      <w:tr w14:paraId="4D22846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3365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边界值分析（BVA）</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B164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取边界值、边界±1、极值</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A083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产量、产值、单价、系数</w:t>
            </w:r>
          </w:p>
        </w:tc>
        <w:tc>
          <w:tcPr>
            <w:tcW w:w="25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9610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边界行为与文档一致</w:t>
            </w:r>
          </w:p>
        </w:tc>
      </w:tr>
      <w:tr w14:paraId="4F8AD486">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1D9D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极限除零测试</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BBA7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分母直接置 0</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05A3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全部单耗、占比、强度指标</w:t>
            </w:r>
          </w:p>
        </w:tc>
        <w:tc>
          <w:tcPr>
            <w:tcW w:w="25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EA50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统一显示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，无异常抛出</w:t>
            </w:r>
          </w:p>
        </w:tc>
      </w:tr>
      <w:tr w14:paraId="443B709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0911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并发防刷测试</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A90C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100ms 内连续提交</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FE6D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全部写操作接口</w:t>
            </w:r>
          </w:p>
        </w:tc>
        <w:tc>
          <w:tcPr>
            <w:tcW w:w="25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20B8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仅首笔入库</w:t>
            </w:r>
          </w:p>
        </w:tc>
      </w:tr>
      <w:tr w14:paraId="01A89A3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BB02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越权穿透测试</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AB93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低权限角色访问高密级数据</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D177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L2~L4 全量字段</w:t>
            </w:r>
          </w:p>
        </w:tc>
        <w:tc>
          <w:tcPr>
            <w:tcW w:w="25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2D2B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100% 拦截并留痕</w:t>
            </w:r>
          </w:p>
        </w:tc>
      </w:tr>
      <w:tr w14:paraId="00B693B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9E5F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断网容灾测试</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3DAB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混沌工程注入网络故障</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7F4C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采集链路与边缘一体机</w:t>
            </w:r>
          </w:p>
        </w:tc>
        <w:tc>
          <w:tcPr>
            <w:tcW w:w="25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75DB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优雅降级 + 恢复后自动补传</w:t>
            </w:r>
          </w:p>
        </w:tc>
      </w:tr>
      <w:tr w14:paraId="7B9229E7">
        <w:tblPrEx>
          <w:tblCellMar>
            <w:top w:w="0" w:type="dxa"/>
            <w:left w:w="108" w:type="dxa"/>
            <w:bottom w:w="0" w:type="dxa"/>
            <w:right w:w="108" w:type="dxa"/>
          </w:tblCellMar>
        </w:tblPrEx>
        <w:trPr>
          <w:jc w:val="center"/>
        </w:trPr>
        <w:tc>
          <w:tcPr>
            <w:tcW w:w="1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F512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篡改校验测试</w:t>
            </w:r>
          </w:p>
        </w:tc>
        <w:tc>
          <w:tcPr>
            <w:tcW w:w="25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019C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篡改报告内容后校验哈希</w:t>
            </w:r>
          </w:p>
        </w:tc>
        <w:tc>
          <w:tcPr>
            <w:tcW w:w="24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7113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报告、CBAM 申报包</w:t>
            </w:r>
          </w:p>
        </w:tc>
        <w:tc>
          <w:tcPr>
            <w:tcW w:w="25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DD4F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校验失败并锁定单据</w:t>
            </w:r>
          </w:p>
        </w:tc>
      </w:tr>
    </w:tbl>
    <w:p w14:paraId="50A8ED43">
      <w:pPr>
        <w:spacing w:after="60"/>
        <w:rPr>
          <w:rFonts w:hint="eastAsia" w:ascii="宋体" w:hAnsi="宋体" w:eastAsia="宋体" w:cs="宋体"/>
          <w:i w:val="0"/>
          <w:iCs w:val="0"/>
          <w:sz w:val="24"/>
          <w:szCs w:val="24"/>
        </w:rPr>
      </w:pPr>
    </w:p>
    <w:p w14:paraId="3AB5F67C">
      <w:pPr>
        <w:pStyle w:val="4"/>
        <w:numPr>
          <w:ilvl w:val="0"/>
          <w:numId w:val="217"/>
        </w:numPr>
        <w:topLinePunct w:val="0"/>
        <w:ind w:left="0" w:leftChars="0" w:firstLine="0" w:firstLineChars="0"/>
        <w:outlineLvl w:val="0"/>
        <w:rPr>
          <w:rFonts w:hint="eastAsia" w:eastAsia="黑体"/>
          <w:b w:val="0"/>
          <w:bCs w:val="0"/>
          <w:sz w:val="30"/>
          <w:szCs w:val="32"/>
        </w:rPr>
      </w:pPr>
      <w:bookmarkStart w:id="94" w:name="_Toc4587"/>
      <w:r>
        <w:rPr>
          <w:rFonts w:ascii="Times New Roman" w:hAnsi="Times New Roman" w:eastAsia="黑体" w:cs="Times New Roman"/>
          <w:b w:val="0"/>
          <w:bCs w:val="0"/>
          <w:sz w:val="30"/>
          <w:szCs w:val="32"/>
        </w:rPr>
        <w:t>全系统验收基线</w:t>
      </w:r>
      <w:bookmarkEnd w:id="94"/>
    </w:p>
    <w:tbl>
      <w:tblPr>
        <w:tblStyle w:val="38"/>
        <w:tblW w:w="9784" w:type="dxa"/>
        <w:jc w:val="center"/>
        <w:tblLayout w:type="autofit"/>
        <w:tblCellMar>
          <w:top w:w="0" w:type="dxa"/>
          <w:left w:w="108" w:type="dxa"/>
          <w:bottom w:w="0" w:type="dxa"/>
          <w:right w:w="108" w:type="dxa"/>
        </w:tblCellMar>
      </w:tblPr>
      <w:tblGrid>
        <w:gridCol w:w="1930"/>
        <w:gridCol w:w="5407"/>
        <w:gridCol w:w="2447"/>
      </w:tblGrid>
      <w:tr w14:paraId="3F8698C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ECF966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基线项</w:t>
            </w:r>
          </w:p>
        </w:tc>
        <w:tc>
          <w:tcPr>
            <w:tcW w:w="540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3E344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基线要求</w:t>
            </w:r>
          </w:p>
        </w:tc>
        <w:tc>
          <w:tcPr>
            <w:tcW w:w="244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3F6781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验证方式</w:t>
            </w:r>
          </w:p>
        </w:tc>
      </w:tr>
      <w:tr w14:paraId="0DB81EB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980FAF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模块完整率</w:t>
            </w:r>
          </w:p>
        </w:tc>
        <w:tc>
          <w:tcPr>
            <w:tcW w:w="540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55A8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 22 个 + 第三章 13 个模块 100% 覆盖</w:t>
            </w:r>
          </w:p>
        </w:tc>
        <w:tc>
          <w:tcPr>
            <w:tcW w:w="244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72EA1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模块清单比对</w:t>
            </w:r>
          </w:p>
        </w:tc>
      </w:tr>
      <w:tr w14:paraId="1AB805C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FEAF66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八段完整率</w:t>
            </w:r>
          </w:p>
        </w:tc>
        <w:tc>
          <w:tcPr>
            <w:tcW w:w="540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06575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100% 模块含八段结构</w:t>
            </w:r>
          </w:p>
        </w:tc>
        <w:tc>
          <w:tcPr>
            <w:tcW w:w="244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BC983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自动化结构扫描</w:t>
            </w:r>
          </w:p>
        </w:tc>
      </w:tr>
      <w:tr w14:paraId="5AECC13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AA3131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Gherkin 覆盖率</w:t>
            </w:r>
          </w:p>
        </w:tc>
        <w:tc>
          <w:tcPr>
            <w:tcW w:w="540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CCA0D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每个模块 ≥ 3 条可自动化验收场景</w:t>
            </w:r>
          </w:p>
        </w:tc>
        <w:tc>
          <w:tcPr>
            <w:tcW w:w="244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C4ACD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用例库统计</w:t>
            </w:r>
          </w:p>
        </w:tc>
      </w:tr>
      <w:tr w14:paraId="42BEAE6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81003F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错误码覆盖</w:t>
            </w:r>
          </w:p>
        </w:tc>
        <w:tc>
          <w:tcPr>
            <w:tcW w:w="540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E6373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24 项标准错误码全部有对应验收用例</w:t>
            </w:r>
          </w:p>
        </w:tc>
        <w:tc>
          <w:tcPr>
            <w:tcW w:w="244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6E4EA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用例库比对</w:t>
            </w:r>
          </w:p>
        </w:tc>
      </w:tr>
      <w:tr w14:paraId="29C6FC87">
        <w:tblPrEx>
          <w:tblCellMar>
            <w:top w:w="0" w:type="dxa"/>
            <w:left w:w="108" w:type="dxa"/>
            <w:bottom w:w="0" w:type="dxa"/>
            <w:right w:w="108" w:type="dxa"/>
          </w:tblCellMar>
        </w:tblPrEx>
        <w:trPr>
          <w:jc w:val="center"/>
        </w:trPr>
        <w:tc>
          <w:tcPr>
            <w:tcW w:w="19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A3C9B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双端同构率</w:t>
            </w:r>
          </w:p>
        </w:tc>
        <w:tc>
          <w:tcPr>
            <w:tcW w:w="540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E151E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暗黑端与浅色端功能与样式 100% 一致</w:t>
            </w:r>
          </w:p>
        </w:tc>
        <w:tc>
          <w:tcPr>
            <w:tcW w:w="244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33F28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自动化对标 76 路由</w:t>
            </w:r>
          </w:p>
        </w:tc>
      </w:tr>
    </w:tbl>
    <w:p w14:paraId="3CA40CAD">
      <w:pPr>
        <w:spacing w:after="60"/>
        <w:rPr>
          <w:rFonts w:hint="eastAsia" w:ascii="宋体" w:hAnsi="宋体" w:eastAsia="宋体" w:cs="宋体"/>
          <w:i w:val="0"/>
          <w:iCs w:val="0"/>
          <w:sz w:val="24"/>
          <w:szCs w:val="24"/>
        </w:rPr>
      </w:pPr>
    </w:p>
    <w:p w14:paraId="52B10DB0">
      <w:pPr>
        <w:pStyle w:val="37"/>
        <w:widowControl/>
        <w:outlineLvl w:val="0"/>
        <w:rPr>
          <w:rFonts w:ascii="Times New Roman" w:hAnsi="Times New Roman" w:eastAsia="黑体" w:cs="Times New Roman"/>
          <w:b w:val="0"/>
          <w:bCs w:val="0"/>
          <w:sz w:val="36"/>
          <w:szCs w:val="24"/>
        </w:rPr>
      </w:pPr>
      <w:bookmarkStart w:id="95" w:name="_Toc59"/>
      <w:r>
        <w:rPr>
          <w:rFonts w:ascii="Times New Roman" w:hAnsi="Times New Roman" w:eastAsia="黑体" w:cs="Times New Roman"/>
          <w:b w:val="0"/>
          <w:bCs w:val="0"/>
          <w:sz w:val="36"/>
          <w:szCs w:val="24"/>
        </w:rPr>
        <w:t>附录 A：现行国标 / 行标 / 欧标 法规映射表</w:t>
      </w:r>
      <w:bookmarkEnd w:id="95"/>
    </w:p>
    <w:tbl>
      <w:tblPr>
        <w:tblStyle w:val="38"/>
        <w:tblW w:w="9454" w:type="dxa"/>
        <w:jc w:val="center"/>
        <w:tblLayout w:type="autofit"/>
        <w:tblCellMar>
          <w:top w:w="0" w:type="dxa"/>
          <w:left w:w="108" w:type="dxa"/>
          <w:bottom w:w="0" w:type="dxa"/>
          <w:right w:w="108" w:type="dxa"/>
        </w:tblCellMar>
      </w:tblPr>
      <w:tblGrid>
        <w:gridCol w:w="2044"/>
        <w:gridCol w:w="3919"/>
        <w:gridCol w:w="1685"/>
        <w:gridCol w:w="1806"/>
      </w:tblGrid>
      <w:tr w14:paraId="49B771B6">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676A3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标准编号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776C4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标准名称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6F711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适用范围</w:t>
            </w:r>
          </w:p>
        </w:tc>
        <w:tc>
          <w:tcPr>
            <w:tcW w:w="180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56823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引用章节</w:t>
            </w:r>
          </w:p>
        </w:tc>
      </w:tr>
      <w:tr w14:paraId="1A79BBB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2A1F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GB/T 2589-2020</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94BB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综合能耗计算通则</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866C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折标准煤当量/等价系数</w:t>
            </w:r>
          </w:p>
        </w:tc>
        <w:tc>
          <w:tcPr>
            <w:tcW w:w="18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9965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第二章二/三/五、第三章六</w:t>
            </w:r>
          </w:p>
        </w:tc>
      </w:tr>
      <w:tr w14:paraId="40B0384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FCE3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GB 17167</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5A29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用能单位能源计量器具配备和管理通则</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B5E2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计量器具配备与分级</w:t>
            </w:r>
          </w:p>
        </w:tc>
        <w:tc>
          <w:tcPr>
            <w:tcW w:w="18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60E3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第二章二、第十章二</w:t>
            </w:r>
          </w:p>
        </w:tc>
      </w:tr>
      <w:tr w14:paraId="1D94FB7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615E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GB/T 23331 / ISO 50001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FDD5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能源管理体系要求</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CDC4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能效自评估与体系认证</w:t>
            </w:r>
          </w:p>
        </w:tc>
        <w:tc>
          <w:tcPr>
            <w:tcW w:w="18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96DA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第二章三、四</w:t>
            </w:r>
          </w:p>
        </w:tc>
      </w:tr>
      <w:tr w14:paraId="4E54DEE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9A1C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ISO 14067:2018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8EB3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温室气体—产品碳足迹—量化要求和指南</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1277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产品碳足迹核算与报告</w:t>
            </w:r>
          </w:p>
        </w:tc>
        <w:tc>
          <w:tcPr>
            <w:tcW w:w="18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DED8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第三章三</w:t>
            </w:r>
          </w:p>
        </w:tc>
      </w:tr>
      <w:tr w14:paraId="1AEB438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7B1D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ISO 14064-1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62E8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温室气体—第 1 部分：组织层次温室气体排放和清除的量化与报告</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356C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组织碳盘查</w:t>
            </w:r>
          </w:p>
        </w:tc>
        <w:tc>
          <w:tcPr>
            <w:tcW w:w="18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6F7B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第二章四、第三章三</w:t>
            </w:r>
          </w:p>
        </w:tc>
      </w:tr>
      <w:tr w14:paraId="02A58E1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2DA5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GHG Protocol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A180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温室气体核算体系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A076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Scope 1/2/3 划分</w:t>
            </w:r>
          </w:p>
        </w:tc>
        <w:tc>
          <w:tcPr>
            <w:tcW w:w="18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9687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第二章二、三</w:t>
            </w:r>
          </w:p>
        </w:tc>
      </w:tr>
      <w:tr w14:paraId="51D2984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45DC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EU 2023/956</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C749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欧盟碳边境调节机制条例</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49C6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申报与关税测算</w:t>
            </w:r>
          </w:p>
        </w:tc>
        <w:tc>
          <w:tcPr>
            <w:tcW w:w="18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6581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第三章四</w:t>
            </w:r>
          </w:p>
        </w:tc>
      </w:tr>
      <w:tr w14:paraId="267AC463">
        <w:tblPrEx>
          <w:tblCellMar>
            <w:top w:w="0" w:type="dxa"/>
            <w:left w:w="108" w:type="dxa"/>
            <w:bottom w:w="0" w:type="dxa"/>
            <w:right w:w="108" w:type="dxa"/>
          </w:tblCellMar>
        </w:tblPrEx>
        <w:trPr>
          <w:jc w:val="center"/>
        </w:trPr>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C3C1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IPMVP</w:t>
            </w:r>
          </w:p>
        </w:tc>
        <w:tc>
          <w:tcPr>
            <w:tcW w:w="391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9587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国际节能量测量与验证规程</w:t>
            </w:r>
          </w:p>
        </w:tc>
        <w:tc>
          <w:tcPr>
            <w:tcW w:w="16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CB47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节能技改节能量核算</w:t>
            </w:r>
          </w:p>
        </w:tc>
        <w:tc>
          <w:tcPr>
            <w:tcW w:w="18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2671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第二章四</w:t>
            </w:r>
          </w:p>
        </w:tc>
      </w:tr>
    </w:tbl>
    <w:p w14:paraId="26C6D606">
      <w:pPr>
        <w:pStyle w:val="37"/>
        <w:widowControl/>
        <w:rPr>
          <w:rFonts w:ascii="Times New Roman" w:hAnsi="Times New Roman" w:eastAsia="黑体" w:cs="Times New Roman"/>
          <w:b w:val="0"/>
          <w:bCs w:val="0"/>
          <w:sz w:val="36"/>
          <w:szCs w:val="24"/>
        </w:rPr>
      </w:pPr>
    </w:p>
    <w:p w14:paraId="2B0D1813">
      <w:pPr>
        <w:pStyle w:val="37"/>
        <w:widowControl/>
        <w:outlineLvl w:val="0"/>
        <w:rPr>
          <w:rFonts w:ascii="Times New Roman" w:hAnsi="Times New Roman" w:eastAsia="黑体" w:cs="Times New Roman"/>
          <w:b w:val="0"/>
          <w:bCs w:val="0"/>
          <w:sz w:val="36"/>
          <w:szCs w:val="24"/>
        </w:rPr>
      </w:pPr>
      <w:bookmarkStart w:id="96" w:name="_Toc30322"/>
      <w:r>
        <w:rPr>
          <w:rFonts w:ascii="Times New Roman" w:hAnsi="Times New Roman" w:eastAsia="黑体" w:cs="Times New Roman"/>
          <w:b w:val="0"/>
          <w:bCs w:val="0"/>
          <w:sz w:val="36"/>
          <w:szCs w:val="24"/>
        </w:rPr>
        <w:t>附录 B：反模式与反例对照治理清单</w:t>
      </w:r>
      <w:bookmarkEnd w:id="96"/>
    </w:p>
    <w:tbl>
      <w:tblPr>
        <w:tblStyle w:val="38"/>
        <w:tblW w:w="9784" w:type="dxa"/>
        <w:jc w:val="center"/>
        <w:tblLayout w:type="autofit"/>
        <w:tblCellMar>
          <w:top w:w="0" w:type="dxa"/>
          <w:left w:w="108" w:type="dxa"/>
          <w:bottom w:w="0" w:type="dxa"/>
          <w:right w:w="108" w:type="dxa"/>
        </w:tblCellMar>
      </w:tblPr>
      <w:tblGrid>
        <w:gridCol w:w="921"/>
        <w:gridCol w:w="4549"/>
        <w:gridCol w:w="4314"/>
      </w:tblGrid>
      <w:tr w14:paraId="08C0CBE8">
        <w:tblPrEx>
          <w:tblCellMar>
            <w:top w:w="0" w:type="dxa"/>
            <w:left w:w="108" w:type="dxa"/>
            <w:bottom w:w="0" w:type="dxa"/>
            <w:right w:w="108" w:type="dxa"/>
          </w:tblCellMar>
        </w:tblPrEx>
        <w:trPr>
          <w:tblHeade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71873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454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444E2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严禁反模式</w:t>
            </w:r>
          </w:p>
        </w:tc>
        <w:tc>
          <w:tcPr>
            <w:tcW w:w="431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DDD29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正向标准做法</w:t>
            </w:r>
          </w:p>
        </w:tc>
      </w:tr>
      <w:tr w14:paraId="03F0CBC7">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62B0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45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44DC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跨产业单耗混编同一统计列</w:t>
            </w:r>
          </w:p>
        </w:tc>
        <w:tc>
          <w:tcPr>
            <w:tcW w:w="431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AFFC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变压器与线缆单耗按量纲分列，独立区块呈现</w:t>
            </w:r>
          </w:p>
        </w:tc>
      </w:tr>
      <w:tr w14:paraId="6C31CFED">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02C91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45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1018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各下级占比直接求算术平均</w:t>
            </w:r>
          </w:p>
        </w:tc>
        <w:tc>
          <w:tcPr>
            <w:tcW w:w="431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6290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汇总分子分母后重新计算占比</w:t>
            </w:r>
          </w:p>
        </w:tc>
      </w:tr>
      <w:tr w14:paraId="6BC91041">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ACA2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45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B520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分母为 0 时显示 NaN / Infinity / 白屏</w:t>
            </w:r>
          </w:p>
        </w:tc>
        <w:tc>
          <w:tcPr>
            <w:tcW w:w="431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9C3C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统一安全兜底显示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 xml:space="preserve"> 并悬停友好说明</w:t>
            </w:r>
          </w:p>
        </w:tc>
      </w:tr>
      <w:tr w14:paraId="21A0CED9">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1378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45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18A9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无工序单位显示空白占位卡片或说教文案</w:t>
            </w:r>
          </w:p>
        </w:tc>
        <w:tc>
          <w:tcPr>
            <w:tcW w:w="431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90E0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整行单行输出"暂无相关工序！"</w:t>
            </w:r>
          </w:p>
        </w:tc>
      </w:tr>
      <w:tr w14:paraId="5407D18A">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D293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45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80E7C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使用"表现优异/落后单位/运行欠佳"等定性评语</w:t>
            </w:r>
          </w:p>
        </w:tc>
        <w:tc>
          <w:tcPr>
            <w:tcW w:w="431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82B4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以客观数值与时序环比自解释</w:t>
            </w:r>
          </w:p>
        </w:tc>
      </w:tr>
      <w:tr w14:paraId="6B2425BE">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090A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45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4798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卡片右上角添加"已联动过滤"等过程标签</w:t>
            </w:r>
          </w:p>
        </w:tc>
        <w:tc>
          <w:tcPr>
            <w:tcW w:w="431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F0A5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以边框高亮承载激活态</w:t>
            </w:r>
          </w:p>
        </w:tc>
      </w:tr>
      <w:tr w14:paraId="3929AC81">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FCE8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45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6AC1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用插值填补缺失月份趋势</w:t>
            </w:r>
          </w:p>
        </w:tc>
        <w:tc>
          <w:tcPr>
            <w:tcW w:w="431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2809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保持真实断层，不插值</w:t>
            </w:r>
          </w:p>
        </w:tc>
      </w:tr>
      <w:tr w14:paraId="1C81F635">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673C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45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8C33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用当前版本参数倒推历史核算</w:t>
            </w:r>
          </w:p>
        </w:tc>
        <w:tc>
          <w:tcPr>
            <w:tcW w:w="431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58C0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按业务发生时间匹配当时生效版本</w:t>
            </w:r>
          </w:p>
        </w:tc>
      </w:tr>
      <w:tr w14:paraId="14A91211">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21AE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45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7AD2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折标口径在同页面混用</w:t>
            </w:r>
          </w:p>
        </w:tc>
        <w:tc>
          <w:tcPr>
            <w:tcW w:w="431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1DA9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全页统一口径并显式标注</w:t>
            </w:r>
          </w:p>
        </w:tc>
      </w:tr>
      <w:tr w14:paraId="53BE67B4">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C5E8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45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D2C4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认证报告导出无水印</w:t>
            </w:r>
          </w:p>
        </w:tc>
        <w:tc>
          <w:tcPr>
            <w:tcW w:w="431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9645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强制注入工号、时间戳与哈希</w:t>
            </w:r>
          </w:p>
        </w:tc>
      </w:tr>
    </w:tbl>
    <w:p w14:paraId="3970C6FD">
      <w:pPr>
        <w:pStyle w:val="37"/>
        <w:widowControl/>
        <w:jc w:val="both"/>
        <w:rPr>
          <w:rFonts w:ascii="Times New Roman" w:hAnsi="Times New Roman" w:eastAsia="黑体" w:cs="Times New Roman"/>
          <w:b w:val="0"/>
          <w:bCs w:val="0"/>
          <w:sz w:val="36"/>
          <w:szCs w:val="24"/>
        </w:rPr>
      </w:pPr>
    </w:p>
    <w:p w14:paraId="4864ABD6">
      <w:pPr>
        <w:pStyle w:val="37"/>
        <w:widowControl/>
        <w:outlineLvl w:val="0"/>
        <w:rPr>
          <w:rFonts w:hint="eastAsia" w:ascii="宋体" w:hAnsi="宋体" w:eastAsia="宋体" w:cs="宋体"/>
          <w:i w:val="0"/>
          <w:iCs w:val="0"/>
          <w:sz w:val="24"/>
          <w:szCs w:val="24"/>
        </w:rPr>
      </w:pPr>
      <w:bookmarkStart w:id="97" w:name="_Toc4678"/>
      <w:r>
        <w:rPr>
          <w:rFonts w:ascii="Times New Roman" w:hAnsi="Times New Roman" w:eastAsia="黑体" w:cs="Times New Roman"/>
          <w:b w:val="0"/>
          <w:bCs w:val="0"/>
          <w:sz w:val="36"/>
          <w:szCs w:val="24"/>
        </w:rPr>
        <w:t>附录 C：企业组织结构树</w:t>
      </w:r>
      <w:bookmarkEnd w:id="97"/>
    </w:p>
    <w:tbl>
      <w:tblPr>
        <w:tblStyle w:val="38"/>
        <w:tblW w:w="953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Layout w:type="autofit"/>
        <w:tblCellMar>
          <w:top w:w="0" w:type="dxa"/>
          <w:left w:w="0" w:type="dxa"/>
          <w:bottom w:w="0" w:type="dxa"/>
          <w:right w:w="0" w:type="dxa"/>
        </w:tblCellMar>
      </w:tblPr>
      <w:tblGrid>
        <w:gridCol w:w="1152"/>
        <w:gridCol w:w="1706"/>
        <w:gridCol w:w="1680"/>
        <w:gridCol w:w="3358"/>
        <w:gridCol w:w="1634"/>
      </w:tblGrid>
      <w:tr w14:paraId="46999D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tcBorders>
              <w:top w:val="nil"/>
              <w:left w:val="nil"/>
              <w:bottom w:val="nil"/>
              <w:right w:val="nil"/>
              <w:tl2br w:val="nil"/>
            </w:tcBorders>
            <w:shd w:val="clear" w:color="auto" w:fill="1E3A8A"/>
            <w:noWrap w:val="0"/>
            <w:tcMar>
              <w:top w:w="-1" w:type="dxa"/>
              <w:left w:w="-1" w:type="dxa"/>
              <w:bottom w:w="-1" w:type="dxa"/>
              <w:right w:w="-1" w:type="dxa"/>
            </w:tcMar>
            <w:vAlign w:val="center"/>
          </w:tcPr>
          <w:p w14:paraId="3CC13185">
            <w:pPr>
              <w:spacing w:before="0" w:after="0" w:line="240" w:lineRule="auto"/>
              <w:ind w:left="0" w:leftChars="0" w:right="0" w:rightChars="0" w:firstLine="0" w:firstLineChars="0"/>
              <w:jc w:val="center"/>
              <w:rPr>
                <w:rFonts w:hint="eastAsia" w:ascii="宋体" w:hAnsi="宋体" w:eastAsia="宋体" w:cs="宋体"/>
                <w:b/>
                <w:i w:val="0"/>
                <w:iCs w:val="0"/>
                <w:color w:val="FFFFFF"/>
                <w:sz w:val="24"/>
                <w:szCs w:val="24"/>
              </w:rPr>
            </w:pPr>
            <w:r>
              <w:rPr>
                <w:rFonts w:hint="eastAsia" w:ascii="宋体" w:hAnsi="宋体" w:eastAsia="宋体" w:cs="宋体"/>
                <w:b/>
                <w:i w:val="0"/>
                <w:iCs w:val="0"/>
                <w:color w:val="FFFFFF"/>
                <w:sz w:val="24"/>
                <w:szCs w:val="24"/>
                <w:lang w:val="en-US" w:eastAsia="zh-CN"/>
              </w:rPr>
              <w:t>经营单位</w:t>
            </w:r>
          </w:p>
        </w:tc>
        <w:tc>
          <w:tcPr>
            <w:tcW w:w="1706" w:type="dxa"/>
            <w:tcBorders>
              <w:top w:val="nil"/>
              <w:left w:val="nil"/>
              <w:bottom w:val="nil"/>
              <w:right w:val="nil"/>
            </w:tcBorders>
            <w:shd w:val="clear" w:color="auto" w:fill="1E3A8A"/>
            <w:noWrap w:val="0"/>
            <w:tcMar>
              <w:top w:w="-1" w:type="dxa"/>
              <w:left w:w="-1" w:type="dxa"/>
              <w:bottom w:w="-1" w:type="dxa"/>
              <w:right w:w="-1" w:type="dxa"/>
            </w:tcMar>
            <w:vAlign w:val="center"/>
          </w:tcPr>
          <w:p w14:paraId="5BE0912B">
            <w:pPr>
              <w:spacing w:before="0" w:after="0" w:line="240" w:lineRule="auto"/>
              <w:ind w:left="0" w:leftChars="0" w:right="0" w:rightChars="0" w:firstLine="0" w:firstLineChars="0"/>
              <w:jc w:val="center"/>
              <w:rPr>
                <w:rFonts w:hint="eastAsia" w:ascii="宋体" w:hAnsi="宋体" w:eastAsia="宋体" w:cs="宋体"/>
                <w:b/>
                <w:i w:val="0"/>
                <w:iCs w:val="0"/>
                <w:color w:val="FFFFFF"/>
                <w:sz w:val="24"/>
                <w:szCs w:val="24"/>
              </w:rPr>
            </w:pPr>
            <w:r>
              <w:rPr>
                <w:rFonts w:hint="eastAsia" w:ascii="宋体" w:hAnsi="宋体" w:eastAsia="宋体" w:cs="宋体"/>
                <w:b/>
                <w:i w:val="0"/>
                <w:iCs w:val="0"/>
                <w:color w:val="FFFFFF"/>
                <w:sz w:val="24"/>
                <w:szCs w:val="24"/>
                <w:lang w:val="en-US" w:eastAsia="zh-CN"/>
              </w:rPr>
              <w:t>原表二级单位</w:t>
            </w:r>
          </w:p>
        </w:tc>
        <w:tc>
          <w:tcPr>
            <w:tcW w:w="0" w:type="auto"/>
            <w:tcBorders>
              <w:top w:val="nil"/>
              <w:left w:val="nil"/>
              <w:bottom w:val="nil"/>
              <w:right w:val="nil"/>
            </w:tcBorders>
            <w:shd w:val="clear" w:color="auto" w:fill="1E3A8A"/>
            <w:noWrap w:val="0"/>
            <w:tcMar>
              <w:top w:w="-1" w:type="dxa"/>
              <w:left w:w="-1" w:type="dxa"/>
              <w:bottom w:w="-1" w:type="dxa"/>
              <w:right w:w="-1" w:type="dxa"/>
            </w:tcMar>
            <w:vAlign w:val="center"/>
          </w:tcPr>
          <w:p w14:paraId="0B995F58">
            <w:pPr>
              <w:spacing w:before="0" w:after="0" w:line="240" w:lineRule="auto"/>
              <w:ind w:left="0" w:leftChars="0" w:right="0" w:rightChars="0" w:firstLine="0" w:firstLineChars="0"/>
              <w:jc w:val="center"/>
              <w:rPr>
                <w:rFonts w:hint="eastAsia" w:ascii="宋体" w:hAnsi="宋体" w:eastAsia="宋体" w:cs="宋体"/>
                <w:b/>
                <w:i w:val="0"/>
                <w:iCs w:val="0"/>
                <w:color w:val="FFFFFF"/>
                <w:sz w:val="24"/>
                <w:szCs w:val="24"/>
              </w:rPr>
            </w:pPr>
            <w:r>
              <w:rPr>
                <w:rFonts w:hint="eastAsia" w:ascii="宋体" w:hAnsi="宋体" w:eastAsia="宋体" w:cs="宋体"/>
                <w:b/>
                <w:i w:val="0"/>
                <w:iCs w:val="0"/>
                <w:color w:val="FFFFFF"/>
                <w:sz w:val="24"/>
                <w:szCs w:val="24"/>
                <w:lang w:val="en-US" w:eastAsia="zh-CN"/>
              </w:rPr>
              <w:t>原表主要产品</w:t>
            </w:r>
          </w:p>
        </w:tc>
        <w:tc>
          <w:tcPr>
            <w:tcW w:w="3358" w:type="dxa"/>
            <w:tcBorders>
              <w:top w:val="nil"/>
              <w:left w:val="nil"/>
              <w:bottom w:val="nil"/>
              <w:right w:val="nil"/>
            </w:tcBorders>
            <w:shd w:val="clear" w:color="auto" w:fill="1E3A8A"/>
            <w:noWrap w:val="0"/>
            <w:tcMar>
              <w:top w:w="-1" w:type="dxa"/>
              <w:left w:w="-1" w:type="dxa"/>
              <w:bottom w:w="-1" w:type="dxa"/>
              <w:right w:w="-1" w:type="dxa"/>
            </w:tcMar>
            <w:vAlign w:val="center"/>
          </w:tcPr>
          <w:p w14:paraId="20CC4179">
            <w:pPr>
              <w:spacing w:before="0" w:after="0" w:line="240" w:lineRule="auto"/>
              <w:ind w:left="0" w:leftChars="0" w:right="0" w:rightChars="0" w:firstLine="0" w:firstLineChars="0"/>
              <w:jc w:val="center"/>
              <w:rPr>
                <w:rFonts w:hint="eastAsia" w:ascii="宋体" w:hAnsi="宋体" w:eastAsia="宋体" w:cs="宋体"/>
                <w:b/>
                <w:i w:val="0"/>
                <w:iCs w:val="0"/>
                <w:color w:val="FFFFFF"/>
                <w:sz w:val="24"/>
                <w:szCs w:val="24"/>
              </w:rPr>
            </w:pPr>
            <w:r>
              <w:rPr>
                <w:rFonts w:hint="eastAsia" w:ascii="宋体" w:hAnsi="宋体" w:eastAsia="宋体" w:cs="宋体"/>
                <w:b/>
                <w:i w:val="0"/>
                <w:iCs w:val="0"/>
                <w:color w:val="FFFFFF"/>
                <w:sz w:val="24"/>
                <w:szCs w:val="24"/>
                <w:lang w:val="en-US" w:eastAsia="zh-CN"/>
              </w:rPr>
              <w:t>原表关键工序</w:t>
            </w:r>
          </w:p>
        </w:tc>
        <w:tc>
          <w:tcPr>
            <w:tcW w:w="1634" w:type="dxa"/>
            <w:tcBorders>
              <w:top w:val="nil"/>
              <w:left w:val="nil"/>
              <w:bottom w:val="nil"/>
              <w:right w:val="nil"/>
            </w:tcBorders>
            <w:shd w:val="clear" w:color="auto" w:fill="1E3A8A"/>
            <w:noWrap w:val="0"/>
            <w:tcMar>
              <w:top w:w="-1" w:type="dxa"/>
              <w:left w:w="-1" w:type="dxa"/>
              <w:bottom w:w="-1" w:type="dxa"/>
              <w:right w:w="-1" w:type="dxa"/>
            </w:tcMar>
            <w:vAlign w:val="center"/>
          </w:tcPr>
          <w:p w14:paraId="57CD1618">
            <w:pPr>
              <w:spacing w:before="0" w:after="0" w:line="240" w:lineRule="auto"/>
              <w:ind w:left="0" w:leftChars="0" w:right="0" w:rightChars="0" w:firstLine="0" w:firstLineChars="0"/>
              <w:jc w:val="center"/>
              <w:rPr>
                <w:rFonts w:hint="eastAsia" w:ascii="宋体" w:hAnsi="宋体" w:eastAsia="宋体" w:cs="宋体"/>
                <w:b/>
                <w:i w:val="0"/>
                <w:iCs w:val="0"/>
                <w:color w:val="FFFFFF"/>
                <w:sz w:val="24"/>
                <w:szCs w:val="24"/>
              </w:rPr>
            </w:pPr>
            <w:r>
              <w:rPr>
                <w:rFonts w:hint="eastAsia" w:ascii="宋体" w:hAnsi="宋体" w:eastAsia="宋体" w:cs="宋体"/>
                <w:b/>
                <w:i w:val="0"/>
                <w:iCs w:val="0"/>
                <w:color w:val="FFFFFF"/>
                <w:sz w:val="24"/>
                <w:szCs w:val="24"/>
                <w:lang w:val="en-US" w:eastAsia="zh-CN"/>
              </w:rPr>
              <w:t>主要消耗能源</w:t>
            </w:r>
          </w:p>
        </w:tc>
      </w:tr>
      <w:tr w14:paraId="1D4F24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restart"/>
            <w:tcBorders>
              <w:top w:val="nil"/>
              <w:left w:val="nil"/>
              <w:bottom w:val="nil"/>
              <w:right w:val="nil"/>
            </w:tcBorders>
            <w:shd w:val="clear" w:color="auto" w:fill="FFFFFF"/>
            <w:noWrap w:val="0"/>
            <w:tcMar>
              <w:top w:w="-1" w:type="dxa"/>
              <w:left w:w="-1" w:type="dxa"/>
              <w:bottom w:w="-1" w:type="dxa"/>
              <w:right w:w="-1" w:type="dxa"/>
            </w:tcMar>
            <w:vAlign w:val="center"/>
          </w:tcPr>
          <w:p w14:paraId="4596E1C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沈变公司</w:t>
            </w: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7838A28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沈变本部</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1BED07D">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变压器-高压</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6F14B75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①高压-干燥 ②试验</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1336E3D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03EA2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22B1A655">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941C711">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和新套管公司</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D9F38A1">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套管</w:t>
            </w: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448505B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①套管-干燥</w:t>
            </w: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081062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4BA71F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788172BD">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070B364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康嘉互感器</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74340A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互感器</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64EC94F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①互感器-干燥 ②试验</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07099F1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685F7A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0537A95">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F87523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智慧能源</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AEF4E4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4F6899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20064B8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71918A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0AE187A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2780EA1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印能公司</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696D51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6C616ED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11D26AB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1A6218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F798DD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43AD1B1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露娜公司</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D390A2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8D8DEC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1F7DAA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63FFC8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restart"/>
            <w:tcBorders>
              <w:top w:val="nil"/>
              <w:left w:val="nil"/>
              <w:bottom w:val="nil"/>
              <w:right w:val="nil"/>
            </w:tcBorders>
            <w:shd w:val="clear" w:color="auto" w:fill="FFFFFF"/>
            <w:noWrap w:val="0"/>
            <w:tcMar>
              <w:top w:w="-1" w:type="dxa"/>
              <w:left w:w="-1" w:type="dxa"/>
              <w:bottom w:w="-1" w:type="dxa"/>
              <w:right w:w="-1" w:type="dxa"/>
            </w:tcMar>
            <w:vAlign w:val="center"/>
          </w:tcPr>
          <w:p w14:paraId="242F099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衡变公司</w:t>
            </w: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60C2C53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衡变本部</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BAAD16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变压器-高压</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11D9117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①高压-干燥 ②试验</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004C760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5948E4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BE7E40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F8E70C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湖南电气</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F6915B8">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变压器-高压</w:t>
            </w: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2FB0B3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①高压-干燥 ②试验</w:t>
            </w: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1F09A6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5B3012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789C917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4438236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特能建</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42B8D5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变压器-高压</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7F4EA66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①高压-干燥 ②试验</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4569A76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470034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DCD4F7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223E03C8">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云集电气</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49098A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中低压开关柜</w:t>
            </w: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A035DFB">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①钣金加工 ②钣金喷涂</w:t>
            </w: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F36E9D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616CA7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3BFDA98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483F31F5">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新疆自控</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9D1025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中低压开关柜</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0972217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①钣金加工 ②钣金喷涂</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7155930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48746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E9BB44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C9207ED">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云集高压开关</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262206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GIS</w:t>
            </w: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219BB8C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①抽真空 ②干燥 ③耐压 ④恒温</w:t>
            </w: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59308E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4813AA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7475448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4107AA7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合容电气股份</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C9C096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干式电抗器</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0798EB7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①固化 ②试验</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69CDA50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0D518D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0CE661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4A1ADD4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合容电力设备</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8BE0215">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电容器</w:t>
            </w: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9C8DBD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①卷绕 ②浸渍 ③喷漆 ④试验</w:t>
            </w: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2761B86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5AB5DB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4B572E9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20475F3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赛杰爱迪</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1A8863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GIL</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61CDDCB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①螺旋焊管 ②绝缘子 ③测试</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24A386F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358149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1A21B8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F814D91">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南京电研</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92302C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A81820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911B8D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2A2D44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452AA12B">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02CE5C5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上开</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2BAA0A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5FC575F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7E7EDAD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5B6154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865A50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786F72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柯贝尔</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6ABC23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43244CD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05939B1">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27E793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restart"/>
            <w:tcBorders>
              <w:top w:val="nil"/>
              <w:left w:val="nil"/>
              <w:bottom w:val="nil"/>
              <w:right w:val="nil"/>
            </w:tcBorders>
            <w:shd w:val="clear" w:color="auto" w:fill="FFFFFF"/>
            <w:noWrap w:val="0"/>
            <w:tcMar>
              <w:top w:w="-1" w:type="dxa"/>
              <w:left w:w="-1" w:type="dxa"/>
              <w:bottom w:w="-1" w:type="dxa"/>
              <w:right w:w="-1" w:type="dxa"/>
            </w:tcMar>
            <w:vAlign w:val="center"/>
          </w:tcPr>
          <w:p w14:paraId="489F5A2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新变厂</w:t>
            </w: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1143DE3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超高压公司</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B6CF46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变压器-高压</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5E57367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①高压-干燥 ②试验</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4D938C5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10F222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0A54EB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82BA84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天变公司</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2F6B5E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变压器-干变</w:t>
            </w: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0247D3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①固化 ②试验</w:t>
            </w: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920639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3BB84F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1EE7F5E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139D530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智能电气公司</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BFC048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变压器-干变</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5A0416C5">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①固化 ②试验</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1E9707E5">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68DFBC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C3BCA28">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4008E62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京津冀公司</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CBC816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变压器-油变</w:t>
            </w: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2FE0C3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①干燥 ②试验</w:t>
            </w: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DB33D95">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1FFEA4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6452342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0FAA143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珠峰硅钢</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3FA2BA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变压器-铁芯</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0EF3AE7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①退火 ②纵剪 ③叠装 ④大叠装</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3767E29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2966A7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226323A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DAC26B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智慧能源</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2F0B61A5">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4FE55AB1">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8DB402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1931D7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418CB05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4D41603B">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银利电气</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FE312A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695BD25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3E0B2FA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4361EC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restart"/>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62430F8">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鲁缆公司</w:t>
            </w: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0911B7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鲁缆本部</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072EDC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线缆-高/中低压</w:t>
            </w: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264EE2F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①拉丝 ②交联(中低) ③交联(高压)</w:t>
            </w: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A641F9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4E28B4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1FC41C2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347A0EA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智缆公司</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446393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4313DAE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30327B3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0B59FC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FE3DE0D">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D42EF48">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昭和公司</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319638B">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40F284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702107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33BF8A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43D4997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64AE1FA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曙光公司</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22F79C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线缆-特种电缆</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4E956CF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(原表工序待定)</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4648D54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705782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restart"/>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4075A87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新缆厂</w:t>
            </w: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854D36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新疆电缆有限公司</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4CE74FA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线缆-中低压</w:t>
            </w: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A1B0538">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①拉丝 ②交联（干法）</w:t>
            </w: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C300F5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电力、氮气</w:t>
            </w:r>
          </w:p>
        </w:tc>
      </w:tr>
      <w:tr w14:paraId="25F2D0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563A9701">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0AB9566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新疆线缆厂</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64959B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线缆-中低压</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6C6C0B9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①拉丝 ②交联（干法）</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310E9EE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电力、氮气</w:t>
            </w:r>
          </w:p>
        </w:tc>
      </w:tr>
      <w:tr w14:paraId="527542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tcBorders>
              <w:top w:val="nil"/>
              <w:left w:val="nil"/>
              <w:bottom w:val="single" w:color="4874CB" w:themeColor="accent1" w:sz="6" w:space="0"/>
              <w:right w:val="nil"/>
            </w:tcBorders>
            <w:shd w:val="clear" w:color="auto" w:fill="EDF1F9" w:themeFill="accent1" w:themeFillTint="19"/>
            <w:noWrap w:val="0"/>
            <w:tcMar>
              <w:top w:w="-1" w:type="dxa"/>
              <w:left w:w="-1" w:type="dxa"/>
              <w:bottom w:w="-1" w:type="dxa"/>
              <w:right w:w="-1" w:type="dxa"/>
            </w:tcMar>
            <w:vAlign w:val="center"/>
          </w:tcPr>
          <w:p w14:paraId="75F5654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德缆公司</w:t>
            </w:r>
          </w:p>
        </w:tc>
        <w:tc>
          <w:tcPr>
            <w:tcW w:w="1706" w:type="dxa"/>
            <w:tcBorders>
              <w:top w:val="nil"/>
              <w:left w:val="nil"/>
              <w:bottom w:val="single" w:color="4874CB" w:themeColor="accent1" w:sz="6" w:space="0"/>
              <w:right w:val="nil"/>
            </w:tcBorders>
            <w:shd w:val="clear" w:color="auto" w:fill="EDF1F9" w:themeFill="accent1" w:themeFillTint="19"/>
            <w:noWrap w:val="0"/>
            <w:tcMar>
              <w:top w:w="-1" w:type="dxa"/>
              <w:left w:w="-1" w:type="dxa"/>
              <w:bottom w:w="-1" w:type="dxa"/>
              <w:right w:w="-1" w:type="dxa"/>
            </w:tcMar>
            <w:vAlign w:val="center"/>
          </w:tcPr>
          <w:p w14:paraId="3C83290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德缆股份有限公司</w:t>
            </w:r>
          </w:p>
        </w:tc>
        <w:tc>
          <w:tcPr>
            <w:tcW w:w="1680" w:type="dxa"/>
            <w:tcBorders>
              <w:top w:val="nil"/>
              <w:left w:val="nil"/>
              <w:bottom w:val="single" w:color="4874CB" w:themeColor="accent1" w:sz="6" w:space="0"/>
              <w:right w:val="nil"/>
            </w:tcBorders>
            <w:shd w:val="clear" w:color="auto" w:fill="EDF1F9" w:themeFill="accent1" w:themeFillTint="19"/>
            <w:noWrap w:val="0"/>
            <w:tcMar>
              <w:top w:w="-1" w:type="dxa"/>
              <w:left w:w="-1" w:type="dxa"/>
              <w:bottom w:w="-1" w:type="dxa"/>
              <w:right w:w="-1" w:type="dxa"/>
            </w:tcMar>
            <w:vAlign w:val="center"/>
          </w:tcPr>
          <w:p w14:paraId="68D7922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线缆-中低压</w:t>
            </w:r>
          </w:p>
        </w:tc>
        <w:tc>
          <w:tcPr>
            <w:tcW w:w="3358" w:type="dxa"/>
            <w:tcBorders>
              <w:top w:val="nil"/>
              <w:left w:val="nil"/>
              <w:bottom w:val="single" w:color="4874CB" w:themeColor="accent1" w:sz="6" w:space="0"/>
              <w:right w:val="nil"/>
            </w:tcBorders>
            <w:shd w:val="clear" w:color="auto" w:fill="EDF1F9" w:themeFill="accent1" w:themeFillTint="19"/>
            <w:noWrap w:val="0"/>
            <w:tcMar>
              <w:top w:w="-1" w:type="dxa"/>
              <w:left w:w="-1" w:type="dxa"/>
              <w:bottom w:w="-1" w:type="dxa"/>
              <w:right w:w="-1" w:type="dxa"/>
            </w:tcMar>
            <w:vAlign w:val="center"/>
          </w:tcPr>
          <w:p w14:paraId="3557F7F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①拉丝 ②交联（干法）</w:t>
            </w:r>
          </w:p>
        </w:tc>
        <w:tc>
          <w:tcPr>
            <w:tcW w:w="1634" w:type="dxa"/>
            <w:tcBorders>
              <w:top w:val="nil"/>
              <w:left w:val="nil"/>
              <w:bottom w:val="single" w:color="4874CB" w:themeColor="accent1" w:sz="6" w:space="0"/>
              <w:right w:val="nil"/>
            </w:tcBorders>
            <w:shd w:val="clear" w:color="auto" w:fill="EDF1F9" w:themeFill="accent1" w:themeFillTint="19"/>
            <w:noWrap w:val="0"/>
            <w:tcMar>
              <w:top w:w="-1" w:type="dxa"/>
              <w:left w:w="-1" w:type="dxa"/>
              <w:bottom w:w="-1" w:type="dxa"/>
              <w:right w:w="-1" w:type="dxa"/>
            </w:tcMar>
            <w:vAlign w:val="center"/>
          </w:tcPr>
          <w:p w14:paraId="186908D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电力、氮气</w:t>
            </w:r>
          </w:p>
        </w:tc>
      </w:tr>
    </w:tbl>
    <w:p w14:paraId="4DC45A5B">
      <w:pPr>
        <w:spacing w:after="60"/>
        <w:rPr>
          <w:rFonts w:hint="eastAsia" w:ascii="宋体" w:hAnsi="宋体" w:eastAsia="宋体" w:cs="宋体"/>
          <w:i w:val="0"/>
          <w:iCs w:val="0"/>
          <w:sz w:val="24"/>
          <w:szCs w:val="24"/>
        </w:rPr>
      </w:pPr>
    </w:p>
    <w:p w14:paraId="4EACE71A">
      <w:pPr>
        <w:pStyle w:val="37"/>
        <w:widowControl/>
        <w:outlineLvl w:val="0"/>
        <w:rPr>
          <w:rFonts w:hint="eastAsia" w:ascii="宋体" w:hAnsi="宋体" w:eastAsia="宋体" w:cs="宋体"/>
          <w:i w:val="0"/>
          <w:iCs w:val="0"/>
          <w:sz w:val="24"/>
          <w:szCs w:val="24"/>
        </w:rPr>
      </w:pPr>
      <w:bookmarkStart w:id="98" w:name="_Toc15759"/>
      <w:r>
        <w:rPr>
          <w:rFonts w:ascii="Times New Roman" w:hAnsi="Times New Roman" w:eastAsia="黑体" w:cs="Times New Roman"/>
          <w:b w:val="0"/>
          <w:bCs w:val="0"/>
          <w:sz w:val="36"/>
          <w:szCs w:val="24"/>
        </w:rPr>
        <w:t>附录 D：园区组织结构树</w:t>
      </w:r>
      <w:bookmarkEnd w:id="98"/>
    </w:p>
    <w:tbl>
      <w:tblPr>
        <w:tblStyle w:val="38"/>
        <w:tblW w:w="978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Layout w:type="autofit"/>
        <w:tblCellMar>
          <w:top w:w="0" w:type="dxa"/>
          <w:left w:w="0" w:type="dxa"/>
          <w:bottom w:w="0" w:type="dxa"/>
          <w:right w:w="0" w:type="dxa"/>
        </w:tblCellMar>
      </w:tblPr>
      <w:tblGrid>
        <w:gridCol w:w="646"/>
        <w:gridCol w:w="3111"/>
        <w:gridCol w:w="3426"/>
        <w:gridCol w:w="2601"/>
      </w:tblGrid>
      <w:tr w14:paraId="71C6CC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1E3A8A"/>
            <w:noWrap w:val="0"/>
            <w:tcMar>
              <w:top w:w="-1" w:type="dxa"/>
              <w:left w:w="-1" w:type="dxa"/>
              <w:bottom w:w="-1" w:type="dxa"/>
              <w:right w:w="-1" w:type="dxa"/>
            </w:tcMar>
            <w:vAlign w:val="center"/>
          </w:tcPr>
          <w:p w14:paraId="27ADE6BF">
            <w:pPr>
              <w:snapToGrid w:val="0"/>
              <w:spacing w:line="240" w:lineRule="auto"/>
              <w:ind w:left="0" w:leftChars="0" w:right="0" w:rightChars="0" w:firstLine="0" w:firstLineChars="0"/>
              <w:jc w:val="center"/>
              <w:rPr>
                <w:rFonts w:hint="eastAsia" w:ascii="宋体" w:hAnsi="宋体" w:eastAsia="宋体" w:cs="宋体"/>
                <w:b/>
                <w:bCs/>
                <w:i w:val="0"/>
                <w:iCs w:val="0"/>
                <w:color w:val="FFFFFF"/>
                <w:sz w:val="24"/>
                <w:szCs w:val="24"/>
                <w:lang w:val="en-US" w:eastAsia="zh-CN"/>
              </w:rPr>
            </w:pPr>
            <w:r>
              <w:rPr>
                <w:rFonts w:hint="eastAsia" w:ascii="宋体" w:hAnsi="宋体" w:eastAsia="宋体" w:cs="宋体"/>
                <w:b/>
                <w:bCs/>
                <w:i w:val="0"/>
                <w:iCs w:val="0"/>
                <w:color w:val="FFFFFF"/>
                <w:sz w:val="24"/>
                <w:szCs w:val="24"/>
                <w:lang w:val="en-US" w:eastAsia="zh-CN"/>
              </w:rPr>
              <w:t>序号</w:t>
            </w:r>
          </w:p>
        </w:tc>
        <w:tc>
          <w:tcPr>
            <w:tcW w:w="3111" w:type="dxa"/>
            <w:tcBorders>
              <w:tl2br w:val="nil"/>
              <w:tr2bl w:val="nil"/>
            </w:tcBorders>
            <w:shd w:val="clear" w:color="auto" w:fill="1E3A8A"/>
            <w:noWrap w:val="0"/>
            <w:tcMar>
              <w:top w:w="-1" w:type="dxa"/>
              <w:left w:w="-1" w:type="dxa"/>
              <w:bottom w:w="-1" w:type="dxa"/>
              <w:right w:w="-1" w:type="dxa"/>
            </w:tcMar>
            <w:vAlign w:val="center"/>
          </w:tcPr>
          <w:p w14:paraId="2ECED488">
            <w:pPr>
              <w:snapToGrid w:val="0"/>
              <w:spacing w:line="240" w:lineRule="auto"/>
              <w:ind w:left="0" w:leftChars="0" w:right="0" w:rightChars="0" w:firstLine="0" w:firstLineChars="0"/>
              <w:jc w:val="center"/>
              <w:rPr>
                <w:rFonts w:hint="eastAsia" w:ascii="宋体" w:hAnsi="宋体" w:eastAsia="宋体" w:cs="宋体"/>
                <w:b/>
                <w:bCs/>
                <w:i w:val="0"/>
                <w:iCs w:val="0"/>
                <w:color w:val="FFFFFF"/>
                <w:sz w:val="24"/>
                <w:szCs w:val="24"/>
                <w:lang w:val="en-US" w:eastAsia="zh-CN"/>
              </w:rPr>
            </w:pPr>
            <w:r>
              <w:rPr>
                <w:rFonts w:hint="eastAsia" w:ascii="宋体" w:hAnsi="宋体" w:eastAsia="宋体" w:cs="宋体"/>
                <w:b/>
                <w:bCs/>
                <w:i w:val="0"/>
                <w:iCs w:val="0"/>
                <w:color w:val="FFFFFF"/>
                <w:sz w:val="24"/>
                <w:szCs w:val="24"/>
                <w:lang w:val="en-US" w:eastAsia="zh-CN"/>
              </w:rPr>
              <w:t>零碳产业园区全称</w:t>
            </w:r>
          </w:p>
        </w:tc>
        <w:tc>
          <w:tcPr>
            <w:tcW w:w="3426" w:type="dxa"/>
            <w:tcBorders>
              <w:tl2br w:val="nil"/>
              <w:tr2bl w:val="nil"/>
            </w:tcBorders>
            <w:shd w:val="clear" w:color="auto" w:fill="1E3A8A"/>
            <w:noWrap w:val="0"/>
            <w:tcMar>
              <w:top w:w="-1" w:type="dxa"/>
              <w:left w:w="-1" w:type="dxa"/>
              <w:bottom w:w="-1" w:type="dxa"/>
              <w:right w:w="-1" w:type="dxa"/>
            </w:tcMar>
            <w:vAlign w:val="center"/>
          </w:tcPr>
          <w:p w14:paraId="56F8D533">
            <w:pPr>
              <w:snapToGrid w:val="0"/>
              <w:spacing w:line="240" w:lineRule="auto"/>
              <w:ind w:left="0" w:leftChars="0" w:right="0" w:rightChars="0" w:firstLine="0" w:firstLineChars="0"/>
              <w:jc w:val="center"/>
              <w:rPr>
                <w:rFonts w:hint="eastAsia" w:ascii="宋体" w:hAnsi="宋体" w:eastAsia="宋体" w:cs="宋体"/>
                <w:b/>
                <w:i w:val="0"/>
                <w:iCs w:val="0"/>
                <w:color w:val="FFFFFF"/>
                <w:sz w:val="24"/>
                <w:szCs w:val="24"/>
                <w:lang w:val="en-US" w:eastAsia="zh-CN"/>
              </w:rPr>
            </w:pPr>
            <w:r>
              <w:rPr>
                <w:rFonts w:hint="eastAsia" w:ascii="宋体" w:hAnsi="宋体" w:eastAsia="宋体" w:cs="宋体"/>
                <w:b/>
                <w:i w:val="0"/>
                <w:iCs w:val="0"/>
                <w:color w:val="FFFFFF"/>
                <w:sz w:val="24"/>
                <w:szCs w:val="24"/>
                <w:lang w:val="en-US" w:eastAsia="zh-CN"/>
              </w:rPr>
              <w:t>纳管直属二级工厂/车间</w:t>
            </w:r>
          </w:p>
        </w:tc>
        <w:tc>
          <w:tcPr>
            <w:tcW w:w="2601" w:type="dxa"/>
            <w:tcBorders>
              <w:tl2br w:val="nil"/>
              <w:tr2bl w:val="nil"/>
            </w:tcBorders>
            <w:shd w:val="clear" w:color="auto" w:fill="1E3A8A"/>
            <w:noWrap w:val="0"/>
            <w:tcMar>
              <w:top w:w="-1" w:type="dxa"/>
              <w:left w:w="-1" w:type="dxa"/>
              <w:bottom w:w="-1" w:type="dxa"/>
              <w:right w:w="-1" w:type="dxa"/>
            </w:tcMar>
            <w:vAlign w:val="center"/>
          </w:tcPr>
          <w:p w14:paraId="7B5E5B3D">
            <w:pPr>
              <w:snapToGrid w:val="0"/>
              <w:spacing w:line="240" w:lineRule="auto"/>
              <w:ind w:left="0" w:leftChars="0" w:right="0" w:rightChars="0" w:firstLine="0" w:firstLineChars="0"/>
              <w:jc w:val="center"/>
              <w:rPr>
                <w:rFonts w:hint="eastAsia" w:ascii="宋体" w:hAnsi="宋体" w:eastAsia="宋体" w:cs="宋体"/>
                <w:b/>
                <w:i w:val="0"/>
                <w:iCs w:val="0"/>
                <w:color w:val="FFFFFF"/>
                <w:sz w:val="24"/>
                <w:szCs w:val="24"/>
                <w:lang w:val="en-US" w:eastAsia="zh-CN"/>
              </w:rPr>
            </w:pPr>
            <w:r>
              <w:rPr>
                <w:rFonts w:hint="eastAsia" w:ascii="宋体" w:hAnsi="宋体" w:eastAsia="宋体" w:cs="宋体"/>
                <w:b/>
                <w:i w:val="0"/>
                <w:iCs w:val="0"/>
                <w:color w:val="FFFFFF"/>
                <w:sz w:val="24"/>
                <w:szCs w:val="24"/>
                <w:lang w:val="en-US" w:eastAsia="zh-CN"/>
              </w:rPr>
              <w:t>三级细分</w:t>
            </w:r>
          </w:p>
        </w:tc>
      </w:tr>
      <w:tr w14:paraId="042F2A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FFFFFF"/>
            <w:noWrap w:val="0"/>
            <w:tcMar>
              <w:top w:w="-1" w:type="dxa"/>
              <w:left w:w="-1" w:type="dxa"/>
              <w:bottom w:w="-1" w:type="dxa"/>
              <w:right w:w="-1" w:type="dxa"/>
            </w:tcMar>
            <w:vAlign w:val="center"/>
          </w:tcPr>
          <w:p w14:paraId="02F8E3DE">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1</w:t>
            </w:r>
          </w:p>
        </w:tc>
        <w:tc>
          <w:tcPr>
            <w:tcW w:w="3111" w:type="dxa"/>
            <w:tcBorders>
              <w:tl2br w:val="nil"/>
              <w:tr2bl w:val="nil"/>
            </w:tcBorders>
            <w:shd w:val="clear" w:color="auto" w:fill="FFFFFF"/>
            <w:noWrap w:val="0"/>
            <w:tcMar>
              <w:top w:w="-1" w:type="dxa"/>
              <w:left w:w="-1" w:type="dxa"/>
              <w:bottom w:w="-1" w:type="dxa"/>
              <w:right w:w="-1" w:type="dxa"/>
            </w:tcMar>
            <w:vAlign w:val="center"/>
          </w:tcPr>
          <w:p w14:paraId="2CD881F8">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特变电工东北输变电产业园</w:t>
            </w:r>
          </w:p>
        </w:tc>
        <w:tc>
          <w:tcPr>
            <w:tcW w:w="3426" w:type="dxa"/>
            <w:tcBorders>
              <w:tl2br w:val="nil"/>
              <w:tr2bl w:val="nil"/>
            </w:tcBorders>
            <w:shd w:val="clear" w:color="auto" w:fill="FFFFFF"/>
            <w:noWrap w:val="0"/>
            <w:tcMar>
              <w:top w:w="-1" w:type="dxa"/>
              <w:left w:w="-1" w:type="dxa"/>
              <w:bottom w:w="-1" w:type="dxa"/>
              <w:right w:w="-1" w:type="dxa"/>
            </w:tcMar>
            <w:vAlign w:val="center"/>
          </w:tcPr>
          <w:p w14:paraId="1797B7E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沈变本部</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② 智慧能源 (沈变)</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③ 和新套管公司</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④ 康嘉互感器</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⑤ 印能公司</w:t>
            </w:r>
          </w:p>
        </w:tc>
        <w:tc>
          <w:tcPr>
            <w:tcW w:w="2601" w:type="dxa"/>
            <w:tcBorders>
              <w:tl2br w:val="nil"/>
              <w:tr2bl w:val="nil"/>
            </w:tcBorders>
            <w:shd w:val="clear" w:color="auto" w:fill="FFFFFF"/>
            <w:noWrap w:val="0"/>
            <w:tcMar>
              <w:top w:w="-1" w:type="dxa"/>
              <w:left w:w="-1" w:type="dxa"/>
              <w:bottom w:w="-1" w:type="dxa"/>
              <w:right w:w="-1" w:type="dxa"/>
            </w:tcMar>
            <w:vAlign w:val="center"/>
          </w:tcPr>
          <w:p w14:paraId="440DA60B">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177495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EDF1F9" w:themeFill="accent1" w:themeFillTint="19"/>
            <w:noWrap w:val="0"/>
            <w:tcMar>
              <w:top w:w="-1" w:type="dxa"/>
              <w:left w:w="-1" w:type="dxa"/>
              <w:bottom w:w="-1" w:type="dxa"/>
              <w:right w:w="-1" w:type="dxa"/>
            </w:tcMar>
            <w:vAlign w:val="center"/>
          </w:tcPr>
          <w:p w14:paraId="5D9970D6">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2</w:t>
            </w:r>
          </w:p>
        </w:tc>
        <w:tc>
          <w:tcPr>
            <w:tcW w:w="3111" w:type="dxa"/>
            <w:tcBorders>
              <w:tl2br w:val="nil"/>
              <w:tr2bl w:val="nil"/>
            </w:tcBorders>
            <w:shd w:val="clear" w:color="auto" w:fill="EDF1F9" w:themeFill="accent1" w:themeFillTint="19"/>
            <w:noWrap w:val="0"/>
            <w:tcMar>
              <w:top w:w="-1" w:type="dxa"/>
              <w:left w:w="-1" w:type="dxa"/>
              <w:bottom w:w="-1" w:type="dxa"/>
              <w:right w:w="-1" w:type="dxa"/>
            </w:tcMar>
            <w:vAlign w:val="center"/>
          </w:tcPr>
          <w:p w14:paraId="0FA39EB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特变电工南方输变电产业园</w:t>
            </w:r>
          </w:p>
        </w:tc>
        <w:tc>
          <w:tcPr>
            <w:tcW w:w="3426" w:type="dxa"/>
            <w:tcBorders>
              <w:tl2br w:val="nil"/>
              <w:tr2bl w:val="nil"/>
            </w:tcBorders>
            <w:shd w:val="clear" w:color="auto" w:fill="EDF1F9" w:themeFill="accent1" w:themeFillTint="19"/>
            <w:noWrap w:val="0"/>
            <w:tcMar>
              <w:top w:w="-1" w:type="dxa"/>
              <w:left w:w="-1" w:type="dxa"/>
              <w:bottom w:w="-1" w:type="dxa"/>
              <w:right w:w="-1" w:type="dxa"/>
            </w:tcMar>
            <w:vAlign w:val="center"/>
          </w:tcPr>
          <w:p w14:paraId="376675A8">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衡变本部</w:t>
            </w:r>
          </w:p>
        </w:tc>
        <w:tc>
          <w:tcPr>
            <w:tcW w:w="2601" w:type="dxa"/>
            <w:tcBorders>
              <w:tl2br w:val="nil"/>
              <w:tr2bl w:val="nil"/>
            </w:tcBorders>
            <w:shd w:val="clear" w:color="auto" w:fill="EDF1F9" w:themeFill="accent1" w:themeFillTint="19"/>
            <w:noWrap w:val="0"/>
            <w:tcMar>
              <w:top w:w="-1" w:type="dxa"/>
              <w:left w:w="-1" w:type="dxa"/>
              <w:bottom w:w="-1" w:type="dxa"/>
              <w:right w:w="-1" w:type="dxa"/>
            </w:tcMar>
            <w:vAlign w:val="center"/>
          </w:tcPr>
          <w:p w14:paraId="3C86873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4FC786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FFFFFF"/>
            <w:noWrap w:val="0"/>
            <w:tcMar>
              <w:top w:w="-1" w:type="dxa"/>
              <w:left w:w="-1" w:type="dxa"/>
              <w:bottom w:w="-1" w:type="dxa"/>
              <w:right w:w="-1" w:type="dxa"/>
            </w:tcMar>
            <w:vAlign w:val="center"/>
          </w:tcPr>
          <w:p w14:paraId="36F8B0E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3</w:t>
            </w:r>
          </w:p>
        </w:tc>
        <w:tc>
          <w:tcPr>
            <w:tcW w:w="3111" w:type="dxa"/>
            <w:tcBorders>
              <w:tl2br w:val="nil"/>
              <w:tr2bl w:val="nil"/>
            </w:tcBorders>
            <w:shd w:val="clear" w:color="auto" w:fill="FFFFFF"/>
            <w:noWrap w:val="0"/>
            <w:tcMar>
              <w:top w:w="-1" w:type="dxa"/>
              <w:left w:w="-1" w:type="dxa"/>
              <w:bottom w:w="-1" w:type="dxa"/>
              <w:right w:w="-1" w:type="dxa"/>
            </w:tcMar>
            <w:vAlign w:val="center"/>
          </w:tcPr>
          <w:p w14:paraId="587BEDEB">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特变电工二次产业园区</w:t>
            </w:r>
          </w:p>
        </w:tc>
        <w:tc>
          <w:tcPr>
            <w:tcW w:w="3426" w:type="dxa"/>
            <w:tcBorders>
              <w:tl2br w:val="nil"/>
              <w:tr2bl w:val="nil"/>
            </w:tcBorders>
            <w:shd w:val="clear" w:color="auto" w:fill="FFFFFF"/>
            <w:noWrap w:val="0"/>
            <w:tcMar>
              <w:top w:w="-1" w:type="dxa"/>
              <w:left w:w="-1" w:type="dxa"/>
              <w:bottom w:w="-1" w:type="dxa"/>
              <w:right w:w="-1" w:type="dxa"/>
            </w:tcMar>
            <w:vAlign w:val="center"/>
          </w:tcPr>
          <w:p w14:paraId="4DD51296">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南京电研</w:t>
            </w:r>
          </w:p>
        </w:tc>
        <w:tc>
          <w:tcPr>
            <w:tcW w:w="2601" w:type="dxa"/>
            <w:tcBorders>
              <w:tl2br w:val="nil"/>
              <w:tr2bl w:val="nil"/>
            </w:tcBorders>
            <w:shd w:val="clear" w:color="auto" w:fill="FFFFFF"/>
            <w:noWrap w:val="0"/>
            <w:tcMar>
              <w:top w:w="-1" w:type="dxa"/>
              <w:left w:w="-1" w:type="dxa"/>
              <w:bottom w:w="-1" w:type="dxa"/>
              <w:right w:w="-1" w:type="dxa"/>
            </w:tcMar>
            <w:vAlign w:val="center"/>
          </w:tcPr>
          <w:p w14:paraId="490C108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606466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EDF1F9" w:themeFill="accent1" w:themeFillTint="19"/>
            <w:noWrap w:val="0"/>
            <w:tcMar>
              <w:top w:w="-1" w:type="dxa"/>
              <w:left w:w="-1" w:type="dxa"/>
              <w:bottom w:w="-1" w:type="dxa"/>
              <w:right w:w="-1" w:type="dxa"/>
            </w:tcMar>
            <w:vAlign w:val="center"/>
          </w:tcPr>
          <w:p w14:paraId="7CFF989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4</w:t>
            </w:r>
          </w:p>
        </w:tc>
        <w:tc>
          <w:tcPr>
            <w:tcW w:w="3111" w:type="dxa"/>
            <w:tcBorders>
              <w:tl2br w:val="nil"/>
              <w:tr2bl w:val="nil"/>
            </w:tcBorders>
            <w:shd w:val="clear" w:color="auto" w:fill="EDF1F9" w:themeFill="accent1" w:themeFillTint="19"/>
            <w:noWrap w:val="0"/>
            <w:tcMar>
              <w:top w:w="-1" w:type="dxa"/>
              <w:left w:w="-1" w:type="dxa"/>
              <w:bottom w:w="-1" w:type="dxa"/>
              <w:right w:w="-1" w:type="dxa"/>
            </w:tcMar>
            <w:vAlign w:val="center"/>
          </w:tcPr>
          <w:p w14:paraId="5057BFE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特变电工云集5G科技产业园</w:t>
            </w:r>
          </w:p>
        </w:tc>
        <w:tc>
          <w:tcPr>
            <w:tcW w:w="3426" w:type="dxa"/>
            <w:tcBorders>
              <w:tl2br w:val="nil"/>
              <w:tr2bl w:val="nil"/>
            </w:tcBorders>
            <w:shd w:val="clear" w:color="auto" w:fill="EDF1F9" w:themeFill="accent1" w:themeFillTint="19"/>
            <w:noWrap w:val="0"/>
            <w:tcMar>
              <w:top w:w="-1" w:type="dxa"/>
              <w:left w:w="-1" w:type="dxa"/>
              <w:bottom w:w="-1" w:type="dxa"/>
              <w:right w:w="-1" w:type="dxa"/>
            </w:tcMar>
            <w:vAlign w:val="center"/>
          </w:tcPr>
          <w:p w14:paraId="36287A1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云集电气</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② 湖南电气</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③ 云集高压开关 (GIS)</w:t>
            </w:r>
          </w:p>
        </w:tc>
        <w:tc>
          <w:tcPr>
            <w:tcW w:w="2601" w:type="dxa"/>
            <w:tcBorders>
              <w:tl2br w:val="nil"/>
              <w:tr2bl w:val="nil"/>
            </w:tcBorders>
            <w:shd w:val="clear" w:color="auto" w:fill="EDF1F9" w:themeFill="accent1" w:themeFillTint="19"/>
            <w:noWrap w:val="0"/>
            <w:tcMar>
              <w:top w:w="-1" w:type="dxa"/>
              <w:left w:w="-1" w:type="dxa"/>
              <w:bottom w:w="-1" w:type="dxa"/>
              <w:right w:w="-1" w:type="dxa"/>
            </w:tcMar>
            <w:vAlign w:val="center"/>
          </w:tcPr>
          <w:p w14:paraId="40D43585">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6FD47A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FFFFFF"/>
            <w:noWrap w:val="0"/>
            <w:tcMar>
              <w:top w:w="-1" w:type="dxa"/>
              <w:left w:w="-1" w:type="dxa"/>
              <w:bottom w:w="-1" w:type="dxa"/>
              <w:right w:w="-1" w:type="dxa"/>
            </w:tcMar>
            <w:vAlign w:val="center"/>
          </w:tcPr>
          <w:p w14:paraId="55DD4476">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5</w:t>
            </w:r>
          </w:p>
        </w:tc>
        <w:tc>
          <w:tcPr>
            <w:tcW w:w="3111" w:type="dxa"/>
            <w:tcBorders>
              <w:tl2br w:val="nil"/>
              <w:tr2bl w:val="nil"/>
            </w:tcBorders>
            <w:shd w:val="clear" w:color="auto" w:fill="FFFFFF"/>
            <w:noWrap w:val="0"/>
            <w:tcMar>
              <w:top w:w="-1" w:type="dxa"/>
              <w:left w:w="-1" w:type="dxa"/>
              <w:bottom w:w="-1" w:type="dxa"/>
              <w:right w:w="-1" w:type="dxa"/>
            </w:tcMar>
            <w:vAlign w:val="center"/>
          </w:tcPr>
          <w:p w14:paraId="2D31132C">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特变电工智能电气产业园</w:t>
            </w:r>
          </w:p>
        </w:tc>
        <w:tc>
          <w:tcPr>
            <w:tcW w:w="3426" w:type="dxa"/>
            <w:tcBorders>
              <w:tl2br w:val="nil"/>
              <w:tr2bl w:val="nil"/>
            </w:tcBorders>
            <w:shd w:val="clear" w:color="auto" w:fill="FFFFFF"/>
            <w:noWrap w:val="0"/>
            <w:tcMar>
              <w:top w:w="-1" w:type="dxa"/>
              <w:left w:w="-1" w:type="dxa"/>
              <w:bottom w:w="-1" w:type="dxa"/>
              <w:right w:w="-1" w:type="dxa"/>
            </w:tcMar>
            <w:vAlign w:val="center"/>
          </w:tcPr>
          <w:p w14:paraId="0BE0068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智能电气公司</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② 新疆自控</w:t>
            </w:r>
          </w:p>
        </w:tc>
        <w:tc>
          <w:tcPr>
            <w:tcW w:w="2601" w:type="dxa"/>
            <w:tcBorders>
              <w:tl2br w:val="nil"/>
              <w:tr2bl w:val="nil"/>
            </w:tcBorders>
            <w:shd w:val="clear" w:color="auto" w:fill="FFFFFF"/>
            <w:noWrap w:val="0"/>
            <w:tcMar>
              <w:top w:w="-1" w:type="dxa"/>
              <w:left w:w="-1" w:type="dxa"/>
              <w:bottom w:w="-1" w:type="dxa"/>
              <w:right w:w="-1" w:type="dxa"/>
            </w:tcMar>
            <w:vAlign w:val="center"/>
          </w:tcPr>
          <w:p w14:paraId="6ECDD724">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5866F5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EDF1F9" w:themeFill="accent1" w:themeFillTint="19"/>
            <w:noWrap w:val="0"/>
            <w:tcMar>
              <w:top w:w="-1" w:type="dxa"/>
              <w:left w:w="-1" w:type="dxa"/>
              <w:bottom w:w="-1" w:type="dxa"/>
              <w:right w:w="-1" w:type="dxa"/>
            </w:tcMar>
            <w:vAlign w:val="center"/>
          </w:tcPr>
          <w:p w14:paraId="0CA3808F">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6</w:t>
            </w:r>
          </w:p>
        </w:tc>
        <w:tc>
          <w:tcPr>
            <w:tcW w:w="3111" w:type="dxa"/>
            <w:tcBorders>
              <w:tl2br w:val="nil"/>
              <w:tr2bl w:val="nil"/>
            </w:tcBorders>
            <w:shd w:val="clear" w:color="auto" w:fill="EDF1F9" w:themeFill="accent1" w:themeFillTint="19"/>
            <w:noWrap w:val="0"/>
            <w:tcMar>
              <w:top w:w="-1" w:type="dxa"/>
              <w:left w:w="-1" w:type="dxa"/>
              <w:bottom w:w="-1" w:type="dxa"/>
              <w:right w:w="-1" w:type="dxa"/>
            </w:tcMar>
            <w:vAlign w:val="center"/>
          </w:tcPr>
          <w:p w14:paraId="4F2DAD0B">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特变电工湖南能源建设园区</w:t>
            </w:r>
          </w:p>
        </w:tc>
        <w:tc>
          <w:tcPr>
            <w:tcW w:w="3426" w:type="dxa"/>
            <w:tcBorders>
              <w:tl2br w:val="nil"/>
              <w:tr2bl w:val="nil"/>
            </w:tcBorders>
            <w:shd w:val="clear" w:color="auto" w:fill="EDF1F9" w:themeFill="accent1" w:themeFillTint="19"/>
            <w:noWrap w:val="0"/>
            <w:tcMar>
              <w:top w:w="-1" w:type="dxa"/>
              <w:left w:w="-1" w:type="dxa"/>
              <w:bottom w:w="-1" w:type="dxa"/>
              <w:right w:w="-1" w:type="dxa"/>
            </w:tcMar>
            <w:vAlign w:val="center"/>
          </w:tcPr>
          <w:p w14:paraId="4BA2063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特能建</w:t>
            </w:r>
          </w:p>
        </w:tc>
        <w:tc>
          <w:tcPr>
            <w:tcW w:w="2601" w:type="dxa"/>
            <w:tcBorders>
              <w:tl2br w:val="nil"/>
              <w:tr2bl w:val="nil"/>
            </w:tcBorders>
            <w:shd w:val="clear" w:color="auto" w:fill="EDF1F9" w:themeFill="accent1" w:themeFillTint="19"/>
            <w:noWrap w:val="0"/>
            <w:tcMar>
              <w:top w:w="-1" w:type="dxa"/>
              <w:left w:w="-1" w:type="dxa"/>
              <w:bottom w:w="-1" w:type="dxa"/>
              <w:right w:w="-1" w:type="dxa"/>
            </w:tcMar>
            <w:vAlign w:val="center"/>
          </w:tcPr>
          <w:p w14:paraId="4DB8EBA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0ECB2A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FFFFFF"/>
            <w:noWrap w:val="0"/>
            <w:tcMar>
              <w:top w:w="-1" w:type="dxa"/>
              <w:left w:w="-1" w:type="dxa"/>
              <w:bottom w:w="-1" w:type="dxa"/>
              <w:right w:w="-1" w:type="dxa"/>
            </w:tcMar>
            <w:vAlign w:val="center"/>
          </w:tcPr>
          <w:p w14:paraId="0899382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7</w:t>
            </w:r>
          </w:p>
        </w:tc>
        <w:tc>
          <w:tcPr>
            <w:tcW w:w="3111" w:type="dxa"/>
            <w:tcBorders>
              <w:tl2br w:val="nil"/>
              <w:tr2bl w:val="nil"/>
            </w:tcBorders>
            <w:shd w:val="clear" w:color="auto" w:fill="FFFFFF"/>
            <w:noWrap w:val="0"/>
            <w:tcMar>
              <w:top w:w="-1" w:type="dxa"/>
              <w:left w:w="-1" w:type="dxa"/>
              <w:bottom w:w="-1" w:type="dxa"/>
              <w:right w:w="-1" w:type="dxa"/>
            </w:tcMar>
            <w:vAlign w:val="center"/>
          </w:tcPr>
          <w:p w14:paraId="486FF328">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特变电工西安智能装备产业园</w:t>
            </w:r>
          </w:p>
        </w:tc>
        <w:tc>
          <w:tcPr>
            <w:tcW w:w="3426" w:type="dxa"/>
            <w:tcBorders>
              <w:tl2br w:val="nil"/>
              <w:tr2bl w:val="nil"/>
            </w:tcBorders>
            <w:shd w:val="clear" w:color="auto" w:fill="FFFFFF"/>
            <w:noWrap w:val="0"/>
            <w:tcMar>
              <w:top w:w="-1" w:type="dxa"/>
              <w:left w:w="-1" w:type="dxa"/>
              <w:bottom w:w="-1" w:type="dxa"/>
              <w:right w:w="-1" w:type="dxa"/>
            </w:tcMar>
            <w:vAlign w:val="center"/>
          </w:tcPr>
          <w:p w14:paraId="1EE4B684">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合容电气</w:t>
            </w:r>
          </w:p>
        </w:tc>
        <w:tc>
          <w:tcPr>
            <w:tcW w:w="2601" w:type="dxa"/>
            <w:tcBorders>
              <w:tl2br w:val="nil"/>
              <w:tr2bl w:val="nil"/>
            </w:tcBorders>
            <w:shd w:val="clear" w:color="auto" w:fill="FFFFFF"/>
            <w:noWrap w:val="0"/>
            <w:tcMar>
              <w:top w:w="-1" w:type="dxa"/>
              <w:left w:w="-1" w:type="dxa"/>
              <w:bottom w:w="-1" w:type="dxa"/>
              <w:right w:w="-1" w:type="dxa"/>
            </w:tcMar>
            <w:vAlign w:val="center"/>
          </w:tcPr>
          <w:p w14:paraId="530EEA9D">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1. 合容电气股份</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2. 合容开关</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3. 合容电力设备</w:t>
            </w:r>
          </w:p>
        </w:tc>
      </w:tr>
      <w:tr w14:paraId="660B6E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EDF1F9" w:themeFill="accent1" w:themeFillTint="19"/>
            <w:noWrap w:val="0"/>
            <w:tcMar>
              <w:top w:w="-1" w:type="dxa"/>
              <w:left w:w="-1" w:type="dxa"/>
              <w:bottom w:w="-1" w:type="dxa"/>
              <w:right w:w="-1" w:type="dxa"/>
            </w:tcMar>
            <w:vAlign w:val="center"/>
          </w:tcPr>
          <w:p w14:paraId="6B94EC4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8</w:t>
            </w:r>
          </w:p>
        </w:tc>
        <w:tc>
          <w:tcPr>
            <w:tcW w:w="3111" w:type="dxa"/>
            <w:tcBorders>
              <w:tl2br w:val="nil"/>
              <w:tr2bl w:val="nil"/>
            </w:tcBorders>
            <w:shd w:val="clear" w:color="auto" w:fill="EDF1F9" w:themeFill="accent1" w:themeFillTint="19"/>
            <w:noWrap w:val="0"/>
            <w:tcMar>
              <w:top w:w="-1" w:type="dxa"/>
              <w:left w:w="-1" w:type="dxa"/>
              <w:bottom w:w="-1" w:type="dxa"/>
              <w:right w:w="-1" w:type="dxa"/>
            </w:tcMar>
            <w:vAlign w:val="center"/>
          </w:tcPr>
          <w:p w14:paraId="4773902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特变电工GIL产业园</w:t>
            </w:r>
          </w:p>
        </w:tc>
        <w:tc>
          <w:tcPr>
            <w:tcW w:w="3426" w:type="dxa"/>
            <w:tcBorders>
              <w:tl2br w:val="nil"/>
              <w:tr2bl w:val="nil"/>
            </w:tcBorders>
            <w:shd w:val="clear" w:color="auto" w:fill="EDF1F9" w:themeFill="accent1" w:themeFillTint="19"/>
            <w:noWrap w:val="0"/>
            <w:tcMar>
              <w:top w:w="-1" w:type="dxa"/>
              <w:left w:w="-1" w:type="dxa"/>
              <w:bottom w:w="-1" w:type="dxa"/>
              <w:right w:w="-1" w:type="dxa"/>
            </w:tcMar>
            <w:vAlign w:val="center"/>
          </w:tcPr>
          <w:p w14:paraId="1254455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赛杰爱迪</w:t>
            </w:r>
          </w:p>
        </w:tc>
        <w:tc>
          <w:tcPr>
            <w:tcW w:w="2601" w:type="dxa"/>
            <w:tcBorders>
              <w:tl2br w:val="nil"/>
              <w:tr2bl w:val="nil"/>
            </w:tcBorders>
            <w:shd w:val="clear" w:color="auto" w:fill="EDF1F9" w:themeFill="accent1" w:themeFillTint="19"/>
            <w:noWrap w:val="0"/>
            <w:tcMar>
              <w:top w:w="-1" w:type="dxa"/>
              <w:left w:w="-1" w:type="dxa"/>
              <w:bottom w:w="-1" w:type="dxa"/>
              <w:right w:w="-1" w:type="dxa"/>
            </w:tcMar>
            <w:vAlign w:val="center"/>
          </w:tcPr>
          <w:p w14:paraId="60F6A79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48CA19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FFFFFF"/>
            <w:noWrap w:val="0"/>
            <w:tcMar>
              <w:top w:w="-1" w:type="dxa"/>
              <w:left w:w="-1" w:type="dxa"/>
              <w:bottom w:w="-1" w:type="dxa"/>
              <w:right w:w="-1" w:type="dxa"/>
            </w:tcMar>
            <w:vAlign w:val="center"/>
          </w:tcPr>
          <w:p w14:paraId="785F7C9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9</w:t>
            </w:r>
          </w:p>
        </w:tc>
        <w:tc>
          <w:tcPr>
            <w:tcW w:w="3111" w:type="dxa"/>
            <w:tcBorders>
              <w:tl2br w:val="nil"/>
              <w:tr2bl w:val="nil"/>
            </w:tcBorders>
            <w:shd w:val="clear" w:color="auto" w:fill="FFFFFF"/>
            <w:noWrap w:val="0"/>
            <w:tcMar>
              <w:top w:w="-1" w:type="dxa"/>
              <w:left w:w="-1" w:type="dxa"/>
              <w:bottom w:w="-1" w:type="dxa"/>
              <w:right w:w="-1" w:type="dxa"/>
            </w:tcMar>
            <w:vAlign w:val="center"/>
          </w:tcPr>
          <w:p w14:paraId="567D440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特变电工输变电产业园 (新疆)</w:t>
            </w:r>
          </w:p>
        </w:tc>
        <w:tc>
          <w:tcPr>
            <w:tcW w:w="3426" w:type="dxa"/>
            <w:tcBorders>
              <w:tl2br w:val="nil"/>
              <w:tr2bl w:val="nil"/>
            </w:tcBorders>
            <w:shd w:val="clear" w:color="auto" w:fill="FFFFFF"/>
            <w:noWrap w:val="0"/>
            <w:tcMar>
              <w:top w:w="-1" w:type="dxa"/>
              <w:left w:w="-1" w:type="dxa"/>
              <w:bottom w:w="-1" w:type="dxa"/>
              <w:right w:w="-1" w:type="dxa"/>
            </w:tcMar>
            <w:vAlign w:val="center"/>
          </w:tcPr>
          <w:p w14:paraId="3E2E2E68">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超高压公司</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② 特变电工新疆线缆厂</w:t>
            </w:r>
          </w:p>
        </w:tc>
        <w:tc>
          <w:tcPr>
            <w:tcW w:w="2601" w:type="dxa"/>
            <w:tcBorders>
              <w:tl2br w:val="nil"/>
              <w:tr2bl w:val="nil"/>
            </w:tcBorders>
            <w:shd w:val="clear" w:color="auto" w:fill="FFFFFF"/>
            <w:noWrap w:val="0"/>
            <w:tcMar>
              <w:top w:w="-1" w:type="dxa"/>
              <w:left w:w="-1" w:type="dxa"/>
              <w:bottom w:w="-1" w:type="dxa"/>
              <w:right w:w="-1" w:type="dxa"/>
            </w:tcMar>
            <w:vAlign w:val="center"/>
          </w:tcPr>
          <w:p w14:paraId="655DAD6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7540DB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EDF1F9" w:themeFill="accent1" w:themeFillTint="19"/>
            <w:noWrap w:val="0"/>
            <w:tcMar>
              <w:top w:w="-1" w:type="dxa"/>
              <w:left w:w="-1" w:type="dxa"/>
              <w:bottom w:w="-1" w:type="dxa"/>
              <w:right w:w="-1" w:type="dxa"/>
            </w:tcMar>
            <w:vAlign w:val="center"/>
          </w:tcPr>
          <w:p w14:paraId="683CF0C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10</w:t>
            </w:r>
          </w:p>
        </w:tc>
        <w:tc>
          <w:tcPr>
            <w:tcW w:w="3111" w:type="dxa"/>
            <w:tcBorders>
              <w:tl2br w:val="nil"/>
              <w:tr2bl w:val="nil"/>
            </w:tcBorders>
            <w:shd w:val="clear" w:color="auto" w:fill="EDF1F9" w:themeFill="accent1" w:themeFillTint="19"/>
            <w:noWrap w:val="0"/>
            <w:tcMar>
              <w:top w:w="-1" w:type="dxa"/>
              <w:left w:w="-1" w:type="dxa"/>
              <w:bottom w:w="-1" w:type="dxa"/>
              <w:right w:w="-1" w:type="dxa"/>
            </w:tcMar>
            <w:vAlign w:val="center"/>
          </w:tcPr>
          <w:p w14:paraId="2857234E">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特变电工天变产业园</w:t>
            </w:r>
          </w:p>
        </w:tc>
        <w:tc>
          <w:tcPr>
            <w:tcW w:w="3426" w:type="dxa"/>
            <w:tcBorders>
              <w:tl2br w:val="nil"/>
              <w:tr2bl w:val="nil"/>
            </w:tcBorders>
            <w:shd w:val="clear" w:color="auto" w:fill="EDF1F9" w:themeFill="accent1" w:themeFillTint="19"/>
            <w:noWrap w:val="0"/>
            <w:tcMar>
              <w:top w:w="-1" w:type="dxa"/>
              <w:left w:w="-1" w:type="dxa"/>
              <w:bottom w:w="-1" w:type="dxa"/>
              <w:right w:w="-1" w:type="dxa"/>
            </w:tcMar>
            <w:vAlign w:val="center"/>
          </w:tcPr>
          <w:p w14:paraId="3F88D45A">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天变公司</w:t>
            </w:r>
          </w:p>
        </w:tc>
        <w:tc>
          <w:tcPr>
            <w:tcW w:w="2601" w:type="dxa"/>
            <w:tcBorders>
              <w:tl2br w:val="nil"/>
              <w:tr2bl w:val="nil"/>
            </w:tcBorders>
            <w:shd w:val="clear" w:color="auto" w:fill="EDF1F9" w:themeFill="accent1" w:themeFillTint="19"/>
            <w:noWrap w:val="0"/>
            <w:tcMar>
              <w:top w:w="-1" w:type="dxa"/>
              <w:left w:w="-1" w:type="dxa"/>
              <w:bottom w:w="-1" w:type="dxa"/>
              <w:right w:w="-1" w:type="dxa"/>
            </w:tcMar>
            <w:vAlign w:val="center"/>
          </w:tcPr>
          <w:p w14:paraId="608866C0">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1. 天变天津基地</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2. 天变智慧能源</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3. 天变智能科技</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4. 天变衡阳基地</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5. 天变沈阳基地</w:t>
            </w:r>
          </w:p>
        </w:tc>
      </w:tr>
      <w:tr w14:paraId="06731D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FFFFFF"/>
            <w:noWrap w:val="0"/>
            <w:tcMar>
              <w:top w:w="-1" w:type="dxa"/>
              <w:left w:w="-1" w:type="dxa"/>
              <w:bottom w:w="-1" w:type="dxa"/>
              <w:right w:w="-1" w:type="dxa"/>
            </w:tcMar>
            <w:vAlign w:val="center"/>
          </w:tcPr>
          <w:p w14:paraId="1BE0279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11</w:t>
            </w:r>
          </w:p>
        </w:tc>
        <w:tc>
          <w:tcPr>
            <w:tcW w:w="3111" w:type="dxa"/>
            <w:tcBorders>
              <w:tl2br w:val="nil"/>
              <w:tr2bl w:val="nil"/>
            </w:tcBorders>
            <w:shd w:val="clear" w:color="auto" w:fill="FFFFFF"/>
            <w:noWrap w:val="0"/>
            <w:tcMar>
              <w:top w:w="-1" w:type="dxa"/>
              <w:left w:w="-1" w:type="dxa"/>
              <w:bottom w:w="-1" w:type="dxa"/>
              <w:right w:w="-1" w:type="dxa"/>
            </w:tcMar>
            <w:vAlign w:val="center"/>
          </w:tcPr>
          <w:p w14:paraId="7E802BE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特变电工京津冀智能科技产业园</w:t>
            </w:r>
          </w:p>
        </w:tc>
        <w:tc>
          <w:tcPr>
            <w:tcW w:w="3426" w:type="dxa"/>
            <w:tcBorders>
              <w:tl2br w:val="nil"/>
              <w:tr2bl w:val="nil"/>
            </w:tcBorders>
            <w:shd w:val="clear" w:color="auto" w:fill="FFFFFF"/>
            <w:noWrap w:val="0"/>
            <w:tcMar>
              <w:top w:w="-1" w:type="dxa"/>
              <w:left w:w="-1" w:type="dxa"/>
              <w:bottom w:w="-1" w:type="dxa"/>
              <w:right w:w="-1" w:type="dxa"/>
            </w:tcMar>
            <w:vAlign w:val="center"/>
          </w:tcPr>
          <w:p w14:paraId="1D09C2E6">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京津冀公司</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② 珠峰硅钢</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③ 智慧能源 (新变)</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④ 银利电气</w:t>
            </w:r>
          </w:p>
        </w:tc>
        <w:tc>
          <w:tcPr>
            <w:tcW w:w="2601" w:type="dxa"/>
            <w:tcBorders>
              <w:tl2br w:val="nil"/>
              <w:tr2bl w:val="nil"/>
            </w:tcBorders>
            <w:shd w:val="clear" w:color="auto" w:fill="FFFFFF"/>
            <w:noWrap w:val="0"/>
            <w:tcMar>
              <w:top w:w="-1" w:type="dxa"/>
              <w:left w:w="-1" w:type="dxa"/>
              <w:bottom w:w="-1" w:type="dxa"/>
              <w:right w:w="-1" w:type="dxa"/>
            </w:tcMar>
            <w:vAlign w:val="center"/>
          </w:tcPr>
          <w:p w14:paraId="71311500">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65CD3B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EDF1F9" w:themeFill="accent1" w:themeFillTint="19"/>
            <w:noWrap w:val="0"/>
            <w:tcMar>
              <w:top w:w="-1" w:type="dxa"/>
              <w:left w:w="-1" w:type="dxa"/>
              <w:bottom w:w="-1" w:type="dxa"/>
              <w:right w:w="-1" w:type="dxa"/>
            </w:tcMar>
            <w:vAlign w:val="center"/>
          </w:tcPr>
          <w:p w14:paraId="64B05A39">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12</w:t>
            </w:r>
          </w:p>
        </w:tc>
        <w:tc>
          <w:tcPr>
            <w:tcW w:w="3111" w:type="dxa"/>
            <w:tcBorders>
              <w:tl2br w:val="nil"/>
              <w:tr2bl w:val="nil"/>
            </w:tcBorders>
            <w:shd w:val="clear" w:color="auto" w:fill="EDF1F9" w:themeFill="accent1" w:themeFillTint="19"/>
            <w:noWrap w:val="0"/>
            <w:tcMar>
              <w:top w:w="-1" w:type="dxa"/>
              <w:left w:w="-1" w:type="dxa"/>
              <w:bottom w:w="-1" w:type="dxa"/>
              <w:right w:w="-1" w:type="dxa"/>
            </w:tcMar>
            <w:vAlign w:val="center"/>
          </w:tcPr>
          <w:p w14:paraId="407E6AA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特变电工华东输变电科技产业园</w:t>
            </w:r>
          </w:p>
        </w:tc>
        <w:tc>
          <w:tcPr>
            <w:tcW w:w="3426" w:type="dxa"/>
            <w:tcBorders>
              <w:tl2br w:val="nil"/>
              <w:tr2bl w:val="nil"/>
            </w:tcBorders>
            <w:shd w:val="clear" w:color="auto" w:fill="EDF1F9" w:themeFill="accent1" w:themeFillTint="19"/>
            <w:noWrap w:val="0"/>
            <w:tcMar>
              <w:top w:w="-1" w:type="dxa"/>
              <w:left w:w="-1" w:type="dxa"/>
              <w:bottom w:w="-1" w:type="dxa"/>
              <w:right w:w="-1" w:type="dxa"/>
            </w:tcMar>
            <w:vAlign w:val="center"/>
          </w:tcPr>
          <w:p w14:paraId="62B2B10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鲁缆本部</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② 智缆公司</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③ 昭和公司</w:t>
            </w:r>
          </w:p>
        </w:tc>
        <w:tc>
          <w:tcPr>
            <w:tcW w:w="2601" w:type="dxa"/>
            <w:tcBorders>
              <w:tl2br w:val="nil"/>
              <w:tr2bl w:val="nil"/>
            </w:tcBorders>
            <w:shd w:val="clear" w:color="auto" w:fill="EDF1F9" w:themeFill="accent1" w:themeFillTint="19"/>
            <w:noWrap w:val="0"/>
            <w:tcMar>
              <w:top w:w="-1" w:type="dxa"/>
              <w:left w:w="-1" w:type="dxa"/>
              <w:bottom w:w="-1" w:type="dxa"/>
              <w:right w:w="-1" w:type="dxa"/>
            </w:tcMar>
            <w:vAlign w:val="center"/>
          </w:tcPr>
          <w:p w14:paraId="3412A02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461206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FFFFFF"/>
            <w:noWrap w:val="0"/>
            <w:tcMar>
              <w:top w:w="-1" w:type="dxa"/>
              <w:left w:w="-1" w:type="dxa"/>
              <w:bottom w:w="-1" w:type="dxa"/>
              <w:right w:w="-1" w:type="dxa"/>
            </w:tcMar>
            <w:vAlign w:val="center"/>
          </w:tcPr>
          <w:p w14:paraId="06B975D0">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13</w:t>
            </w:r>
          </w:p>
        </w:tc>
        <w:tc>
          <w:tcPr>
            <w:tcW w:w="3111" w:type="dxa"/>
            <w:tcBorders>
              <w:tl2br w:val="nil"/>
              <w:tr2bl w:val="nil"/>
            </w:tcBorders>
            <w:shd w:val="clear" w:color="auto" w:fill="FFFFFF"/>
            <w:noWrap w:val="0"/>
            <w:tcMar>
              <w:top w:w="-1" w:type="dxa"/>
              <w:left w:w="-1" w:type="dxa"/>
              <w:bottom w:w="-1" w:type="dxa"/>
              <w:right w:w="-1" w:type="dxa"/>
            </w:tcMar>
            <w:vAlign w:val="center"/>
          </w:tcPr>
          <w:p w14:paraId="4793FAF6">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特变电工曙光电缆产业园</w:t>
            </w:r>
          </w:p>
        </w:tc>
        <w:tc>
          <w:tcPr>
            <w:tcW w:w="3426" w:type="dxa"/>
            <w:tcBorders>
              <w:tl2br w:val="nil"/>
              <w:tr2bl w:val="nil"/>
            </w:tcBorders>
            <w:shd w:val="clear" w:color="auto" w:fill="FFFFFF"/>
            <w:noWrap w:val="0"/>
            <w:tcMar>
              <w:top w:w="-1" w:type="dxa"/>
              <w:left w:w="-1" w:type="dxa"/>
              <w:bottom w:w="-1" w:type="dxa"/>
              <w:right w:w="-1" w:type="dxa"/>
            </w:tcMar>
            <w:vAlign w:val="center"/>
          </w:tcPr>
          <w:p w14:paraId="6E53006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曙光公司</w:t>
            </w:r>
          </w:p>
        </w:tc>
        <w:tc>
          <w:tcPr>
            <w:tcW w:w="2601" w:type="dxa"/>
            <w:tcBorders>
              <w:tl2br w:val="nil"/>
              <w:tr2bl w:val="nil"/>
            </w:tcBorders>
            <w:shd w:val="clear" w:color="auto" w:fill="FFFFFF"/>
            <w:noWrap w:val="0"/>
            <w:tcMar>
              <w:top w:w="-1" w:type="dxa"/>
              <w:left w:w="-1" w:type="dxa"/>
              <w:bottom w:w="-1" w:type="dxa"/>
              <w:right w:w="-1" w:type="dxa"/>
            </w:tcMar>
            <w:vAlign w:val="center"/>
          </w:tcPr>
          <w:p w14:paraId="578E747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0D2CF8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EDF1F9" w:themeFill="accent1" w:themeFillTint="19"/>
            <w:noWrap w:val="0"/>
            <w:tcMar>
              <w:top w:w="-1" w:type="dxa"/>
              <w:left w:w="-1" w:type="dxa"/>
              <w:bottom w:w="-1" w:type="dxa"/>
              <w:right w:w="-1" w:type="dxa"/>
            </w:tcMar>
            <w:vAlign w:val="center"/>
          </w:tcPr>
          <w:p w14:paraId="1AB1EBF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14</w:t>
            </w:r>
          </w:p>
        </w:tc>
        <w:tc>
          <w:tcPr>
            <w:tcW w:w="3111" w:type="dxa"/>
            <w:tcBorders>
              <w:tl2br w:val="nil"/>
              <w:tr2bl w:val="nil"/>
            </w:tcBorders>
            <w:shd w:val="clear" w:color="auto" w:fill="EDF1F9" w:themeFill="accent1" w:themeFillTint="19"/>
            <w:noWrap w:val="0"/>
            <w:tcMar>
              <w:top w:w="-1" w:type="dxa"/>
              <w:left w:w="-1" w:type="dxa"/>
              <w:bottom w:w="-1" w:type="dxa"/>
              <w:right w:w="-1" w:type="dxa"/>
            </w:tcMar>
            <w:vAlign w:val="center"/>
          </w:tcPr>
          <w:p w14:paraId="3F9786B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特变电工新疆电缆产业园</w:t>
            </w:r>
          </w:p>
        </w:tc>
        <w:tc>
          <w:tcPr>
            <w:tcW w:w="3426" w:type="dxa"/>
            <w:tcBorders>
              <w:tl2br w:val="nil"/>
              <w:tr2bl w:val="nil"/>
            </w:tcBorders>
            <w:shd w:val="clear" w:color="auto" w:fill="EDF1F9" w:themeFill="accent1" w:themeFillTint="19"/>
            <w:noWrap w:val="0"/>
            <w:tcMar>
              <w:top w:w="-1" w:type="dxa"/>
              <w:left w:w="-1" w:type="dxa"/>
              <w:bottom w:w="-1" w:type="dxa"/>
              <w:right w:w="-1" w:type="dxa"/>
            </w:tcMar>
            <w:vAlign w:val="center"/>
          </w:tcPr>
          <w:p w14:paraId="209DD89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特变电工新疆电缆有限公司</w:t>
            </w:r>
          </w:p>
        </w:tc>
        <w:tc>
          <w:tcPr>
            <w:tcW w:w="2601" w:type="dxa"/>
            <w:tcBorders>
              <w:tl2br w:val="nil"/>
              <w:tr2bl w:val="nil"/>
            </w:tcBorders>
            <w:shd w:val="clear" w:color="auto" w:fill="EDF1F9" w:themeFill="accent1" w:themeFillTint="19"/>
            <w:noWrap w:val="0"/>
            <w:tcMar>
              <w:top w:w="-1" w:type="dxa"/>
              <w:left w:w="-1" w:type="dxa"/>
              <w:bottom w:w="-1" w:type="dxa"/>
              <w:right w:w="-1" w:type="dxa"/>
            </w:tcMar>
            <w:vAlign w:val="center"/>
          </w:tcPr>
          <w:p w14:paraId="70CFFCD8">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776CBC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FFFFFF"/>
            <w:noWrap w:val="0"/>
            <w:tcMar>
              <w:top w:w="-1" w:type="dxa"/>
              <w:left w:w="-1" w:type="dxa"/>
              <w:bottom w:w="-1" w:type="dxa"/>
              <w:right w:w="-1" w:type="dxa"/>
            </w:tcMar>
            <w:vAlign w:val="center"/>
          </w:tcPr>
          <w:p w14:paraId="744EEC9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15</w:t>
            </w:r>
          </w:p>
        </w:tc>
        <w:tc>
          <w:tcPr>
            <w:tcW w:w="3111" w:type="dxa"/>
            <w:tcBorders>
              <w:tl2br w:val="nil"/>
              <w:tr2bl w:val="nil"/>
            </w:tcBorders>
            <w:shd w:val="clear" w:color="auto" w:fill="FFFFFF"/>
            <w:noWrap w:val="0"/>
            <w:tcMar>
              <w:top w:w="-1" w:type="dxa"/>
              <w:left w:w="-1" w:type="dxa"/>
              <w:bottom w:w="-1" w:type="dxa"/>
              <w:right w:w="-1" w:type="dxa"/>
            </w:tcMar>
            <w:vAlign w:val="center"/>
          </w:tcPr>
          <w:p w14:paraId="18D4925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特变电工(德阳)电缆园区</w:t>
            </w:r>
          </w:p>
        </w:tc>
        <w:tc>
          <w:tcPr>
            <w:tcW w:w="3426" w:type="dxa"/>
            <w:tcBorders>
              <w:tl2br w:val="nil"/>
              <w:tr2bl w:val="nil"/>
            </w:tcBorders>
            <w:shd w:val="clear" w:color="auto" w:fill="FFFFFF"/>
            <w:noWrap w:val="0"/>
            <w:tcMar>
              <w:top w:w="-1" w:type="dxa"/>
              <w:left w:w="-1" w:type="dxa"/>
              <w:bottom w:w="-1" w:type="dxa"/>
              <w:right w:w="-1" w:type="dxa"/>
            </w:tcMar>
            <w:vAlign w:val="center"/>
          </w:tcPr>
          <w:p w14:paraId="254B3A5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特变电工（德阳）电缆股份有限公司</w:t>
            </w:r>
          </w:p>
        </w:tc>
        <w:tc>
          <w:tcPr>
            <w:tcW w:w="2601" w:type="dxa"/>
            <w:tcBorders>
              <w:tl2br w:val="nil"/>
              <w:tr2bl w:val="nil"/>
            </w:tcBorders>
            <w:shd w:val="clear" w:color="auto" w:fill="FFFFFF"/>
            <w:noWrap w:val="0"/>
            <w:tcMar>
              <w:top w:w="-1" w:type="dxa"/>
              <w:left w:w="-1" w:type="dxa"/>
              <w:bottom w:w="-1" w:type="dxa"/>
              <w:right w:w="-1" w:type="dxa"/>
            </w:tcMar>
            <w:vAlign w:val="center"/>
          </w:tcPr>
          <w:p w14:paraId="2D7893D5">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bl>
    <w:p w14:paraId="2370011D">
      <w:pPr>
        <w:spacing w:after="60"/>
        <w:rPr>
          <w:rFonts w:hint="eastAsia" w:ascii="宋体" w:hAnsi="宋体" w:eastAsia="宋体" w:cs="宋体"/>
          <w:i w:val="0"/>
          <w:iCs w:val="0"/>
          <w:sz w:val="24"/>
          <w:szCs w:val="24"/>
        </w:rPr>
      </w:pPr>
    </w:p>
    <w:p w14:paraId="660DEB70">
      <w:pPr>
        <w:pStyle w:val="37"/>
        <w:widowControl/>
        <w:outlineLvl w:val="0"/>
        <w:rPr>
          <w:rFonts w:ascii="Times New Roman" w:hAnsi="Times New Roman" w:eastAsia="黑体" w:cs="Times New Roman"/>
          <w:b w:val="0"/>
          <w:bCs w:val="0"/>
          <w:sz w:val="36"/>
          <w:szCs w:val="24"/>
        </w:rPr>
      </w:pPr>
      <w:bookmarkStart w:id="99" w:name="_Toc4309"/>
      <w:r>
        <w:rPr>
          <w:rFonts w:ascii="Times New Roman" w:hAnsi="Times New Roman" w:eastAsia="黑体" w:cs="Times New Roman"/>
          <w:b w:val="0"/>
          <w:bCs w:val="0"/>
          <w:sz w:val="36"/>
          <w:szCs w:val="24"/>
        </w:rPr>
        <w:t>附录 E：角色与权限矩阵</w:t>
      </w:r>
    </w:p>
    <w:tbl>
      <w:tblPr>
        <w:tblStyle w:val="38"/>
        <w:tblW w:w="9784" w:type="dxa"/>
        <w:jc w:val="center"/>
        <w:tblLayout w:type="autofit"/>
        <w:tblCellMar>
          <w:top w:w="0" w:type="dxa"/>
          <w:left w:w="108" w:type="dxa"/>
          <w:bottom w:w="0" w:type="dxa"/>
          <w:right w:w="108" w:type="dxa"/>
        </w:tblCellMar>
      </w:tblPr>
      <w:tblGrid>
        <w:gridCol w:w="2777"/>
        <w:gridCol w:w="1136"/>
        <w:gridCol w:w="1479"/>
        <w:gridCol w:w="1224"/>
        <w:gridCol w:w="1224"/>
        <w:gridCol w:w="972"/>
        <w:gridCol w:w="972"/>
      </w:tblGrid>
      <w:tr w14:paraId="7832E30D">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833473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功能模块/角色</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850465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P1集团</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95FEA3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P2能碳专员</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CCAAA1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P3填报员</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F0DE02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P4碳专员</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2D8BA9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P5报关</w:t>
            </w:r>
          </w:p>
        </w:tc>
        <w:tc>
          <w:tcPr>
            <w:tcW w:w="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AE4C68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P6审计</w:t>
            </w:r>
          </w:p>
        </w:tc>
      </w:tr>
      <w:tr w14:paraId="1DF5C23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DCFF6E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集控中心大屏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59021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B4C4F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F4495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EF8F3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73715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3D09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r>
      <w:tr w14:paraId="41E8EA1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A65622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指标管控</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C82D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F415C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6F481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C5FA8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9AC91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1BDE9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r>
      <w:tr w14:paraId="2B9073C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47D45B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用能在线监测</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A4245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BE47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21F75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FE291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C7981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9B048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r>
      <w:tr w14:paraId="47D3FD0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6F24DA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能耗能效分析</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CF1E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AAD88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DFBCA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427F5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F414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0952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r>
      <w:tr w14:paraId="2A7C171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302453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零碳项目评估</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B1766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审批</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CC40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0116D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AA14E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468A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4F99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r>
      <w:tr w14:paraId="49E2158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804FF8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统计报表</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174AE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F9443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读写导出</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BA342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227E4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70159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B3D6A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r>
      <w:tr w14:paraId="19BACF6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908CF8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基础管理与数据录入</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237A3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1F897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917D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F3F80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C2B2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1F8C0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r>
      <w:tr w14:paraId="1E6E106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B07F68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对外示范窗口</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788F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E0110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DBF54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2132D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B7343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7AF5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r>
      <w:tr w14:paraId="01A90A7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F7A72B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多维分析</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E5F8E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ADB9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9375E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701A6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21EB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3EEE1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r>
      <w:tr w14:paraId="2CE5D1F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161D5D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实景数据库与 LCA 核算</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2CCAB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E221C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56131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CCE48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0194C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083A4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r>
      <w:tr w14:paraId="59618A9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9E4EAF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管理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8C9D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终审双签</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C0F1F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2CEDF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C163F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BAA15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FA71F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r>
      <w:tr w14:paraId="4DD21A4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AEB4A1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第三方认证管理</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C0DF7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3BB0A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7CCFA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071C9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E8CF6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B4E5A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r>
      <w:tr w14:paraId="1C8672A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310871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因子库管理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84C3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061BD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446E1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1F885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16D64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59522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r>
      <w:tr w14:paraId="129DDA47">
        <w:tblPrEx>
          <w:tblCellMar>
            <w:top w:w="0" w:type="dxa"/>
            <w:left w:w="108" w:type="dxa"/>
            <w:bottom w:w="0" w:type="dxa"/>
            <w:right w:w="108" w:type="dxa"/>
          </w:tblCellMar>
        </w:tblPrEx>
        <w:trPr>
          <w:jc w:val="center"/>
        </w:trPr>
        <w:tc>
          <w:tcPr>
            <w:tcW w:w="277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ADD402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基础参数配置</w:t>
            </w:r>
          </w:p>
        </w:tc>
        <w:tc>
          <w:tcPr>
            <w:tcW w:w="11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4009A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B3017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12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EC4A6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2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BDFE1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64A2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82138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r>
    </w:tbl>
    <w:p w14:paraId="5A371343">
      <w:pPr>
        <w:pStyle w:val="37"/>
        <w:widowControl/>
        <w:jc w:val="both"/>
        <w:rPr>
          <w:rFonts w:ascii="Times New Roman" w:hAnsi="Times New Roman" w:eastAsia="黑体" w:cs="Times New Roman"/>
          <w:b w:val="0"/>
          <w:bCs w:val="0"/>
          <w:sz w:val="36"/>
          <w:szCs w:val="24"/>
        </w:rPr>
      </w:pPr>
    </w:p>
    <w:bookmarkEnd w:id="99"/>
    <w:p w14:paraId="62839FB6">
      <w:pPr>
        <w:pStyle w:val="19"/>
        <w:widowControl/>
        <w:ind w:left="0" w:leftChars="0" w:firstLine="0" w:firstLineChars="0"/>
        <w:rPr>
          <w:rFonts w:ascii="Times New Roman" w:hAnsi="Times New Roman" w:eastAsia="宋体" w:cs="Times New Roman"/>
          <w:i w:val="0"/>
          <w:sz w:val="24"/>
          <w:szCs w:val="24"/>
        </w:rPr>
      </w:pPr>
    </w:p>
    <w:sectPr>
      <w:footerReference r:id="rId10" w:type="first"/>
      <w:footerReference r:id="rId9" w:type="default"/>
      <w:pgSz w:w="11906" w:h="16838"/>
      <w:pgMar w:top="1296" w:right="1296" w:bottom="1296" w:left="1296" w:header="720" w:footer="720" w:gutter="0"/>
      <w:pgBorders>
        <w:top w:val="none" w:sz="0" w:space="0"/>
        <w:left w:val="none" w:sz="0" w:space="0"/>
        <w:bottom w:val="none" w:sz="0" w:space="0"/>
        <w:right w:val="none" w:sz="0" w:space="0"/>
      </w:pgBorders>
      <w:pgNumType w:fmt="decimal" w:start="1"/>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ourier">
    <w:altName w:val="Courier New"/>
    <w:panose1 w:val="02000500000000000000"/>
    <w:charset w:val="00"/>
    <w:family w:val="auto"/>
    <w:pitch w:val="default"/>
    <w:sig w:usb0="00000000" w:usb1="00000000" w:usb2="00000000" w:usb3="00000000" w:csb0="00000001" w:csb1="00000000"/>
  </w:font>
  <w:font w:name="Calibri Light">
    <w:panose1 w:val="020F0302020204030204"/>
    <w:charset w:val="00"/>
    <w:family w:val="auto"/>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4B7C27">
    <w:pPr>
      <w:pStyle w:val="25"/>
      <w:jc w:val="center"/>
    </w:pPr>
    <w:r>
      <w:rPr>
        <w:rFonts w:ascii="微软雅黑" w:hAnsi="微软雅黑"/>
        <w:color w:val="64748B"/>
        <w:sz w:val="17"/>
      </w:rPr>
      <w:t>特变电工股份有限公司 · 内部绝密工程技术资产 严禁未经授权复制与外传</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0FCBB6">
    <w:pPr>
      <w:pStyle w:val="25"/>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4DEF02">
    <w:pPr>
      <w:pStyle w:val="2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CCE37">
    <w:pPr>
      <w:pStyle w:val="25"/>
      <w:jc w:val="center"/>
    </w:pPr>
    <w:r>
      <w:rPr>
        <w:sz w:val="17"/>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A179D1">
                          <w:pPr>
                            <w:pStyle w:val="25"/>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k3PuszAgAAYwQAAA4AAABkcnMvZTJvRG9jLnhtbK1UzY7TMBC+I/EO&#10;lu80aRdWVd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PUVJYZpVPz0/dvp&#10;x6/Tz68EZxCocWGGuAeHyNi+tS3aZjgPOEy828rr9AUjAj/kPV7kFW0kPF2aTqbTHC4O37ABfvZ4&#10;3fkQ3wmrSTIK6lG/TlZ22ITYhw4hKZuxa6lUV0NlSFPQ66s3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Kk3PuszAgAAYwQAAA4AAAAAAAAAAQAgAAAAHwEAAGRycy9lMm9Eb2MueG1sUEsF&#10;BgAAAAAGAAYAWQEAAMQFAAAAAA==&#10;">
              <v:fill on="f" focussize="0,0"/>
              <v:stroke on="f" weight="0.5pt"/>
              <v:imagedata o:title=""/>
              <o:lock v:ext="edit" aspectratio="f"/>
              <v:textbox inset="0mm,0mm,0mm,0mm" style="mso-fit-shape-to-text:t;">
                <w:txbxContent>
                  <w:p w14:paraId="0DA179D1">
                    <w:pPr>
                      <w:pStyle w:val="25"/>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1FC78A">
    <w:pPr>
      <w:pStyle w:val="25"/>
    </w:pP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AF75EA">
                          <w:pPr>
                            <w:pStyle w:val="2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RkSwgzAgAAYw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KRkSwgzAgAAYwQAAA4AAAAAAAAAAQAgAAAAHwEAAGRycy9lMm9Eb2MueG1sUEsF&#10;BgAAAAAGAAYAWQEAAMQFAAAAAA==&#10;">
              <v:fill on="f" focussize="0,0"/>
              <v:stroke on="f" weight="0.5pt"/>
              <v:imagedata o:title=""/>
              <o:lock v:ext="edit" aspectratio="f"/>
              <v:textbox inset="0mm,0mm,0mm,0mm" style="mso-fit-shape-to-text:t;">
                <w:txbxContent>
                  <w:p w14:paraId="3CAF75EA">
                    <w:pPr>
                      <w:pStyle w:val="2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EF97F2">
    <w:pPr>
      <w:pStyle w:val="26"/>
      <w:jc w:val="right"/>
    </w:pPr>
    <w:r>
      <w:rPr>
        <w:rFonts w:ascii="微软雅黑" w:hAnsi="微软雅黑"/>
        <w:color w:val="64748B"/>
        <w:sz w:val="17"/>
      </w:rPr>
      <w:t>特变电工能碳数字化双中心 · 产品需求规格说明书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D54F57"/>
    <w:multiLevelType w:val="singleLevel"/>
    <w:tmpl w:val="80D54F57"/>
    <w:lvl w:ilvl="0" w:tentative="0">
      <w:start w:val="1"/>
      <w:numFmt w:val="decimal"/>
      <w:suff w:val="space"/>
      <w:lvlText w:val=""/>
      <w:lvlJc w:val="left"/>
      <w:pPr>
        <w:ind w:left="0" w:firstLine="482"/>
      </w:pPr>
      <w:rPr>
        <w:rFonts w:hint="default"/>
      </w:rPr>
    </w:lvl>
  </w:abstractNum>
  <w:abstractNum w:abstractNumId="1">
    <w:nsid w:val="820F3A78"/>
    <w:multiLevelType w:val="singleLevel"/>
    <w:tmpl w:val="820F3A78"/>
    <w:lvl w:ilvl="0" w:tentative="0">
      <w:start w:val="1"/>
      <w:numFmt w:val="decimal"/>
      <w:suff w:val="space"/>
      <w:lvlText w:val=""/>
      <w:lvlJc w:val="left"/>
      <w:pPr>
        <w:ind w:left="0" w:firstLine="482"/>
      </w:pPr>
      <w:rPr>
        <w:rFonts w:hint="default"/>
      </w:rPr>
    </w:lvl>
  </w:abstractNum>
  <w:abstractNum w:abstractNumId="2">
    <w:nsid w:val="82DA92D6"/>
    <w:multiLevelType w:val="singleLevel"/>
    <w:tmpl w:val="82DA92D6"/>
    <w:lvl w:ilvl="0" w:tentative="0">
      <w:start w:val="1"/>
      <w:numFmt w:val="decimal"/>
      <w:suff w:val="space"/>
      <w:lvlText w:val=""/>
      <w:lvlJc w:val="left"/>
      <w:pPr>
        <w:ind w:left="0" w:firstLine="482"/>
      </w:pPr>
      <w:rPr>
        <w:rFonts w:hint="default"/>
      </w:rPr>
    </w:lvl>
  </w:abstractNum>
  <w:abstractNum w:abstractNumId="3">
    <w:nsid w:val="82E25BE8"/>
    <w:multiLevelType w:val="singleLevel"/>
    <w:tmpl w:val="82E25BE8"/>
    <w:lvl w:ilvl="0" w:tentative="0">
      <w:start w:val="1"/>
      <w:numFmt w:val="decimal"/>
      <w:suff w:val="space"/>
      <w:lvlText w:val=""/>
      <w:lvlJc w:val="left"/>
      <w:pPr>
        <w:ind w:left="0" w:firstLine="482"/>
      </w:pPr>
      <w:rPr>
        <w:rFonts w:hint="default"/>
      </w:rPr>
    </w:lvl>
  </w:abstractNum>
  <w:abstractNum w:abstractNumId="4">
    <w:nsid w:val="831AFA9C"/>
    <w:multiLevelType w:val="singleLevel"/>
    <w:tmpl w:val="831AFA9C"/>
    <w:lvl w:ilvl="0" w:tentative="0">
      <w:start w:val="1"/>
      <w:numFmt w:val="decimal"/>
      <w:suff w:val="space"/>
      <w:lvlText w:val=""/>
      <w:lvlJc w:val="left"/>
      <w:pPr>
        <w:ind w:left="0" w:firstLine="482"/>
      </w:pPr>
      <w:rPr>
        <w:rFonts w:hint="default"/>
      </w:rPr>
    </w:lvl>
  </w:abstractNum>
  <w:abstractNum w:abstractNumId="5">
    <w:nsid w:val="83BBF6EF"/>
    <w:multiLevelType w:val="singleLevel"/>
    <w:tmpl w:val="83BBF6EF"/>
    <w:lvl w:ilvl="0" w:tentative="0">
      <w:start w:val="1"/>
      <w:numFmt w:val="chineseCounting"/>
      <w:suff w:val="nothing"/>
      <w:lvlText w:val="%1、"/>
      <w:lvlJc w:val="left"/>
      <w:pPr>
        <w:ind w:left="0" w:firstLine="0"/>
      </w:pPr>
      <w:rPr>
        <w:rFonts w:hint="eastAsia"/>
      </w:rPr>
    </w:lvl>
  </w:abstractNum>
  <w:abstractNum w:abstractNumId="6">
    <w:nsid w:val="8739E8F0"/>
    <w:multiLevelType w:val="singleLevel"/>
    <w:tmpl w:val="8739E8F0"/>
    <w:lvl w:ilvl="0" w:tentative="0">
      <w:start w:val="1"/>
      <w:numFmt w:val="decimal"/>
      <w:suff w:val="space"/>
      <w:lvlText w:val="【%1】"/>
      <w:lvlJc w:val="left"/>
      <w:pPr>
        <w:ind w:left="0" w:firstLine="0"/>
      </w:pPr>
      <w:rPr>
        <w:rFonts w:hint="default"/>
      </w:rPr>
    </w:lvl>
  </w:abstractNum>
  <w:abstractNum w:abstractNumId="7">
    <w:nsid w:val="874C51EF"/>
    <w:multiLevelType w:val="singleLevel"/>
    <w:tmpl w:val="874C51EF"/>
    <w:lvl w:ilvl="0" w:tentative="0">
      <w:start w:val="1"/>
      <w:numFmt w:val="decimal"/>
      <w:suff w:val="space"/>
      <w:lvlText w:val=""/>
      <w:lvlJc w:val="left"/>
      <w:pPr>
        <w:ind w:left="0" w:firstLine="482"/>
      </w:pPr>
      <w:rPr>
        <w:rFonts w:hint="default"/>
      </w:rPr>
    </w:lvl>
  </w:abstractNum>
  <w:abstractNum w:abstractNumId="8">
    <w:nsid w:val="8780A424"/>
    <w:multiLevelType w:val="singleLevel"/>
    <w:tmpl w:val="8780A424"/>
    <w:lvl w:ilvl="0" w:tentative="0">
      <w:start w:val="1"/>
      <w:numFmt w:val="chineseCounting"/>
      <w:suff w:val="nothing"/>
      <w:lvlText w:val="%1、"/>
      <w:lvlJc w:val="left"/>
      <w:pPr>
        <w:ind w:left="0" w:firstLine="0"/>
      </w:pPr>
      <w:rPr>
        <w:rFonts w:hint="eastAsia"/>
      </w:rPr>
    </w:lvl>
  </w:abstractNum>
  <w:abstractNum w:abstractNumId="9">
    <w:nsid w:val="88372269"/>
    <w:multiLevelType w:val="singleLevel"/>
    <w:tmpl w:val="88372269"/>
    <w:lvl w:ilvl="0" w:tentative="0">
      <w:start w:val="1"/>
      <w:numFmt w:val="decimal"/>
      <w:suff w:val="space"/>
      <w:lvlText w:val=""/>
      <w:lvlJc w:val="left"/>
      <w:pPr>
        <w:ind w:left="0" w:firstLine="482"/>
      </w:pPr>
      <w:rPr>
        <w:rFonts w:hint="default"/>
      </w:rPr>
    </w:lvl>
  </w:abstractNum>
  <w:abstractNum w:abstractNumId="10">
    <w:nsid w:val="88C83874"/>
    <w:multiLevelType w:val="singleLevel"/>
    <w:tmpl w:val="88C83874"/>
    <w:lvl w:ilvl="0" w:tentative="0">
      <w:start w:val="1"/>
      <w:numFmt w:val="decimal"/>
      <w:suff w:val="space"/>
      <w:lvlText w:val="【%1】"/>
      <w:lvlJc w:val="left"/>
      <w:pPr>
        <w:ind w:left="0" w:firstLine="0"/>
      </w:pPr>
      <w:rPr>
        <w:rFonts w:hint="default"/>
      </w:rPr>
    </w:lvl>
  </w:abstractNum>
  <w:abstractNum w:abstractNumId="11">
    <w:nsid w:val="894ED6A5"/>
    <w:multiLevelType w:val="singleLevel"/>
    <w:tmpl w:val="894ED6A5"/>
    <w:lvl w:ilvl="0" w:tentative="0">
      <w:start w:val="1"/>
      <w:numFmt w:val="decimal"/>
      <w:suff w:val="space"/>
      <w:lvlText w:val=""/>
      <w:lvlJc w:val="left"/>
      <w:pPr>
        <w:ind w:left="0" w:firstLine="482"/>
      </w:pPr>
      <w:rPr>
        <w:rFonts w:hint="default"/>
      </w:rPr>
    </w:lvl>
  </w:abstractNum>
  <w:abstractNum w:abstractNumId="12">
    <w:nsid w:val="8C7E2EA9"/>
    <w:multiLevelType w:val="singleLevel"/>
    <w:tmpl w:val="8C7E2EA9"/>
    <w:lvl w:ilvl="0" w:tentative="0">
      <w:start w:val="1"/>
      <w:numFmt w:val="decimal"/>
      <w:suff w:val="space"/>
      <w:lvlText w:val=""/>
      <w:lvlJc w:val="left"/>
      <w:pPr>
        <w:ind w:left="0" w:firstLine="482"/>
      </w:pPr>
      <w:rPr>
        <w:rFonts w:hint="default"/>
      </w:rPr>
    </w:lvl>
  </w:abstractNum>
  <w:abstractNum w:abstractNumId="13">
    <w:nsid w:val="8D6C8592"/>
    <w:multiLevelType w:val="singleLevel"/>
    <w:tmpl w:val="8D6C8592"/>
    <w:lvl w:ilvl="0" w:tentative="0">
      <w:start w:val="1"/>
      <w:numFmt w:val="decimal"/>
      <w:suff w:val="space"/>
      <w:lvlText w:val=""/>
      <w:lvlJc w:val="left"/>
      <w:pPr>
        <w:ind w:left="0" w:firstLine="482"/>
      </w:pPr>
      <w:rPr>
        <w:rFonts w:hint="default"/>
      </w:rPr>
    </w:lvl>
  </w:abstractNum>
  <w:abstractNum w:abstractNumId="14">
    <w:nsid w:val="8E05F43A"/>
    <w:multiLevelType w:val="singleLevel"/>
    <w:tmpl w:val="8E05F43A"/>
    <w:lvl w:ilvl="0" w:tentative="0">
      <w:start w:val="1"/>
      <w:numFmt w:val="decimal"/>
      <w:suff w:val="space"/>
      <w:lvlText w:val="%1."/>
      <w:lvlJc w:val="left"/>
      <w:pPr>
        <w:ind w:left="0" w:firstLine="0"/>
      </w:pPr>
      <w:rPr>
        <w:rFonts w:hint="default"/>
      </w:rPr>
    </w:lvl>
  </w:abstractNum>
  <w:abstractNum w:abstractNumId="15">
    <w:nsid w:val="9121E8EF"/>
    <w:multiLevelType w:val="singleLevel"/>
    <w:tmpl w:val="9121E8EF"/>
    <w:lvl w:ilvl="0" w:tentative="0">
      <w:start w:val="1"/>
      <w:numFmt w:val="decimal"/>
      <w:suff w:val="space"/>
      <w:lvlText w:val=""/>
      <w:lvlJc w:val="left"/>
      <w:pPr>
        <w:ind w:left="0" w:firstLine="482"/>
      </w:pPr>
      <w:rPr>
        <w:rFonts w:hint="default"/>
      </w:rPr>
    </w:lvl>
  </w:abstractNum>
  <w:abstractNum w:abstractNumId="16">
    <w:nsid w:val="91F629E4"/>
    <w:multiLevelType w:val="singleLevel"/>
    <w:tmpl w:val="91F629E4"/>
    <w:lvl w:ilvl="0" w:tentative="0">
      <w:start w:val="1"/>
      <w:numFmt w:val="decimal"/>
      <w:suff w:val="space"/>
      <w:lvlText w:val="%1."/>
      <w:lvlJc w:val="left"/>
      <w:pPr>
        <w:ind w:left="0" w:firstLine="0"/>
      </w:pPr>
      <w:rPr>
        <w:rFonts w:hint="default"/>
      </w:rPr>
    </w:lvl>
  </w:abstractNum>
  <w:abstractNum w:abstractNumId="17">
    <w:nsid w:val="93163AA2"/>
    <w:multiLevelType w:val="singleLevel"/>
    <w:tmpl w:val="93163AA2"/>
    <w:lvl w:ilvl="0" w:tentative="0">
      <w:start w:val="1"/>
      <w:numFmt w:val="decimal"/>
      <w:suff w:val="space"/>
      <w:lvlText w:val=""/>
      <w:lvlJc w:val="left"/>
      <w:pPr>
        <w:ind w:left="0" w:firstLine="482"/>
      </w:pPr>
      <w:rPr>
        <w:rFonts w:hint="default"/>
      </w:rPr>
    </w:lvl>
  </w:abstractNum>
  <w:abstractNum w:abstractNumId="18">
    <w:nsid w:val="93AB7A85"/>
    <w:multiLevelType w:val="singleLevel"/>
    <w:tmpl w:val="93AB7A85"/>
    <w:lvl w:ilvl="0" w:tentative="0">
      <w:start w:val="1"/>
      <w:numFmt w:val="decimal"/>
      <w:suff w:val="space"/>
      <w:lvlText w:val=""/>
      <w:lvlJc w:val="left"/>
      <w:pPr>
        <w:ind w:left="0" w:firstLine="482"/>
      </w:pPr>
      <w:rPr>
        <w:rFonts w:hint="default"/>
      </w:rPr>
    </w:lvl>
  </w:abstractNum>
  <w:abstractNum w:abstractNumId="19">
    <w:nsid w:val="9448DE20"/>
    <w:multiLevelType w:val="singleLevel"/>
    <w:tmpl w:val="9448DE20"/>
    <w:lvl w:ilvl="0" w:tentative="0">
      <w:start w:val="1"/>
      <w:numFmt w:val="decimal"/>
      <w:suff w:val="space"/>
      <w:lvlText w:val="【%1】"/>
      <w:lvlJc w:val="left"/>
      <w:pPr>
        <w:ind w:left="0" w:firstLine="0"/>
      </w:pPr>
      <w:rPr>
        <w:rFonts w:hint="default"/>
      </w:rPr>
    </w:lvl>
  </w:abstractNum>
  <w:abstractNum w:abstractNumId="20">
    <w:nsid w:val="94D49AA1"/>
    <w:multiLevelType w:val="singleLevel"/>
    <w:tmpl w:val="94D49AA1"/>
    <w:lvl w:ilvl="0" w:tentative="0">
      <w:start w:val="1"/>
      <w:numFmt w:val="decimal"/>
      <w:suff w:val="space"/>
      <w:lvlText w:val=""/>
      <w:lvlJc w:val="left"/>
      <w:pPr>
        <w:ind w:left="0" w:firstLine="482"/>
      </w:pPr>
      <w:rPr>
        <w:rFonts w:hint="default"/>
      </w:rPr>
    </w:lvl>
  </w:abstractNum>
  <w:abstractNum w:abstractNumId="21">
    <w:nsid w:val="9616636A"/>
    <w:multiLevelType w:val="singleLevel"/>
    <w:tmpl w:val="9616636A"/>
    <w:lvl w:ilvl="0" w:tentative="0">
      <w:start w:val="1"/>
      <w:numFmt w:val="decimal"/>
      <w:suff w:val="space"/>
      <w:lvlText w:val=""/>
      <w:lvlJc w:val="left"/>
      <w:pPr>
        <w:ind w:left="0" w:firstLine="482"/>
      </w:pPr>
      <w:rPr>
        <w:rFonts w:hint="default"/>
      </w:rPr>
    </w:lvl>
  </w:abstractNum>
  <w:abstractNum w:abstractNumId="22">
    <w:nsid w:val="97737BDD"/>
    <w:multiLevelType w:val="singleLevel"/>
    <w:tmpl w:val="97737BDD"/>
    <w:lvl w:ilvl="0" w:tentative="0">
      <w:start w:val="1"/>
      <w:numFmt w:val="decimal"/>
      <w:suff w:val="space"/>
      <w:lvlText w:val=""/>
      <w:lvlJc w:val="left"/>
      <w:pPr>
        <w:ind w:left="0" w:firstLine="482"/>
      </w:pPr>
      <w:rPr>
        <w:rFonts w:hint="default"/>
      </w:rPr>
    </w:lvl>
  </w:abstractNum>
  <w:abstractNum w:abstractNumId="23">
    <w:nsid w:val="98C262C9"/>
    <w:multiLevelType w:val="singleLevel"/>
    <w:tmpl w:val="98C262C9"/>
    <w:lvl w:ilvl="0" w:tentative="0">
      <w:start w:val="1"/>
      <w:numFmt w:val="decimal"/>
      <w:suff w:val="space"/>
      <w:lvlText w:val="%1."/>
      <w:lvlJc w:val="left"/>
      <w:pPr>
        <w:ind w:left="0" w:firstLine="482"/>
      </w:pPr>
      <w:rPr>
        <w:rFonts w:hint="default"/>
      </w:rPr>
    </w:lvl>
  </w:abstractNum>
  <w:abstractNum w:abstractNumId="24">
    <w:nsid w:val="9A2216C5"/>
    <w:multiLevelType w:val="singleLevel"/>
    <w:tmpl w:val="9A2216C5"/>
    <w:lvl w:ilvl="0" w:tentative="0">
      <w:start w:val="1"/>
      <w:numFmt w:val="decimal"/>
      <w:suff w:val="space"/>
      <w:lvlText w:val=""/>
      <w:lvlJc w:val="left"/>
      <w:pPr>
        <w:ind w:left="0" w:firstLine="482"/>
      </w:pPr>
      <w:rPr>
        <w:rFonts w:hint="default"/>
      </w:rPr>
    </w:lvl>
  </w:abstractNum>
  <w:abstractNum w:abstractNumId="25">
    <w:nsid w:val="9B80752E"/>
    <w:multiLevelType w:val="singleLevel"/>
    <w:tmpl w:val="9B80752E"/>
    <w:lvl w:ilvl="0" w:tentative="0">
      <w:start w:val="1"/>
      <w:numFmt w:val="decimal"/>
      <w:suff w:val="space"/>
      <w:lvlText w:val=""/>
      <w:lvlJc w:val="left"/>
      <w:pPr>
        <w:ind w:left="0" w:firstLine="482"/>
      </w:pPr>
      <w:rPr>
        <w:rFonts w:hint="default"/>
      </w:rPr>
    </w:lvl>
  </w:abstractNum>
  <w:abstractNum w:abstractNumId="26">
    <w:nsid w:val="9BCCBD02"/>
    <w:multiLevelType w:val="singleLevel"/>
    <w:tmpl w:val="9BCCBD02"/>
    <w:lvl w:ilvl="0" w:tentative="0">
      <w:start w:val="1"/>
      <w:numFmt w:val="decimal"/>
      <w:suff w:val="space"/>
      <w:lvlText w:val=""/>
      <w:lvlJc w:val="left"/>
      <w:pPr>
        <w:ind w:left="0" w:firstLine="482"/>
      </w:pPr>
      <w:rPr>
        <w:rFonts w:hint="default"/>
      </w:rPr>
    </w:lvl>
  </w:abstractNum>
  <w:abstractNum w:abstractNumId="27">
    <w:nsid w:val="9C63BAD2"/>
    <w:multiLevelType w:val="singleLevel"/>
    <w:tmpl w:val="9C63BAD2"/>
    <w:lvl w:ilvl="0" w:tentative="0">
      <w:start w:val="1"/>
      <w:numFmt w:val="decimal"/>
      <w:suff w:val="space"/>
      <w:lvlText w:val=""/>
      <w:lvlJc w:val="left"/>
      <w:pPr>
        <w:ind w:left="0" w:firstLine="482"/>
      </w:pPr>
      <w:rPr>
        <w:rFonts w:hint="default"/>
      </w:rPr>
    </w:lvl>
  </w:abstractNum>
  <w:abstractNum w:abstractNumId="28">
    <w:nsid w:val="9C8EB453"/>
    <w:multiLevelType w:val="singleLevel"/>
    <w:tmpl w:val="9C8EB453"/>
    <w:lvl w:ilvl="0" w:tentative="0">
      <w:start w:val="1"/>
      <w:numFmt w:val="decimal"/>
      <w:suff w:val="space"/>
      <w:lvlText w:val="【%1】"/>
      <w:lvlJc w:val="left"/>
      <w:pPr>
        <w:ind w:left="0" w:firstLine="0"/>
      </w:pPr>
      <w:rPr>
        <w:rFonts w:hint="default"/>
      </w:rPr>
    </w:lvl>
  </w:abstractNum>
  <w:abstractNum w:abstractNumId="29">
    <w:nsid w:val="9F9B1FAA"/>
    <w:multiLevelType w:val="singleLevel"/>
    <w:tmpl w:val="9F9B1FAA"/>
    <w:lvl w:ilvl="0" w:tentative="0">
      <w:start w:val="1"/>
      <w:numFmt w:val="chineseCounting"/>
      <w:suff w:val="nothing"/>
      <w:lvlText w:val="%1、"/>
      <w:lvlJc w:val="left"/>
      <w:pPr>
        <w:ind w:left="0" w:firstLine="0"/>
      </w:pPr>
      <w:rPr>
        <w:rFonts w:hint="eastAsia"/>
      </w:rPr>
    </w:lvl>
  </w:abstractNum>
  <w:abstractNum w:abstractNumId="30">
    <w:nsid w:val="A0EA38E5"/>
    <w:multiLevelType w:val="singleLevel"/>
    <w:tmpl w:val="A0EA38E5"/>
    <w:lvl w:ilvl="0" w:tentative="0">
      <w:start w:val="1"/>
      <w:numFmt w:val="decimal"/>
      <w:suff w:val="space"/>
      <w:lvlText w:val="【%1】"/>
      <w:lvlJc w:val="left"/>
      <w:pPr>
        <w:ind w:left="0" w:firstLine="0"/>
      </w:pPr>
      <w:rPr>
        <w:rFonts w:hint="default"/>
      </w:rPr>
    </w:lvl>
  </w:abstractNum>
  <w:abstractNum w:abstractNumId="31">
    <w:nsid w:val="A3067F8E"/>
    <w:multiLevelType w:val="singleLevel"/>
    <w:tmpl w:val="A3067F8E"/>
    <w:lvl w:ilvl="0" w:tentative="0">
      <w:start w:val="1"/>
      <w:numFmt w:val="decimal"/>
      <w:suff w:val="space"/>
      <w:lvlText w:val="【%1】"/>
      <w:lvlJc w:val="left"/>
      <w:pPr>
        <w:ind w:left="0" w:firstLine="0"/>
      </w:pPr>
      <w:rPr>
        <w:rFonts w:hint="default"/>
      </w:rPr>
    </w:lvl>
  </w:abstractNum>
  <w:abstractNum w:abstractNumId="32">
    <w:nsid w:val="A41D6A06"/>
    <w:multiLevelType w:val="singleLevel"/>
    <w:tmpl w:val="A41D6A06"/>
    <w:lvl w:ilvl="0" w:tentative="0">
      <w:start w:val="1"/>
      <w:numFmt w:val="decimal"/>
      <w:suff w:val="space"/>
      <w:lvlText w:val=""/>
      <w:lvlJc w:val="left"/>
      <w:pPr>
        <w:ind w:left="0" w:firstLine="482"/>
      </w:pPr>
      <w:rPr>
        <w:rFonts w:hint="default"/>
      </w:rPr>
    </w:lvl>
  </w:abstractNum>
  <w:abstractNum w:abstractNumId="33">
    <w:nsid w:val="A7CA51FE"/>
    <w:multiLevelType w:val="singleLevel"/>
    <w:tmpl w:val="A7CA51FE"/>
    <w:lvl w:ilvl="0" w:tentative="0">
      <w:start w:val="1"/>
      <w:numFmt w:val="decimal"/>
      <w:suff w:val="space"/>
      <w:lvlText w:val="【%1】"/>
      <w:lvlJc w:val="left"/>
      <w:pPr>
        <w:ind w:left="0" w:firstLine="0"/>
      </w:pPr>
      <w:rPr>
        <w:rFonts w:hint="default"/>
      </w:rPr>
    </w:lvl>
  </w:abstractNum>
  <w:abstractNum w:abstractNumId="34">
    <w:nsid w:val="AA2DFE47"/>
    <w:multiLevelType w:val="singleLevel"/>
    <w:tmpl w:val="AA2DFE47"/>
    <w:lvl w:ilvl="0" w:tentative="0">
      <w:start w:val="1"/>
      <w:numFmt w:val="decimal"/>
      <w:suff w:val="space"/>
      <w:lvlText w:val=""/>
      <w:lvlJc w:val="left"/>
      <w:pPr>
        <w:ind w:left="0" w:firstLine="482"/>
      </w:pPr>
      <w:rPr>
        <w:rFonts w:hint="default"/>
      </w:rPr>
    </w:lvl>
  </w:abstractNum>
  <w:abstractNum w:abstractNumId="35">
    <w:nsid w:val="AC93C784"/>
    <w:multiLevelType w:val="singleLevel"/>
    <w:tmpl w:val="AC93C784"/>
    <w:lvl w:ilvl="0" w:tentative="0">
      <w:start w:val="1"/>
      <w:numFmt w:val="decimal"/>
      <w:suff w:val="space"/>
      <w:lvlText w:val=""/>
      <w:lvlJc w:val="left"/>
      <w:pPr>
        <w:ind w:left="0" w:firstLine="482"/>
      </w:pPr>
      <w:rPr>
        <w:rFonts w:hint="default"/>
      </w:rPr>
    </w:lvl>
  </w:abstractNum>
  <w:abstractNum w:abstractNumId="36">
    <w:nsid w:val="ADDA889F"/>
    <w:multiLevelType w:val="singleLevel"/>
    <w:tmpl w:val="ADDA889F"/>
    <w:lvl w:ilvl="0" w:tentative="0">
      <w:start w:val="1"/>
      <w:numFmt w:val="decimal"/>
      <w:suff w:val="space"/>
      <w:lvlText w:val=""/>
      <w:lvlJc w:val="left"/>
      <w:pPr>
        <w:ind w:left="0" w:firstLine="482"/>
      </w:pPr>
      <w:rPr>
        <w:rFonts w:hint="default"/>
      </w:rPr>
    </w:lvl>
  </w:abstractNum>
  <w:abstractNum w:abstractNumId="37">
    <w:nsid w:val="AF8151C9"/>
    <w:multiLevelType w:val="singleLevel"/>
    <w:tmpl w:val="AF8151C9"/>
    <w:lvl w:ilvl="0" w:tentative="0">
      <w:start w:val="1"/>
      <w:numFmt w:val="decimal"/>
      <w:suff w:val="space"/>
      <w:lvlText w:val=""/>
      <w:lvlJc w:val="left"/>
      <w:pPr>
        <w:ind w:left="0" w:firstLine="482"/>
      </w:pPr>
      <w:rPr>
        <w:rFonts w:hint="default"/>
      </w:rPr>
    </w:lvl>
  </w:abstractNum>
  <w:abstractNum w:abstractNumId="38">
    <w:nsid w:val="AFCCCA87"/>
    <w:multiLevelType w:val="singleLevel"/>
    <w:tmpl w:val="AFCCCA87"/>
    <w:lvl w:ilvl="0" w:tentative="0">
      <w:start w:val="1"/>
      <w:numFmt w:val="decimal"/>
      <w:suff w:val="space"/>
      <w:lvlText w:val=""/>
      <w:lvlJc w:val="left"/>
      <w:pPr>
        <w:ind w:left="0" w:firstLine="482"/>
      </w:pPr>
      <w:rPr>
        <w:rFonts w:hint="default"/>
      </w:rPr>
    </w:lvl>
  </w:abstractNum>
  <w:abstractNum w:abstractNumId="39">
    <w:nsid w:val="B04D49AE"/>
    <w:multiLevelType w:val="singleLevel"/>
    <w:tmpl w:val="B04D49AE"/>
    <w:lvl w:ilvl="0" w:tentative="0">
      <w:start w:val="1"/>
      <w:numFmt w:val="decimal"/>
      <w:suff w:val="space"/>
      <w:lvlText w:val=""/>
      <w:lvlJc w:val="left"/>
      <w:pPr>
        <w:ind w:left="0" w:firstLine="482"/>
      </w:pPr>
      <w:rPr>
        <w:rFonts w:hint="default"/>
      </w:rPr>
    </w:lvl>
  </w:abstractNum>
  <w:abstractNum w:abstractNumId="40">
    <w:nsid w:val="B0C880EB"/>
    <w:multiLevelType w:val="singleLevel"/>
    <w:tmpl w:val="B0C880EB"/>
    <w:lvl w:ilvl="0" w:tentative="0">
      <w:start w:val="1"/>
      <w:numFmt w:val="decimal"/>
      <w:suff w:val="space"/>
      <w:lvlText w:val=""/>
      <w:lvlJc w:val="left"/>
      <w:pPr>
        <w:ind w:left="0" w:firstLine="482"/>
      </w:pPr>
      <w:rPr>
        <w:rFonts w:hint="default"/>
      </w:rPr>
    </w:lvl>
  </w:abstractNum>
  <w:abstractNum w:abstractNumId="41">
    <w:nsid w:val="B22256EE"/>
    <w:multiLevelType w:val="singleLevel"/>
    <w:tmpl w:val="B22256EE"/>
    <w:lvl w:ilvl="0" w:tentative="0">
      <w:start w:val="1"/>
      <w:numFmt w:val="decimal"/>
      <w:suff w:val="space"/>
      <w:lvlText w:val=""/>
      <w:lvlJc w:val="left"/>
      <w:pPr>
        <w:ind w:left="0" w:firstLine="482"/>
      </w:pPr>
      <w:rPr>
        <w:rFonts w:hint="default"/>
      </w:rPr>
    </w:lvl>
  </w:abstractNum>
  <w:abstractNum w:abstractNumId="42">
    <w:nsid w:val="B28BE648"/>
    <w:multiLevelType w:val="singleLevel"/>
    <w:tmpl w:val="B28BE648"/>
    <w:lvl w:ilvl="0" w:tentative="0">
      <w:start w:val="1"/>
      <w:numFmt w:val="decimal"/>
      <w:suff w:val="space"/>
      <w:lvlText w:val=""/>
      <w:lvlJc w:val="left"/>
      <w:pPr>
        <w:ind w:left="0" w:firstLine="482"/>
      </w:pPr>
      <w:rPr>
        <w:rFonts w:hint="default"/>
      </w:rPr>
    </w:lvl>
  </w:abstractNum>
  <w:abstractNum w:abstractNumId="43">
    <w:nsid w:val="B2BFCCE0"/>
    <w:multiLevelType w:val="singleLevel"/>
    <w:tmpl w:val="B2BFCCE0"/>
    <w:lvl w:ilvl="0" w:tentative="0">
      <w:start w:val="1"/>
      <w:numFmt w:val="decimal"/>
      <w:suff w:val="space"/>
      <w:lvlText w:val="【%1】"/>
      <w:lvlJc w:val="left"/>
      <w:pPr>
        <w:ind w:left="0" w:firstLine="0"/>
      </w:pPr>
      <w:rPr>
        <w:rFonts w:hint="default"/>
      </w:rPr>
    </w:lvl>
  </w:abstractNum>
  <w:abstractNum w:abstractNumId="44">
    <w:nsid w:val="B35A5435"/>
    <w:multiLevelType w:val="singleLevel"/>
    <w:tmpl w:val="B35A5435"/>
    <w:lvl w:ilvl="0" w:tentative="0">
      <w:start w:val="1"/>
      <w:numFmt w:val="decimal"/>
      <w:suff w:val="space"/>
      <w:lvlText w:val=""/>
      <w:lvlJc w:val="left"/>
      <w:pPr>
        <w:ind w:left="0" w:firstLine="482"/>
      </w:pPr>
      <w:rPr>
        <w:rFonts w:hint="default"/>
      </w:rPr>
    </w:lvl>
  </w:abstractNum>
  <w:abstractNum w:abstractNumId="45">
    <w:nsid w:val="B48EAF7B"/>
    <w:multiLevelType w:val="singleLevel"/>
    <w:tmpl w:val="B48EAF7B"/>
    <w:lvl w:ilvl="0" w:tentative="0">
      <w:start w:val="1"/>
      <w:numFmt w:val="decimal"/>
      <w:suff w:val="space"/>
      <w:lvlText w:val=""/>
      <w:lvlJc w:val="left"/>
      <w:pPr>
        <w:ind w:left="0" w:firstLine="482"/>
      </w:pPr>
      <w:rPr>
        <w:rFonts w:hint="default"/>
      </w:rPr>
    </w:lvl>
  </w:abstractNum>
  <w:abstractNum w:abstractNumId="46">
    <w:nsid w:val="B4C90ECC"/>
    <w:multiLevelType w:val="singleLevel"/>
    <w:tmpl w:val="B4C90ECC"/>
    <w:lvl w:ilvl="0" w:tentative="0">
      <w:start w:val="1"/>
      <w:numFmt w:val="decimal"/>
      <w:suff w:val="space"/>
      <w:lvlText w:val=""/>
      <w:lvlJc w:val="left"/>
      <w:pPr>
        <w:ind w:left="0" w:firstLine="482"/>
      </w:pPr>
      <w:rPr>
        <w:rFonts w:hint="default"/>
      </w:rPr>
    </w:lvl>
  </w:abstractNum>
  <w:abstractNum w:abstractNumId="47">
    <w:nsid w:val="B4C9B943"/>
    <w:multiLevelType w:val="singleLevel"/>
    <w:tmpl w:val="B4C9B943"/>
    <w:lvl w:ilvl="0" w:tentative="0">
      <w:start w:val="1"/>
      <w:numFmt w:val="decimal"/>
      <w:suff w:val="space"/>
      <w:lvlText w:val="【%1】"/>
      <w:lvlJc w:val="left"/>
      <w:pPr>
        <w:ind w:left="0" w:firstLine="0"/>
      </w:pPr>
      <w:rPr>
        <w:rFonts w:hint="default"/>
      </w:rPr>
    </w:lvl>
  </w:abstractNum>
  <w:abstractNum w:abstractNumId="48">
    <w:nsid w:val="B553E780"/>
    <w:multiLevelType w:val="singleLevel"/>
    <w:tmpl w:val="B553E780"/>
    <w:lvl w:ilvl="0" w:tentative="0">
      <w:start w:val="1"/>
      <w:numFmt w:val="decimal"/>
      <w:suff w:val="space"/>
      <w:lvlText w:val="【%1】"/>
      <w:lvlJc w:val="left"/>
      <w:pPr>
        <w:ind w:left="0" w:firstLine="0"/>
      </w:pPr>
      <w:rPr>
        <w:rFonts w:hint="default"/>
      </w:rPr>
    </w:lvl>
  </w:abstractNum>
  <w:abstractNum w:abstractNumId="49">
    <w:nsid w:val="B59620D3"/>
    <w:multiLevelType w:val="singleLevel"/>
    <w:tmpl w:val="B59620D3"/>
    <w:lvl w:ilvl="0" w:tentative="0">
      <w:start w:val="1"/>
      <w:numFmt w:val="decimal"/>
      <w:suff w:val="space"/>
      <w:lvlText w:val="【%1】"/>
      <w:lvlJc w:val="left"/>
      <w:pPr>
        <w:ind w:left="0" w:firstLine="0"/>
      </w:pPr>
      <w:rPr>
        <w:rFonts w:hint="default"/>
      </w:rPr>
    </w:lvl>
  </w:abstractNum>
  <w:abstractNum w:abstractNumId="50">
    <w:nsid w:val="B5C311DC"/>
    <w:multiLevelType w:val="singleLevel"/>
    <w:tmpl w:val="B5C311DC"/>
    <w:lvl w:ilvl="0" w:tentative="0">
      <w:start w:val="1"/>
      <w:numFmt w:val="decimal"/>
      <w:suff w:val="space"/>
      <w:lvlText w:val=""/>
      <w:lvlJc w:val="left"/>
      <w:pPr>
        <w:ind w:left="0" w:firstLine="482"/>
      </w:pPr>
      <w:rPr>
        <w:rFonts w:hint="default"/>
      </w:rPr>
    </w:lvl>
  </w:abstractNum>
  <w:abstractNum w:abstractNumId="51">
    <w:nsid w:val="B65793F7"/>
    <w:multiLevelType w:val="singleLevel"/>
    <w:tmpl w:val="B65793F7"/>
    <w:lvl w:ilvl="0" w:tentative="0">
      <w:start w:val="1"/>
      <w:numFmt w:val="decimal"/>
      <w:suff w:val="space"/>
      <w:lvlText w:val=""/>
      <w:lvlJc w:val="left"/>
      <w:pPr>
        <w:ind w:left="0" w:firstLine="482"/>
      </w:pPr>
      <w:rPr>
        <w:rFonts w:hint="default"/>
      </w:rPr>
    </w:lvl>
  </w:abstractNum>
  <w:abstractNum w:abstractNumId="52">
    <w:nsid w:val="B71ADD81"/>
    <w:multiLevelType w:val="singleLevel"/>
    <w:tmpl w:val="B71ADD81"/>
    <w:lvl w:ilvl="0" w:tentative="0">
      <w:start w:val="1"/>
      <w:numFmt w:val="decimal"/>
      <w:suff w:val="space"/>
      <w:lvlText w:val="【%1】"/>
      <w:lvlJc w:val="left"/>
      <w:pPr>
        <w:ind w:left="0" w:firstLine="0"/>
      </w:pPr>
      <w:rPr>
        <w:rFonts w:hint="default"/>
      </w:rPr>
    </w:lvl>
  </w:abstractNum>
  <w:abstractNum w:abstractNumId="53">
    <w:nsid w:val="B73178AC"/>
    <w:multiLevelType w:val="singleLevel"/>
    <w:tmpl w:val="B73178AC"/>
    <w:lvl w:ilvl="0" w:tentative="0">
      <w:start w:val="1"/>
      <w:numFmt w:val="decimal"/>
      <w:suff w:val="space"/>
      <w:lvlText w:val=""/>
      <w:lvlJc w:val="left"/>
      <w:pPr>
        <w:ind w:left="0" w:firstLine="482"/>
      </w:pPr>
      <w:rPr>
        <w:rFonts w:hint="default"/>
      </w:rPr>
    </w:lvl>
  </w:abstractNum>
  <w:abstractNum w:abstractNumId="54">
    <w:nsid w:val="B83988F1"/>
    <w:multiLevelType w:val="singleLevel"/>
    <w:tmpl w:val="B83988F1"/>
    <w:lvl w:ilvl="0" w:tentative="0">
      <w:start w:val="1"/>
      <w:numFmt w:val="decimal"/>
      <w:suff w:val="space"/>
      <w:lvlText w:val="3.%1"/>
      <w:lvlJc w:val="left"/>
      <w:pPr>
        <w:ind w:left="0" w:firstLine="0"/>
      </w:pPr>
      <w:rPr>
        <w:rFonts w:hint="default"/>
      </w:rPr>
    </w:lvl>
  </w:abstractNum>
  <w:abstractNum w:abstractNumId="55">
    <w:nsid w:val="B95D45D7"/>
    <w:multiLevelType w:val="singleLevel"/>
    <w:tmpl w:val="B95D45D7"/>
    <w:lvl w:ilvl="0" w:tentative="0">
      <w:start w:val="1"/>
      <w:numFmt w:val="decimal"/>
      <w:suff w:val="space"/>
      <w:lvlText w:val="【%1】"/>
      <w:lvlJc w:val="left"/>
      <w:pPr>
        <w:ind w:left="0" w:firstLine="0"/>
      </w:pPr>
      <w:rPr>
        <w:rFonts w:hint="default"/>
      </w:rPr>
    </w:lvl>
  </w:abstractNum>
  <w:abstractNum w:abstractNumId="56">
    <w:nsid w:val="B982AEB1"/>
    <w:multiLevelType w:val="singleLevel"/>
    <w:tmpl w:val="B982AEB1"/>
    <w:lvl w:ilvl="0" w:tentative="0">
      <w:start w:val="1"/>
      <w:numFmt w:val="decimal"/>
      <w:suff w:val="space"/>
      <w:lvlText w:val=""/>
      <w:lvlJc w:val="left"/>
      <w:pPr>
        <w:ind w:left="0" w:firstLine="482"/>
      </w:pPr>
      <w:rPr>
        <w:rFonts w:hint="default"/>
      </w:rPr>
    </w:lvl>
  </w:abstractNum>
  <w:abstractNum w:abstractNumId="57">
    <w:nsid w:val="B9B12C72"/>
    <w:multiLevelType w:val="singleLevel"/>
    <w:tmpl w:val="B9B12C72"/>
    <w:lvl w:ilvl="0" w:tentative="0">
      <w:start w:val="1"/>
      <w:numFmt w:val="decimal"/>
      <w:suff w:val="space"/>
      <w:lvlText w:val=""/>
      <w:lvlJc w:val="left"/>
      <w:pPr>
        <w:ind w:left="0" w:firstLine="482"/>
      </w:pPr>
      <w:rPr>
        <w:rFonts w:hint="default"/>
      </w:rPr>
    </w:lvl>
  </w:abstractNum>
  <w:abstractNum w:abstractNumId="58">
    <w:nsid w:val="BB0192BE"/>
    <w:multiLevelType w:val="singleLevel"/>
    <w:tmpl w:val="BB0192BE"/>
    <w:lvl w:ilvl="0" w:tentative="0">
      <w:start w:val="1"/>
      <w:numFmt w:val="decimal"/>
      <w:suff w:val="space"/>
      <w:lvlText w:val=""/>
      <w:lvlJc w:val="left"/>
      <w:pPr>
        <w:ind w:left="0" w:firstLine="482"/>
      </w:pPr>
      <w:rPr>
        <w:rFonts w:hint="default"/>
      </w:rPr>
    </w:lvl>
  </w:abstractNum>
  <w:abstractNum w:abstractNumId="59">
    <w:nsid w:val="BD301A4C"/>
    <w:multiLevelType w:val="singleLevel"/>
    <w:tmpl w:val="BD301A4C"/>
    <w:lvl w:ilvl="0" w:tentative="0">
      <w:start w:val="1"/>
      <w:numFmt w:val="decimal"/>
      <w:suff w:val="space"/>
      <w:lvlText w:val=""/>
      <w:lvlJc w:val="left"/>
      <w:pPr>
        <w:ind w:left="0" w:firstLine="482"/>
      </w:pPr>
      <w:rPr>
        <w:rFonts w:hint="default"/>
      </w:rPr>
    </w:lvl>
  </w:abstractNum>
  <w:abstractNum w:abstractNumId="60">
    <w:nsid w:val="BF433A8A"/>
    <w:multiLevelType w:val="singleLevel"/>
    <w:tmpl w:val="BF433A8A"/>
    <w:lvl w:ilvl="0" w:tentative="0">
      <w:start w:val="1"/>
      <w:numFmt w:val="decimal"/>
      <w:suff w:val="space"/>
      <w:lvlText w:val=""/>
      <w:lvlJc w:val="left"/>
      <w:pPr>
        <w:ind w:left="0" w:firstLine="482"/>
      </w:pPr>
      <w:rPr>
        <w:rFonts w:hint="default"/>
      </w:rPr>
    </w:lvl>
  </w:abstractNum>
  <w:abstractNum w:abstractNumId="61">
    <w:nsid w:val="BF69FDDF"/>
    <w:multiLevelType w:val="singleLevel"/>
    <w:tmpl w:val="BF69FDDF"/>
    <w:lvl w:ilvl="0" w:tentative="0">
      <w:start w:val="1"/>
      <w:numFmt w:val="decimal"/>
      <w:suff w:val="space"/>
      <w:lvlText w:val="【%1】"/>
      <w:lvlJc w:val="left"/>
      <w:pPr>
        <w:ind w:left="0" w:firstLine="0"/>
      </w:pPr>
      <w:rPr>
        <w:rFonts w:hint="default"/>
      </w:rPr>
    </w:lvl>
  </w:abstractNum>
  <w:abstractNum w:abstractNumId="62">
    <w:nsid w:val="C05179C8"/>
    <w:multiLevelType w:val="singleLevel"/>
    <w:tmpl w:val="C05179C8"/>
    <w:lvl w:ilvl="0" w:tentative="0">
      <w:start w:val="1"/>
      <w:numFmt w:val="decimal"/>
      <w:suff w:val="space"/>
      <w:lvlText w:val=""/>
      <w:lvlJc w:val="left"/>
      <w:pPr>
        <w:ind w:left="0" w:firstLine="482"/>
      </w:pPr>
      <w:rPr>
        <w:rFonts w:hint="default"/>
      </w:rPr>
    </w:lvl>
  </w:abstractNum>
  <w:abstractNum w:abstractNumId="63">
    <w:nsid w:val="C35CB0E8"/>
    <w:multiLevelType w:val="singleLevel"/>
    <w:tmpl w:val="C35CB0E8"/>
    <w:lvl w:ilvl="0" w:tentative="0">
      <w:start w:val="1"/>
      <w:numFmt w:val="decimal"/>
      <w:suff w:val="space"/>
      <w:lvlText w:val=""/>
      <w:lvlJc w:val="left"/>
      <w:pPr>
        <w:ind w:left="0" w:firstLine="482"/>
      </w:pPr>
      <w:rPr>
        <w:rFonts w:hint="default"/>
      </w:rPr>
    </w:lvl>
  </w:abstractNum>
  <w:abstractNum w:abstractNumId="64">
    <w:nsid w:val="C8E49426"/>
    <w:multiLevelType w:val="singleLevel"/>
    <w:tmpl w:val="C8E49426"/>
    <w:lvl w:ilvl="0" w:tentative="0">
      <w:start w:val="1"/>
      <w:numFmt w:val="decimal"/>
      <w:suff w:val="space"/>
      <w:lvlText w:val=""/>
      <w:lvlJc w:val="left"/>
      <w:pPr>
        <w:ind w:left="0" w:firstLine="482"/>
      </w:pPr>
      <w:rPr>
        <w:rFonts w:hint="default"/>
      </w:rPr>
    </w:lvl>
  </w:abstractNum>
  <w:abstractNum w:abstractNumId="65">
    <w:nsid w:val="C915FDB9"/>
    <w:multiLevelType w:val="singleLevel"/>
    <w:tmpl w:val="C915FDB9"/>
    <w:lvl w:ilvl="0" w:tentative="0">
      <w:start w:val="1"/>
      <w:numFmt w:val="decimal"/>
      <w:suff w:val="space"/>
      <w:lvlText w:val="%1."/>
      <w:lvlJc w:val="left"/>
      <w:pPr>
        <w:ind w:left="0" w:firstLine="482"/>
      </w:pPr>
      <w:rPr>
        <w:rFonts w:hint="default"/>
      </w:rPr>
    </w:lvl>
  </w:abstractNum>
  <w:abstractNum w:abstractNumId="66">
    <w:nsid w:val="C9587F91"/>
    <w:multiLevelType w:val="singleLevel"/>
    <w:tmpl w:val="C9587F91"/>
    <w:lvl w:ilvl="0" w:tentative="0">
      <w:start w:val="1"/>
      <w:numFmt w:val="chineseCounting"/>
      <w:suff w:val="nothing"/>
      <w:lvlText w:val="%1、"/>
      <w:lvlJc w:val="left"/>
      <w:pPr>
        <w:ind w:left="0" w:firstLine="0"/>
      </w:pPr>
      <w:rPr>
        <w:rFonts w:hint="eastAsia"/>
      </w:rPr>
    </w:lvl>
  </w:abstractNum>
  <w:abstractNum w:abstractNumId="67">
    <w:nsid w:val="C9588399"/>
    <w:multiLevelType w:val="singleLevel"/>
    <w:tmpl w:val="C9588399"/>
    <w:lvl w:ilvl="0" w:tentative="0">
      <w:start w:val="1"/>
      <w:numFmt w:val="decimal"/>
      <w:suff w:val="space"/>
      <w:lvlText w:val="3.%1"/>
      <w:lvlJc w:val="left"/>
      <w:pPr>
        <w:ind w:left="0" w:firstLine="0"/>
      </w:pPr>
      <w:rPr>
        <w:rFonts w:hint="default"/>
      </w:rPr>
    </w:lvl>
  </w:abstractNum>
  <w:abstractNum w:abstractNumId="68">
    <w:nsid w:val="CC6E6983"/>
    <w:multiLevelType w:val="singleLevel"/>
    <w:tmpl w:val="CC6E6983"/>
    <w:lvl w:ilvl="0" w:tentative="0">
      <w:start w:val="1"/>
      <w:numFmt w:val="decimal"/>
      <w:suff w:val="space"/>
      <w:lvlText w:val=""/>
      <w:lvlJc w:val="left"/>
      <w:pPr>
        <w:ind w:left="0" w:firstLine="482"/>
      </w:pPr>
      <w:rPr>
        <w:rFonts w:hint="default"/>
      </w:rPr>
    </w:lvl>
  </w:abstractNum>
  <w:abstractNum w:abstractNumId="69">
    <w:nsid w:val="CF1DA336"/>
    <w:multiLevelType w:val="singleLevel"/>
    <w:tmpl w:val="CF1DA336"/>
    <w:lvl w:ilvl="0" w:tentative="0">
      <w:start w:val="1"/>
      <w:numFmt w:val="decimal"/>
      <w:suff w:val="space"/>
      <w:lvlText w:val=""/>
      <w:lvlJc w:val="left"/>
      <w:pPr>
        <w:ind w:left="0" w:firstLine="482"/>
      </w:pPr>
      <w:rPr>
        <w:rFonts w:hint="default"/>
      </w:rPr>
    </w:lvl>
  </w:abstractNum>
  <w:abstractNum w:abstractNumId="70">
    <w:nsid w:val="D2AB9CE1"/>
    <w:multiLevelType w:val="singleLevel"/>
    <w:tmpl w:val="D2AB9CE1"/>
    <w:lvl w:ilvl="0" w:tentative="0">
      <w:start w:val="1"/>
      <w:numFmt w:val="decimal"/>
      <w:suff w:val="space"/>
      <w:lvlText w:val="【%1】"/>
      <w:lvlJc w:val="left"/>
      <w:pPr>
        <w:ind w:left="0" w:firstLine="0"/>
      </w:pPr>
      <w:rPr>
        <w:rFonts w:hint="default"/>
      </w:rPr>
    </w:lvl>
  </w:abstractNum>
  <w:abstractNum w:abstractNumId="71">
    <w:nsid w:val="D315E69F"/>
    <w:multiLevelType w:val="singleLevel"/>
    <w:tmpl w:val="D315E69F"/>
    <w:lvl w:ilvl="0" w:tentative="0">
      <w:start w:val="1"/>
      <w:numFmt w:val="decimal"/>
      <w:suff w:val="space"/>
      <w:lvlText w:val="【%1】"/>
      <w:lvlJc w:val="left"/>
      <w:pPr>
        <w:ind w:left="0" w:firstLine="0"/>
      </w:pPr>
      <w:rPr>
        <w:rFonts w:hint="default"/>
      </w:rPr>
    </w:lvl>
  </w:abstractNum>
  <w:abstractNum w:abstractNumId="72">
    <w:nsid w:val="D3D84700"/>
    <w:multiLevelType w:val="singleLevel"/>
    <w:tmpl w:val="D3D84700"/>
    <w:lvl w:ilvl="0" w:tentative="0">
      <w:start w:val="1"/>
      <w:numFmt w:val="decimal"/>
      <w:suff w:val="space"/>
      <w:lvlText w:val=""/>
      <w:lvlJc w:val="left"/>
      <w:pPr>
        <w:ind w:left="0" w:firstLine="482"/>
      </w:pPr>
      <w:rPr>
        <w:rFonts w:hint="default"/>
      </w:rPr>
    </w:lvl>
  </w:abstractNum>
  <w:abstractNum w:abstractNumId="73">
    <w:nsid w:val="D5C3CEE5"/>
    <w:multiLevelType w:val="singleLevel"/>
    <w:tmpl w:val="D5C3CEE5"/>
    <w:lvl w:ilvl="0" w:tentative="0">
      <w:start w:val="1"/>
      <w:numFmt w:val="decimal"/>
      <w:suff w:val="space"/>
      <w:lvlText w:val=""/>
      <w:lvlJc w:val="left"/>
      <w:pPr>
        <w:ind w:left="0" w:firstLine="482"/>
      </w:pPr>
      <w:rPr>
        <w:rFonts w:hint="default"/>
      </w:rPr>
    </w:lvl>
  </w:abstractNum>
  <w:abstractNum w:abstractNumId="74">
    <w:nsid w:val="D65C585F"/>
    <w:multiLevelType w:val="singleLevel"/>
    <w:tmpl w:val="D65C585F"/>
    <w:lvl w:ilvl="0" w:tentative="0">
      <w:start w:val="1"/>
      <w:numFmt w:val="decimal"/>
      <w:suff w:val="space"/>
      <w:lvlText w:val=""/>
      <w:lvlJc w:val="left"/>
      <w:pPr>
        <w:ind w:left="0" w:firstLine="482"/>
      </w:pPr>
      <w:rPr>
        <w:rFonts w:hint="default"/>
      </w:rPr>
    </w:lvl>
  </w:abstractNum>
  <w:abstractNum w:abstractNumId="75">
    <w:nsid w:val="D68174D4"/>
    <w:multiLevelType w:val="singleLevel"/>
    <w:tmpl w:val="D68174D4"/>
    <w:lvl w:ilvl="0" w:tentative="0">
      <w:start w:val="1"/>
      <w:numFmt w:val="decimal"/>
      <w:suff w:val="space"/>
      <w:lvlText w:val=""/>
      <w:lvlJc w:val="left"/>
      <w:pPr>
        <w:ind w:left="0" w:firstLine="482"/>
      </w:pPr>
      <w:rPr>
        <w:rFonts w:hint="default"/>
      </w:rPr>
    </w:lvl>
  </w:abstractNum>
  <w:abstractNum w:abstractNumId="76">
    <w:nsid w:val="D9950A8A"/>
    <w:multiLevelType w:val="singleLevel"/>
    <w:tmpl w:val="D9950A8A"/>
    <w:lvl w:ilvl="0" w:tentative="0">
      <w:start w:val="1"/>
      <w:numFmt w:val="decimal"/>
      <w:suff w:val="space"/>
      <w:lvlText w:val=""/>
      <w:lvlJc w:val="left"/>
      <w:pPr>
        <w:ind w:left="0" w:firstLine="482"/>
      </w:pPr>
      <w:rPr>
        <w:rFonts w:hint="default"/>
      </w:rPr>
    </w:lvl>
  </w:abstractNum>
  <w:abstractNum w:abstractNumId="77">
    <w:nsid w:val="D9994D54"/>
    <w:multiLevelType w:val="singleLevel"/>
    <w:tmpl w:val="D9994D54"/>
    <w:lvl w:ilvl="0" w:tentative="0">
      <w:start w:val="1"/>
      <w:numFmt w:val="decimal"/>
      <w:suff w:val="space"/>
      <w:lvlText w:val=""/>
      <w:lvlJc w:val="left"/>
      <w:pPr>
        <w:ind w:left="0" w:firstLine="482"/>
      </w:pPr>
      <w:rPr>
        <w:rFonts w:hint="default"/>
      </w:rPr>
    </w:lvl>
  </w:abstractNum>
  <w:abstractNum w:abstractNumId="78">
    <w:nsid w:val="DA30F3DF"/>
    <w:multiLevelType w:val="singleLevel"/>
    <w:tmpl w:val="DA30F3DF"/>
    <w:lvl w:ilvl="0" w:tentative="0">
      <w:start w:val="1"/>
      <w:numFmt w:val="decimal"/>
      <w:suff w:val="space"/>
      <w:lvlText w:val="【%1】"/>
      <w:lvlJc w:val="left"/>
      <w:pPr>
        <w:ind w:left="0" w:firstLine="0"/>
      </w:pPr>
      <w:rPr>
        <w:rFonts w:hint="default"/>
      </w:rPr>
    </w:lvl>
  </w:abstractNum>
  <w:abstractNum w:abstractNumId="79">
    <w:nsid w:val="DB2CA80F"/>
    <w:multiLevelType w:val="singleLevel"/>
    <w:tmpl w:val="DB2CA80F"/>
    <w:lvl w:ilvl="0" w:tentative="0">
      <w:start w:val="1"/>
      <w:numFmt w:val="decimal"/>
      <w:suff w:val="space"/>
      <w:lvlText w:val=""/>
      <w:lvlJc w:val="left"/>
      <w:pPr>
        <w:ind w:left="0" w:firstLine="482"/>
      </w:pPr>
      <w:rPr>
        <w:rFonts w:hint="default"/>
      </w:rPr>
    </w:lvl>
  </w:abstractNum>
  <w:abstractNum w:abstractNumId="80">
    <w:nsid w:val="DB58C874"/>
    <w:multiLevelType w:val="singleLevel"/>
    <w:tmpl w:val="DB58C874"/>
    <w:lvl w:ilvl="0" w:tentative="0">
      <w:start w:val="1"/>
      <w:numFmt w:val="decimal"/>
      <w:suff w:val="space"/>
      <w:lvlText w:val=""/>
      <w:lvlJc w:val="left"/>
      <w:pPr>
        <w:ind w:left="0" w:firstLine="482"/>
      </w:pPr>
      <w:rPr>
        <w:rFonts w:hint="default"/>
      </w:rPr>
    </w:lvl>
  </w:abstractNum>
  <w:abstractNum w:abstractNumId="81">
    <w:nsid w:val="DBB2E18B"/>
    <w:multiLevelType w:val="singleLevel"/>
    <w:tmpl w:val="DBB2E18B"/>
    <w:lvl w:ilvl="0" w:tentative="0">
      <w:start w:val="1"/>
      <w:numFmt w:val="decimal"/>
      <w:suff w:val="space"/>
      <w:lvlText w:val="%1."/>
      <w:lvlJc w:val="left"/>
      <w:pPr>
        <w:ind w:left="0" w:firstLine="0"/>
      </w:pPr>
      <w:rPr>
        <w:rFonts w:hint="default"/>
      </w:rPr>
    </w:lvl>
  </w:abstractNum>
  <w:abstractNum w:abstractNumId="82">
    <w:nsid w:val="DC827992"/>
    <w:multiLevelType w:val="singleLevel"/>
    <w:tmpl w:val="DC827992"/>
    <w:lvl w:ilvl="0" w:tentative="0">
      <w:start w:val="1"/>
      <w:numFmt w:val="decimal"/>
      <w:suff w:val="space"/>
      <w:lvlText w:val="【%1】"/>
      <w:lvlJc w:val="left"/>
      <w:pPr>
        <w:ind w:left="0" w:firstLine="0"/>
      </w:pPr>
      <w:rPr>
        <w:rFonts w:hint="default"/>
      </w:rPr>
    </w:lvl>
  </w:abstractNum>
  <w:abstractNum w:abstractNumId="83">
    <w:nsid w:val="E0F23399"/>
    <w:multiLevelType w:val="singleLevel"/>
    <w:tmpl w:val="E0F23399"/>
    <w:lvl w:ilvl="0" w:tentative="0">
      <w:start w:val="1"/>
      <w:numFmt w:val="decimal"/>
      <w:suff w:val="space"/>
      <w:lvlText w:val=""/>
      <w:lvlJc w:val="left"/>
      <w:pPr>
        <w:ind w:left="0" w:firstLine="482"/>
      </w:pPr>
      <w:rPr>
        <w:rFonts w:hint="default"/>
      </w:rPr>
    </w:lvl>
  </w:abstractNum>
  <w:abstractNum w:abstractNumId="84">
    <w:nsid w:val="E144FCDE"/>
    <w:multiLevelType w:val="singleLevel"/>
    <w:tmpl w:val="E144FCDE"/>
    <w:lvl w:ilvl="0" w:tentative="0">
      <w:start w:val="1"/>
      <w:numFmt w:val="decimal"/>
      <w:suff w:val="space"/>
      <w:lvlText w:val="%1."/>
      <w:lvlJc w:val="left"/>
      <w:pPr>
        <w:ind w:left="0" w:firstLine="0"/>
      </w:pPr>
      <w:rPr>
        <w:rFonts w:hint="default"/>
      </w:rPr>
    </w:lvl>
  </w:abstractNum>
  <w:abstractNum w:abstractNumId="85">
    <w:nsid w:val="E2F49B89"/>
    <w:multiLevelType w:val="singleLevel"/>
    <w:tmpl w:val="E2F49B89"/>
    <w:lvl w:ilvl="0" w:tentative="0">
      <w:start w:val="1"/>
      <w:numFmt w:val="decimal"/>
      <w:suff w:val="space"/>
      <w:lvlText w:val=""/>
      <w:lvlJc w:val="left"/>
      <w:pPr>
        <w:ind w:left="0" w:firstLine="482"/>
      </w:pPr>
      <w:rPr>
        <w:rFonts w:hint="default"/>
      </w:rPr>
    </w:lvl>
  </w:abstractNum>
  <w:abstractNum w:abstractNumId="86">
    <w:nsid w:val="E316BC5F"/>
    <w:multiLevelType w:val="singleLevel"/>
    <w:tmpl w:val="E316BC5F"/>
    <w:lvl w:ilvl="0" w:tentative="0">
      <w:start w:val="1"/>
      <w:numFmt w:val="chineseCounting"/>
      <w:suff w:val="nothing"/>
      <w:lvlText w:val="%1、"/>
      <w:lvlJc w:val="left"/>
      <w:pPr>
        <w:ind w:left="0" w:firstLine="0"/>
      </w:pPr>
      <w:rPr>
        <w:rFonts w:hint="eastAsia"/>
      </w:rPr>
    </w:lvl>
  </w:abstractNum>
  <w:abstractNum w:abstractNumId="87">
    <w:nsid w:val="E37F2C1B"/>
    <w:multiLevelType w:val="singleLevel"/>
    <w:tmpl w:val="E37F2C1B"/>
    <w:lvl w:ilvl="0" w:tentative="0">
      <w:start w:val="1"/>
      <w:numFmt w:val="decimal"/>
      <w:suff w:val="space"/>
      <w:lvlText w:val=""/>
      <w:lvlJc w:val="left"/>
      <w:pPr>
        <w:ind w:left="0" w:firstLine="482"/>
      </w:pPr>
      <w:rPr>
        <w:rFonts w:hint="default"/>
      </w:rPr>
    </w:lvl>
  </w:abstractNum>
  <w:abstractNum w:abstractNumId="88">
    <w:nsid w:val="E544E9C6"/>
    <w:multiLevelType w:val="singleLevel"/>
    <w:tmpl w:val="E544E9C6"/>
    <w:lvl w:ilvl="0" w:tentative="0">
      <w:start w:val="1"/>
      <w:numFmt w:val="decimal"/>
      <w:suff w:val="space"/>
      <w:lvlText w:val=""/>
      <w:lvlJc w:val="left"/>
      <w:pPr>
        <w:ind w:left="0" w:firstLine="482"/>
      </w:pPr>
      <w:rPr>
        <w:rFonts w:hint="default"/>
      </w:rPr>
    </w:lvl>
  </w:abstractNum>
  <w:abstractNum w:abstractNumId="89">
    <w:nsid w:val="E775A454"/>
    <w:multiLevelType w:val="singleLevel"/>
    <w:tmpl w:val="E775A454"/>
    <w:lvl w:ilvl="0" w:tentative="0">
      <w:start w:val="1"/>
      <w:numFmt w:val="decimal"/>
      <w:suff w:val="space"/>
      <w:lvlText w:val=""/>
      <w:lvlJc w:val="left"/>
      <w:pPr>
        <w:ind w:left="0" w:firstLine="482"/>
      </w:pPr>
      <w:rPr>
        <w:rFonts w:hint="default"/>
      </w:rPr>
    </w:lvl>
  </w:abstractNum>
  <w:abstractNum w:abstractNumId="90">
    <w:nsid w:val="E823D58D"/>
    <w:multiLevelType w:val="singleLevel"/>
    <w:tmpl w:val="E823D58D"/>
    <w:lvl w:ilvl="0" w:tentative="0">
      <w:start w:val="1"/>
      <w:numFmt w:val="decimal"/>
      <w:suff w:val="space"/>
      <w:lvlText w:val="【%1】"/>
      <w:lvlJc w:val="left"/>
      <w:pPr>
        <w:ind w:left="0" w:firstLine="0"/>
      </w:pPr>
      <w:rPr>
        <w:rFonts w:hint="default"/>
      </w:rPr>
    </w:lvl>
  </w:abstractNum>
  <w:abstractNum w:abstractNumId="91">
    <w:nsid w:val="E987FADC"/>
    <w:multiLevelType w:val="singleLevel"/>
    <w:tmpl w:val="E987FADC"/>
    <w:lvl w:ilvl="0" w:tentative="0">
      <w:start w:val="1"/>
      <w:numFmt w:val="decimal"/>
      <w:suff w:val="space"/>
      <w:lvlText w:val=""/>
      <w:lvlJc w:val="left"/>
      <w:pPr>
        <w:ind w:left="0" w:firstLine="482"/>
      </w:pPr>
      <w:rPr>
        <w:rFonts w:hint="default"/>
      </w:rPr>
    </w:lvl>
  </w:abstractNum>
  <w:abstractNum w:abstractNumId="92">
    <w:nsid w:val="E9A77239"/>
    <w:multiLevelType w:val="singleLevel"/>
    <w:tmpl w:val="E9A77239"/>
    <w:lvl w:ilvl="0" w:tentative="0">
      <w:start w:val="1"/>
      <w:numFmt w:val="decimal"/>
      <w:suff w:val="space"/>
      <w:lvlText w:val=""/>
      <w:lvlJc w:val="left"/>
      <w:pPr>
        <w:ind w:left="0" w:firstLine="482"/>
      </w:pPr>
      <w:rPr>
        <w:rFonts w:hint="default"/>
      </w:rPr>
    </w:lvl>
  </w:abstractNum>
  <w:abstractNum w:abstractNumId="93">
    <w:nsid w:val="EA3A8247"/>
    <w:multiLevelType w:val="singleLevel"/>
    <w:tmpl w:val="EA3A8247"/>
    <w:lvl w:ilvl="0" w:tentative="0">
      <w:start w:val="1"/>
      <w:numFmt w:val="decimal"/>
      <w:suff w:val="space"/>
      <w:lvlText w:val=""/>
      <w:lvlJc w:val="left"/>
      <w:pPr>
        <w:ind w:left="0" w:firstLine="482"/>
      </w:pPr>
      <w:rPr>
        <w:rFonts w:hint="default"/>
      </w:rPr>
    </w:lvl>
  </w:abstractNum>
  <w:abstractNum w:abstractNumId="94">
    <w:nsid w:val="EA4D1C42"/>
    <w:multiLevelType w:val="singleLevel"/>
    <w:tmpl w:val="EA4D1C42"/>
    <w:lvl w:ilvl="0" w:tentative="0">
      <w:start w:val="1"/>
      <w:numFmt w:val="decimal"/>
      <w:suff w:val="space"/>
      <w:lvlText w:val=""/>
      <w:lvlJc w:val="left"/>
      <w:pPr>
        <w:ind w:left="0" w:firstLine="482"/>
      </w:pPr>
      <w:rPr>
        <w:rFonts w:hint="default"/>
      </w:rPr>
    </w:lvl>
  </w:abstractNum>
  <w:abstractNum w:abstractNumId="95">
    <w:nsid w:val="ED930978"/>
    <w:multiLevelType w:val="singleLevel"/>
    <w:tmpl w:val="ED930978"/>
    <w:lvl w:ilvl="0" w:tentative="0">
      <w:start w:val="1"/>
      <w:numFmt w:val="decimal"/>
      <w:suff w:val="space"/>
      <w:lvlText w:val=""/>
      <w:lvlJc w:val="left"/>
      <w:pPr>
        <w:ind w:left="0" w:firstLine="482"/>
      </w:pPr>
      <w:rPr>
        <w:rFonts w:hint="default"/>
      </w:rPr>
    </w:lvl>
  </w:abstractNum>
  <w:abstractNum w:abstractNumId="96">
    <w:nsid w:val="F1518D6B"/>
    <w:multiLevelType w:val="singleLevel"/>
    <w:tmpl w:val="F1518D6B"/>
    <w:lvl w:ilvl="0" w:tentative="0">
      <w:start w:val="1"/>
      <w:numFmt w:val="decimal"/>
      <w:suff w:val="space"/>
      <w:lvlText w:val=""/>
      <w:lvlJc w:val="left"/>
      <w:pPr>
        <w:ind w:left="0" w:firstLine="482"/>
      </w:pPr>
      <w:rPr>
        <w:rFonts w:hint="default"/>
      </w:rPr>
    </w:lvl>
  </w:abstractNum>
  <w:abstractNum w:abstractNumId="97">
    <w:nsid w:val="F375DEBC"/>
    <w:multiLevelType w:val="singleLevel"/>
    <w:tmpl w:val="F375DEBC"/>
    <w:lvl w:ilvl="0" w:tentative="0">
      <w:start w:val="1"/>
      <w:numFmt w:val="decimal"/>
      <w:suff w:val="space"/>
      <w:lvlText w:val=""/>
      <w:lvlJc w:val="left"/>
      <w:pPr>
        <w:ind w:left="0" w:firstLine="482"/>
      </w:pPr>
      <w:rPr>
        <w:rFonts w:hint="default"/>
      </w:rPr>
    </w:lvl>
  </w:abstractNum>
  <w:abstractNum w:abstractNumId="98">
    <w:nsid w:val="F4B6877E"/>
    <w:multiLevelType w:val="singleLevel"/>
    <w:tmpl w:val="F4B6877E"/>
    <w:lvl w:ilvl="0" w:tentative="0">
      <w:start w:val="1"/>
      <w:numFmt w:val="decimal"/>
      <w:suff w:val="space"/>
      <w:lvlText w:val=""/>
      <w:lvlJc w:val="left"/>
      <w:pPr>
        <w:ind w:left="0" w:firstLine="482"/>
      </w:pPr>
      <w:rPr>
        <w:rFonts w:hint="default"/>
      </w:rPr>
    </w:lvl>
  </w:abstractNum>
  <w:abstractNum w:abstractNumId="99">
    <w:nsid w:val="F5CD62E9"/>
    <w:multiLevelType w:val="singleLevel"/>
    <w:tmpl w:val="F5CD62E9"/>
    <w:lvl w:ilvl="0" w:tentative="0">
      <w:start w:val="1"/>
      <w:numFmt w:val="decimal"/>
      <w:suff w:val="space"/>
      <w:lvlText w:val=""/>
      <w:lvlJc w:val="left"/>
      <w:pPr>
        <w:ind w:left="0" w:firstLine="482"/>
      </w:pPr>
      <w:rPr>
        <w:rFonts w:hint="default"/>
      </w:rPr>
    </w:lvl>
  </w:abstractNum>
  <w:abstractNum w:abstractNumId="100">
    <w:nsid w:val="F69F0795"/>
    <w:multiLevelType w:val="singleLevel"/>
    <w:tmpl w:val="F69F0795"/>
    <w:lvl w:ilvl="0" w:tentative="0">
      <w:start w:val="1"/>
      <w:numFmt w:val="decimal"/>
      <w:suff w:val="space"/>
      <w:lvlText w:val="【%1】"/>
      <w:lvlJc w:val="left"/>
      <w:pPr>
        <w:ind w:left="0" w:firstLine="0"/>
      </w:pPr>
      <w:rPr>
        <w:rFonts w:hint="default"/>
      </w:rPr>
    </w:lvl>
  </w:abstractNum>
  <w:abstractNum w:abstractNumId="101">
    <w:nsid w:val="F772D5ED"/>
    <w:multiLevelType w:val="singleLevel"/>
    <w:tmpl w:val="F772D5ED"/>
    <w:lvl w:ilvl="0" w:tentative="0">
      <w:start w:val="1"/>
      <w:numFmt w:val="decimal"/>
      <w:suff w:val="space"/>
      <w:lvlText w:val=""/>
      <w:lvlJc w:val="left"/>
      <w:pPr>
        <w:ind w:left="0" w:firstLine="482"/>
      </w:pPr>
      <w:rPr>
        <w:rFonts w:hint="default"/>
      </w:rPr>
    </w:lvl>
  </w:abstractNum>
  <w:abstractNum w:abstractNumId="102">
    <w:nsid w:val="F8FD28C5"/>
    <w:multiLevelType w:val="singleLevel"/>
    <w:tmpl w:val="F8FD28C5"/>
    <w:lvl w:ilvl="0" w:tentative="0">
      <w:start w:val="1"/>
      <w:numFmt w:val="decimal"/>
      <w:suff w:val="space"/>
      <w:lvlText w:val="%1."/>
      <w:lvlJc w:val="left"/>
      <w:pPr>
        <w:ind w:left="0" w:firstLine="0"/>
      </w:pPr>
      <w:rPr>
        <w:rFonts w:hint="default"/>
      </w:rPr>
    </w:lvl>
  </w:abstractNum>
  <w:abstractNum w:abstractNumId="103">
    <w:nsid w:val="F9698DD7"/>
    <w:multiLevelType w:val="singleLevel"/>
    <w:tmpl w:val="F9698DD7"/>
    <w:lvl w:ilvl="0" w:tentative="0">
      <w:start w:val="1"/>
      <w:numFmt w:val="chineseCounting"/>
      <w:suff w:val="nothing"/>
      <w:lvlText w:val="%1、"/>
      <w:lvlJc w:val="left"/>
      <w:pPr>
        <w:ind w:left="0" w:firstLine="0"/>
      </w:pPr>
      <w:rPr>
        <w:rFonts w:hint="eastAsia"/>
      </w:rPr>
    </w:lvl>
  </w:abstractNum>
  <w:abstractNum w:abstractNumId="104">
    <w:nsid w:val="F9B60A4E"/>
    <w:multiLevelType w:val="singleLevel"/>
    <w:tmpl w:val="F9B60A4E"/>
    <w:lvl w:ilvl="0" w:tentative="0">
      <w:start w:val="1"/>
      <w:numFmt w:val="decimal"/>
      <w:suff w:val="space"/>
      <w:lvlText w:val=""/>
      <w:lvlJc w:val="left"/>
      <w:pPr>
        <w:ind w:left="0" w:firstLine="482"/>
      </w:pPr>
      <w:rPr>
        <w:rFonts w:hint="default"/>
      </w:rPr>
    </w:lvl>
  </w:abstractNum>
  <w:abstractNum w:abstractNumId="105">
    <w:nsid w:val="F9B7CC4F"/>
    <w:multiLevelType w:val="singleLevel"/>
    <w:tmpl w:val="F9B7CC4F"/>
    <w:lvl w:ilvl="0" w:tentative="0">
      <w:start w:val="1"/>
      <w:numFmt w:val="decimal"/>
      <w:suff w:val="space"/>
      <w:lvlText w:val=""/>
      <w:lvlJc w:val="left"/>
      <w:pPr>
        <w:ind w:left="0" w:firstLine="482"/>
      </w:pPr>
      <w:rPr>
        <w:rFonts w:hint="default"/>
      </w:rPr>
    </w:lvl>
  </w:abstractNum>
  <w:abstractNum w:abstractNumId="106">
    <w:nsid w:val="FAB0F375"/>
    <w:multiLevelType w:val="singleLevel"/>
    <w:tmpl w:val="FAB0F375"/>
    <w:lvl w:ilvl="0" w:tentative="0">
      <w:start w:val="1"/>
      <w:numFmt w:val="decimal"/>
      <w:suff w:val="space"/>
      <w:lvlText w:val=""/>
      <w:lvlJc w:val="left"/>
      <w:pPr>
        <w:ind w:left="0" w:firstLine="482"/>
      </w:pPr>
      <w:rPr>
        <w:rFonts w:hint="default"/>
      </w:rPr>
    </w:lvl>
  </w:abstractNum>
  <w:abstractNum w:abstractNumId="107">
    <w:nsid w:val="FDF9D6E5"/>
    <w:multiLevelType w:val="singleLevel"/>
    <w:tmpl w:val="FDF9D6E5"/>
    <w:lvl w:ilvl="0" w:tentative="0">
      <w:start w:val="1"/>
      <w:numFmt w:val="decimal"/>
      <w:suff w:val="space"/>
      <w:lvlText w:val=""/>
      <w:lvlJc w:val="left"/>
      <w:pPr>
        <w:ind w:left="0" w:firstLine="482"/>
      </w:pPr>
      <w:rPr>
        <w:rFonts w:hint="default"/>
      </w:rPr>
    </w:lvl>
  </w:abstractNum>
  <w:abstractNum w:abstractNumId="108">
    <w:nsid w:val="FE31E588"/>
    <w:multiLevelType w:val="singleLevel"/>
    <w:tmpl w:val="FE31E588"/>
    <w:lvl w:ilvl="0" w:tentative="0">
      <w:start w:val="1"/>
      <w:numFmt w:val="decimal"/>
      <w:suff w:val="space"/>
      <w:lvlText w:val=""/>
      <w:lvlJc w:val="left"/>
      <w:pPr>
        <w:ind w:left="0" w:firstLine="482"/>
      </w:pPr>
      <w:rPr>
        <w:rFonts w:hint="default"/>
      </w:rPr>
    </w:lvl>
  </w:abstractNum>
  <w:abstractNum w:abstractNumId="109">
    <w:nsid w:val="FF4538C5"/>
    <w:multiLevelType w:val="singleLevel"/>
    <w:tmpl w:val="FF4538C5"/>
    <w:lvl w:ilvl="0" w:tentative="0">
      <w:start w:val="1"/>
      <w:numFmt w:val="decimal"/>
      <w:suff w:val="space"/>
      <w:lvlText w:val=""/>
      <w:lvlJc w:val="left"/>
      <w:pPr>
        <w:ind w:left="0" w:firstLine="482"/>
      </w:pPr>
      <w:rPr>
        <w:rFonts w:hint="default"/>
      </w:rPr>
    </w:lvl>
  </w:abstractNum>
  <w:abstractNum w:abstractNumId="110">
    <w:nsid w:val="FF62D596"/>
    <w:multiLevelType w:val="singleLevel"/>
    <w:tmpl w:val="FF62D596"/>
    <w:lvl w:ilvl="0" w:tentative="0">
      <w:start w:val="1"/>
      <w:numFmt w:val="decimal"/>
      <w:suff w:val="space"/>
      <w:lvlText w:val=""/>
      <w:lvlJc w:val="left"/>
      <w:pPr>
        <w:ind w:left="0" w:firstLine="482"/>
      </w:pPr>
      <w:rPr>
        <w:rFonts w:hint="default"/>
      </w:rPr>
    </w:lvl>
  </w:abstractNum>
  <w:abstractNum w:abstractNumId="11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1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11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11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11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11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117">
    <w:nsid w:val="00A347C8"/>
    <w:multiLevelType w:val="singleLevel"/>
    <w:tmpl w:val="00A347C8"/>
    <w:lvl w:ilvl="0" w:tentative="0">
      <w:start w:val="1"/>
      <w:numFmt w:val="decimal"/>
      <w:suff w:val="space"/>
      <w:lvlText w:val="【%1】"/>
      <w:lvlJc w:val="left"/>
      <w:pPr>
        <w:ind w:left="0" w:firstLine="0"/>
      </w:pPr>
      <w:rPr>
        <w:rFonts w:hint="default"/>
      </w:rPr>
    </w:lvl>
  </w:abstractNum>
  <w:abstractNum w:abstractNumId="118">
    <w:nsid w:val="02CB2F52"/>
    <w:multiLevelType w:val="singleLevel"/>
    <w:tmpl w:val="02CB2F52"/>
    <w:lvl w:ilvl="0" w:tentative="0">
      <w:start w:val="1"/>
      <w:numFmt w:val="decimal"/>
      <w:suff w:val="space"/>
      <w:lvlText w:val=""/>
      <w:lvlJc w:val="left"/>
      <w:pPr>
        <w:ind w:left="0" w:firstLine="482"/>
      </w:pPr>
      <w:rPr>
        <w:rFonts w:hint="default"/>
      </w:rPr>
    </w:lvl>
  </w:abstractNum>
  <w:abstractNum w:abstractNumId="119">
    <w:nsid w:val="035DDBFF"/>
    <w:multiLevelType w:val="singleLevel"/>
    <w:tmpl w:val="035DDBFF"/>
    <w:lvl w:ilvl="0" w:tentative="0">
      <w:start w:val="1"/>
      <w:numFmt w:val="decimal"/>
      <w:suff w:val="space"/>
      <w:lvlText w:val="【%1】"/>
      <w:lvlJc w:val="left"/>
      <w:pPr>
        <w:ind w:left="0" w:firstLine="0"/>
      </w:pPr>
      <w:rPr>
        <w:rFonts w:hint="default"/>
      </w:rPr>
    </w:lvl>
  </w:abstractNum>
  <w:abstractNum w:abstractNumId="120">
    <w:nsid w:val="03619399"/>
    <w:multiLevelType w:val="singleLevel"/>
    <w:tmpl w:val="03619399"/>
    <w:lvl w:ilvl="0" w:tentative="0">
      <w:start w:val="1"/>
      <w:numFmt w:val="decimal"/>
      <w:suff w:val="space"/>
      <w:lvlText w:val=""/>
      <w:lvlJc w:val="left"/>
      <w:pPr>
        <w:ind w:left="0" w:firstLine="482"/>
      </w:pPr>
      <w:rPr>
        <w:rFonts w:hint="default"/>
      </w:rPr>
    </w:lvl>
  </w:abstractNum>
  <w:abstractNum w:abstractNumId="121">
    <w:nsid w:val="03E59675"/>
    <w:multiLevelType w:val="singleLevel"/>
    <w:tmpl w:val="03E59675"/>
    <w:lvl w:ilvl="0" w:tentative="0">
      <w:start w:val="1"/>
      <w:numFmt w:val="decimal"/>
      <w:suff w:val="space"/>
      <w:lvlText w:val="【%1】"/>
      <w:lvlJc w:val="left"/>
      <w:pPr>
        <w:ind w:left="0" w:firstLine="0"/>
      </w:pPr>
      <w:rPr>
        <w:rFonts w:hint="default"/>
      </w:rPr>
    </w:lvl>
  </w:abstractNum>
  <w:abstractNum w:abstractNumId="122">
    <w:nsid w:val="048D8799"/>
    <w:multiLevelType w:val="singleLevel"/>
    <w:tmpl w:val="048D8799"/>
    <w:lvl w:ilvl="0" w:tentative="0">
      <w:start w:val="1"/>
      <w:numFmt w:val="decimal"/>
      <w:suff w:val="space"/>
      <w:lvlText w:val="【%1】"/>
      <w:lvlJc w:val="left"/>
      <w:pPr>
        <w:ind w:left="0" w:firstLine="0"/>
      </w:pPr>
      <w:rPr>
        <w:rFonts w:hint="default"/>
      </w:rPr>
    </w:lvl>
  </w:abstractNum>
  <w:abstractNum w:abstractNumId="123">
    <w:nsid w:val="076D0A84"/>
    <w:multiLevelType w:val="singleLevel"/>
    <w:tmpl w:val="076D0A84"/>
    <w:lvl w:ilvl="0" w:tentative="0">
      <w:start w:val="1"/>
      <w:numFmt w:val="decimal"/>
      <w:suff w:val="space"/>
      <w:lvlText w:val=""/>
      <w:lvlJc w:val="left"/>
      <w:pPr>
        <w:ind w:left="0" w:firstLine="482"/>
      </w:pPr>
      <w:rPr>
        <w:rFonts w:hint="default"/>
      </w:rPr>
    </w:lvl>
  </w:abstractNum>
  <w:abstractNum w:abstractNumId="124">
    <w:nsid w:val="0817D429"/>
    <w:multiLevelType w:val="singleLevel"/>
    <w:tmpl w:val="0817D429"/>
    <w:lvl w:ilvl="0" w:tentative="0">
      <w:start w:val="1"/>
      <w:numFmt w:val="decimal"/>
      <w:suff w:val="space"/>
      <w:lvlText w:val=""/>
      <w:lvlJc w:val="left"/>
      <w:pPr>
        <w:ind w:left="0" w:firstLine="482"/>
      </w:pPr>
      <w:rPr>
        <w:rFonts w:hint="default"/>
      </w:rPr>
    </w:lvl>
  </w:abstractNum>
  <w:abstractNum w:abstractNumId="125">
    <w:nsid w:val="08C54EDF"/>
    <w:multiLevelType w:val="singleLevel"/>
    <w:tmpl w:val="08C54EDF"/>
    <w:lvl w:ilvl="0" w:tentative="0">
      <w:start w:val="1"/>
      <w:numFmt w:val="decimal"/>
      <w:suff w:val="space"/>
      <w:lvlText w:val="%1."/>
      <w:lvlJc w:val="left"/>
      <w:pPr>
        <w:ind w:left="0" w:firstLine="0"/>
      </w:pPr>
      <w:rPr>
        <w:rFonts w:hint="default"/>
      </w:rPr>
    </w:lvl>
  </w:abstractNum>
  <w:abstractNum w:abstractNumId="126">
    <w:nsid w:val="0DC317BD"/>
    <w:multiLevelType w:val="singleLevel"/>
    <w:tmpl w:val="0DC317BD"/>
    <w:lvl w:ilvl="0" w:tentative="0">
      <w:start w:val="1"/>
      <w:numFmt w:val="decimal"/>
      <w:suff w:val="space"/>
      <w:lvlText w:val=""/>
      <w:lvlJc w:val="left"/>
      <w:pPr>
        <w:ind w:left="0" w:firstLine="482"/>
      </w:pPr>
      <w:rPr>
        <w:rFonts w:hint="default"/>
      </w:rPr>
    </w:lvl>
  </w:abstractNum>
  <w:abstractNum w:abstractNumId="127">
    <w:nsid w:val="0E46F189"/>
    <w:multiLevelType w:val="singleLevel"/>
    <w:tmpl w:val="0E46F189"/>
    <w:lvl w:ilvl="0" w:tentative="0">
      <w:start w:val="1"/>
      <w:numFmt w:val="decimal"/>
      <w:suff w:val="space"/>
      <w:lvlText w:val=""/>
      <w:lvlJc w:val="left"/>
      <w:pPr>
        <w:ind w:left="0" w:firstLine="482"/>
      </w:pPr>
      <w:rPr>
        <w:rFonts w:hint="default"/>
      </w:rPr>
    </w:lvl>
  </w:abstractNum>
  <w:abstractNum w:abstractNumId="128">
    <w:nsid w:val="11908268"/>
    <w:multiLevelType w:val="singleLevel"/>
    <w:tmpl w:val="11908268"/>
    <w:lvl w:ilvl="0" w:tentative="0">
      <w:start w:val="1"/>
      <w:numFmt w:val="decimal"/>
      <w:suff w:val="space"/>
      <w:lvlText w:val="%1."/>
      <w:lvlJc w:val="left"/>
      <w:pPr>
        <w:ind w:left="0" w:firstLine="0"/>
      </w:pPr>
      <w:rPr>
        <w:rFonts w:hint="default"/>
      </w:rPr>
    </w:lvl>
  </w:abstractNum>
  <w:abstractNum w:abstractNumId="129">
    <w:nsid w:val="14AB2487"/>
    <w:multiLevelType w:val="singleLevel"/>
    <w:tmpl w:val="14AB2487"/>
    <w:lvl w:ilvl="0" w:tentative="0">
      <w:start w:val="1"/>
      <w:numFmt w:val="decimal"/>
      <w:suff w:val="space"/>
      <w:lvlText w:val=""/>
      <w:lvlJc w:val="left"/>
      <w:pPr>
        <w:ind w:left="0" w:firstLine="482"/>
      </w:pPr>
      <w:rPr>
        <w:rFonts w:hint="default"/>
      </w:rPr>
    </w:lvl>
  </w:abstractNum>
  <w:abstractNum w:abstractNumId="130">
    <w:nsid w:val="14BAD5E0"/>
    <w:multiLevelType w:val="singleLevel"/>
    <w:tmpl w:val="14BAD5E0"/>
    <w:lvl w:ilvl="0" w:tentative="0">
      <w:start w:val="1"/>
      <w:numFmt w:val="decimal"/>
      <w:suff w:val="space"/>
      <w:lvlText w:val=""/>
      <w:lvlJc w:val="left"/>
      <w:pPr>
        <w:ind w:left="0" w:firstLine="482"/>
      </w:pPr>
      <w:rPr>
        <w:rFonts w:hint="default"/>
      </w:rPr>
    </w:lvl>
  </w:abstractNum>
  <w:abstractNum w:abstractNumId="131">
    <w:nsid w:val="15AA103A"/>
    <w:multiLevelType w:val="singleLevel"/>
    <w:tmpl w:val="15AA103A"/>
    <w:lvl w:ilvl="0" w:tentative="0">
      <w:start w:val="1"/>
      <w:numFmt w:val="decimal"/>
      <w:suff w:val="space"/>
      <w:lvlText w:val="【%1】"/>
      <w:lvlJc w:val="left"/>
      <w:pPr>
        <w:ind w:left="0" w:firstLine="0"/>
      </w:pPr>
      <w:rPr>
        <w:rFonts w:hint="default"/>
      </w:rPr>
    </w:lvl>
  </w:abstractNum>
  <w:abstractNum w:abstractNumId="132">
    <w:nsid w:val="167F47A5"/>
    <w:multiLevelType w:val="singleLevel"/>
    <w:tmpl w:val="167F47A5"/>
    <w:lvl w:ilvl="0" w:tentative="0">
      <w:start w:val="1"/>
      <w:numFmt w:val="decimal"/>
      <w:suff w:val="space"/>
      <w:lvlText w:val=""/>
      <w:lvlJc w:val="left"/>
      <w:pPr>
        <w:ind w:left="0" w:firstLine="482"/>
      </w:pPr>
      <w:rPr>
        <w:rFonts w:hint="default"/>
      </w:rPr>
    </w:lvl>
  </w:abstractNum>
  <w:abstractNum w:abstractNumId="133">
    <w:nsid w:val="1A44E267"/>
    <w:multiLevelType w:val="singleLevel"/>
    <w:tmpl w:val="1A44E267"/>
    <w:lvl w:ilvl="0" w:tentative="0">
      <w:start w:val="1"/>
      <w:numFmt w:val="decimal"/>
      <w:suff w:val="space"/>
      <w:lvlText w:val=""/>
      <w:lvlJc w:val="left"/>
      <w:pPr>
        <w:ind w:left="0" w:firstLine="482"/>
      </w:pPr>
      <w:rPr>
        <w:rFonts w:hint="default"/>
      </w:rPr>
    </w:lvl>
  </w:abstractNum>
  <w:abstractNum w:abstractNumId="134">
    <w:nsid w:val="1B11801D"/>
    <w:multiLevelType w:val="singleLevel"/>
    <w:tmpl w:val="1B11801D"/>
    <w:lvl w:ilvl="0" w:tentative="0">
      <w:start w:val="1"/>
      <w:numFmt w:val="decimal"/>
      <w:suff w:val="space"/>
      <w:lvlText w:val=""/>
      <w:lvlJc w:val="left"/>
      <w:pPr>
        <w:ind w:left="0" w:firstLine="482"/>
      </w:pPr>
      <w:rPr>
        <w:rFonts w:hint="default"/>
      </w:rPr>
    </w:lvl>
  </w:abstractNum>
  <w:abstractNum w:abstractNumId="135">
    <w:nsid w:val="1C9193F5"/>
    <w:multiLevelType w:val="singleLevel"/>
    <w:tmpl w:val="1C9193F5"/>
    <w:lvl w:ilvl="0" w:tentative="0">
      <w:start w:val="1"/>
      <w:numFmt w:val="decimal"/>
      <w:suff w:val="space"/>
      <w:lvlText w:val="【%1】"/>
      <w:lvlJc w:val="left"/>
      <w:pPr>
        <w:ind w:left="0" w:firstLine="0"/>
      </w:pPr>
      <w:rPr>
        <w:rFonts w:hint="default"/>
      </w:rPr>
    </w:lvl>
  </w:abstractNum>
  <w:abstractNum w:abstractNumId="136">
    <w:nsid w:val="1CA1BA15"/>
    <w:multiLevelType w:val="singleLevel"/>
    <w:tmpl w:val="1CA1BA15"/>
    <w:lvl w:ilvl="0" w:tentative="0">
      <w:start w:val="1"/>
      <w:numFmt w:val="decimal"/>
      <w:suff w:val="space"/>
      <w:lvlText w:val="%1."/>
      <w:lvlJc w:val="left"/>
      <w:pPr>
        <w:ind w:left="0" w:firstLine="0"/>
      </w:pPr>
      <w:rPr>
        <w:rFonts w:hint="default"/>
      </w:rPr>
    </w:lvl>
  </w:abstractNum>
  <w:abstractNum w:abstractNumId="137">
    <w:nsid w:val="1CAF3FB3"/>
    <w:multiLevelType w:val="singleLevel"/>
    <w:tmpl w:val="1CAF3FB3"/>
    <w:lvl w:ilvl="0" w:tentative="0">
      <w:start w:val="1"/>
      <w:numFmt w:val="decimal"/>
      <w:suff w:val="space"/>
      <w:lvlText w:val="%1."/>
      <w:lvlJc w:val="left"/>
      <w:pPr>
        <w:ind w:left="0" w:firstLine="482"/>
      </w:pPr>
      <w:rPr>
        <w:rFonts w:hint="default"/>
      </w:rPr>
    </w:lvl>
  </w:abstractNum>
  <w:abstractNum w:abstractNumId="138">
    <w:nsid w:val="1D5018F3"/>
    <w:multiLevelType w:val="singleLevel"/>
    <w:tmpl w:val="1D5018F3"/>
    <w:lvl w:ilvl="0" w:tentative="0">
      <w:start w:val="1"/>
      <w:numFmt w:val="decimal"/>
      <w:suff w:val="space"/>
      <w:lvlText w:val=""/>
      <w:lvlJc w:val="left"/>
      <w:pPr>
        <w:ind w:left="0" w:firstLine="482"/>
      </w:pPr>
      <w:rPr>
        <w:rFonts w:hint="default"/>
      </w:rPr>
    </w:lvl>
  </w:abstractNum>
  <w:abstractNum w:abstractNumId="139">
    <w:nsid w:val="1E224C4F"/>
    <w:multiLevelType w:val="singleLevel"/>
    <w:tmpl w:val="1E224C4F"/>
    <w:lvl w:ilvl="0" w:tentative="0">
      <w:start w:val="1"/>
      <w:numFmt w:val="decimal"/>
      <w:suff w:val="space"/>
      <w:lvlText w:val=""/>
      <w:lvlJc w:val="left"/>
      <w:pPr>
        <w:ind w:left="0" w:firstLine="482"/>
      </w:pPr>
      <w:rPr>
        <w:rFonts w:hint="default"/>
      </w:rPr>
    </w:lvl>
  </w:abstractNum>
  <w:abstractNum w:abstractNumId="140">
    <w:nsid w:val="1E30B63D"/>
    <w:multiLevelType w:val="singleLevel"/>
    <w:tmpl w:val="1E30B63D"/>
    <w:lvl w:ilvl="0" w:tentative="0">
      <w:start w:val="1"/>
      <w:numFmt w:val="decimal"/>
      <w:suff w:val="space"/>
      <w:lvlText w:val=""/>
      <w:lvlJc w:val="left"/>
      <w:pPr>
        <w:ind w:left="0" w:firstLine="482"/>
      </w:pPr>
      <w:rPr>
        <w:rFonts w:hint="default"/>
      </w:rPr>
    </w:lvl>
  </w:abstractNum>
  <w:abstractNum w:abstractNumId="141">
    <w:nsid w:val="1ECC15D0"/>
    <w:multiLevelType w:val="singleLevel"/>
    <w:tmpl w:val="1ECC15D0"/>
    <w:lvl w:ilvl="0" w:tentative="0">
      <w:start w:val="1"/>
      <w:numFmt w:val="decimal"/>
      <w:suff w:val="space"/>
      <w:lvlText w:val=""/>
      <w:lvlJc w:val="left"/>
      <w:pPr>
        <w:ind w:left="0" w:firstLine="482"/>
      </w:pPr>
      <w:rPr>
        <w:rFonts w:hint="default"/>
      </w:rPr>
    </w:lvl>
  </w:abstractNum>
  <w:abstractNum w:abstractNumId="142">
    <w:nsid w:val="1FFEA850"/>
    <w:multiLevelType w:val="singleLevel"/>
    <w:tmpl w:val="1FFEA850"/>
    <w:lvl w:ilvl="0" w:tentative="0">
      <w:start w:val="1"/>
      <w:numFmt w:val="decimal"/>
      <w:suff w:val="space"/>
      <w:lvlText w:val=""/>
      <w:lvlJc w:val="left"/>
      <w:pPr>
        <w:ind w:left="0" w:firstLine="482"/>
      </w:pPr>
      <w:rPr>
        <w:rFonts w:hint="default"/>
      </w:rPr>
    </w:lvl>
  </w:abstractNum>
  <w:abstractNum w:abstractNumId="143">
    <w:nsid w:val="21D169BF"/>
    <w:multiLevelType w:val="singleLevel"/>
    <w:tmpl w:val="21D169BF"/>
    <w:lvl w:ilvl="0" w:tentative="0">
      <w:start w:val="1"/>
      <w:numFmt w:val="decimal"/>
      <w:suff w:val="space"/>
      <w:lvlText w:val="【%1】"/>
      <w:lvlJc w:val="left"/>
      <w:pPr>
        <w:ind w:left="0" w:firstLine="0"/>
      </w:pPr>
      <w:rPr>
        <w:rFonts w:hint="default"/>
      </w:rPr>
    </w:lvl>
  </w:abstractNum>
  <w:abstractNum w:abstractNumId="144">
    <w:nsid w:val="240351A2"/>
    <w:multiLevelType w:val="singleLevel"/>
    <w:tmpl w:val="240351A2"/>
    <w:lvl w:ilvl="0" w:tentative="0">
      <w:start w:val="1"/>
      <w:numFmt w:val="decimal"/>
      <w:suff w:val="space"/>
      <w:lvlText w:val="【%1】"/>
      <w:lvlJc w:val="left"/>
      <w:pPr>
        <w:ind w:left="0" w:firstLine="0"/>
      </w:pPr>
      <w:rPr>
        <w:rFonts w:hint="default"/>
      </w:rPr>
    </w:lvl>
  </w:abstractNum>
  <w:abstractNum w:abstractNumId="145">
    <w:nsid w:val="268459D1"/>
    <w:multiLevelType w:val="singleLevel"/>
    <w:tmpl w:val="268459D1"/>
    <w:lvl w:ilvl="0" w:tentative="0">
      <w:start w:val="1"/>
      <w:numFmt w:val="decimal"/>
      <w:suff w:val="space"/>
      <w:lvlText w:val=""/>
      <w:lvlJc w:val="left"/>
      <w:pPr>
        <w:ind w:left="0" w:firstLine="482"/>
      </w:pPr>
      <w:rPr>
        <w:rFonts w:hint="default"/>
      </w:rPr>
    </w:lvl>
  </w:abstractNum>
  <w:abstractNum w:abstractNumId="146">
    <w:nsid w:val="27153E7B"/>
    <w:multiLevelType w:val="singleLevel"/>
    <w:tmpl w:val="27153E7B"/>
    <w:lvl w:ilvl="0" w:tentative="0">
      <w:start w:val="1"/>
      <w:numFmt w:val="decimal"/>
      <w:suff w:val="space"/>
      <w:lvlText w:val=""/>
      <w:lvlJc w:val="left"/>
      <w:pPr>
        <w:ind w:left="0" w:firstLine="482"/>
      </w:pPr>
      <w:rPr>
        <w:rFonts w:hint="default"/>
      </w:rPr>
    </w:lvl>
  </w:abstractNum>
  <w:abstractNum w:abstractNumId="147">
    <w:nsid w:val="27E504BF"/>
    <w:multiLevelType w:val="singleLevel"/>
    <w:tmpl w:val="27E504BF"/>
    <w:lvl w:ilvl="0" w:tentative="0">
      <w:start w:val="1"/>
      <w:numFmt w:val="decimal"/>
      <w:suff w:val="space"/>
      <w:lvlText w:val=""/>
      <w:lvlJc w:val="left"/>
      <w:pPr>
        <w:ind w:left="0" w:firstLine="482"/>
      </w:pPr>
      <w:rPr>
        <w:rFonts w:hint="default"/>
      </w:rPr>
    </w:lvl>
  </w:abstractNum>
  <w:abstractNum w:abstractNumId="148">
    <w:nsid w:val="28460EC3"/>
    <w:multiLevelType w:val="singleLevel"/>
    <w:tmpl w:val="28460EC3"/>
    <w:lvl w:ilvl="0" w:tentative="0">
      <w:start w:val="1"/>
      <w:numFmt w:val="decimal"/>
      <w:suff w:val="space"/>
      <w:lvlText w:val=""/>
      <w:lvlJc w:val="left"/>
      <w:pPr>
        <w:ind w:left="0" w:firstLine="482"/>
      </w:pPr>
      <w:rPr>
        <w:rFonts w:hint="default"/>
      </w:rPr>
    </w:lvl>
  </w:abstractNum>
  <w:abstractNum w:abstractNumId="149">
    <w:nsid w:val="28E984FA"/>
    <w:multiLevelType w:val="singleLevel"/>
    <w:tmpl w:val="28E984FA"/>
    <w:lvl w:ilvl="0" w:tentative="0">
      <w:start w:val="1"/>
      <w:numFmt w:val="decimal"/>
      <w:suff w:val="space"/>
      <w:lvlText w:val=""/>
      <w:lvlJc w:val="left"/>
      <w:pPr>
        <w:ind w:left="0" w:firstLine="482"/>
      </w:pPr>
      <w:rPr>
        <w:rFonts w:hint="default"/>
      </w:rPr>
    </w:lvl>
  </w:abstractNum>
  <w:abstractNum w:abstractNumId="150">
    <w:nsid w:val="2961C5EE"/>
    <w:multiLevelType w:val="singleLevel"/>
    <w:tmpl w:val="2961C5EE"/>
    <w:lvl w:ilvl="0" w:tentative="0">
      <w:start w:val="1"/>
      <w:numFmt w:val="decimal"/>
      <w:suff w:val="space"/>
      <w:lvlText w:val=""/>
      <w:lvlJc w:val="left"/>
      <w:pPr>
        <w:ind w:left="0" w:firstLine="482"/>
      </w:pPr>
      <w:rPr>
        <w:rFonts w:hint="default"/>
      </w:rPr>
    </w:lvl>
  </w:abstractNum>
  <w:abstractNum w:abstractNumId="151">
    <w:nsid w:val="296D4EE9"/>
    <w:multiLevelType w:val="singleLevel"/>
    <w:tmpl w:val="296D4EE9"/>
    <w:lvl w:ilvl="0" w:tentative="0">
      <w:start w:val="1"/>
      <w:numFmt w:val="decimal"/>
      <w:suff w:val="space"/>
      <w:lvlText w:val=""/>
      <w:lvlJc w:val="left"/>
      <w:pPr>
        <w:ind w:left="0" w:firstLine="482"/>
      </w:pPr>
      <w:rPr>
        <w:rFonts w:hint="default"/>
      </w:rPr>
    </w:lvl>
  </w:abstractNum>
  <w:abstractNum w:abstractNumId="152">
    <w:nsid w:val="29BBAD0E"/>
    <w:multiLevelType w:val="singleLevel"/>
    <w:tmpl w:val="29BBAD0E"/>
    <w:lvl w:ilvl="0" w:tentative="0">
      <w:start w:val="1"/>
      <w:numFmt w:val="decimal"/>
      <w:suff w:val="space"/>
      <w:lvlText w:val=""/>
      <w:lvlJc w:val="left"/>
      <w:pPr>
        <w:ind w:left="0" w:firstLine="482"/>
      </w:pPr>
      <w:rPr>
        <w:rFonts w:hint="default"/>
      </w:rPr>
    </w:lvl>
  </w:abstractNum>
  <w:abstractNum w:abstractNumId="153">
    <w:nsid w:val="29C24E1C"/>
    <w:multiLevelType w:val="singleLevel"/>
    <w:tmpl w:val="29C24E1C"/>
    <w:lvl w:ilvl="0" w:tentative="0">
      <w:start w:val="1"/>
      <w:numFmt w:val="decimal"/>
      <w:suff w:val="space"/>
      <w:lvlText w:val=""/>
      <w:lvlJc w:val="left"/>
      <w:pPr>
        <w:ind w:left="0" w:firstLine="482"/>
      </w:pPr>
      <w:rPr>
        <w:rFonts w:hint="default"/>
      </w:rPr>
    </w:lvl>
  </w:abstractNum>
  <w:abstractNum w:abstractNumId="154">
    <w:nsid w:val="2B3D8BFD"/>
    <w:multiLevelType w:val="singleLevel"/>
    <w:tmpl w:val="2B3D8BFD"/>
    <w:lvl w:ilvl="0" w:tentative="0">
      <w:start w:val="1"/>
      <w:numFmt w:val="decimal"/>
      <w:suff w:val="space"/>
      <w:lvlText w:val=""/>
      <w:lvlJc w:val="left"/>
      <w:pPr>
        <w:ind w:left="0" w:firstLine="482"/>
      </w:pPr>
      <w:rPr>
        <w:rFonts w:hint="default"/>
      </w:rPr>
    </w:lvl>
  </w:abstractNum>
  <w:abstractNum w:abstractNumId="155">
    <w:nsid w:val="2F2E6370"/>
    <w:multiLevelType w:val="singleLevel"/>
    <w:tmpl w:val="2F2E6370"/>
    <w:lvl w:ilvl="0" w:tentative="0">
      <w:start w:val="1"/>
      <w:numFmt w:val="decimal"/>
      <w:suff w:val="space"/>
      <w:lvlText w:val=""/>
      <w:lvlJc w:val="left"/>
      <w:pPr>
        <w:ind w:left="0" w:firstLine="482"/>
      </w:pPr>
      <w:rPr>
        <w:rFonts w:hint="default"/>
      </w:rPr>
    </w:lvl>
  </w:abstractNum>
  <w:abstractNum w:abstractNumId="156">
    <w:nsid w:val="31956329"/>
    <w:multiLevelType w:val="singleLevel"/>
    <w:tmpl w:val="31956329"/>
    <w:lvl w:ilvl="0" w:tentative="0">
      <w:start w:val="1"/>
      <w:numFmt w:val="decimal"/>
      <w:suff w:val="space"/>
      <w:lvlText w:val=""/>
      <w:lvlJc w:val="left"/>
      <w:pPr>
        <w:ind w:left="0" w:firstLine="482"/>
      </w:pPr>
      <w:rPr>
        <w:rFonts w:hint="default"/>
      </w:rPr>
    </w:lvl>
  </w:abstractNum>
  <w:abstractNum w:abstractNumId="157">
    <w:nsid w:val="32DF5FCD"/>
    <w:multiLevelType w:val="singleLevel"/>
    <w:tmpl w:val="32DF5FCD"/>
    <w:lvl w:ilvl="0" w:tentative="0">
      <w:start w:val="1"/>
      <w:numFmt w:val="decimal"/>
      <w:suff w:val="space"/>
      <w:lvlText w:val=""/>
      <w:lvlJc w:val="left"/>
      <w:pPr>
        <w:ind w:left="0" w:firstLine="482"/>
      </w:pPr>
      <w:rPr>
        <w:rFonts w:hint="default"/>
      </w:rPr>
    </w:lvl>
  </w:abstractNum>
  <w:abstractNum w:abstractNumId="158">
    <w:nsid w:val="3424CA97"/>
    <w:multiLevelType w:val="singleLevel"/>
    <w:tmpl w:val="3424CA97"/>
    <w:lvl w:ilvl="0" w:tentative="0">
      <w:start w:val="1"/>
      <w:numFmt w:val="decimal"/>
      <w:suff w:val="space"/>
      <w:lvlText w:val="%1."/>
      <w:lvlJc w:val="left"/>
      <w:pPr>
        <w:ind w:left="0" w:firstLine="0"/>
      </w:pPr>
      <w:rPr>
        <w:rFonts w:hint="default"/>
      </w:rPr>
    </w:lvl>
  </w:abstractNum>
  <w:abstractNum w:abstractNumId="159">
    <w:nsid w:val="3472B646"/>
    <w:multiLevelType w:val="singleLevel"/>
    <w:tmpl w:val="3472B646"/>
    <w:lvl w:ilvl="0" w:tentative="0">
      <w:start w:val="1"/>
      <w:numFmt w:val="decimal"/>
      <w:suff w:val="space"/>
      <w:lvlText w:val="【%1】"/>
      <w:lvlJc w:val="left"/>
      <w:pPr>
        <w:ind w:left="0" w:firstLine="0"/>
      </w:pPr>
      <w:rPr>
        <w:rFonts w:hint="default"/>
      </w:rPr>
    </w:lvl>
  </w:abstractNum>
  <w:abstractNum w:abstractNumId="160">
    <w:nsid w:val="34C74625"/>
    <w:multiLevelType w:val="singleLevel"/>
    <w:tmpl w:val="34C74625"/>
    <w:lvl w:ilvl="0" w:tentative="0">
      <w:start w:val="1"/>
      <w:numFmt w:val="decimal"/>
      <w:suff w:val="space"/>
      <w:lvlText w:val=""/>
      <w:lvlJc w:val="left"/>
      <w:pPr>
        <w:ind w:left="0" w:firstLine="482"/>
      </w:pPr>
      <w:rPr>
        <w:rFonts w:hint="default"/>
      </w:rPr>
    </w:lvl>
  </w:abstractNum>
  <w:abstractNum w:abstractNumId="161">
    <w:nsid w:val="370D2F68"/>
    <w:multiLevelType w:val="singleLevel"/>
    <w:tmpl w:val="370D2F68"/>
    <w:lvl w:ilvl="0" w:tentative="0">
      <w:start w:val="1"/>
      <w:numFmt w:val="chineseCounting"/>
      <w:suff w:val="nothing"/>
      <w:lvlText w:val="%1、"/>
      <w:lvlJc w:val="left"/>
      <w:pPr>
        <w:ind w:left="0" w:firstLine="0"/>
      </w:pPr>
      <w:rPr>
        <w:rFonts w:hint="eastAsia"/>
      </w:rPr>
    </w:lvl>
  </w:abstractNum>
  <w:abstractNum w:abstractNumId="162">
    <w:nsid w:val="39271B3C"/>
    <w:multiLevelType w:val="singleLevel"/>
    <w:tmpl w:val="39271B3C"/>
    <w:lvl w:ilvl="0" w:tentative="0">
      <w:start w:val="1"/>
      <w:numFmt w:val="decimal"/>
      <w:suff w:val="space"/>
      <w:lvlText w:val="【%1】"/>
      <w:lvlJc w:val="left"/>
      <w:pPr>
        <w:ind w:left="0" w:firstLine="0"/>
      </w:pPr>
      <w:rPr>
        <w:rFonts w:hint="default"/>
      </w:rPr>
    </w:lvl>
  </w:abstractNum>
  <w:abstractNum w:abstractNumId="163">
    <w:nsid w:val="3955E09D"/>
    <w:multiLevelType w:val="singleLevel"/>
    <w:tmpl w:val="3955E09D"/>
    <w:lvl w:ilvl="0" w:tentative="0">
      <w:start w:val="1"/>
      <w:numFmt w:val="chineseCounting"/>
      <w:suff w:val="nothing"/>
      <w:lvlText w:val="%1、"/>
      <w:lvlJc w:val="left"/>
      <w:pPr>
        <w:ind w:left="0" w:firstLine="0"/>
      </w:pPr>
      <w:rPr>
        <w:rFonts w:hint="eastAsia"/>
      </w:rPr>
    </w:lvl>
  </w:abstractNum>
  <w:abstractNum w:abstractNumId="164">
    <w:nsid w:val="3AE9A25A"/>
    <w:multiLevelType w:val="singleLevel"/>
    <w:tmpl w:val="3AE9A25A"/>
    <w:lvl w:ilvl="0" w:tentative="0">
      <w:start w:val="1"/>
      <w:numFmt w:val="decimal"/>
      <w:suff w:val="space"/>
      <w:lvlText w:val=""/>
      <w:lvlJc w:val="left"/>
      <w:pPr>
        <w:ind w:left="0" w:firstLine="482"/>
      </w:pPr>
      <w:rPr>
        <w:rFonts w:hint="default"/>
      </w:rPr>
    </w:lvl>
  </w:abstractNum>
  <w:abstractNum w:abstractNumId="165">
    <w:nsid w:val="3BAF4B88"/>
    <w:multiLevelType w:val="singleLevel"/>
    <w:tmpl w:val="3BAF4B88"/>
    <w:lvl w:ilvl="0" w:tentative="0">
      <w:start w:val="1"/>
      <w:numFmt w:val="decimal"/>
      <w:suff w:val="space"/>
      <w:lvlText w:val=""/>
      <w:lvlJc w:val="left"/>
      <w:pPr>
        <w:ind w:left="0" w:firstLine="482"/>
      </w:pPr>
      <w:rPr>
        <w:rFonts w:hint="default"/>
      </w:rPr>
    </w:lvl>
  </w:abstractNum>
  <w:abstractNum w:abstractNumId="166">
    <w:nsid w:val="3E77A1F0"/>
    <w:multiLevelType w:val="singleLevel"/>
    <w:tmpl w:val="3E77A1F0"/>
    <w:lvl w:ilvl="0" w:tentative="0">
      <w:start w:val="1"/>
      <w:numFmt w:val="decimal"/>
      <w:suff w:val="space"/>
      <w:lvlText w:val="%1."/>
      <w:lvlJc w:val="left"/>
      <w:pPr>
        <w:ind w:left="0" w:firstLine="0"/>
      </w:pPr>
      <w:rPr>
        <w:rFonts w:hint="default"/>
      </w:rPr>
    </w:lvl>
  </w:abstractNum>
  <w:abstractNum w:abstractNumId="167">
    <w:nsid w:val="3EEF83E7"/>
    <w:multiLevelType w:val="singleLevel"/>
    <w:tmpl w:val="3EEF83E7"/>
    <w:lvl w:ilvl="0" w:tentative="0">
      <w:start w:val="1"/>
      <w:numFmt w:val="decimal"/>
      <w:suff w:val="space"/>
      <w:lvlText w:val=""/>
      <w:lvlJc w:val="left"/>
      <w:pPr>
        <w:ind w:left="0" w:firstLine="482"/>
      </w:pPr>
      <w:rPr>
        <w:rFonts w:hint="default"/>
      </w:rPr>
    </w:lvl>
  </w:abstractNum>
  <w:abstractNum w:abstractNumId="168">
    <w:nsid w:val="446076BC"/>
    <w:multiLevelType w:val="singleLevel"/>
    <w:tmpl w:val="446076BC"/>
    <w:lvl w:ilvl="0" w:tentative="0">
      <w:start w:val="1"/>
      <w:numFmt w:val="decimal"/>
      <w:suff w:val="space"/>
      <w:lvlText w:val=""/>
      <w:lvlJc w:val="left"/>
      <w:pPr>
        <w:ind w:left="0" w:firstLine="482"/>
      </w:pPr>
      <w:rPr>
        <w:rFonts w:hint="default"/>
      </w:rPr>
    </w:lvl>
  </w:abstractNum>
  <w:abstractNum w:abstractNumId="169">
    <w:nsid w:val="482B781B"/>
    <w:multiLevelType w:val="singleLevel"/>
    <w:tmpl w:val="482B781B"/>
    <w:lvl w:ilvl="0" w:tentative="0">
      <w:start w:val="1"/>
      <w:numFmt w:val="decimal"/>
      <w:suff w:val="space"/>
      <w:lvlText w:val=""/>
      <w:lvlJc w:val="left"/>
      <w:pPr>
        <w:ind w:left="0" w:firstLine="482"/>
      </w:pPr>
      <w:rPr>
        <w:rFonts w:hint="default"/>
      </w:rPr>
    </w:lvl>
  </w:abstractNum>
  <w:abstractNum w:abstractNumId="170">
    <w:nsid w:val="48FA35CE"/>
    <w:multiLevelType w:val="singleLevel"/>
    <w:tmpl w:val="48FA35CE"/>
    <w:lvl w:ilvl="0" w:tentative="0">
      <w:start w:val="1"/>
      <w:numFmt w:val="decimal"/>
      <w:suff w:val="space"/>
      <w:lvlText w:val=""/>
      <w:lvlJc w:val="left"/>
      <w:pPr>
        <w:ind w:left="0" w:firstLine="482"/>
      </w:pPr>
      <w:rPr>
        <w:rFonts w:hint="default"/>
      </w:rPr>
    </w:lvl>
  </w:abstractNum>
  <w:abstractNum w:abstractNumId="171">
    <w:nsid w:val="491BE62B"/>
    <w:multiLevelType w:val="singleLevel"/>
    <w:tmpl w:val="491BE62B"/>
    <w:lvl w:ilvl="0" w:tentative="0">
      <w:start w:val="1"/>
      <w:numFmt w:val="decimal"/>
      <w:suff w:val="space"/>
      <w:lvlText w:val=""/>
      <w:lvlJc w:val="left"/>
      <w:pPr>
        <w:ind w:left="0" w:firstLine="482"/>
      </w:pPr>
      <w:rPr>
        <w:rFonts w:hint="default"/>
      </w:rPr>
    </w:lvl>
  </w:abstractNum>
  <w:abstractNum w:abstractNumId="172">
    <w:nsid w:val="4A77CCF7"/>
    <w:multiLevelType w:val="singleLevel"/>
    <w:tmpl w:val="4A77CCF7"/>
    <w:lvl w:ilvl="0" w:tentative="0">
      <w:start w:val="1"/>
      <w:numFmt w:val="decimal"/>
      <w:suff w:val="space"/>
      <w:lvlText w:val=""/>
      <w:lvlJc w:val="left"/>
      <w:pPr>
        <w:ind w:left="0" w:firstLine="482"/>
      </w:pPr>
      <w:rPr>
        <w:rFonts w:hint="default"/>
      </w:rPr>
    </w:lvl>
  </w:abstractNum>
  <w:abstractNum w:abstractNumId="173">
    <w:nsid w:val="4A8C8AF5"/>
    <w:multiLevelType w:val="singleLevel"/>
    <w:tmpl w:val="4A8C8AF5"/>
    <w:lvl w:ilvl="0" w:tentative="0">
      <w:start w:val="1"/>
      <w:numFmt w:val="decimal"/>
      <w:suff w:val="space"/>
      <w:lvlText w:val=""/>
      <w:lvlJc w:val="left"/>
      <w:pPr>
        <w:ind w:left="0" w:firstLine="482"/>
      </w:pPr>
      <w:rPr>
        <w:rFonts w:hint="default"/>
      </w:rPr>
    </w:lvl>
  </w:abstractNum>
  <w:abstractNum w:abstractNumId="174">
    <w:nsid w:val="4BE3479B"/>
    <w:multiLevelType w:val="singleLevel"/>
    <w:tmpl w:val="4BE3479B"/>
    <w:lvl w:ilvl="0" w:tentative="0">
      <w:start w:val="1"/>
      <w:numFmt w:val="decimal"/>
      <w:suff w:val="space"/>
      <w:lvlText w:val=""/>
      <w:lvlJc w:val="left"/>
      <w:pPr>
        <w:ind w:left="0" w:firstLine="482"/>
      </w:pPr>
      <w:rPr>
        <w:rFonts w:hint="default"/>
      </w:rPr>
    </w:lvl>
  </w:abstractNum>
  <w:abstractNum w:abstractNumId="175">
    <w:nsid w:val="4C77B402"/>
    <w:multiLevelType w:val="singleLevel"/>
    <w:tmpl w:val="4C77B402"/>
    <w:lvl w:ilvl="0" w:tentative="0">
      <w:start w:val="1"/>
      <w:numFmt w:val="decimal"/>
      <w:suff w:val="space"/>
      <w:lvlText w:val=""/>
      <w:lvlJc w:val="left"/>
      <w:pPr>
        <w:ind w:left="0" w:firstLine="482"/>
      </w:pPr>
      <w:rPr>
        <w:rFonts w:hint="default"/>
      </w:rPr>
    </w:lvl>
  </w:abstractNum>
  <w:abstractNum w:abstractNumId="176">
    <w:nsid w:val="4CB7A876"/>
    <w:multiLevelType w:val="singleLevel"/>
    <w:tmpl w:val="4CB7A876"/>
    <w:lvl w:ilvl="0" w:tentative="0">
      <w:start w:val="1"/>
      <w:numFmt w:val="decimal"/>
      <w:suff w:val="space"/>
      <w:lvlText w:val=""/>
      <w:lvlJc w:val="left"/>
      <w:pPr>
        <w:ind w:left="0" w:firstLine="482"/>
      </w:pPr>
      <w:rPr>
        <w:rFonts w:hint="default"/>
      </w:rPr>
    </w:lvl>
  </w:abstractNum>
  <w:abstractNum w:abstractNumId="177">
    <w:nsid w:val="4E376D55"/>
    <w:multiLevelType w:val="singleLevel"/>
    <w:tmpl w:val="4E376D55"/>
    <w:lvl w:ilvl="0" w:tentative="0">
      <w:start w:val="1"/>
      <w:numFmt w:val="decimal"/>
      <w:suff w:val="space"/>
      <w:lvlText w:val=""/>
      <w:lvlJc w:val="left"/>
      <w:pPr>
        <w:ind w:left="0" w:firstLine="482"/>
      </w:pPr>
      <w:rPr>
        <w:rFonts w:hint="default"/>
      </w:rPr>
    </w:lvl>
  </w:abstractNum>
  <w:abstractNum w:abstractNumId="178">
    <w:nsid w:val="4F0DCE0D"/>
    <w:multiLevelType w:val="singleLevel"/>
    <w:tmpl w:val="4F0DCE0D"/>
    <w:lvl w:ilvl="0" w:tentative="0">
      <w:start w:val="1"/>
      <w:numFmt w:val="decimal"/>
      <w:suff w:val="space"/>
      <w:lvlText w:val="【%1】"/>
      <w:lvlJc w:val="left"/>
      <w:pPr>
        <w:ind w:left="0" w:firstLine="0"/>
      </w:pPr>
      <w:rPr>
        <w:rFonts w:hint="default"/>
      </w:rPr>
    </w:lvl>
  </w:abstractNum>
  <w:abstractNum w:abstractNumId="179">
    <w:nsid w:val="4FC28BC5"/>
    <w:multiLevelType w:val="singleLevel"/>
    <w:tmpl w:val="4FC28BC5"/>
    <w:lvl w:ilvl="0" w:tentative="0">
      <w:start w:val="1"/>
      <w:numFmt w:val="decimal"/>
      <w:suff w:val="space"/>
      <w:lvlText w:val=""/>
      <w:lvlJc w:val="left"/>
      <w:pPr>
        <w:ind w:left="0" w:firstLine="482"/>
      </w:pPr>
      <w:rPr>
        <w:rFonts w:hint="default"/>
      </w:rPr>
    </w:lvl>
  </w:abstractNum>
  <w:abstractNum w:abstractNumId="180">
    <w:nsid w:val="50338085"/>
    <w:multiLevelType w:val="singleLevel"/>
    <w:tmpl w:val="50338085"/>
    <w:lvl w:ilvl="0" w:tentative="0">
      <w:start w:val="1"/>
      <w:numFmt w:val="decimal"/>
      <w:suff w:val="space"/>
      <w:lvlText w:val="%1."/>
      <w:lvlJc w:val="left"/>
      <w:pPr>
        <w:ind w:left="0" w:firstLine="482"/>
      </w:pPr>
      <w:rPr>
        <w:rFonts w:hint="default"/>
      </w:rPr>
    </w:lvl>
  </w:abstractNum>
  <w:abstractNum w:abstractNumId="181">
    <w:nsid w:val="503CC9D0"/>
    <w:multiLevelType w:val="singleLevel"/>
    <w:tmpl w:val="503CC9D0"/>
    <w:lvl w:ilvl="0" w:tentative="0">
      <w:start w:val="1"/>
      <w:numFmt w:val="decimal"/>
      <w:suff w:val="space"/>
      <w:lvlText w:val=""/>
      <w:lvlJc w:val="left"/>
      <w:pPr>
        <w:ind w:left="0" w:firstLine="482"/>
      </w:pPr>
      <w:rPr>
        <w:rFonts w:hint="default"/>
      </w:rPr>
    </w:lvl>
  </w:abstractNum>
  <w:abstractNum w:abstractNumId="182">
    <w:nsid w:val="505D1838"/>
    <w:multiLevelType w:val="singleLevel"/>
    <w:tmpl w:val="505D1838"/>
    <w:lvl w:ilvl="0" w:tentative="0">
      <w:start w:val="1"/>
      <w:numFmt w:val="decimal"/>
      <w:suff w:val="space"/>
      <w:lvlText w:val="%1."/>
      <w:lvlJc w:val="left"/>
      <w:pPr>
        <w:ind w:left="0" w:firstLine="0"/>
      </w:pPr>
      <w:rPr>
        <w:rFonts w:hint="default"/>
      </w:rPr>
    </w:lvl>
  </w:abstractNum>
  <w:abstractNum w:abstractNumId="183">
    <w:nsid w:val="51094587"/>
    <w:multiLevelType w:val="singleLevel"/>
    <w:tmpl w:val="51094587"/>
    <w:lvl w:ilvl="0" w:tentative="0">
      <w:start w:val="1"/>
      <w:numFmt w:val="decimal"/>
      <w:suff w:val="space"/>
      <w:lvlText w:val="【%1】"/>
      <w:lvlJc w:val="left"/>
      <w:pPr>
        <w:ind w:left="0" w:firstLine="0"/>
      </w:pPr>
      <w:rPr>
        <w:rFonts w:hint="default"/>
      </w:rPr>
    </w:lvl>
  </w:abstractNum>
  <w:abstractNum w:abstractNumId="184">
    <w:nsid w:val="53FC14DF"/>
    <w:multiLevelType w:val="singleLevel"/>
    <w:tmpl w:val="53FC14DF"/>
    <w:lvl w:ilvl="0" w:tentative="0">
      <w:start w:val="1"/>
      <w:numFmt w:val="decimal"/>
      <w:suff w:val="space"/>
      <w:lvlText w:val=""/>
      <w:lvlJc w:val="left"/>
      <w:pPr>
        <w:ind w:left="0" w:firstLine="482"/>
      </w:pPr>
      <w:rPr>
        <w:rFonts w:hint="default"/>
      </w:rPr>
    </w:lvl>
  </w:abstractNum>
  <w:abstractNum w:abstractNumId="185">
    <w:nsid w:val="54CBC6EC"/>
    <w:multiLevelType w:val="singleLevel"/>
    <w:tmpl w:val="54CBC6EC"/>
    <w:lvl w:ilvl="0" w:tentative="0">
      <w:start w:val="1"/>
      <w:numFmt w:val="chineseCounting"/>
      <w:suff w:val="nothing"/>
      <w:lvlText w:val="%1、"/>
      <w:lvlJc w:val="left"/>
      <w:pPr>
        <w:ind w:left="0" w:firstLine="0"/>
      </w:pPr>
      <w:rPr>
        <w:rFonts w:hint="eastAsia"/>
      </w:rPr>
    </w:lvl>
  </w:abstractNum>
  <w:abstractNum w:abstractNumId="186">
    <w:nsid w:val="569CC9D9"/>
    <w:multiLevelType w:val="singleLevel"/>
    <w:tmpl w:val="569CC9D9"/>
    <w:lvl w:ilvl="0" w:tentative="0">
      <w:start w:val="1"/>
      <w:numFmt w:val="decimal"/>
      <w:suff w:val="space"/>
      <w:lvlText w:val=""/>
      <w:lvlJc w:val="left"/>
      <w:pPr>
        <w:ind w:left="0" w:firstLine="482"/>
      </w:pPr>
      <w:rPr>
        <w:rFonts w:hint="default"/>
      </w:rPr>
    </w:lvl>
  </w:abstractNum>
  <w:abstractNum w:abstractNumId="187">
    <w:nsid w:val="56B4692C"/>
    <w:multiLevelType w:val="singleLevel"/>
    <w:tmpl w:val="56B4692C"/>
    <w:lvl w:ilvl="0" w:tentative="0">
      <w:start w:val="1"/>
      <w:numFmt w:val="decimal"/>
      <w:suff w:val="space"/>
      <w:lvlText w:val=""/>
      <w:lvlJc w:val="left"/>
      <w:pPr>
        <w:ind w:left="0" w:firstLine="482"/>
      </w:pPr>
      <w:rPr>
        <w:rFonts w:hint="default"/>
      </w:rPr>
    </w:lvl>
  </w:abstractNum>
  <w:abstractNum w:abstractNumId="188">
    <w:nsid w:val="56EFF0A2"/>
    <w:multiLevelType w:val="singleLevel"/>
    <w:tmpl w:val="56EFF0A2"/>
    <w:lvl w:ilvl="0" w:tentative="0">
      <w:start w:val="1"/>
      <w:numFmt w:val="decimal"/>
      <w:suff w:val="space"/>
      <w:lvlText w:val="【%1】"/>
      <w:lvlJc w:val="left"/>
      <w:pPr>
        <w:ind w:left="0" w:firstLine="0"/>
      </w:pPr>
      <w:rPr>
        <w:rFonts w:hint="default"/>
      </w:rPr>
    </w:lvl>
  </w:abstractNum>
  <w:abstractNum w:abstractNumId="189">
    <w:nsid w:val="5A4F39B2"/>
    <w:multiLevelType w:val="singleLevel"/>
    <w:tmpl w:val="5A4F39B2"/>
    <w:lvl w:ilvl="0" w:tentative="0">
      <w:start w:val="1"/>
      <w:numFmt w:val="chineseCounting"/>
      <w:suff w:val="nothing"/>
      <w:lvlText w:val="%1、"/>
      <w:lvlJc w:val="left"/>
      <w:pPr>
        <w:ind w:left="0" w:firstLine="0"/>
      </w:pPr>
      <w:rPr>
        <w:rFonts w:hint="eastAsia"/>
      </w:rPr>
    </w:lvl>
  </w:abstractNum>
  <w:abstractNum w:abstractNumId="190">
    <w:nsid w:val="5ACE5499"/>
    <w:multiLevelType w:val="singleLevel"/>
    <w:tmpl w:val="5ACE5499"/>
    <w:lvl w:ilvl="0" w:tentative="0">
      <w:start w:val="1"/>
      <w:numFmt w:val="decimal"/>
      <w:suff w:val="space"/>
      <w:lvlText w:val=""/>
      <w:lvlJc w:val="left"/>
      <w:pPr>
        <w:ind w:left="0" w:firstLine="482"/>
      </w:pPr>
      <w:rPr>
        <w:rFonts w:hint="default"/>
      </w:rPr>
    </w:lvl>
  </w:abstractNum>
  <w:abstractNum w:abstractNumId="191">
    <w:nsid w:val="5C354479"/>
    <w:multiLevelType w:val="singleLevel"/>
    <w:tmpl w:val="5C354479"/>
    <w:lvl w:ilvl="0" w:tentative="0">
      <w:start w:val="1"/>
      <w:numFmt w:val="decimal"/>
      <w:suff w:val="space"/>
      <w:lvlText w:val=""/>
      <w:lvlJc w:val="left"/>
      <w:pPr>
        <w:ind w:left="0" w:firstLine="482"/>
      </w:pPr>
      <w:rPr>
        <w:rFonts w:hint="default"/>
      </w:rPr>
    </w:lvl>
  </w:abstractNum>
  <w:abstractNum w:abstractNumId="192">
    <w:nsid w:val="5CCA8E15"/>
    <w:multiLevelType w:val="singleLevel"/>
    <w:tmpl w:val="5CCA8E15"/>
    <w:lvl w:ilvl="0" w:tentative="0">
      <w:start w:val="1"/>
      <w:numFmt w:val="decimal"/>
      <w:suff w:val="space"/>
      <w:lvlText w:val="【%1】"/>
      <w:lvlJc w:val="left"/>
      <w:pPr>
        <w:ind w:left="0" w:firstLine="0"/>
      </w:pPr>
      <w:rPr>
        <w:rFonts w:hint="default"/>
      </w:rPr>
    </w:lvl>
  </w:abstractNum>
  <w:abstractNum w:abstractNumId="193">
    <w:nsid w:val="5F35B691"/>
    <w:multiLevelType w:val="singleLevel"/>
    <w:tmpl w:val="5F35B691"/>
    <w:lvl w:ilvl="0" w:tentative="0">
      <w:start w:val="1"/>
      <w:numFmt w:val="decimal"/>
      <w:suff w:val="space"/>
      <w:lvlText w:val=""/>
      <w:lvlJc w:val="left"/>
      <w:pPr>
        <w:ind w:left="0" w:firstLine="482"/>
      </w:pPr>
      <w:rPr>
        <w:rFonts w:hint="default"/>
      </w:rPr>
    </w:lvl>
  </w:abstractNum>
  <w:abstractNum w:abstractNumId="194">
    <w:nsid w:val="63009E31"/>
    <w:multiLevelType w:val="singleLevel"/>
    <w:tmpl w:val="63009E31"/>
    <w:lvl w:ilvl="0" w:tentative="0">
      <w:start w:val="1"/>
      <w:numFmt w:val="decimal"/>
      <w:suff w:val="space"/>
      <w:lvlText w:val=""/>
      <w:lvlJc w:val="left"/>
      <w:pPr>
        <w:ind w:left="0" w:firstLine="482"/>
      </w:pPr>
      <w:rPr>
        <w:rFonts w:hint="default"/>
      </w:rPr>
    </w:lvl>
  </w:abstractNum>
  <w:abstractNum w:abstractNumId="195">
    <w:nsid w:val="63AE7253"/>
    <w:multiLevelType w:val="singleLevel"/>
    <w:tmpl w:val="63AE7253"/>
    <w:lvl w:ilvl="0" w:tentative="0">
      <w:start w:val="1"/>
      <w:numFmt w:val="chineseCounting"/>
      <w:suff w:val="nothing"/>
      <w:lvlText w:val="%1、"/>
      <w:lvlJc w:val="left"/>
      <w:pPr>
        <w:ind w:left="0" w:firstLine="0"/>
      </w:pPr>
      <w:rPr>
        <w:rFonts w:hint="eastAsia"/>
      </w:rPr>
    </w:lvl>
  </w:abstractNum>
  <w:abstractNum w:abstractNumId="196">
    <w:nsid w:val="64ECA0D4"/>
    <w:multiLevelType w:val="singleLevel"/>
    <w:tmpl w:val="64ECA0D4"/>
    <w:lvl w:ilvl="0" w:tentative="0">
      <w:start w:val="1"/>
      <w:numFmt w:val="decimal"/>
      <w:suff w:val="space"/>
      <w:lvlText w:val=""/>
      <w:lvlJc w:val="left"/>
      <w:pPr>
        <w:ind w:left="0" w:firstLine="482"/>
      </w:pPr>
      <w:rPr>
        <w:rFonts w:hint="default"/>
      </w:rPr>
    </w:lvl>
  </w:abstractNum>
  <w:abstractNum w:abstractNumId="197">
    <w:nsid w:val="6579F1DC"/>
    <w:multiLevelType w:val="singleLevel"/>
    <w:tmpl w:val="6579F1DC"/>
    <w:lvl w:ilvl="0" w:tentative="0">
      <w:start w:val="1"/>
      <w:numFmt w:val="decimal"/>
      <w:suff w:val="space"/>
      <w:lvlText w:val=""/>
      <w:lvlJc w:val="left"/>
      <w:pPr>
        <w:ind w:left="0" w:firstLine="482"/>
      </w:pPr>
      <w:rPr>
        <w:rFonts w:hint="default"/>
      </w:rPr>
    </w:lvl>
  </w:abstractNum>
  <w:abstractNum w:abstractNumId="198">
    <w:nsid w:val="65D7DC8E"/>
    <w:multiLevelType w:val="singleLevel"/>
    <w:tmpl w:val="65D7DC8E"/>
    <w:lvl w:ilvl="0" w:tentative="0">
      <w:start w:val="1"/>
      <w:numFmt w:val="decimal"/>
      <w:suff w:val="space"/>
      <w:lvlText w:val="【%1】"/>
      <w:lvlJc w:val="left"/>
      <w:pPr>
        <w:ind w:left="0" w:firstLine="0"/>
      </w:pPr>
      <w:rPr>
        <w:rFonts w:hint="default"/>
      </w:rPr>
    </w:lvl>
  </w:abstractNum>
  <w:abstractNum w:abstractNumId="199">
    <w:nsid w:val="669F37B5"/>
    <w:multiLevelType w:val="singleLevel"/>
    <w:tmpl w:val="669F37B5"/>
    <w:lvl w:ilvl="0" w:tentative="0">
      <w:start w:val="1"/>
      <w:numFmt w:val="decimal"/>
      <w:suff w:val="space"/>
      <w:lvlText w:val="【%1】"/>
      <w:lvlJc w:val="left"/>
      <w:pPr>
        <w:ind w:left="0" w:firstLine="0"/>
      </w:pPr>
      <w:rPr>
        <w:rFonts w:hint="default"/>
      </w:rPr>
    </w:lvl>
  </w:abstractNum>
  <w:abstractNum w:abstractNumId="200">
    <w:nsid w:val="66D84420"/>
    <w:multiLevelType w:val="singleLevel"/>
    <w:tmpl w:val="66D84420"/>
    <w:lvl w:ilvl="0" w:tentative="0">
      <w:start w:val="1"/>
      <w:numFmt w:val="decimal"/>
      <w:suff w:val="space"/>
      <w:lvlText w:val=""/>
      <w:lvlJc w:val="left"/>
      <w:pPr>
        <w:ind w:left="0" w:firstLine="482"/>
      </w:pPr>
      <w:rPr>
        <w:rFonts w:hint="default"/>
      </w:rPr>
    </w:lvl>
  </w:abstractNum>
  <w:abstractNum w:abstractNumId="201">
    <w:nsid w:val="676CA178"/>
    <w:multiLevelType w:val="singleLevel"/>
    <w:tmpl w:val="676CA178"/>
    <w:lvl w:ilvl="0" w:tentative="0">
      <w:start w:val="1"/>
      <w:numFmt w:val="decimal"/>
      <w:suff w:val="space"/>
      <w:lvlText w:val="%1."/>
      <w:lvlJc w:val="left"/>
      <w:pPr>
        <w:ind w:left="0" w:firstLine="0"/>
      </w:pPr>
      <w:rPr>
        <w:rFonts w:hint="default"/>
      </w:rPr>
    </w:lvl>
  </w:abstractNum>
  <w:abstractNum w:abstractNumId="202">
    <w:nsid w:val="69A6BDFE"/>
    <w:multiLevelType w:val="singleLevel"/>
    <w:tmpl w:val="69A6BDFE"/>
    <w:lvl w:ilvl="0" w:tentative="0">
      <w:start w:val="1"/>
      <w:numFmt w:val="decimal"/>
      <w:suff w:val="space"/>
      <w:lvlText w:val="【%1】"/>
      <w:lvlJc w:val="left"/>
      <w:pPr>
        <w:ind w:left="0" w:firstLine="0"/>
      </w:pPr>
      <w:rPr>
        <w:rFonts w:hint="default"/>
      </w:rPr>
    </w:lvl>
  </w:abstractNum>
  <w:abstractNum w:abstractNumId="203">
    <w:nsid w:val="6B142ADE"/>
    <w:multiLevelType w:val="singleLevel"/>
    <w:tmpl w:val="6B142ADE"/>
    <w:lvl w:ilvl="0" w:tentative="0">
      <w:start w:val="1"/>
      <w:numFmt w:val="decimal"/>
      <w:suff w:val="space"/>
      <w:lvlText w:val=""/>
      <w:lvlJc w:val="left"/>
      <w:pPr>
        <w:ind w:left="0" w:firstLine="482"/>
      </w:pPr>
      <w:rPr>
        <w:rFonts w:hint="default"/>
      </w:rPr>
    </w:lvl>
  </w:abstractNum>
  <w:abstractNum w:abstractNumId="204">
    <w:nsid w:val="6B9BE083"/>
    <w:multiLevelType w:val="singleLevel"/>
    <w:tmpl w:val="6B9BE083"/>
    <w:lvl w:ilvl="0" w:tentative="0">
      <w:start w:val="1"/>
      <w:numFmt w:val="decimal"/>
      <w:suff w:val="space"/>
      <w:lvlText w:val="【%1】"/>
      <w:lvlJc w:val="left"/>
      <w:pPr>
        <w:ind w:left="0" w:firstLine="0"/>
      </w:pPr>
      <w:rPr>
        <w:rFonts w:hint="default"/>
      </w:rPr>
    </w:lvl>
  </w:abstractNum>
  <w:abstractNum w:abstractNumId="205">
    <w:nsid w:val="6CE3F79A"/>
    <w:multiLevelType w:val="singleLevel"/>
    <w:tmpl w:val="6CE3F79A"/>
    <w:lvl w:ilvl="0" w:tentative="0">
      <w:start w:val="1"/>
      <w:numFmt w:val="decimal"/>
      <w:suff w:val="space"/>
      <w:lvlText w:val=""/>
      <w:lvlJc w:val="left"/>
      <w:pPr>
        <w:ind w:left="0" w:firstLine="482"/>
      </w:pPr>
      <w:rPr>
        <w:rFonts w:hint="default"/>
      </w:rPr>
    </w:lvl>
  </w:abstractNum>
  <w:abstractNum w:abstractNumId="206">
    <w:nsid w:val="6E92B67B"/>
    <w:multiLevelType w:val="singleLevel"/>
    <w:tmpl w:val="6E92B67B"/>
    <w:lvl w:ilvl="0" w:tentative="0">
      <w:start w:val="1"/>
      <w:numFmt w:val="decimal"/>
      <w:suff w:val="space"/>
      <w:lvlText w:val=""/>
      <w:lvlJc w:val="left"/>
      <w:pPr>
        <w:ind w:left="0" w:firstLine="482"/>
      </w:pPr>
      <w:rPr>
        <w:rFonts w:hint="default"/>
      </w:rPr>
    </w:lvl>
  </w:abstractNum>
  <w:abstractNum w:abstractNumId="207">
    <w:nsid w:val="6EBBD8BD"/>
    <w:multiLevelType w:val="singleLevel"/>
    <w:tmpl w:val="6EBBD8BD"/>
    <w:lvl w:ilvl="0" w:tentative="0">
      <w:start w:val="1"/>
      <w:numFmt w:val="decimal"/>
      <w:suff w:val="space"/>
      <w:lvlText w:val=""/>
      <w:lvlJc w:val="left"/>
      <w:pPr>
        <w:ind w:left="0" w:firstLine="482"/>
      </w:pPr>
      <w:rPr>
        <w:rFonts w:hint="default"/>
      </w:rPr>
    </w:lvl>
  </w:abstractNum>
  <w:abstractNum w:abstractNumId="208">
    <w:nsid w:val="6FE13EC2"/>
    <w:multiLevelType w:val="singleLevel"/>
    <w:tmpl w:val="6FE13EC2"/>
    <w:lvl w:ilvl="0" w:tentative="0">
      <w:start w:val="1"/>
      <w:numFmt w:val="decimal"/>
      <w:suff w:val="space"/>
      <w:lvlText w:val=""/>
      <w:lvlJc w:val="left"/>
      <w:pPr>
        <w:ind w:left="0" w:firstLine="482"/>
      </w:pPr>
      <w:rPr>
        <w:rFonts w:hint="default"/>
      </w:rPr>
    </w:lvl>
  </w:abstractNum>
  <w:abstractNum w:abstractNumId="209">
    <w:nsid w:val="70D413D3"/>
    <w:multiLevelType w:val="singleLevel"/>
    <w:tmpl w:val="70D413D3"/>
    <w:lvl w:ilvl="0" w:tentative="0">
      <w:start w:val="1"/>
      <w:numFmt w:val="chineseCounting"/>
      <w:suff w:val="space"/>
      <w:lvlText w:val="第%1章"/>
      <w:lvlJc w:val="left"/>
      <w:pPr>
        <w:ind w:left="0" w:firstLine="0"/>
      </w:pPr>
      <w:rPr>
        <w:rFonts w:hint="eastAsia"/>
      </w:rPr>
    </w:lvl>
  </w:abstractNum>
  <w:abstractNum w:abstractNumId="210">
    <w:nsid w:val="70EA57A8"/>
    <w:multiLevelType w:val="singleLevel"/>
    <w:tmpl w:val="70EA57A8"/>
    <w:lvl w:ilvl="0" w:tentative="0">
      <w:start w:val="1"/>
      <w:numFmt w:val="decimal"/>
      <w:suff w:val="space"/>
      <w:lvlText w:val=""/>
      <w:lvlJc w:val="left"/>
      <w:pPr>
        <w:ind w:left="0" w:firstLine="482"/>
      </w:pPr>
      <w:rPr>
        <w:rFonts w:hint="default"/>
      </w:rPr>
    </w:lvl>
  </w:abstractNum>
  <w:abstractNum w:abstractNumId="211">
    <w:nsid w:val="7228C134"/>
    <w:multiLevelType w:val="singleLevel"/>
    <w:tmpl w:val="7228C134"/>
    <w:lvl w:ilvl="0" w:tentative="0">
      <w:start w:val="1"/>
      <w:numFmt w:val="bullet"/>
      <w:lvlText w:val=""/>
      <w:lvlJc w:val="left"/>
      <w:pPr>
        <w:ind w:left="420" w:hanging="420"/>
      </w:pPr>
      <w:rPr>
        <w:rFonts w:hint="default" w:ascii="Wingdings" w:hAnsi="Wingdings"/>
      </w:rPr>
    </w:lvl>
  </w:abstractNum>
  <w:abstractNum w:abstractNumId="212">
    <w:nsid w:val="7512DE61"/>
    <w:multiLevelType w:val="singleLevel"/>
    <w:tmpl w:val="7512DE61"/>
    <w:lvl w:ilvl="0" w:tentative="0">
      <w:start w:val="1"/>
      <w:numFmt w:val="decimal"/>
      <w:suff w:val="space"/>
      <w:lvlText w:val="%1."/>
      <w:lvlJc w:val="left"/>
      <w:pPr>
        <w:ind w:left="0" w:firstLine="482"/>
      </w:pPr>
      <w:rPr>
        <w:rFonts w:hint="default"/>
      </w:rPr>
    </w:lvl>
  </w:abstractNum>
  <w:abstractNum w:abstractNumId="213">
    <w:nsid w:val="7833B6AA"/>
    <w:multiLevelType w:val="singleLevel"/>
    <w:tmpl w:val="7833B6AA"/>
    <w:lvl w:ilvl="0" w:tentative="0">
      <w:start w:val="1"/>
      <w:numFmt w:val="decimal"/>
      <w:suff w:val="space"/>
      <w:lvlText w:val=""/>
      <w:lvlJc w:val="left"/>
      <w:pPr>
        <w:ind w:left="0" w:firstLine="482"/>
      </w:pPr>
      <w:rPr>
        <w:rFonts w:hint="default"/>
      </w:rPr>
    </w:lvl>
  </w:abstractNum>
  <w:abstractNum w:abstractNumId="214">
    <w:nsid w:val="7B836642"/>
    <w:multiLevelType w:val="singleLevel"/>
    <w:tmpl w:val="7B836642"/>
    <w:lvl w:ilvl="0" w:tentative="0">
      <w:start w:val="1"/>
      <w:numFmt w:val="decimal"/>
      <w:suff w:val="space"/>
      <w:lvlText w:val=""/>
      <w:lvlJc w:val="left"/>
      <w:pPr>
        <w:ind w:left="0" w:firstLine="482"/>
      </w:pPr>
      <w:rPr>
        <w:rFonts w:hint="default"/>
      </w:rPr>
    </w:lvl>
  </w:abstractNum>
  <w:abstractNum w:abstractNumId="215">
    <w:nsid w:val="7D308E49"/>
    <w:multiLevelType w:val="singleLevel"/>
    <w:tmpl w:val="7D308E49"/>
    <w:lvl w:ilvl="0" w:tentative="0">
      <w:start w:val="1"/>
      <w:numFmt w:val="decimal"/>
      <w:suff w:val="space"/>
      <w:lvlText w:val="【%1】"/>
      <w:lvlJc w:val="left"/>
      <w:pPr>
        <w:ind w:left="0" w:firstLine="0"/>
      </w:pPr>
      <w:rPr>
        <w:rFonts w:hint="default"/>
      </w:rPr>
    </w:lvl>
  </w:abstractNum>
  <w:abstractNum w:abstractNumId="216">
    <w:nsid w:val="7EC6FD75"/>
    <w:multiLevelType w:val="singleLevel"/>
    <w:tmpl w:val="7EC6FD75"/>
    <w:lvl w:ilvl="0" w:tentative="0">
      <w:start w:val="1"/>
      <w:numFmt w:val="decimal"/>
      <w:suff w:val="space"/>
      <w:lvlText w:val=""/>
      <w:lvlJc w:val="left"/>
      <w:pPr>
        <w:ind w:left="0" w:firstLine="482"/>
      </w:pPr>
      <w:rPr>
        <w:rFonts w:hint="default"/>
      </w:rPr>
    </w:lvl>
  </w:abstractNum>
  <w:abstractNum w:abstractNumId="217">
    <w:nsid w:val="7F830E53"/>
    <w:multiLevelType w:val="singleLevel"/>
    <w:tmpl w:val="7F830E53"/>
    <w:lvl w:ilvl="0" w:tentative="0">
      <w:start w:val="1"/>
      <w:numFmt w:val="decimal"/>
      <w:suff w:val="space"/>
      <w:lvlText w:val=""/>
      <w:lvlJc w:val="left"/>
      <w:pPr>
        <w:ind w:left="0" w:firstLine="482"/>
      </w:pPr>
      <w:rPr>
        <w:rFonts w:hint="default"/>
      </w:rPr>
    </w:lvl>
  </w:abstractNum>
  <w:num w:numId="1">
    <w:abstractNumId w:val="112"/>
  </w:num>
  <w:num w:numId="2">
    <w:abstractNumId w:val="115"/>
  </w:num>
  <w:num w:numId="3">
    <w:abstractNumId w:val="116"/>
  </w:num>
  <w:num w:numId="4">
    <w:abstractNumId w:val="113"/>
  </w:num>
  <w:num w:numId="5">
    <w:abstractNumId w:val="111"/>
  </w:num>
  <w:num w:numId="6">
    <w:abstractNumId w:val="114"/>
  </w:num>
  <w:num w:numId="7">
    <w:abstractNumId w:val="209"/>
  </w:num>
  <w:num w:numId="8">
    <w:abstractNumId w:val="86"/>
  </w:num>
  <w:num w:numId="9">
    <w:abstractNumId w:val="158"/>
  </w:num>
  <w:num w:numId="10">
    <w:abstractNumId w:val="211"/>
  </w:num>
  <w:num w:numId="11">
    <w:abstractNumId w:val="46"/>
  </w:num>
  <w:num w:numId="12">
    <w:abstractNumId w:val="171"/>
  </w:num>
  <w:num w:numId="13">
    <w:abstractNumId w:val="14"/>
  </w:num>
  <w:num w:numId="14">
    <w:abstractNumId w:val="203"/>
  </w:num>
  <w:num w:numId="15">
    <w:abstractNumId w:val="29"/>
  </w:num>
  <w:num w:numId="16">
    <w:abstractNumId w:val="201"/>
  </w:num>
  <w:num w:numId="17">
    <w:abstractNumId w:val="117"/>
  </w:num>
  <w:num w:numId="18">
    <w:abstractNumId w:val="69"/>
  </w:num>
  <w:num w:numId="19">
    <w:abstractNumId w:val="172"/>
  </w:num>
  <w:num w:numId="20">
    <w:abstractNumId w:val="142"/>
  </w:num>
  <w:num w:numId="21">
    <w:abstractNumId w:val="39"/>
  </w:num>
  <w:num w:numId="22">
    <w:abstractNumId w:val="192"/>
  </w:num>
  <w:num w:numId="23">
    <w:abstractNumId w:val="62"/>
  </w:num>
  <w:num w:numId="24">
    <w:abstractNumId w:val="214"/>
  </w:num>
  <w:num w:numId="25">
    <w:abstractNumId w:val="141"/>
  </w:num>
  <w:num w:numId="26">
    <w:abstractNumId w:val="206"/>
  </w:num>
  <w:num w:numId="27">
    <w:abstractNumId w:val="102"/>
  </w:num>
  <w:num w:numId="28">
    <w:abstractNumId w:val="55"/>
  </w:num>
  <w:num w:numId="29">
    <w:abstractNumId w:val="73"/>
  </w:num>
  <w:num w:numId="30">
    <w:abstractNumId w:val="15"/>
  </w:num>
  <w:num w:numId="31">
    <w:abstractNumId w:val="134"/>
  </w:num>
  <w:num w:numId="32">
    <w:abstractNumId w:val="67"/>
  </w:num>
  <w:num w:numId="33">
    <w:abstractNumId w:val="59"/>
  </w:num>
  <w:num w:numId="34">
    <w:abstractNumId w:val="205"/>
  </w:num>
  <w:num w:numId="35">
    <w:abstractNumId w:val="216"/>
  </w:num>
  <w:num w:numId="36">
    <w:abstractNumId w:val="93"/>
  </w:num>
  <w:num w:numId="37">
    <w:abstractNumId w:val="105"/>
  </w:num>
  <w:num w:numId="38">
    <w:abstractNumId w:val="135"/>
  </w:num>
  <w:num w:numId="39">
    <w:abstractNumId w:val="200"/>
  </w:num>
  <w:num w:numId="40">
    <w:abstractNumId w:val="176"/>
  </w:num>
  <w:num w:numId="41">
    <w:abstractNumId w:val="57"/>
  </w:num>
  <w:num w:numId="42">
    <w:abstractNumId w:val="36"/>
  </w:num>
  <w:num w:numId="43">
    <w:abstractNumId w:val="198"/>
  </w:num>
  <w:num w:numId="44">
    <w:abstractNumId w:val="12"/>
  </w:num>
  <w:num w:numId="45">
    <w:abstractNumId w:val="181"/>
  </w:num>
  <w:num w:numId="46">
    <w:abstractNumId w:val="45"/>
  </w:num>
  <w:num w:numId="47">
    <w:abstractNumId w:val="146"/>
  </w:num>
  <w:num w:numId="48">
    <w:abstractNumId w:val="139"/>
  </w:num>
  <w:num w:numId="49">
    <w:abstractNumId w:val="61"/>
  </w:num>
  <w:num w:numId="50">
    <w:abstractNumId w:val="187"/>
  </w:num>
  <w:num w:numId="51">
    <w:abstractNumId w:val="169"/>
  </w:num>
  <w:num w:numId="52">
    <w:abstractNumId w:val="110"/>
  </w:num>
  <w:num w:numId="53">
    <w:abstractNumId w:val="167"/>
  </w:num>
  <w:num w:numId="54">
    <w:abstractNumId w:val="52"/>
  </w:num>
  <w:num w:numId="55">
    <w:abstractNumId w:val="164"/>
  </w:num>
  <w:num w:numId="56">
    <w:abstractNumId w:val="1"/>
  </w:num>
  <w:num w:numId="57">
    <w:abstractNumId w:val="101"/>
  </w:num>
  <w:num w:numId="58">
    <w:abstractNumId w:val="75"/>
  </w:num>
  <w:num w:numId="59">
    <w:abstractNumId w:val="33"/>
  </w:num>
  <w:num w:numId="60">
    <w:abstractNumId w:val="11"/>
  </w:num>
  <w:num w:numId="61">
    <w:abstractNumId w:val="34"/>
  </w:num>
  <w:num w:numId="62">
    <w:abstractNumId w:val="4"/>
  </w:num>
  <w:num w:numId="63">
    <w:abstractNumId w:val="170"/>
  </w:num>
  <w:num w:numId="64">
    <w:abstractNumId w:val="128"/>
  </w:num>
  <w:num w:numId="65">
    <w:abstractNumId w:val="215"/>
  </w:num>
  <w:num w:numId="66">
    <w:abstractNumId w:val="207"/>
  </w:num>
  <w:num w:numId="67">
    <w:abstractNumId w:val="50"/>
  </w:num>
  <w:num w:numId="68">
    <w:abstractNumId w:val="190"/>
  </w:num>
  <w:num w:numId="69">
    <w:abstractNumId w:val="32"/>
  </w:num>
  <w:num w:numId="70">
    <w:abstractNumId w:val="119"/>
  </w:num>
  <w:num w:numId="71">
    <w:abstractNumId w:val="132"/>
  </w:num>
  <w:num w:numId="72">
    <w:abstractNumId w:val="13"/>
  </w:num>
  <w:num w:numId="73">
    <w:abstractNumId w:val="138"/>
  </w:num>
  <w:num w:numId="74">
    <w:abstractNumId w:val="127"/>
  </w:num>
  <w:num w:numId="75">
    <w:abstractNumId w:val="162"/>
  </w:num>
  <w:num w:numId="76">
    <w:abstractNumId w:val="156"/>
  </w:num>
  <w:num w:numId="77">
    <w:abstractNumId w:val="165"/>
  </w:num>
  <w:num w:numId="78">
    <w:abstractNumId w:val="77"/>
  </w:num>
  <w:num w:numId="79">
    <w:abstractNumId w:val="108"/>
  </w:num>
  <w:num w:numId="80">
    <w:abstractNumId w:val="183"/>
  </w:num>
  <w:num w:numId="81">
    <w:abstractNumId w:val="160"/>
  </w:num>
  <w:num w:numId="82">
    <w:abstractNumId w:val="68"/>
  </w:num>
  <w:num w:numId="83">
    <w:abstractNumId w:val="21"/>
  </w:num>
  <w:num w:numId="84">
    <w:abstractNumId w:val="25"/>
  </w:num>
  <w:num w:numId="85">
    <w:abstractNumId w:val="204"/>
  </w:num>
  <w:num w:numId="86">
    <w:abstractNumId w:val="151"/>
  </w:num>
  <w:num w:numId="87">
    <w:abstractNumId w:val="7"/>
  </w:num>
  <w:num w:numId="88">
    <w:abstractNumId w:val="197"/>
  </w:num>
  <w:num w:numId="89">
    <w:abstractNumId w:val="38"/>
  </w:num>
  <w:num w:numId="90">
    <w:abstractNumId w:val="121"/>
  </w:num>
  <w:num w:numId="91">
    <w:abstractNumId w:val="98"/>
  </w:num>
  <w:num w:numId="92">
    <w:abstractNumId w:val="76"/>
  </w:num>
  <w:num w:numId="93">
    <w:abstractNumId w:val="150"/>
  </w:num>
  <w:num w:numId="94">
    <w:abstractNumId w:val="120"/>
  </w:num>
  <w:num w:numId="95">
    <w:abstractNumId w:val="136"/>
  </w:num>
  <w:num w:numId="96">
    <w:abstractNumId w:val="159"/>
  </w:num>
  <w:num w:numId="97">
    <w:abstractNumId w:val="149"/>
  </w:num>
  <w:num w:numId="98">
    <w:abstractNumId w:val="126"/>
  </w:num>
  <w:num w:numId="99">
    <w:abstractNumId w:val="9"/>
  </w:num>
  <w:num w:numId="100">
    <w:abstractNumId w:val="194"/>
  </w:num>
  <w:num w:numId="101">
    <w:abstractNumId w:val="19"/>
  </w:num>
  <w:num w:numId="102">
    <w:abstractNumId w:val="208"/>
  </w:num>
  <w:num w:numId="103">
    <w:abstractNumId w:val="87"/>
  </w:num>
  <w:num w:numId="104">
    <w:abstractNumId w:val="80"/>
  </w:num>
  <w:num w:numId="105">
    <w:abstractNumId w:val="147"/>
  </w:num>
  <w:num w:numId="106">
    <w:abstractNumId w:val="28"/>
  </w:num>
  <w:num w:numId="107">
    <w:abstractNumId w:val="99"/>
  </w:num>
  <w:num w:numId="108">
    <w:abstractNumId w:val="124"/>
  </w:num>
  <w:num w:numId="109">
    <w:abstractNumId w:val="168"/>
  </w:num>
  <w:num w:numId="110">
    <w:abstractNumId w:val="133"/>
  </w:num>
  <w:num w:numId="111">
    <w:abstractNumId w:val="43"/>
  </w:num>
  <w:num w:numId="112">
    <w:abstractNumId w:val="140"/>
  </w:num>
  <w:num w:numId="113">
    <w:abstractNumId w:val="0"/>
  </w:num>
  <w:num w:numId="114">
    <w:abstractNumId w:val="53"/>
  </w:num>
  <w:num w:numId="115">
    <w:abstractNumId w:val="81"/>
  </w:num>
  <w:num w:numId="116">
    <w:abstractNumId w:val="48"/>
  </w:num>
  <w:num w:numId="117">
    <w:abstractNumId w:val="56"/>
  </w:num>
  <w:num w:numId="118">
    <w:abstractNumId w:val="26"/>
  </w:num>
  <w:num w:numId="119">
    <w:abstractNumId w:val="153"/>
  </w:num>
  <w:num w:numId="120">
    <w:abstractNumId w:val="106"/>
  </w:num>
  <w:num w:numId="121">
    <w:abstractNumId w:val="71"/>
  </w:num>
  <w:num w:numId="122">
    <w:abstractNumId w:val="184"/>
  </w:num>
  <w:num w:numId="123">
    <w:abstractNumId w:val="213"/>
  </w:num>
  <w:num w:numId="124">
    <w:abstractNumId w:val="74"/>
  </w:num>
  <w:num w:numId="125">
    <w:abstractNumId w:val="94"/>
  </w:num>
  <w:num w:numId="126">
    <w:abstractNumId w:val="199"/>
  </w:num>
  <w:num w:numId="127">
    <w:abstractNumId w:val="89"/>
  </w:num>
  <w:num w:numId="128">
    <w:abstractNumId w:val="79"/>
  </w:num>
  <w:num w:numId="129">
    <w:abstractNumId w:val="148"/>
  </w:num>
  <w:num w:numId="130">
    <w:abstractNumId w:val="18"/>
  </w:num>
  <w:num w:numId="131">
    <w:abstractNumId w:val="84"/>
  </w:num>
  <w:num w:numId="132">
    <w:abstractNumId w:val="202"/>
  </w:num>
  <w:num w:numId="133">
    <w:abstractNumId w:val="44"/>
  </w:num>
  <w:num w:numId="134">
    <w:abstractNumId w:val="27"/>
  </w:num>
  <w:num w:numId="135">
    <w:abstractNumId w:val="54"/>
  </w:num>
  <w:num w:numId="136">
    <w:abstractNumId w:val="180"/>
  </w:num>
  <w:num w:numId="137">
    <w:abstractNumId w:val="88"/>
  </w:num>
  <w:num w:numId="138">
    <w:abstractNumId w:val="60"/>
  </w:num>
  <w:num w:numId="139">
    <w:abstractNumId w:val="78"/>
  </w:num>
  <w:num w:numId="140">
    <w:abstractNumId w:val="118"/>
  </w:num>
  <w:num w:numId="141">
    <w:abstractNumId w:val="37"/>
  </w:num>
  <w:num w:numId="142">
    <w:abstractNumId w:val="129"/>
  </w:num>
  <w:num w:numId="143">
    <w:abstractNumId w:val="22"/>
  </w:num>
  <w:num w:numId="144">
    <w:abstractNumId w:val="161"/>
  </w:num>
  <w:num w:numId="145">
    <w:abstractNumId w:val="125"/>
  </w:num>
  <w:num w:numId="146">
    <w:abstractNumId w:val="49"/>
  </w:num>
  <w:num w:numId="147">
    <w:abstractNumId w:val="210"/>
  </w:num>
  <w:num w:numId="148">
    <w:abstractNumId w:val="104"/>
  </w:num>
  <w:num w:numId="149">
    <w:abstractNumId w:val="64"/>
  </w:num>
  <w:num w:numId="150">
    <w:abstractNumId w:val="193"/>
  </w:num>
  <w:num w:numId="151">
    <w:abstractNumId w:val="166"/>
  </w:num>
  <w:num w:numId="152">
    <w:abstractNumId w:val="70"/>
  </w:num>
  <w:num w:numId="153">
    <w:abstractNumId w:val="72"/>
  </w:num>
  <w:num w:numId="154">
    <w:abstractNumId w:val="174"/>
  </w:num>
  <w:num w:numId="155">
    <w:abstractNumId w:val="91"/>
  </w:num>
  <w:num w:numId="156">
    <w:abstractNumId w:val="3"/>
  </w:num>
  <w:num w:numId="157">
    <w:abstractNumId w:val="188"/>
  </w:num>
  <w:num w:numId="158">
    <w:abstractNumId w:val="154"/>
  </w:num>
  <w:num w:numId="159">
    <w:abstractNumId w:val="41"/>
  </w:num>
  <w:num w:numId="160">
    <w:abstractNumId w:val="96"/>
  </w:num>
  <w:num w:numId="161">
    <w:abstractNumId w:val="58"/>
  </w:num>
  <w:num w:numId="162">
    <w:abstractNumId w:val="16"/>
  </w:num>
  <w:num w:numId="163">
    <w:abstractNumId w:val="144"/>
  </w:num>
  <w:num w:numId="164">
    <w:abstractNumId w:val="130"/>
  </w:num>
  <w:num w:numId="165">
    <w:abstractNumId w:val="173"/>
  </w:num>
  <w:num w:numId="166">
    <w:abstractNumId w:val="179"/>
  </w:num>
  <w:num w:numId="167">
    <w:abstractNumId w:val="157"/>
  </w:num>
  <w:num w:numId="168">
    <w:abstractNumId w:val="47"/>
  </w:num>
  <w:num w:numId="169">
    <w:abstractNumId w:val="97"/>
  </w:num>
  <w:num w:numId="170">
    <w:abstractNumId w:val="186"/>
  </w:num>
  <w:num w:numId="171">
    <w:abstractNumId w:val="109"/>
  </w:num>
  <w:num w:numId="172">
    <w:abstractNumId w:val="24"/>
  </w:num>
  <w:num w:numId="173">
    <w:abstractNumId w:val="31"/>
  </w:num>
  <w:num w:numId="174">
    <w:abstractNumId w:val="35"/>
  </w:num>
  <w:num w:numId="175">
    <w:abstractNumId w:val="177"/>
  </w:num>
  <w:num w:numId="176">
    <w:abstractNumId w:val="212"/>
  </w:num>
  <w:num w:numId="177">
    <w:abstractNumId w:val="40"/>
  </w:num>
  <w:num w:numId="178">
    <w:abstractNumId w:val="182"/>
  </w:num>
  <w:num w:numId="179">
    <w:abstractNumId w:val="30"/>
  </w:num>
  <w:num w:numId="180">
    <w:abstractNumId w:val="152"/>
  </w:num>
  <w:num w:numId="181">
    <w:abstractNumId w:val="2"/>
  </w:num>
  <w:num w:numId="182">
    <w:abstractNumId w:val="20"/>
  </w:num>
  <w:num w:numId="183">
    <w:abstractNumId w:val="155"/>
  </w:num>
  <w:num w:numId="184">
    <w:abstractNumId w:val="10"/>
  </w:num>
  <w:num w:numId="185">
    <w:abstractNumId w:val="42"/>
  </w:num>
  <w:num w:numId="186">
    <w:abstractNumId w:val="196"/>
  </w:num>
  <w:num w:numId="187">
    <w:abstractNumId w:val="191"/>
  </w:num>
  <w:num w:numId="188">
    <w:abstractNumId w:val="137"/>
  </w:num>
  <w:num w:numId="189">
    <w:abstractNumId w:val="123"/>
  </w:num>
  <w:num w:numId="190">
    <w:abstractNumId w:val="90"/>
  </w:num>
  <w:num w:numId="191">
    <w:abstractNumId w:val="107"/>
  </w:num>
  <w:num w:numId="192">
    <w:abstractNumId w:val="63"/>
  </w:num>
  <w:num w:numId="193">
    <w:abstractNumId w:val="83"/>
  </w:num>
  <w:num w:numId="194">
    <w:abstractNumId w:val="217"/>
  </w:num>
  <w:num w:numId="195">
    <w:abstractNumId w:val="178"/>
  </w:num>
  <w:num w:numId="196">
    <w:abstractNumId w:val="175"/>
  </w:num>
  <w:num w:numId="197">
    <w:abstractNumId w:val="145"/>
  </w:num>
  <w:num w:numId="198">
    <w:abstractNumId w:val="17"/>
  </w:num>
  <w:num w:numId="199">
    <w:abstractNumId w:val="85"/>
  </w:num>
  <w:num w:numId="200">
    <w:abstractNumId w:val="100"/>
  </w:num>
  <w:num w:numId="201">
    <w:abstractNumId w:val="82"/>
  </w:num>
  <w:num w:numId="202">
    <w:abstractNumId w:val="122"/>
  </w:num>
  <w:num w:numId="203">
    <w:abstractNumId w:val="143"/>
  </w:num>
  <w:num w:numId="204">
    <w:abstractNumId w:val="131"/>
  </w:num>
  <w:num w:numId="205">
    <w:abstractNumId w:val="6"/>
  </w:num>
  <w:num w:numId="206">
    <w:abstractNumId w:val="66"/>
  </w:num>
  <w:num w:numId="207">
    <w:abstractNumId w:val="51"/>
  </w:num>
  <w:num w:numId="208">
    <w:abstractNumId w:val="92"/>
  </w:num>
  <w:num w:numId="209">
    <w:abstractNumId w:val="185"/>
  </w:num>
  <w:num w:numId="210">
    <w:abstractNumId w:val="65"/>
  </w:num>
  <w:num w:numId="211">
    <w:abstractNumId w:val="163"/>
  </w:num>
  <w:num w:numId="212">
    <w:abstractNumId w:val="189"/>
  </w:num>
  <w:num w:numId="213">
    <w:abstractNumId w:val="195"/>
  </w:num>
  <w:num w:numId="214">
    <w:abstractNumId w:val="8"/>
  </w:num>
  <w:num w:numId="215">
    <w:abstractNumId w:val="95"/>
  </w:num>
  <w:num w:numId="216">
    <w:abstractNumId w:val="5"/>
  </w:num>
  <w:num w:numId="217">
    <w:abstractNumId w:val="103"/>
  </w:num>
  <w:num w:numId="21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287D8E"/>
    <w:rsid w:val="02337D11"/>
    <w:rsid w:val="047D2C92"/>
    <w:rsid w:val="047F723D"/>
    <w:rsid w:val="048F7622"/>
    <w:rsid w:val="06BB4388"/>
    <w:rsid w:val="07155C37"/>
    <w:rsid w:val="084F4F9C"/>
    <w:rsid w:val="0951376D"/>
    <w:rsid w:val="095D0797"/>
    <w:rsid w:val="0BE3052D"/>
    <w:rsid w:val="0C185CAA"/>
    <w:rsid w:val="0EB000A1"/>
    <w:rsid w:val="137F7DA4"/>
    <w:rsid w:val="141170ED"/>
    <w:rsid w:val="14A16D5C"/>
    <w:rsid w:val="16646CDD"/>
    <w:rsid w:val="16910FD9"/>
    <w:rsid w:val="18EC3BAD"/>
    <w:rsid w:val="1A58610F"/>
    <w:rsid w:val="1A6233DE"/>
    <w:rsid w:val="1AD055C7"/>
    <w:rsid w:val="1B373F76"/>
    <w:rsid w:val="1B506DE6"/>
    <w:rsid w:val="1CF06AD2"/>
    <w:rsid w:val="1EF83A1C"/>
    <w:rsid w:val="1F877BDE"/>
    <w:rsid w:val="20327478"/>
    <w:rsid w:val="20B47E17"/>
    <w:rsid w:val="21537AB3"/>
    <w:rsid w:val="21EF60F0"/>
    <w:rsid w:val="235B5ADA"/>
    <w:rsid w:val="235C2E4D"/>
    <w:rsid w:val="2472601F"/>
    <w:rsid w:val="248A0711"/>
    <w:rsid w:val="274A5804"/>
    <w:rsid w:val="28D92B11"/>
    <w:rsid w:val="2B095471"/>
    <w:rsid w:val="2BC272BF"/>
    <w:rsid w:val="2DDD44E2"/>
    <w:rsid w:val="2EC465DF"/>
    <w:rsid w:val="2F5051AF"/>
    <w:rsid w:val="30157776"/>
    <w:rsid w:val="30797DCA"/>
    <w:rsid w:val="36594286"/>
    <w:rsid w:val="3670428D"/>
    <w:rsid w:val="36E51695"/>
    <w:rsid w:val="37920A4E"/>
    <w:rsid w:val="37AE5168"/>
    <w:rsid w:val="39355C80"/>
    <w:rsid w:val="3993406B"/>
    <w:rsid w:val="3CE3517D"/>
    <w:rsid w:val="3D3C18A7"/>
    <w:rsid w:val="3EF06996"/>
    <w:rsid w:val="3F6D0FB3"/>
    <w:rsid w:val="41BE6785"/>
    <w:rsid w:val="433F2195"/>
    <w:rsid w:val="44DB54F6"/>
    <w:rsid w:val="44EF003D"/>
    <w:rsid w:val="454F3935"/>
    <w:rsid w:val="464425BB"/>
    <w:rsid w:val="47694F1C"/>
    <w:rsid w:val="48F77029"/>
    <w:rsid w:val="4A880BB7"/>
    <w:rsid w:val="4A943797"/>
    <w:rsid w:val="4AD73EDC"/>
    <w:rsid w:val="4B603EF9"/>
    <w:rsid w:val="4BC0490B"/>
    <w:rsid w:val="4ED82D9F"/>
    <w:rsid w:val="502B33A2"/>
    <w:rsid w:val="51027558"/>
    <w:rsid w:val="51F21D42"/>
    <w:rsid w:val="521E7B60"/>
    <w:rsid w:val="53B44B0B"/>
    <w:rsid w:val="53DC50DF"/>
    <w:rsid w:val="54821AA4"/>
    <w:rsid w:val="551E02E1"/>
    <w:rsid w:val="55306B8D"/>
    <w:rsid w:val="56501DBB"/>
    <w:rsid w:val="57A3611E"/>
    <w:rsid w:val="59B61CFB"/>
    <w:rsid w:val="5A36306F"/>
    <w:rsid w:val="5D08757F"/>
    <w:rsid w:val="5E2418E2"/>
    <w:rsid w:val="5E3308A2"/>
    <w:rsid w:val="5EC26F49"/>
    <w:rsid w:val="60264B67"/>
    <w:rsid w:val="60A732CB"/>
    <w:rsid w:val="60EE7480"/>
    <w:rsid w:val="617F354E"/>
    <w:rsid w:val="62C746D1"/>
    <w:rsid w:val="654362C3"/>
    <w:rsid w:val="66BE7A81"/>
    <w:rsid w:val="671C61EA"/>
    <w:rsid w:val="677D5FDA"/>
    <w:rsid w:val="68176EBD"/>
    <w:rsid w:val="6A063B3C"/>
    <w:rsid w:val="6AE10DD5"/>
    <w:rsid w:val="6B931A72"/>
    <w:rsid w:val="6C092392"/>
    <w:rsid w:val="6C7C1AC7"/>
    <w:rsid w:val="6E46205D"/>
    <w:rsid w:val="6E5D4666"/>
    <w:rsid w:val="6F4F0945"/>
    <w:rsid w:val="6F6F02E9"/>
    <w:rsid w:val="6F911E7E"/>
    <w:rsid w:val="70A72179"/>
    <w:rsid w:val="71DE14A3"/>
    <w:rsid w:val="72414F83"/>
    <w:rsid w:val="72B868C0"/>
    <w:rsid w:val="738F520D"/>
    <w:rsid w:val="73C95144"/>
    <w:rsid w:val="73E45068"/>
    <w:rsid w:val="760D1070"/>
    <w:rsid w:val="766905FD"/>
    <w:rsid w:val="77D2720E"/>
    <w:rsid w:val="784A5B3F"/>
    <w:rsid w:val="79A557F7"/>
    <w:rsid w:val="79D43F4C"/>
    <w:rsid w:val="7E3C2153"/>
    <w:rsid w:val="7F63725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qFormat="1"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next w:val="1"/>
    <w:link w:val="145"/>
    <w:qFormat/>
    <w:uiPriority w:val="9"/>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4">
    <w:name w:val="heading 2"/>
    <w:basedOn w:val="1"/>
    <w:next w:val="1"/>
    <w:unhideWhenUsed/>
    <w:qFormat/>
    <w:uiPriority w:val="9"/>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5">
    <w:name w:val="heading 3"/>
    <w:next w:val="1"/>
    <w:unhideWhenUsed/>
    <w:qFormat/>
    <w:uiPriority w:val="9"/>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6">
    <w:name w:val="heading 4"/>
    <w:next w:val="1"/>
    <w:link w:val="157"/>
    <w:unhideWhenUsed/>
    <w:qFormat/>
    <w:uiPriority w:val="9"/>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7">
    <w:name w:val="heading 5"/>
    <w:next w:val="1"/>
    <w:link w:val="158"/>
    <w:unhideWhenUsed/>
    <w:qFormat/>
    <w:uiPriority w:val="9"/>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8">
    <w:name w:val="heading 6"/>
    <w:next w:val="1"/>
    <w:link w:val="159"/>
    <w:semiHidden/>
    <w:unhideWhenUsed/>
    <w:qFormat/>
    <w:uiPriority w:val="9"/>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9">
    <w:name w:val="heading 7"/>
    <w:next w:val="1"/>
    <w:link w:val="160"/>
    <w:semiHidden/>
    <w:unhideWhenUsed/>
    <w:qFormat/>
    <w:uiPriority w:val="9"/>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10">
    <w:name w:val="heading 8"/>
    <w:next w:val="1"/>
    <w:link w:val="161"/>
    <w:semiHidden/>
    <w:unhideWhenUsed/>
    <w:qFormat/>
    <w:uiPriority w:val="9"/>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1">
    <w:name w:val="heading 9"/>
    <w:next w:val="1"/>
    <w:link w:val="162"/>
    <w:semiHidden/>
    <w:unhideWhenUsed/>
    <w:qFormat/>
    <w:uiPriority w:val="9"/>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38">
    <w:name w:val="Default Paragraph Font"/>
    <w:semiHidden/>
    <w:unhideWhenUsed/>
    <w:qFormat/>
    <w:uiPriority w:val="1"/>
  </w:style>
  <w:style w:type="table" w:default="1" w:styleId="38">
    <w:name w:val="Normal Table"/>
    <w:semiHidden/>
    <w:unhideWhenUsed/>
    <w:qFormat/>
    <w:uiPriority w:val="99"/>
    <w:tblPr>
      <w:tblCellMar>
        <w:top w:w="0" w:type="dxa"/>
        <w:left w:w="108" w:type="dxa"/>
        <w:bottom w:w="0" w:type="dxa"/>
        <w:right w:w="108" w:type="dxa"/>
      </w:tblCellMar>
    </w:tblPr>
  </w:style>
  <w:style w:type="paragraph" w:styleId="2">
    <w:name w:val="macro"/>
    <w:link w:val="154"/>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874CB"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3"/>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unhideWhenUsed/>
    <w:qFormat/>
    <w:uiPriority w:val="99"/>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qFormat/>
    <w:uiPriority w:val="39"/>
    <w:pPr>
      <w:ind w:left="840" w:leftChars="400"/>
    </w:pPr>
  </w:style>
  <w:style w:type="paragraph" w:styleId="25">
    <w:name w:val="footer"/>
    <w:basedOn w:val="1"/>
    <w:link w:val="174"/>
    <w:unhideWhenUsed/>
    <w:qFormat/>
    <w:uiPriority w:val="99"/>
    <w:pPr>
      <w:tabs>
        <w:tab w:val="center" w:pos="4680"/>
        <w:tab w:val="right" w:pos="9360"/>
      </w:tabs>
      <w:spacing w:after="0" w:line="240" w:lineRule="auto"/>
    </w:pPr>
  </w:style>
  <w:style w:type="paragraph" w:styleId="26">
    <w:name w:val="header"/>
    <w:basedOn w:val="1"/>
    <w:link w:val="173"/>
    <w:unhideWhenUsed/>
    <w:qFormat/>
    <w:uiPriority w:val="99"/>
    <w:pPr>
      <w:tabs>
        <w:tab w:val="center" w:pos="4680"/>
        <w:tab w:val="right" w:pos="9360"/>
      </w:tabs>
      <w:spacing w:after="0" w:line="240" w:lineRule="auto"/>
    </w:pPr>
  </w:style>
  <w:style w:type="paragraph" w:styleId="27">
    <w:name w:val="toc 1"/>
    <w:basedOn w:val="1"/>
    <w:next w:val="1"/>
    <w:semiHidden/>
    <w:unhideWhenUsed/>
    <w:qFormat/>
    <w:uiPriority w:val="39"/>
  </w:style>
  <w:style w:type="paragraph" w:styleId="28">
    <w:name w:val="toc 4"/>
    <w:basedOn w:val="1"/>
    <w:next w:val="1"/>
    <w:semiHidden/>
    <w:unhideWhenUsed/>
    <w:qFormat/>
    <w:uiPriority w:val="39"/>
    <w:pPr>
      <w:ind w:left="1260" w:leftChars="600"/>
    </w:pPr>
  </w:style>
  <w:style w:type="paragraph" w:styleId="29">
    <w:name w:val="Subtitle"/>
    <w:next w:val="1"/>
    <w:qFormat/>
    <w:uiPriority w:val="11"/>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30">
    <w:name w:val="List"/>
    <w:basedOn w:val="1"/>
    <w:unhideWhenUsed/>
    <w:qFormat/>
    <w:uiPriority w:val="99"/>
    <w:pPr>
      <w:ind w:left="360" w:hanging="360"/>
      <w:contextualSpacing/>
    </w:pPr>
  </w:style>
  <w:style w:type="paragraph" w:styleId="31">
    <w:name w:val="toc 2"/>
    <w:basedOn w:val="1"/>
    <w:next w:val="1"/>
    <w:semiHidden/>
    <w:unhideWhenUsed/>
    <w:qFormat/>
    <w:uiPriority w:val="39"/>
    <w:pPr>
      <w:ind w:left="420" w:leftChars="200"/>
    </w:pPr>
  </w:style>
  <w:style w:type="paragraph" w:styleId="32">
    <w:name w:val="Body Text 2"/>
    <w:basedOn w:val="1"/>
    <w:link w:val="152"/>
    <w:unhideWhenUsed/>
    <w:qFormat/>
    <w:uiPriority w:val="99"/>
    <w:pPr>
      <w:spacing w:after="120" w:line="480" w:lineRule="auto"/>
    </w:pPr>
  </w:style>
  <w:style w:type="paragraph" w:styleId="33">
    <w:name w:val="List Continue 2"/>
    <w:basedOn w:val="1"/>
    <w:unhideWhenUsed/>
    <w:qFormat/>
    <w:uiPriority w:val="99"/>
    <w:pPr>
      <w:spacing w:after="120"/>
      <w:ind w:left="720"/>
      <w:contextualSpacing/>
    </w:pPr>
  </w:style>
  <w:style w:type="paragraph" w:styleId="34">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5">
    <w:name w:val="Normal (Web)"/>
    <w:basedOn w:val="1"/>
    <w:semiHidden/>
    <w:unhideWhenUsed/>
    <w:qFormat/>
    <w:uiPriority w:val="99"/>
    <w:rPr>
      <w:sz w:val="24"/>
    </w:rPr>
  </w:style>
  <w:style w:type="paragraph" w:styleId="36">
    <w:name w:val="List Continue 3"/>
    <w:basedOn w:val="1"/>
    <w:unhideWhenUsed/>
    <w:qFormat/>
    <w:uiPriority w:val="99"/>
    <w:pPr>
      <w:spacing w:after="120"/>
      <w:ind w:left="1080"/>
      <w:contextualSpacing/>
    </w:pPr>
  </w:style>
  <w:style w:type="paragraph" w:styleId="37">
    <w:name w:val="Title"/>
    <w:next w:val="1"/>
    <w:qFormat/>
    <w:uiPriority w:val="1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table" w:styleId="39">
    <w:name w:val="Table Grid"/>
    <w:basedOn w:val="38"/>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40">
    <w:name w:val="Light Shading"/>
    <w:basedOn w:val="38"/>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38"/>
    <w:qFormat/>
    <w:uiPriority w:val="60"/>
    <w:pPr>
      <w:spacing w:after="0" w:line="240" w:lineRule="auto"/>
    </w:pPr>
    <w:rPr>
      <w:color w:val="2E54A1" w:themeColor="accent1" w:themeShade="BF"/>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la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left w:val="nil"/>
          <w:right w:val="nil"/>
          <w:insideH w:val="nil"/>
          <w:insideV w:val="nil"/>
        </w:tcBorders>
        <w:shd w:val="clear" w:color="auto" w:fill="D1DCF2" w:themeFill="accent1" w:themeFillTint="3F"/>
      </w:tcPr>
    </w:tblStylePr>
  </w:style>
  <w:style w:type="table" w:styleId="42">
    <w:name w:val="Light Shading Accent 2"/>
    <w:basedOn w:val="38"/>
    <w:qFormat/>
    <w:uiPriority w:val="60"/>
    <w:pPr>
      <w:spacing w:after="0" w:line="240" w:lineRule="auto"/>
    </w:pPr>
    <w:rPr>
      <w:color w:val="C65F10" w:themeColor="accent2" w:themeShade="BF"/>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la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left w:val="nil"/>
          <w:right w:val="nil"/>
          <w:insideH w:val="nil"/>
          <w:insideV w:val="nil"/>
        </w:tcBorders>
        <w:shd w:val="clear" w:color="auto" w:fill="FAE0CB" w:themeFill="accent2" w:themeFillTint="3F"/>
      </w:tcPr>
    </w:tblStylePr>
  </w:style>
  <w:style w:type="table" w:styleId="43">
    <w:name w:val="Light Shading Accent 3"/>
    <w:basedOn w:val="38"/>
    <w:uiPriority w:val="60"/>
    <w:pPr>
      <w:spacing w:after="0" w:line="240" w:lineRule="auto"/>
    </w:pPr>
    <w:rPr>
      <w:color w:val="B68C02" w:themeColor="accent3" w:themeShade="BF"/>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la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left w:val="nil"/>
          <w:right w:val="nil"/>
          <w:insideH w:val="nil"/>
          <w:insideV w:val="nil"/>
        </w:tcBorders>
        <w:shd w:val="clear" w:color="auto" w:fill="FEEFBD" w:themeFill="accent3" w:themeFillTint="3F"/>
      </w:tcPr>
    </w:tblStylePr>
  </w:style>
  <w:style w:type="table" w:styleId="44">
    <w:name w:val="Light Shading Accent 4"/>
    <w:basedOn w:val="38"/>
    <w:uiPriority w:val="60"/>
    <w:pPr>
      <w:spacing w:after="0" w:line="240" w:lineRule="auto"/>
    </w:pPr>
    <w:rPr>
      <w:color w:val="588E32" w:themeColor="accent4" w:themeShade="BF"/>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la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left w:val="nil"/>
          <w:right w:val="nil"/>
          <w:insideH w:val="nil"/>
          <w:insideV w:val="nil"/>
        </w:tcBorders>
        <w:shd w:val="clear" w:color="auto" w:fill="DCEED0" w:themeFill="accent4" w:themeFillTint="3F"/>
      </w:tcPr>
    </w:tblStylePr>
  </w:style>
  <w:style w:type="table" w:styleId="45">
    <w:name w:val="Light Shading Accent 5"/>
    <w:basedOn w:val="38"/>
    <w:qFormat/>
    <w:uiPriority w:val="60"/>
    <w:pPr>
      <w:spacing w:after="0" w:line="240" w:lineRule="auto"/>
    </w:pPr>
    <w:rPr>
      <w:color w:val="249087" w:themeColor="accent5" w:themeShade="BF"/>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la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left w:val="nil"/>
          <w:right w:val="nil"/>
          <w:insideH w:val="nil"/>
          <w:insideV w:val="nil"/>
        </w:tcBorders>
        <w:shd w:val="clear" w:color="auto" w:fill="C9F1EE" w:themeFill="accent5" w:themeFillTint="3F"/>
      </w:tcPr>
    </w:tblStylePr>
  </w:style>
  <w:style w:type="table" w:styleId="46">
    <w:name w:val="Light Shading Accent 6"/>
    <w:basedOn w:val="38"/>
    <w:qFormat/>
    <w:uiPriority w:val="60"/>
    <w:pPr>
      <w:spacing w:after="0" w:line="240" w:lineRule="auto"/>
    </w:pPr>
    <w:rPr>
      <w:color w:val="C81D31" w:themeColor="accent6" w:themeShade="BF"/>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la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left w:val="nil"/>
          <w:right w:val="nil"/>
          <w:insideH w:val="nil"/>
          <w:insideV w:val="nil"/>
        </w:tcBorders>
        <w:shd w:val="clear" w:color="auto" w:fill="F8D2D7" w:themeFill="accent6" w:themeFillTint="3F"/>
      </w:tcPr>
    </w:tblStylePr>
  </w:style>
  <w:style w:type="table" w:styleId="47">
    <w:name w:val="Light List"/>
    <w:basedOn w:val="38"/>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38"/>
    <w:qFormat/>
    <w:uiPriority w:val="61"/>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874CB" w:themeFill="accent1"/>
      </w:tcPr>
    </w:tblStylePr>
    <w:tblStylePr w:type="lastRow">
      <w:pPr>
        <w:spacing w:before="0" w:after="0" w:line="240" w:lineRule="auto"/>
      </w:pPr>
      <w:rPr>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tcBorders>
      </w:tcPr>
    </w:tblStylePr>
    <w:tblStylePr w:type="firstCol">
      <w:rPr>
        <w:b/>
        <w:bCs/>
      </w:rPr>
    </w:tblStylePr>
    <w:tblStylePr w:type="lastCol">
      <w:rPr>
        <w:b/>
        <w:bCs/>
      </w:r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style>
  <w:style w:type="table" w:styleId="49">
    <w:name w:val="Light List Accent 2"/>
    <w:basedOn w:val="38"/>
    <w:qFormat/>
    <w:uiPriority w:val="61"/>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E822F" w:themeFill="accent2"/>
      </w:tcPr>
    </w:tblStylePr>
    <w:tblStylePr w:type="lastRow">
      <w:pPr>
        <w:spacing w:before="0" w:after="0" w:line="240" w:lineRule="auto"/>
      </w:pPr>
      <w:rPr>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tcBorders>
      </w:tcPr>
    </w:tblStylePr>
    <w:tblStylePr w:type="firstCol">
      <w:rPr>
        <w:b/>
        <w:bCs/>
      </w:rPr>
    </w:tblStylePr>
    <w:tblStylePr w:type="lastCol">
      <w:rPr>
        <w:b/>
        <w:bCs/>
      </w:r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style>
  <w:style w:type="table" w:styleId="50">
    <w:name w:val="Light List Accent 3"/>
    <w:basedOn w:val="38"/>
    <w:qFormat/>
    <w:uiPriority w:val="61"/>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2BA02" w:themeFill="accent3"/>
      </w:tcPr>
    </w:tblStylePr>
    <w:tblStylePr w:type="lastRow">
      <w:pPr>
        <w:spacing w:before="0" w:after="0" w:line="240" w:lineRule="auto"/>
      </w:pPr>
      <w:rPr>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tcBorders>
      </w:tcPr>
    </w:tblStylePr>
    <w:tblStylePr w:type="firstCol">
      <w:rPr>
        <w:b/>
        <w:bCs/>
      </w:rPr>
    </w:tblStylePr>
    <w:tblStylePr w:type="lastCol">
      <w:rPr>
        <w:b/>
        <w:bCs/>
      </w:r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style>
  <w:style w:type="table" w:styleId="51">
    <w:name w:val="Light List Accent 4"/>
    <w:basedOn w:val="38"/>
    <w:qFormat/>
    <w:uiPriority w:val="61"/>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75BD42" w:themeFill="accent4"/>
      </w:tcPr>
    </w:tblStylePr>
    <w:tblStylePr w:type="lastRow">
      <w:pPr>
        <w:spacing w:before="0" w:after="0" w:line="240" w:lineRule="auto"/>
      </w:pPr>
      <w:rPr>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tcBorders>
      </w:tcPr>
    </w:tblStylePr>
    <w:tblStylePr w:type="firstCol">
      <w:rPr>
        <w:b/>
        <w:bCs/>
      </w:rPr>
    </w:tblStylePr>
    <w:tblStylePr w:type="lastCol">
      <w:rPr>
        <w:b/>
        <w:bCs/>
      </w:r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style>
  <w:style w:type="table" w:styleId="52">
    <w:name w:val="Light List Accent 5"/>
    <w:basedOn w:val="38"/>
    <w:uiPriority w:val="61"/>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30C0B4" w:themeFill="accent5"/>
      </w:tcPr>
    </w:tblStylePr>
    <w:tblStylePr w:type="lastRow">
      <w:pPr>
        <w:spacing w:before="0" w:after="0" w:line="240" w:lineRule="auto"/>
      </w:pPr>
      <w:rPr>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tcBorders>
      </w:tcPr>
    </w:tblStylePr>
    <w:tblStylePr w:type="firstCol">
      <w:rPr>
        <w:b/>
        <w:bCs/>
      </w:rPr>
    </w:tblStylePr>
    <w:tblStylePr w:type="lastCol">
      <w:rPr>
        <w:b/>
        <w:bCs/>
      </w:r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style>
  <w:style w:type="table" w:styleId="53">
    <w:name w:val="Light List Accent 6"/>
    <w:basedOn w:val="38"/>
    <w:qFormat/>
    <w:uiPriority w:val="61"/>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54C5E" w:themeFill="accent6"/>
      </w:tcPr>
    </w:tblStylePr>
    <w:tblStylePr w:type="lastRow">
      <w:pPr>
        <w:spacing w:before="0" w:after="0" w:line="240" w:lineRule="auto"/>
      </w:pPr>
      <w:rPr>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tcBorders>
      </w:tcPr>
    </w:tblStylePr>
    <w:tblStylePr w:type="firstCol">
      <w:rPr>
        <w:b/>
        <w:bCs/>
      </w:rPr>
    </w:tblStylePr>
    <w:tblStylePr w:type="lastCol">
      <w:rPr>
        <w:b/>
        <w:bCs/>
      </w:r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style>
  <w:style w:type="table" w:styleId="54">
    <w:name w:val="Light Grid"/>
    <w:basedOn w:val="38"/>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38"/>
    <w:qFormat/>
    <w:uiPriority w:val="62"/>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18" w:space="0"/>
          <w:right w:val="single" w:color="4874CB"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shd w:val="clear" w:color="auto" w:fill="D1DCF2" w:themeFill="accent1" w:themeFillTint="3F"/>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shd w:val="clear" w:color="auto" w:fill="D1DCF2" w:themeFill="accent1" w:themeFillTint="3F"/>
      </w:tcPr>
    </w:tblStylePr>
    <w:tblStylePr w:type="band2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tcPr>
    </w:tblStylePr>
  </w:style>
  <w:style w:type="table" w:styleId="56">
    <w:name w:val="Light Grid Accent 2"/>
    <w:basedOn w:val="38"/>
    <w:qFormat/>
    <w:uiPriority w:val="62"/>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18" w:space="0"/>
          <w:right w:val="single" w:color="EE822F"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shd w:val="clear" w:color="auto" w:fill="FAE0CB" w:themeFill="accent2" w:themeFillTint="3F"/>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shd w:val="clear" w:color="auto" w:fill="FAE0CB" w:themeFill="accent2" w:themeFillTint="3F"/>
      </w:tcPr>
    </w:tblStylePr>
    <w:tblStylePr w:type="band2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tcPr>
    </w:tblStylePr>
  </w:style>
  <w:style w:type="table" w:styleId="57">
    <w:name w:val="Light Grid Accent 3"/>
    <w:basedOn w:val="38"/>
    <w:qFormat/>
    <w:uiPriority w:val="62"/>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18" w:space="0"/>
          <w:right w:val="single" w:color="F2BA02"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shd w:val="clear" w:color="auto" w:fill="FEEFBD" w:themeFill="accent3" w:themeFillTint="3F"/>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shd w:val="clear" w:color="auto" w:fill="FEEFBD" w:themeFill="accent3" w:themeFillTint="3F"/>
      </w:tcPr>
    </w:tblStylePr>
    <w:tblStylePr w:type="band2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tcPr>
    </w:tblStylePr>
  </w:style>
  <w:style w:type="table" w:styleId="58">
    <w:name w:val="Light Grid Accent 4"/>
    <w:basedOn w:val="38"/>
    <w:qFormat/>
    <w:uiPriority w:val="62"/>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18" w:space="0"/>
          <w:right w:val="single" w:color="75BD4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shd w:val="clear" w:color="auto" w:fill="DCEED0" w:themeFill="accent4" w:themeFillTint="3F"/>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shd w:val="clear" w:color="auto" w:fill="DCEED0" w:themeFill="accent4" w:themeFillTint="3F"/>
      </w:tcPr>
    </w:tblStylePr>
    <w:tblStylePr w:type="band2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tcPr>
    </w:tblStylePr>
  </w:style>
  <w:style w:type="table" w:styleId="59">
    <w:name w:val="Light Grid Accent 5"/>
    <w:basedOn w:val="38"/>
    <w:uiPriority w:val="62"/>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18" w:space="0"/>
          <w:right w:val="single" w:color="30C0B4"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shd w:val="clear" w:color="auto" w:fill="C9F1EE" w:themeFill="accent5" w:themeFillTint="3F"/>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shd w:val="clear" w:color="auto" w:fill="C9F1EE" w:themeFill="accent5" w:themeFillTint="3F"/>
      </w:tcPr>
    </w:tblStylePr>
    <w:tblStylePr w:type="band2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tcPr>
    </w:tblStylePr>
  </w:style>
  <w:style w:type="table" w:styleId="60">
    <w:name w:val="Light Grid Accent 6"/>
    <w:basedOn w:val="38"/>
    <w:qFormat/>
    <w:uiPriority w:val="62"/>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18" w:space="0"/>
          <w:right w:val="single" w:color="E54C5E"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shd w:val="clear" w:color="auto" w:fill="F8D2D7" w:themeFill="accent6" w:themeFillTint="3F"/>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shd w:val="clear" w:color="auto" w:fill="F8D2D7" w:themeFill="accent6" w:themeFillTint="3F"/>
      </w:tcPr>
    </w:tblStylePr>
    <w:tblStylePr w:type="band2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tcPr>
    </w:tblStylePr>
  </w:style>
  <w:style w:type="table" w:styleId="61">
    <w:name w:val="Medium Shading 1"/>
    <w:basedOn w:val="38"/>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38"/>
    <w:qFormat/>
    <w:uiPriority w:val="63"/>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shd w:val="clear" w:color="auto" w:fill="4874CB" w:themeFill="accent1"/>
      </w:tcPr>
    </w:tblStylePr>
    <w:tblStylePr w:type="lastRow">
      <w:pPr>
        <w:spacing w:before="0" w:after="0" w:line="240" w:lineRule="auto"/>
      </w:pPr>
      <w:rPr>
        <w:b/>
        <w:bCs/>
      </w:rPr>
      <w:tblPr/>
      <w:tcPr>
        <w:tcBorders>
          <w:top w:val="double" w:color="7596D8" w:themeColor="accent1" w:themeTint="BF" w:sz="6"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1DCF2" w:themeFill="accent1" w:themeFillTint="3F"/>
      </w:tcPr>
    </w:tblStylePr>
    <w:tblStylePr w:type="band1Horz">
      <w:tblPr/>
      <w:tcPr>
        <w:tcBorders>
          <w:insideH w:val="nil"/>
          <w:insideV w:val="nil"/>
        </w:tcBorders>
        <w:shd w:val="clear" w:color="auto" w:fill="D1DCF2" w:themeFill="accent1" w:themeFillTint="3F"/>
      </w:tcPr>
    </w:tblStylePr>
    <w:tblStylePr w:type="band2Horz">
      <w:tblPr/>
      <w:tcPr>
        <w:tcBorders>
          <w:insideH w:val="nil"/>
          <w:insideV w:val="nil"/>
        </w:tcBorders>
      </w:tcPr>
    </w:tblStylePr>
  </w:style>
  <w:style w:type="table" w:styleId="63">
    <w:name w:val="Medium Shading 1 Accent 2"/>
    <w:basedOn w:val="38"/>
    <w:qFormat/>
    <w:uiPriority w:val="63"/>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shd w:val="clear" w:color="auto" w:fill="EE822F" w:themeFill="accent2"/>
      </w:tcPr>
    </w:tblStylePr>
    <w:tblStylePr w:type="lastRow">
      <w:pPr>
        <w:spacing w:before="0" w:after="0" w:line="240" w:lineRule="auto"/>
      </w:pPr>
      <w:rPr>
        <w:b/>
        <w:bCs/>
      </w:rPr>
      <w:tblPr/>
      <w:tcPr>
        <w:tcBorders>
          <w:top w:val="double" w:color="F2A163" w:themeColor="accent2" w:themeTint="BF" w:sz="6"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E0CB" w:themeFill="accent2" w:themeFillTint="3F"/>
      </w:tcPr>
    </w:tblStylePr>
    <w:tblStylePr w:type="band1Horz">
      <w:tblPr/>
      <w:tcPr>
        <w:tcBorders>
          <w:insideH w:val="nil"/>
          <w:insideV w:val="nil"/>
        </w:tcBorders>
        <w:shd w:val="clear" w:color="auto" w:fill="FAE0CB" w:themeFill="accent2" w:themeFillTint="3F"/>
      </w:tcPr>
    </w:tblStylePr>
    <w:tblStylePr w:type="band2Horz">
      <w:tblPr/>
      <w:tcPr>
        <w:tcBorders>
          <w:insideH w:val="nil"/>
          <w:insideV w:val="nil"/>
        </w:tcBorders>
      </w:tcPr>
    </w:tblStylePr>
  </w:style>
  <w:style w:type="table" w:styleId="64">
    <w:name w:val="Medium Shading 1 Accent 3"/>
    <w:basedOn w:val="38"/>
    <w:qFormat/>
    <w:uiPriority w:val="63"/>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shd w:val="clear" w:color="auto" w:fill="F2BA02" w:themeFill="accent3"/>
      </w:tcPr>
    </w:tblStylePr>
    <w:tblStylePr w:type="lastRow">
      <w:pPr>
        <w:spacing w:before="0" w:after="0" w:line="240" w:lineRule="auto"/>
      </w:pPr>
      <w:rPr>
        <w:b/>
        <w:bCs/>
      </w:rPr>
      <w:tblPr/>
      <w:tcPr>
        <w:tcBorders>
          <w:top w:val="double" w:color="FDCF39" w:themeColor="accent3" w:themeTint="BF" w:sz="6"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EEFBD" w:themeFill="accent3" w:themeFillTint="3F"/>
      </w:tcPr>
    </w:tblStylePr>
    <w:tblStylePr w:type="band1Horz">
      <w:tblPr/>
      <w:tcPr>
        <w:tcBorders>
          <w:insideH w:val="nil"/>
          <w:insideV w:val="nil"/>
        </w:tcBorders>
        <w:shd w:val="clear" w:color="auto" w:fill="FEEFBD" w:themeFill="accent3" w:themeFillTint="3F"/>
      </w:tcPr>
    </w:tblStylePr>
    <w:tblStylePr w:type="band2Horz">
      <w:tblPr/>
      <w:tcPr>
        <w:tcBorders>
          <w:insideH w:val="nil"/>
          <w:insideV w:val="nil"/>
        </w:tcBorders>
      </w:tcPr>
    </w:tblStylePr>
  </w:style>
  <w:style w:type="table" w:styleId="65">
    <w:name w:val="Medium Shading 1 Accent 4"/>
    <w:basedOn w:val="38"/>
    <w:qFormat/>
    <w:uiPriority w:val="63"/>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shd w:val="clear" w:color="auto" w:fill="75BD42" w:themeFill="accent4"/>
      </w:tcPr>
    </w:tblStylePr>
    <w:tblStylePr w:type="lastRow">
      <w:pPr>
        <w:spacing w:before="0" w:after="0" w:line="240" w:lineRule="auto"/>
      </w:pPr>
      <w:rPr>
        <w:b/>
        <w:bCs/>
      </w:rPr>
      <w:tblPr/>
      <w:tcPr>
        <w:tcBorders>
          <w:top w:val="double" w:color="97CD71" w:themeColor="accent4" w:themeTint="BF" w:sz="6"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CEED0" w:themeFill="accent4" w:themeFillTint="3F"/>
      </w:tcPr>
    </w:tblStylePr>
    <w:tblStylePr w:type="band1Horz">
      <w:tblPr/>
      <w:tcPr>
        <w:tcBorders>
          <w:insideH w:val="nil"/>
          <w:insideV w:val="nil"/>
        </w:tcBorders>
        <w:shd w:val="clear" w:color="auto" w:fill="DCEED0" w:themeFill="accent4" w:themeFillTint="3F"/>
      </w:tcPr>
    </w:tblStylePr>
    <w:tblStylePr w:type="band2Horz">
      <w:tblPr/>
      <w:tcPr>
        <w:tcBorders>
          <w:insideH w:val="nil"/>
          <w:insideV w:val="nil"/>
        </w:tcBorders>
      </w:tcPr>
    </w:tblStylePr>
  </w:style>
  <w:style w:type="table" w:styleId="66">
    <w:name w:val="Medium Shading 1 Accent 5"/>
    <w:basedOn w:val="38"/>
    <w:qFormat/>
    <w:uiPriority w:val="63"/>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shd w:val="clear" w:color="auto" w:fill="30C0B4" w:themeFill="accent5"/>
      </w:tcPr>
    </w:tblStylePr>
    <w:tblStylePr w:type="lastRow">
      <w:pPr>
        <w:spacing w:before="0" w:after="0" w:line="240" w:lineRule="auto"/>
      </w:pPr>
      <w:rPr>
        <w:b/>
        <w:bCs/>
      </w:rPr>
      <w:tblPr/>
      <w:tcPr>
        <w:tcBorders>
          <w:top w:val="double" w:color="5DD6CC" w:themeColor="accent5" w:themeTint="BF" w:sz="6"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C9F1EE" w:themeFill="accent5" w:themeFillTint="3F"/>
      </w:tcPr>
    </w:tblStylePr>
    <w:tblStylePr w:type="band1Horz">
      <w:tblPr/>
      <w:tcPr>
        <w:tcBorders>
          <w:insideH w:val="nil"/>
          <w:insideV w:val="nil"/>
        </w:tcBorders>
        <w:shd w:val="clear" w:color="auto" w:fill="C9F1EE" w:themeFill="accent5" w:themeFillTint="3F"/>
      </w:tcPr>
    </w:tblStylePr>
    <w:tblStylePr w:type="band2Horz">
      <w:tblPr/>
      <w:tcPr>
        <w:tcBorders>
          <w:insideH w:val="nil"/>
          <w:insideV w:val="nil"/>
        </w:tcBorders>
      </w:tcPr>
    </w:tblStylePr>
  </w:style>
  <w:style w:type="table" w:styleId="67">
    <w:name w:val="Medium Shading 1 Accent 6"/>
    <w:basedOn w:val="38"/>
    <w:qFormat/>
    <w:uiPriority w:val="63"/>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shd w:val="clear" w:color="auto" w:fill="E54C5E" w:themeFill="accent6"/>
      </w:tcPr>
    </w:tblStylePr>
    <w:tblStylePr w:type="lastRow">
      <w:pPr>
        <w:spacing w:before="0" w:after="0" w:line="240" w:lineRule="auto"/>
      </w:pPr>
      <w:rPr>
        <w:b/>
        <w:bCs/>
      </w:rPr>
      <w:tblPr/>
      <w:tcPr>
        <w:tcBorders>
          <w:top w:val="double" w:color="EB7886" w:themeColor="accent6" w:themeTint="BF" w:sz="6"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8D2D7" w:themeFill="accent6" w:themeFillTint="3F"/>
      </w:tcPr>
    </w:tblStylePr>
    <w:tblStylePr w:type="band1Horz">
      <w:tblPr/>
      <w:tcPr>
        <w:tcBorders>
          <w:insideH w:val="nil"/>
          <w:insideV w:val="nil"/>
        </w:tcBorders>
        <w:shd w:val="clear" w:color="auto" w:fill="F8D2D7" w:themeFill="accent6" w:themeFillTint="3F"/>
      </w:tcPr>
    </w:tblStylePr>
    <w:tblStylePr w:type="band2Horz">
      <w:tblPr/>
      <w:tcPr>
        <w:tcBorders>
          <w:insideH w:val="nil"/>
          <w:insideV w:val="nil"/>
        </w:tcBorders>
      </w:tcPr>
    </w:tblStylePr>
  </w:style>
  <w:style w:type="table" w:styleId="68">
    <w:name w:val="Medium Shading 2"/>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874CB"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874CB"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874CB"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E822F"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E822F"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E822F"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2BA02"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2BA02"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2BA02"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5BD4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5BD4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5BD4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30C0B4"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30C0B4"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30C0B4"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38"/>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54C5E"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54C5E"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54C5E"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38"/>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38"/>
    <w:qFormat/>
    <w:uiPriority w:val="65"/>
    <w:pPr>
      <w:spacing w:after="0" w:line="240" w:lineRule="auto"/>
    </w:pPr>
    <w:rPr>
      <w:color w:val="000000" w:themeColor="text1"/>
      <w14:textFill>
        <w14:solidFill>
          <w14:schemeClr w14:val="tx1"/>
        </w14:solidFill>
      </w14:textFill>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874CB" w:themeColor="accent1" w:sz="8" w:space="0"/>
        </w:tcBorders>
      </w:tcPr>
    </w:tblStylePr>
    <w:tblStylePr w:type="lastRow">
      <w:rPr>
        <w:b/>
        <w:bCs/>
        <w:color w:val="44546A" w:themeColor="text2"/>
        <w14:textFill>
          <w14:solidFill>
            <w14:schemeClr w14:val="tx2"/>
          </w14:solidFill>
        </w14:textFill>
      </w:rPr>
      <w:tblPr/>
      <w:tcPr>
        <w:tcBorders>
          <w:top w:val="single" w:color="4874CB" w:themeColor="accent1" w:sz="8" w:space="0"/>
          <w:bottom w:val="single" w:color="4874CB" w:themeColor="accent1" w:sz="8" w:space="0"/>
        </w:tcBorders>
      </w:tcPr>
    </w:tblStylePr>
    <w:tblStylePr w:type="firstCol">
      <w:rPr>
        <w:b/>
        <w:bCs/>
      </w:rPr>
    </w:tblStylePr>
    <w:tblStylePr w:type="lastCol">
      <w:rPr>
        <w:b/>
        <w:bCs/>
      </w:rPr>
      <w:tblPr/>
      <w:tcPr>
        <w:tcBorders>
          <w:top w:val="single" w:color="4874CB" w:themeColor="accent1" w:sz="8" w:space="0"/>
          <w:bottom w:val="single" w:color="4874CB" w:themeColor="accent1" w:sz="8" w:space="0"/>
        </w:tcBorders>
      </w:tcPr>
    </w:tblStylePr>
    <w:tblStylePr w:type="band1Vert">
      <w:tblPr/>
      <w:tcPr>
        <w:shd w:val="clear" w:color="auto" w:fill="D1DCF2" w:themeFill="accent1" w:themeFillTint="3F"/>
      </w:tcPr>
    </w:tblStylePr>
    <w:tblStylePr w:type="band1Horz">
      <w:tblPr/>
      <w:tcPr>
        <w:shd w:val="clear" w:color="auto" w:fill="D1DCF2" w:themeFill="accent1" w:themeFillTint="3F"/>
      </w:tcPr>
    </w:tblStylePr>
  </w:style>
  <w:style w:type="table" w:styleId="77">
    <w:name w:val="Medium List 1 Accent 2"/>
    <w:basedOn w:val="38"/>
    <w:qFormat/>
    <w:uiPriority w:val="65"/>
    <w:pPr>
      <w:spacing w:after="0" w:line="240" w:lineRule="auto"/>
    </w:pPr>
    <w:rPr>
      <w:color w:val="000000" w:themeColor="text1"/>
      <w14:textFill>
        <w14:solidFill>
          <w14:schemeClr w14:val="tx1"/>
        </w14:solidFill>
      </w14:textFill>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E822F" w:themeColor="accent2" w:sz="8" w:space="0"/>
        </w:tcBorders>
      </w:tcPr>
    </w:tblStylePr>
    <w:tblStylePr w:type="lastRow">
      <w:rPr>
        <w:b/>
        <w:bCs/>
        <w:color w:val="44546A" w:themeColor="text2"/>
        <w14:textFill>
          <w14:solidFill>
            <w14:schemeClr w14:val="tx2"/>
          </w14:solidFill>
        </w14:textFill>
      </w:rPr>
      <w:tblPr/>
      <w:tcPr>
        <w:tcBorders>
          <w:top w:val="single" w:color="EE822F" w:themeColor="accent2" w:sz="8" w:space="0"/>
          <w:bottom w:val="single" w:color="EE822F" w:themeColor="accent2" w:sz="8" w:space="0"/>
        </w:tcBorders>
      </w:tcPr>
    </w:tblStylePr>
    <w:tblStylePr w:type="firstCol">
      <w:rPr>
        <w:b/>
        <w:bCs/>
      </w:rPr>
    </w:tblStylePr>
    <w:tblStylePr w:type="lastCol">
      <w:rPr>
        <w:b/>
        <w:bCs/>
      </w:rPr>
      <w:tblPr/>
      <w:tcPr>
        <w:tcBorders>
          <w:top w:val="single" w:color="EE822F" w:themeColor="accent2" w:sz="8" w:space="0"/>
          <w:bottom w:val="single" w:color="EE822F" w:themeColor="accent2" w:sz="8" w:space="0"/>
        </w:tcBorders>
      </w:tcPr>
    </w:tblStylePr>
    <w:tblStylePr w:type="band1Vert">
      <w:tblPr/>
      <w:tcPr>
        <w:shd w:val="clear" w:color="auto" w:fill="FAE0CB" w:themeFill="accent2" w:themeFillTint="3F"/>
      </w:tcPr>
    </w:tblStylePr>
    <w:tblStylePr w:type="band1Horz">
      <w:tblPr/>
      <w:tcPr>
        <w:shd w:val="clear" w:color="auto" w:fill="FAE0CB" w:themeFill="accent2" w:themeFillTint="3F"/>
      </w:tcPr>
    </w:tblStylePr>
  </w:style>
  <w:style w:type="table" w:styleId="78">
    <w:name w:val="Medium List 1 Accent 3"/>
    <w:basedOn w:val="38"/>
    <w:qFormat/>
    <w:uiPriority w:val="65"/>
    <w:pPr>
      <w:spacing w:after="0" w:line="240" w:lineRule="auto"/>
    </w:pPr>
    <w:rPr>
      <w:color w:val="000000" w:themeColor="text1"/>
      <w14:textFill>
        <w14:solidFill>
          <w14:schemeClr w14:val="tx1"/>
        </w14:solidFill>
      </w14:textFill>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2BA02" w:themeColor="accent3" w:sz="8" w:space="0"/>
        </w:tcBorders>
      </w:tcPr>
    </w:tblStylePr>
    <w:tblStylePr w:type="lastRow">
      <w:rPr>
        <w:b/>
        <w:bCs/>
        <w:color w:val="44546A" w:themeColor="text2"/>
        <w14:textFill>
          <w14:solidFill>
            <w14:schemeClr w14:val="tx2"/>
          </w14:solidFill>
        </w14:textFill>
      </w:rPr>
      <w:tblPr/>
      <w:tcPr>
        <w:tcBorders>
          <w:top w:val="single" w:color="F2BA02" w:themeColor="accent3" w:sz="8" w:space="0"/>
          <w:bottom w:val="single" w:color="F2BA02" w:themeColor="accent3" w:sz="8" w:space="0"/>
        </w:tcBorders>
      </w:tcPr>
    </w:tblStylePr>
    <w:tblStylePr w:type="firstCol">
      <w:rPr>
        <w:b/>
        <w:bCs/>
      </w:rPr>
    </w:tblStylePr>
    <w:tblStylePr w:type="lastCol">
      <w:rPr>
        <w:b/>
        <w:bCs/>
      </w:rPr>
      <w:tblPr/>
      <w:tcPr>
        <w:tcBorders>
          <w:top w:val="single" w:color="F2BA02" w:themeColor="accent3" w:sz="8" w:space="0"/>
          <w:bottom w:val="single" w:color="F2BA02" w:themeColor="accent3" w:sz="8" w:space="0"/>
        </w:tcBorders>
      </w:tcPr>
    </w:tblStylePr>
    <w:tblStylePr w:type="band1Vert">
      <w:tblPr/>
      <w:tcPr>
        <w:shd w:val="clear" w:color="auto" w:fill="FEEFBD" w:themeFill="accent3" w:themeFillTint="3F"/>
      </w:tcPr>
    </w:tblStylePr>
    <w:tblStylePr w:type="band1Horz">
      <w:tblPr/>
      <w:tcPr>
        <w:shd w:val="clear" w:color="auto" w:fill="FEEFBD" w:themeFill="accent3" w:themeFillTint="3F"/>
      </w:tcPr>
    </w:tblStylePr>
  </w:style>
  <w:style w:type="table" w:styleId="79">
    <w:name w:val="Medium List 1 Accent 4"/>
    <w:basedOn w:val="38"/>
    <w:qFormat/>
    <w:uiPriority w:val="65"/>
    <w:pPr>
      <w:spacing w:after="0" w:line="240" w:lineRule="auto"/>
    </w:pPr>
    <w:rPr>
      <w:color w:val="000000" w:themeColor="text1"/>
      <w14:textFill>
        <w14:solidFill>
          <w14:schemeClr w14:val="tx1"/>
        </w14:solidFill>
      </w14:textFill>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75BD42" w:themeColor="accent4" w:sz="8" w:space="0"/>
        </w:tcBorders>
      </w:tcPr>
    </w:tblStylePr>
    <w:tblStylePr w:type="lastRow">
      <w:rPr>
        <w:b/>
        <w:bCs/>
        <w:color w:val="44546A" w:themeColor="text2"/>
        <w14:textFill>
          <w14:solidFill>
            <w14:schemeClr w14:val="tx2"/>
          </w14:solidFill>
        </w14:textFill>
      </w:rPr>
      <w:tblPr/>
      <w:tcPr>
        <w:tcBorders>
          <w:top w:val="single" w:color="75BD42" w:themeColor="accent4" w:sz="8" w:space="0"/>
          <w:bottom w:val="single" w:color="75BD42" w:themeColor="accent4" w:sz="8" w:space="0"/>
        </w:tcBorders>
      </w:tcPr>
    </w:tblStylePr>
    <w:tblStylePr w:type="firstCol">
      <w:rPr>
        <w:b/>
        <w:bCs/>
      </w:rPr>
    </w:tblStylePr>
    <w:tblStylePr w:type="lastCol">
      <w:rPr>
        <w:b/>
        <w:bCs/>
      </w:rPr>
      <w:tblPr/>
      <w:tcPr>
        <w:tcBorders>
          <w:top w:val="single" w:color="75BD42" w:themeColor="accent4" w:sz="8" w:space="0"/>
          <w:bottom w:val="single" w:color="75BD42" w:themeColor="accent4" w:sz="8" w:space="0"/>
        </w:tcBorders>
      </w:tcPr>
    </w:tblStylePr>
    <w:tblStylePr w:type="band1Vert">
      <w:tblPr/>
      <w:tcPr>
        <w:shd w:val="clear" w:color="auto" w:fill="DCEED0" w:themeFill="accent4" w:themeFillTint="3F"/>
      </w:tcPr>
    </w:tblStylePr>
    <w:tblStylePr w:type="band1Horz">
      <w:tblPr/>
      <w:tcPr>
        <w:shd w:val="clear" w:color="auto" w:fill="DCEED0" w:themeFill="accent4" w:themeFillTint="3F"/>
      </w:tcPr>
    </w:tblStylePr>
  </w:style>
  <w:style w:type="table" w:styleId="80">
    <w:name w:val="Medium List 1 Accent 5"/>
    <w:basedOn w:val="38"/>
    <w:qFormat/>
    <w:uiPriority w:val="65"/>
    <w:pPr>
      <w:spacing w:after="0" w:line="240" w:lineRule="auto"/>
    </w:pPr>
    <w:rPr>
      <w:color w:val="000000" w:themeColor="text1"/>
      <w14:textFill>
        <w14:solidFill>
          <w14:schemeClr w14:val="tx1"/>
        </w14:solidFill>
      </w14:textFill>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30C0B4" w:themeColor="accent5" w:sz="8" w:space="0"/>
        </w:tcBorders>
      </w:tcPr>
    </w:tblStylePr>
    <w:tblStylePr w:type="lastRow">
      <w:rPr>
        <w:b/>
        <w:bCs/>
        <w:color w:val="44546A" w:themeColor="text2"/>
        <w14:textFill>
          <w14:solidFill>
            <w14:schemeClr w14:val="tx2"/>
          </w14:solidFill>
        </w14:textFill>
      </w:rPr>
      <w:tblPr/>
      <w:tcPr>
        <w:tcBorders>
          <w:top w:val="single" w:color="30C0B4" w:themeColor="accent5" w:sz="8" w:space="0"/>
          <w:bottom w:val="single" w:color="30C0B4" w:themeColor="accent5" w:sz="8" w:space="0"/>
        </w:tcBorders>
      </w:tcPr>
    </w:tblStylePr>
    <w:tblStylePr w:type="firstCol">
      <w:rPr>
        <w:b/>
        <w:bCs/>
      </w:rPr>
    </w:tblStylePr>
    <w:tblStylePr w:type="lastCol">
      <w:rPr>
        <w:b/>
        <w:bCs/>
      </w:rPr>
      <w:tblPr/>
      <w:tcPr>
        <w:tcBorders>
          <w:top w:val="single" w:color="30C0B4" w:themeColor="accent5" w:sz="8" w:space="0"/>
          <w:bottom w:val="single" w:color="30C0B4" w:themeColor="accent5" w:sz="8" w:space="0"/>
        </w:tcBorders>
      </w:tcPr>
    </w:tblStylePr>
    <w:tblStylePr w:type="band1Vert">
      <w:tblPr/>
      <w:tcPr>
        <w:shd w:val="clear" w:color="auto" w:fill="C9F1EE" w:themeFill="accent5" w:themeFillTint="3F"/>
      </w:tcPr>
    </w:tblStylePr>
    <w:tblStylePr w:type="band1Horz">
      <w:tblPr/>
      <w:tcPr>
        <w:shd w:val="clear" w:color="auto" w:fill="C9F1EE" w:themeFill="accent5" w:themeFillTint="3F"/>
      </w:tcPr>
    </w:tblStylePr>
  </w:style>
  <w:style w:type="table" w:styleId="81">
    <w:name w:val="Medium List 1 Accent 6"/>
    <w:basedOn w:val="38"/>
    <w:qFormat/>
    <w:uiPriority w:val="65"/>
    <w:pPr>
      <w:spacing w:after="0" w:line="240" w:lineRule="auto"/>
    </w:pPr>
    <w:rPr>
      <w:color w:val="000000" w:themeColor="text1"/>
      <w14:textFill>
        <w14:solidFill>
          <w14:schemeClr w14:val="tx1"/>
        </w14:solidFill>
      </w14:textFill>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54C5E" w:themeColor="accent6" w:sz="8" w:space="0"/>
        </w:tcBorders>
      </w:tcPr>
    </w:tblStylePr>
    <w:tblStylePr w:type="lastRow">
      <w:rPr>
        <w:b/>
        <w:bCs/>
        <w:color w:val="44546A" w:themeColor="text2"/>
        <w14:textFill>
          <w14:solidFill>
            <w14:schemeClr w14:val="tx2"/>
          </w14:solidFill>
        </w14:textFill>
      </w:rPr>
      <w:tblPr/>
      <w:tcPr>
        <w:tcBorders>
          <w:top w:val="single" w:color="E54C5E" w:themeColor="accent6" w:sz="8" w:space="0"/>
          <w:bottom w:val="single" w:color="E54C5E" w:themeColor="accent6" w:sz="8" w:space="0"/>
        </w:tcBorders>
      </w:tcPr>
    </w:tblStylePr>
    <w:tblStylePr w:type="firstCol">
      <w:rPr>
        <w:b/>
        <w:bCs/>
      </w:rPr>
    </w:tblStylePr>
    <w:tblStylePr w:type="lastCol">
      <w:rPr>
        <w:b/>
        <w:bCs/>
      </w:rPr>
      <w:tblPr/>
      <w:tcPr>
        <w:tcBorders>
          <w:top w:val="single" w:color="E54C5E" w:themeColor="accent6" w:sz="8" w:space="0"/>
          <w:bottom w:val="single" w:color="E54C5E" w:themeColor="accent6" w:sz="8" w:space="0"/>
        </w:tcBorders>
      </w:tcPr>
    </w:tblStylePr>
    <w:tblStylePr w:type="band1Vert">
      <w:tblPr/>
      <w:tcPr>
        <w:shd w:val="clear" w:color="auto" w:fill="F8D2D7" w:themeFill="accent6" w:themeFillTint="3F"/>
      </w:tcPr>
    </w:tblStylePr>
    <w:tblStylePr w:type="band1Horz">
      <w:tblPr/>
      <w:tcPr>
        <w:shd w:val="clear" w:color="auto" w:fill="F8D2D7" w:themeFill="accent6" w:themeFillTint="3F"/>
      </w:tcPr>
    </w:tblStylePr>
  </w:style>
  <w:style w:type="table" w:styleId="82">
    <w:name w:val="Medium List 2"/>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38"/>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874CB" w:themeColor="accent1" w:sz="24" w:space="0"/>
          <w:right w:val="nil"/>
          <w:insideH w:val="nil"/>
          <w:insideV w:val="nil"/>
        </w:tcBorders>
        <w:shd w:val="clear" w:color="auto" w:fill="FFFFFF" w:themeFill="background1"/>
      </w:tcPr>
    </w:tblStylePr>
    <w:tblStylePr w:type="lastRow">
      <w:tblPr/>
      <w:tcPr>
        <w:tcBorders>
          <w:top w:val="single" w:color="4874CB"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874CB" w:themeColor="accent1" w:sz="8" w:space="0"/>
          <w:insideH w:val="nil"/>
          <w:insideV w:val="nil"/>
        </w:tcBorders>
        <w:shd w:val="clear" w:color="auto" w:fill="FFFFFF" w:themeFill="background1"/>
      </w:tcPr>
    </w:tblStylePr>
    <w:tblStylePr w:type="lastCol">
      <w:tblPr/>
      <w:tcPr>
        <w:tcBorders>
          <w:top w:val="nil"/>
          <w:left w:val="single" w:color="4874CB"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top w:val="nil"/>
          <w:bottom w:val="nil"/>
          <w:insideH w:val="nil"/>
          <w:insideV w:val="nil"/>
        </w:tcBorders>
        <w:shd w:val="clear" w:color="auto" w:fill="D1DC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tblPr/>
      <w:tcPr>
        <w:tcBorders>
          <w:top w:val="single" w:color="EE822F"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E822F" w:themeColor="accent2" w:sz="8" w:space="0"/>
          <w:insideH w:val="nil"/>
          <w:insideV w:val="nil"/>
        </w:tcBorders>
        <w:shd w:val="clear" w:color="auto" w:fill="FFFFFF" w:themeFill="background1"/>
      </w:tcPr>
    </w:tblStylePr>
    <w:tblStylePr w:type="lastCol">
      <w:tblPr/>
      <w:tcPr>
        <w:tcBorders>
          <w:top w:val="nil"/>
          <w:left w:val="single" w:color="EE822F"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top w:val="nil"/>
          <w:bottom w:val="nil"/>
          <w:insideH w:val="nil"/>
          <w:insideV w:val="nil"/>
        </w:tcBorders>
        <w:shd w:val="clear" w:color="auto" w:fill="FAE0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tblPr/>
      <w:tcPr>
        <w:tcBorders>
          <w:top w:val="single" w:color="F2BA02"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2BA02" w:themeColor="accent3" w:sz="8" w:space="0"/>
          <w:insideH w:val="nil"/>
          <w:insideV w:val="nil"/>
        </w:tcBorders>
        <w:shd w:val="clear" w:color="auto" w:fill="FFFFFF" w:themeFill="background1"/>
      </w:tcPr>
    </w:tblStylePr>
    <w:tblStylePr w:type="lastCol">
      <w:tblPr/>
      <w:tcPr>
        <w:tcBorders>
          <w:top w:val="nil"/>
          <w:left w:val="single" w:color="F2BA02"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top w:val="nil"/>
          <w:bottom w:val="nil"/>
          <w:insideH w:val="nil"/>
          <w:insideV w:val="nil"/>
        </w:tcBorders>
        <w:shd w:val="clear" w:color="auto" w:fill="FEEF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tblPr/>
      <w:tcPr>
        <w:tcBorders>
          <w:top w:val="single" w:color="75BD4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5BD42" w:themeColor="accent4" w:sz="8" w:space="0"/>
          <w:insideH w:val="nil"/>
          <w:insideV w:val="nil"/>
        </w:tcBorders>
        <w:shd w:val="clear" w:color="auto" w:fill="FFFFFF" w:themeFill="background1"/>
      </w:tcPr>
    </w:tblStylePr>
    <w:tblStylePr w:type="lastCol">
      <w:tblPr/>
      <w:tcPr>
        <w:tcBorders>
          <w:top w:val="nil"/>
          <w:left w:val="single" w:color="75BD4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top w:val="nil"/>
          <w:bottom w:val="nil"/>
          <w:insideH w:val="nil"/>
          <w:insideV w:val="nil"/>
        </w:tcBorders>
        <w:shd w:val="clear" w:color="auto" w:fill="DCEED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38"/>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tblPr/>
      <w:tcPr>
        <w:tcBorders>
          <w:top w:val="single" w:color="30C0B4"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30C0B4" w:themeColor="accent5" w:sz="8" w:space="0"/>
          <w:insideH w:val="nil"/>
          <w:insideV w:val="nil"/>
        </w:tcBorders>
        <w:shd w:val="clear" w:color="auto" w:fill="FFFFFF" w:themeFill="background1"/>
      </w:tcPr>
    </w:tblStylePr>
    <w:tblStylePr w:type="lastCol">
      <w:tblPr/>
      <w:tcPr>
        <w:tcBorders>
          <w:top w:val="nil"/>
          <w:left w:val="single" w:color="30C0B4"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top w:val="nil"/>
          <w:bottom w:val="nil"/>
          <w:insideH w:val="nil"/>
          <w:insideV w:val="nil"/>
        </w:tcBorders>
        <w:shd w:val="clear" w:color="auto" w:fill="C9F1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38"/>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tblPr/>
      <w:tcPr>
        <w:tcBorders>
          <w:top w:val="single" w:color="E54C5E"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54C5E" w:themeColor="accent6" w:sz="8" w:space="0"/>
          <w:insideH w:val="nil"/>
          <w:insideV w:val="nil"/>
        </w:tcBorders>
        <w:shd w:val="clear" w:color="auto" w:fill="FFFFFF" w:themeFill="background1"/>
      </w:tcPr>
    </w:tblStylePr>
    <w:tblStylePr w:type="lastCol">
      <w:tblPr/>
      <w:tcPr>
        <w:tcBorders>
          <w:top w:val="nil"/>
          <w:left w:val="single" w:color="E54C5E"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top w:val="nil"/>
          <w:bottom w:val="nil"/>
          <w:insideH w:val="nil"/>
          <w:insideV w:val="nil"/>
        </w:tcBorders>
        <w:shd w:val="clear" w:color="auto" w:fill="F8D2D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38"/>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38"/>
    <w:uiPriority w:val="67"/>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insideV w:val="single" w:color="7596D8" w:themeColor="accent1" w:themeTint="BF" w:sz="8" w:space="0"/>
      </w:tblBorders>
      <w:tblCellMar>
        <w:top w:w="0" w:type="dxa"/>
        <w:left w:w="108" w:type="dxa"/>
        <w:bottom w:w="0" w:type="dxa"/>
        <w:right w:w="108" w:type="dxa"/>
      </w:tblCellMar>
    </w:tblPr>
    <w:tcPr>
      <w:shd w:val="clear" w:color="auto" w:fill="D1DCF2" w:themeFill="accent1" w:themeFillTint="3F"/>
    </w:tcPr>
    <w:tblStylePr w:type="firstRow">
      <w:rPr>
        <w:b/>
        <w:bCs/>
      </w:rPr>
    </w:tblStylePr>
    <w:tblStylePr w:type="lastRow">
      <w:rPr>
        <w:b/>
        <w:bCs/>
      </w:rPr>
      <w:tblPr/>
      <w:tcPr>
        <w:tcBorders>
          <w:top w:val="single" w:color="7596D8" w:themeColor="accent1" w:themeTint="BF" w:sz="18" w:space="0"/>
        </w:tcBorders>
      </w:tcPr>
    </w:tblStylePr>
    <w:tblStylePr w:type="firstCol">
      <w:rPr>
        <w:b/>
        <w:bCs/>
      </w:rPr>
    </w:tblStylePr>
    <w:tblStylePr w:type="lastCol">
      <w:rPr>
        <w:b/>
        <w:bCs/>
      </w:r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91">
    <w:name w:val="Medium Grid 1 Accent 2"/>
    <w:basedOn w:val="38"/>
    <w:uiPriority w:val="67"/>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insideV w:val="single" w:color="F2A163" w:themeColor="accent2" w:themeTint="BF" w:sz="8" w:space="0"/>
      </w:tblBorders>
      <w:tblCellMar>
        <w:top w:w="0" w:type="dxa"/>
        <w:left w:w="108" w:type="dxa"/>
        <w:bottom w:w="0" w:type="dxa"/>
        <w:right w:w="108" w:type="dxa"/>
      </w:tblCellMar>
    </w:tblPr>
    <w:tcPr>
      <w:shd w:val="clear" w:color="auto" w:fill="FAE0CB" w:themeFill="accent2" w:themeFillTint="3F"/>
    </w:tcPr>
    <w:tblStylePr w:type="firstRow">
      <w:rPr>
        <w:b/>
        <w:bCs/>
      </w:rPr>
    </w:tblStylePr>
    <w:tblStylePr w:type="lastRow">
      <w:rPr>
        <w:b/>
        <w:bCs/>
      </w:rPr>
      <w:tblPr/>
      <w:tcPr>
        <w:tcBorders>
          <w:top w:val="single" w:color="F2A163" w:themeColor="accent2" w:themeTint="BF" w:sz="18" w:space="0"/>
        </w:tcBorders>
      </w:tcPr>
    </w:tblStylePr>
    <w:tblStylePr w:type="firstCol">
      <w:rPr>
        <w:b/>
        <w:bCs/>
      </w:rPr>
    </w:tblStylePr>
    <w:tblStylePr w:type="lastCol">
      <w:rPr>
        <w:b/>
        <w:bCs/>
      </w:r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92">
    <w:name w:val="Medium Grid 1 Accent 3"/>
    <w:basedOn w:val="38"/>
    <w:uiPriority w:val="67"/>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insideV w:val="single" w:color="FDCF39" w:themeColor="accent3" w:themeTint="BF" w:sz="8" w:space="0"/>
      </w:tblBorders>
      <w:tblCellMar>
        <w:top w:w="0" w:type="dxa"/>
        <w:left w:w="108" w:type="dxa"/>
        <w:bottom w:w="0" w:type="dxa"/>
        <w:right w:w="108" w:type="dxa"/>
      </w:tblCellMar>
    </w:tblPr>
    <w:tcPr>
      <w:shd w:val="clear" w:color="auto" w:fill="FEEFBD" w:themeFill="accent3" w:themeFillTint="3F"/>
    </w:tcPr>
    <w:tblStylePr w:type="firstRow">
      <w:rPr>
        <w:b/>
        <w:bCs/>
      </w:rPr>
    </w:tblStylePr>
    <w:tblStylePr w:type="lastRow">
      <w:rPr>
        <w:b/>
        <w:bCs/>
      </w:rPr>
      <w:tblPr/>
      <w:tcPr>
        <w:tcBorders>
          <w:top w:val="single" w:color="FDCF39" w:themeColor="accent3" w:themeTint="BF" w:sz="18" w:space="0"/>
        </w:tcBorders>
      </w:tcPr>
    </w:tblStylePr>
    <w:tblStylePr w:type="firstCol">
      <w:rPr>
        <w:b/>
        <w:bCs/>
      </w:rPr>
    </w:tblStylePr>
    <w:tblStylePr w:type="lastCol">
      <w:rPr>
        <w:b/>
        <w:bCs/>
      </w:r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93">
    <w:name w:val="Medium Grid 1 Accent 4"/>
    <w:basedOn w:val="38"/>
    <w:uiPriority w:val="67"/>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insideV w:val="single" w:color="97CD71" w:themeColor="accent4" w:themeTint="BF" w:sz="8" w:space="0"/>
      </w:tblBorders>
      <w:tblCellMar>
        <w:top w:w="0" w:type="dxa"/>
        <w:left w:w="108" w:type="dxa"/>
        <w:bottom w:w="0" w:type="dxa"/>
        <w:right w:w="108" w:type="dxa"/>
      </w:tblCellMar>
    </w:tblPr>
    <w:tcPr>
      <w:shd w:val="clear" w:color="auto" w:fill="DCEED0" w:themeFill="accent4" w:themeFillTint="3F"/>
    </w:tcPr>
    <w:tblStylePr w:type="firstRow">
      <w:rPr>
        <w:b/>
        <w:bCs/>
      </w:rPr>
    </w:tblStylePr>
    <w:tblStylePr w:type="lastRow">
      <w:rPr>
        <w:b/>
        <w:bCs/>
      </w:rPr>
      <w:tblPr/>
      <w:tcPr>
        <w:tcBorders>
          <w:top w:val="single" w:color="97CD71" w:themeColor="accent4" w:themeTint="BF" w:sz="18" w:space="0"/>
        </w:tcBorders>
      </w:tcPr>
    </w:tblStylePr>
    <w:tblStylePr w:type="firstCol">
      <w:rPr>
        <w:b/>
        <w:bCs/>
      </w:rPr>
    </w:tblStylePr>
    <w:tblStylePr w:type="lastCol">
      <w:rPr>
        <w:b/>
        <w:bCs/>
      </w:r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94">
    <w:name w:val="Medium Grid 1 Accent 5"/>
    <w:basedOn w:val="38"/>
    <w:qFormat/>
    <w:uiPriority w:val="67"/>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insideV w:val="single" w:color="5DD6CC" w:themeColor="accent5" w:themeTint="BF" w:sz="8" w:space="0"/>
      </w:tblBorders>
      <w:tblCellMar>
        <w:top w:w="0" w:type="dxa"/>
        <w:left w:w="108" w:type="dxa"/>
        <w:bottom w:w="0" w:type="dxa"/>
        <w:right w:w="108" w:type="dxa"/>
      </w:tblCellMar>
    </w:tblPr>
    <w:tcPr>
      <w:shd w:val="clear" w:color="auto" w:fill="C9F1EE" w:themeFill="accent5" w:themeFillTint="3F"/>
    </w:tcPr>
    <w:tblStylePr w:type="firstRow">
      <w:rPr>
        <w:b/>
        <w:bCs/>
      </w:rPr>
    </w:tblStylePr>
    <w:tblStylePr w:type="lastRow">
      <w:rPr>
        <w:b/>
        <w:bCs/>
      </w:rPr>
      <w:tblPr/>
      <w:tcPr>
        <w:tcBorders>
          <w:top w:val="single" w:color="5DD6CC" w:themeColor="accent5" w:themeTint="BF" w:sz="18" w:space="0"/>
        </w:tcBorders>
      </w:tcPr>
    </w:tblStylePr>
    <w:tblStylePr w:type="firstCol">
      <w:rPr>
        <w:b/>
        <w:bCs/>
      </w:rPr>
    </w:tblStylePr>
    <w:tblStylePr w:type="lastCol">
      <w:rPr>
        <w:b/>
        <w:bCs/>
      </w:r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95">
    <w:name w:val="Medium Grid 1 Accent 6"/>
    <w:basedOn w:val="38"/>
    <w:uiPriority w:val="67"/>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insideV w:val="single" w:color="EB7886" w:themeColor="accent6" w:themeTint="BF" w:sz="8" w:space="0"/>
      </w:tblBorders>
      <w:tblCellMar>
        <w:top w:w="0" w:type="dxa"/>
        <w:left w:w="108" w:type="dxa"/>
        <w:bottom w:w="0" w:type="dxa"/>
        <w:right w:w="108" w:type="dxa"/>
      </w:tblCellMar>
    </w:tblPr>
    <w:tcPr>
      <w:shd w:val="clear" w:color="auto" w:fill="F8D2D7" w:themeFill="accent6" w:themeFillTint="3F"/>
    </w:tcPr>
    <w:tblStylePr w:type="firstRow">
      <w:rPr>
        <w:b/>
        <w:bCs/>
      </w:rPr>
    </w:tblStylePr>
    <w:tblStylePr w:type="lastRow">
      <w:rPr>
        <w:b/>
        <w:bCs/>
      </w:rPr>
      <w:tblPr/>
      <w:tcPr>
        <w:tcBorders>
          <w:top w:val="single" w:color="EB7886" w:themeColor="accent6" w:themeTint="BF" w:sz="18" w:space="0"/>
        </w:tcBorders>
      </w:tcPr>
    </w:tblStylePr>
    <w:tblStylePr w:type="firstCol">
      <w:rPr>
        <w:b/>
        <w:bCs/>
      </w:rPr>
    </w:tblStylePr>
    <w:tblStylePr w:type="lastCol">
      <w:rPr>
        <w:b/>
        <w:bCs/>
      </w:r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table" w:styleId="96">
    <w:name w:val="Medium Grid 2"/>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cPr>
      <w:shd w:val="clear" w:color="auto" w:fill="D1DCF2" w:themeFill="accent1" w:themeFillTint="3F"/>
    </w:tcPr>
    <w:tblStylePr w:type="firstRow">
      <w:rPr>
        <w:b/>
        <w:bCs/>
        <w:color w:val="000000" w:themeColor="text1"/>
        <w14:textFill>
          <w14:solidFill>
            <w14:schemeClr w14:val="tx1"/>
          </w14:solidFill>
        </w14:textFill>
      </w:rPr>
      <w:tblPr/>
      <w:tcPr>
        <w:shd w:val="clear" w:color="auto" w:fill="EDF1F9"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3F4" w:themeFill="accent1" w:themeFillTint="33"/>
      </w:tcPr>
    </w:tblStylePr>
    <w:tblStylePr w:type="band1Vert">
      <w:tblPr/>
      <w:tcPr>
        <w:shd w:val="clear" w:color="auto" w:fill="A3B9E5" w:themeFill="accent1" w:themeFillTint="7F"/>
      </w:tcPr>
    </w:tblStylePr>
    <w:tblStylePr w:type="band1Horz">
      <w:tblPr/>
      <w:tcPr>
        <w:tcBorders>
          <w:insideH w:val="single" w:sz="6" w:space="0"/>
          <w:insideV w:val="single" w:sz="6" w:space="0"/>
        </w:tcBorders>
        <w:shd w:val="clear" w:color="auto" w:fill="A3B9E5" w:themeFill="accent1" w:themeFillTint="7F"/>
      </w:tcPr>
    </w:tblStylePr>
    <w:tblStylePr w:type="nwCell">
      <w:tblPr/>
      <w:tcPr>
        <w:shd w:val="clear" w:color="auto" w:fill="FFFFFF" w:themeFill="background1"/>
      </w:tcPr>
    </w:tblStylePr>
  </w:style>
  <w:style w:type="table" w:styleId="98">
    <w:name w:val="Medium Grid 2 Accent 2"/>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cPr>
      <w:shd w:val="clear" w:color="auto" w:fill="FAE0CB" w:themeFill="accent2" w:themeFillTint="3F"/>
    </w:tcPr>
    <w:tblStylePr w:type="firstRow">
      <w:rPr>
        <w:b/>
        <w:bCs/>
        <w:color w:val="000000" w:themeColor="text1"/>
        <w14:textFill>
          <w14:solidFill>
            <w14:schemeClr w14:val="tx1"/>
          </w14:solidFill>
        </w14:textFill>
      </w:rPr>
      <w:tblPr/>
      <w:tcPr>
        <w:shd w:val="clear" w:color="auto" w:fill="FDF2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E5D5" w:themeFill="accent2" w:themeFillTint="33"/>
      </w:tcPr>
    </w:tblStylePr>
    <w:tblStylePr w:type="band1Vert">
      <w:tblPr/>
      <w:tcPr>
        <w:shd w:val="clear" w:color="auto" w:fill="F6C097" w:themeFill="accent2" w:themeFillTint="7F"/>
      </w:tcPr>
    </w:tblStylePr>
    <w:tblStylePr w:type="band1Horz">
      <w:tblPr/>
      <w:tcPr>
        <w:tcBorders>
          <w:insideH w:val="single" w:sz="6" w:space="0"/>
          <w:insideV w:val="single" w:sz="6" w:space="0"/>
        </w:tcBorders>
        <w:shd w:val="clear" w:color="auto" w:fill="F6C097" w:themeFill="accent2" w:themeFillTint="7F"/>
      </w:tcPr>
    </w:tblStylePr>
    <w:tblStylePr w:type="nwCell">
      <w:tblPr/>
      <w:tcPr>
        <w:shd w:val="clear" w:color="auto" w:fill="FFFFFF" w:themeFill="background1"/>
      </w:tcPr>
    </w:tblStylePr>
  </w:style>
  <w:style w:type="table" w:styleId="99">
    <w:name w:val="Medium Grid 2 Accent 3"/>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cPr>
      <w:shd w:val="clear" w:color="auto" w:fill="FEEFBD" w:themeFill="accent3" w:themeFillTint="3F"/>
    </w:tcPr>
    <w:tblStylePr w:type="firstRow">
      <w:rPr>
        <w:b/>
        <w:bCs/>
        <w:color w:val="000000" w:themeColor="text1"/>
        <w14:textFill>
          <w14:solidFill>
            <w14:schemeClr w14:val="tx1"/>
          </w14:solidFill>
        </w14:textFill>
      </w:rPr>
      <w:tblPr/>
      <w:tcPr>
        <w:shd w:val="clear" w:color="auto" w:fill="FEF8E5"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F2CA" w:themeFill="accent3" w:themeFillTint="33"/>
      </w:tcPr>
    </w:tblStylePr>
    <w:tblStylePr w:type="band1Vert">
      <w:tblPr/>
      <w:tcPr>
        <w:shd w:val="clear" w:color="auto" w:fill="FDDF7B" w:themeFill="accent3" w:themeFillTint="7F"/>
      </w:tcPr>
    </w:tblStylePr>
    <w:tblStylePr w:type="band1Horz">
      <w:tblPr/>
      <w:tcPr>
        <w:tcBorders>
          <w:insideH w:val="single" w:sz="6" w:space="0"/>
          <w:insideV w:val="single" w:sz="6" w:space="0"/>
        </w:tcBorders>
        <w:shd w:val="clear" w:color="auto" w:fill="FDDF7B" w:themeFill="accent3" w:themeFillTint="7F"/>
      </w:tcPr>
    </w:tblStylePr>
    <w:tblStylePr w:type="nwCell">
      <w:tblPr/>
      <w:tcPr>
        <w:shd w:val="clear" w:color="auto" w:fill="FFFFFF" w:themeFill="background1"/>
      </w:tcPr>
    </w:tblStylePr>
  </w:style>
  <w:style w:type="table" w:styleId="100">
    <w:name w:val="Medium Grid 2 Accent 4"/>
    <w:basedOn w:val="3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cPr>
      <w:shd w:val="clear" w:color="auto" w:fill="DCEED0" w:themeFill="accent4" w:themeFillTint="3F"/>
    </w:tcPr>
    <w:tblStylePr w:type="firstRow">
      <w:rPr>
        <w:b/>
        <w:bCs/>
        <w:color w:val="000000" w:themeColor="text1"/>
        <w14:textFill>
          <w14:solidFill>
            <w14:schemeClr w14:val="tx1"/>
          </w14:solidFill>
        </w14:textFill>
      </w:rPr>
      <w:tblPr/>
      <w:tcPr>
        <w:shd w:val="clear" w:color="auto" w:fill="F1F8EC"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3F1D9" w:themeFill="accent4" w:themeFillTint="33"/>
      </w:tcPr>
    </w:tblStylePr>
    <w:tblStylePr w:type="band1Vert">
      <w:tblPr/>
      <w:tcPr>
        <w:shd w:val="clear" w:color="auto" w:fill="BADEA0" w:themeFill="accent4" w:themeFillTint="7F"/>
      </w:tcPr>
    </w:tblStylePr>
    <w:tblStylePr w:type="band1Horz">
      <w:tblPr/>
      <w:tcPr>
        <w:tcBorders>
          <w:insideH w:val="single" w:sz="6" w:space="0"/>
          <w:insideV w:val="single" w:sz="6" w:space="0"/>
        </w:tcBorders>
        <w:shd w:val="clear" w:color="auto" w:fill="BADEA0" w:themeFill="accent4" w:themeFillTint="7F"/>
      </w:tcPr>
    </w:tblStylePr>
    <w:tblStylePr w:type="nwCell">
      <w:tblPr/>
      <w:tcPr>
        <w:shd w:val="clear" w:color="auto" w:fill="FFFFFF" w:themeFill="background1"/>
      </w:tcPr>
    </w:tblStylePr>
  </w:style>
  <w:style w:type="table" w:styleId="101">
    <w:name w:val="Medium Grid 2 Accent 5"/>
    <w:basedOn w:val="3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cPr>
      <w:shd w:val="clear" w:color="auto" w:fill="C9F1EE" w:themeFill="accent5" w:themeFillTint="3F"/>
    </w:tcPr>
    <w:tblStylePr w:type="firstRow">
      <w:rPr>
        <w:b/>
        <w:bCs/>
        <w:color w:val="000000" w:themeColor="text1"/>
        <w14:textFill>
          <w14:solidFill>
            <w14:schemeClr w14:val="tx1"/>
          </w14:solidFill>
        </w14:textFill>
      </w:rPr>
      <w:tblPr/>
      <w:tcPr>
        <w:shd w:val="clear" w:color="auto" w:fill="E9F9F8"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3F4F1" w:themeFill="accent5" w:themeFillTint="33"/>
      </w:tcPr>
    </w:tblStylePr>
    <w:tblStylePr w:type="band1Vert">
      <w:tblPr/>
      <w:tcPr>
        <w:shd w:val="clear" w:color="auto" w:fill="93E4DD" w:themeFill="accent5" w:themeFillTint="7F"/>
      </w:tcPr>
    </w:tblStylePr>
    <w:tblStylePr w:type="band1Horz">
      <w:tblPr/>
      <w:tcPr>
        <w:tcBorders>
          <w:insideH w:val="single" w:sz="6" w:space="0"/>
          <w:insideV w:val="single" w:sz="6" w:space="0"/>
        </w:tcBorders>
        <w:shd w:val="clear" w:color="auto" w:fill="93E4DD" w:themeFill="accent5" w:themeFillTint="7F"/>
      </w:tcPr>
    </w:tblStylePr>
    <w:tblStylePr w:type="nwCell">
      <w:tblPr/>
      <w:tcPr>
        <w:shd w:val="clear" w:color="auto" w:fill="FFFFFF" w:themeFill="background1"/>
      </w:tcPr>
    </w:tblStylePr>
  </w:style>
  <w:style w:type="table" w:styleId="102">
    <w:name w:val="Medium Grid 2 Accent 6"/>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cPr>
      <w:shd w:val="clear" w:color="auto" w:fill="F8D2D7" w:themeFill="accent6" w:themeFillTint="3F"/>
    </w:tcPr>
    <w:tblStylePr w:type="firstRow">
      <w:rPr>
        <w:b/>
        <w:bCs/>
        <w:color w:val="000000" w:themeColor="text1"/>
        <w14:textFill>
          <w14:solidFill>
            <w14:schemeClr w14:val="tx1"/>
          </w14:solidFill>
        </w14:textFill>
      </w:rPr>
      <w:tblPr/>
      <w:tcPr>
        <w:shd w:val="clear" w:color="auto" w:fill="FCEDEF"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9DBDE" w:themeFill="accent6" w:themeFillTint="33"/>
      </w:tcPr>
    </w:tblStylePr>
    <w:tblStylePr w:type="band1Vert">
      <w:tblPr/>
      <w:tcPr>
        <w:shd w:val="clear" w:color="auto" w:fill="F2A5AE" w:themeFill="accent6" w:themeFillTint="7F"/>
      </w:tcPr>
    </w:tblStylePr>
    <w:tblStylePr w:type="band1Horz">
      <w:tblPr/>
      <w:tcPr>
        <w:tcBorders>
          <w:insideH w:val="single" w:sz="6" w:space="0"/>
          <w:insideV w:val="single" w:sz="6" w:space="0"/>
        </w:tcBorders>
        <w:shd w:val="clear" w:color="auto" w:fill="F2A5AE" w:themeFill="accent6" w:themeFillTint="7F"/>
      </w:tcPr>
    </w:tblStylePr>
    <w:tblStylePr w:type="nwCell">
      <w:tblPr/>
      <w:tcPr>
        <w:shd w:val="clear" w:color="auto" w:fill="FFFFFF" w:themeFill="background1"/>
      </w:tcPr>
    </w:tblStylePr>
  </w:style>
  <w:style w:type="table" w:styleId="103">
    <w:name w:val="Medium Grid 3"/>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1DCF2"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874CB"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874CB"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874CB"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874CB"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3B9E5"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3B9E5" w:themeFill="accent1" w:themeFillTint="7F"/>
      </w:tcPr>
    </w:tblStylePr>
  </w:style>
  <w:style w:type="table" w:styleId="105">
    <w:name w:val="Medium Grid 3 Accent 2"/>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AE0CB"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E822F"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E822F"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E822F"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E822F"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C097"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6C097" w:themeFill="accent2" w:themeFillTint="7F"/>
      </w:tcPr>
    </w:tblStylePr>
  </w:style>
  <w:style w:type="table" w:styleId="106">
    <w:name w:val="Medium Grid 3 Accent 3"/>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EEFBD"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2BA02"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2BA02"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2BA02"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2BA02"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DDF7B"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DDF7B" w:themeFill="accent3" w:themeFillTint="7F"/>
      </w:tcPr>
    </w:tblStylePr>
  </w:style>
  <w:style w:type="table" w:styleId="107">
    <w:name w:val="Medium Grid 3 Accent 4"/>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CEED0"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5BD4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5BD4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5BD4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5BD4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ADEA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ADEA0" w:themeFill="accent4" w:themeFillTint="7F"/>
      </w:tcPr>
    </w:tblStylePr>
  </w:style>
  <w:style w:type="table" w:styleId="108">
    <w:name w:val="Medium Grid 3 Accent 5"/>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9F1EE"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30C0B4"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30C0B4"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30C0B4"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30C0B4"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93E4DD"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93E4DD" w:themeFill="accent5" w:themeFillTint="7F"/>
      </w:tcPr>
    </w:tblStylePr>
  </w:style>
  <w:style w:type="table" w:styleId="109">
    <w:name w:val="Medium Grid 3 Accent 6"/>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8D2D7"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54C5E"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54C5E"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54C5E"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54C5E"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2A5AE"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2A5AE" w:themeFill="accent6" w:themeFillTint="7F"/>
      </w:tcPr>
    </w:tblStylePr>
  </w:style>
  <w:style w:type="table" w:styleId="110">
    <w:name w:val="Dark List"/>
    <w:basedOn w:val="38"/>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3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874CB"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E376A"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D54A0"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D54A0" w:themeFill="accent1" w:themeFillShade="BF"/>
      </w:tcPr>
    </w:tblStylePr>
    <w:tblStylePr w:type="band1Vert">
      <w:tblPr/>
      <w:tcPr>
        <w:tcBorders>
          <w:top w:val="nil"/>
          <w:left w:val="nil"/>
          <w:bottom w:val="nil"/>
          <w:right w:val="nil"/>
          <w:insideH w:val="nil"/>
          <w:insideV w:val="nil"/>
        </w:tcBorders>
        <w:shd w:val="clear" w:color="auto" w:fill="2D54A0" w:themeFill="accent1" w:themeFillShade="BF"/>
      </w:tcPr>
    </w:tblStylePr>
    <w:tblStylePr w:type="band1Horz">
      <w:tblPr/>
      <w:tcPr>
        <w:tcBorders>
          <w:top w:val="nil"/>
          <w:left w:val="nil"/>
          <w:bottom w:val="nil"/>
          <w:right w:val="nil"/>
          <w:insideH w:val="nil"/>
          <w:insideV w:val="nil"/>
        </w:tcBorders>
        <w:shd w:val="clear" w:color="auto" w:fill="2D54A0" w:themeFill="accent1" w:themeFillShade="BF"/>
      </w:tcPr>
    </w:tblStylePr>
  </w:style>
  <w:style w:type="table" w:styleId="112">
    <w:name w:val="Dark List Accent 2"/>
    <w:basedOn w:val="38"/>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E822F"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33F0A"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55E10"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55E10" w:themeFill="accent2" w:themeFillShade="BF"/>
      </w:tcPr>
    </w:tblStylePr>
    <w:tblStylePr w:type="band1Vert">
      <w:tblPr/>
      <w:tcPr>
        <w:tcBorders>
          <w:top w:val="nil"/>
          <w:left w:val="nil"/>
          <w:bottom w:val="nil"/>
          <w:right w:val="nil"/>
          <w:insideH w:val="nil"/>
          <w:insideV w:val="nil"/>
        </w:tcBorders>
        <w:shd w:val="clear" w:color="auto" w:fill="C55E10" w:themeFill="accent2" w:themeFillShade="BF"/>
      </w:tcPr>
    </w:tblStylePr>
    <w:tblStylePr w:type="band1Horz">
      <w:tblPr/>
      <w:tcPr>
        <w:tcBorders>
          <w:top w:val="nil"/>
          <w:left w:val="nil"/>
          <w:bottom w:val="nil"/>
          <w:right w:val="nil"/>
          <w:insideH w:val="nil"/>
          <w:insideV w:val="nil"/>
        </w:tcBorders>
        <w:shd w:val="clear" w:color="auto" w:fill="C55E10" w:themeFill="accent2" w:themeFillShade="BF"/>
      </w:tcPr>
    </w:tblStylePr>
  </w:style>
  <w:style w:type="table" w:styleId="113">
    <w:name w:val="Dark List Accent 3"/>
    <w:basedOn w:val="38"/>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2BA02"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85C00"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B58B01"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B58B01" w:themeFill="accent3" w:themeFillShade="BF"/>
      </w:tcPr>
    </w:tblStylePr>
    <w:tblStylePr w:type="band1Vert">
      <w:tblPr/>
      <w:tcPr>
        <w:tcBorders>
          <w:top w:val="nil"/>
          <w:left w:val="nil"/>
          <w:bottom w:val="nil"/>
          <w:right w:val="nil"/>
          <w:insideH w:val="nil"/>
          <w:insideV w:val="nil"/>
        </w:tcBorders>
        <w:shd w:val="clear" w:color="auto" w:fill="B58B01" w:themeFill="accent3" w:themeFillShade="BF"/>
      </w:tcPr>
    </w:tblStylePr>
    <w:tblStylePr w:type="band1Horz">
      <w:tblPr/>
      <w:tcPr>
        <w:tcBorders>
          <w:top w:val="nil"/>
          <w:left w:val="nil"/>
          <w:bottom w:val="nil"/>
          <w:right w:val="nil"/>
          <w:insideH w:val="nil"/>
          <w:insideV w:val="nil"/>
        </w:tcBorders>
        <w:shd w:val="clear" w:color="auto" w:fill="B58B01" w:themeFill="accent3" w:themeFillShade="BF"/>
      </w:tcPr>
    </w:tblStylePr>
  </w:style>
  <w:style w:type="table" w:styleId="114">
    <w:name w:val="Dark List Accent 4"/>
    <w:basedOn w:val="38"/>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75BD4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A5E2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78D31"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78D31" w:themeFill="accent4" w:themeFillShade="BF"/>
      </w:tcPr>
    </w:tblStylePr>
    <w:tblStylePr w:type="band1Vert">
      <w:tblPr/>
      <w:tcPr>
        <w:tcBorders>
          <w:top w:val="nil"/>
          <w:left w:val="nil"/>
          <w:bottom w:val="nil"/>
          <w:right w:val="nil"/>
          <w:insideH w:val="nil"/>
          <w:insideV w:val="nil"/>
        </w:tcBorders>
        <w:shd w:val="clear" w:color="auto" w:fill="578D31" w:themeFill="accent4" w:themeFillShade="BF"/>
      </w:tcPr>
    </w:tblStylePr>
    <w:tblStylePr w:type="band1Horz">
      <w:tblPr/>
      <w:tcPr>
        <w:tcBorders>
          <w:top w:val="nil"/>
          <w:left w:val="nil"/>
          <w:bottom w:val="nil"/>
          <w:right w:val="nil"/>
          <w:insideH w:val="nil"/>
          <w:insideV w:val="nil"/>
        </w:tcBorders>
        <w:shd w:val="clear" w:color="auto" w:fill="578D31" w:themeFill="accent4" w:themeFillShade="BF"/>
      </w:tcPr>
    </w:tblStylePr>
  </w:style>
  <w:style w:type="table" w:styleId="115">
    <w:name w:val="Dark List Accent 5"/>
    <w:basedOn w:val="38"/>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30C0B4"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75F59"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38F86"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38F86" w:themeFill="accent5" w:themeFillShade="BF"/>
      </w:tcPr>
    </w:tblStylePr>
    <w:tblStylePr w:type="band1Vert">
      <w:tblPr/>
      <w:tcPr>
        <w:tcBorders>
          <w:top w:val="nil"/>
          <w:left w:val="nil"/>
          <w:bottom w:val="nil"/>
          <w:right w:val="nil"/>
          <w:insideH w:val="nil"/>
          <w:insideV w:val="nil"/>
        </w:tcBorders>
        <w:shd w:val="clear" w:color="auto" w:fill="238F86" w:themeFill="accent5" w:themeFillShade="BF"/>
      </w:tcPr>
    </w:tblStylePr>
    <w:tblStylePr w:type="band1Horz">
      <w:tblPr/>
      <w:tcPr>
        <w:tcBorders>
          <w:top w:val="nil"/>
          <w:left w:val="nil"/>
          <w:bottom w:val="nil"/>
          <w:right w:val="nil"/>
          <w:insideH w:val="nil"/>
          <w:insideV w:val="nil"/>
        </w:tcBorders>
        <w:shd w:val="clear" w:color="auto" w:fill="238F86" w:themeFill="accent5" w:themeFillShade="BF"/>
      </w:tcPr>
    </w:tblStylePr>
  </w:style>
  <w:style w:type="table" w:styleId="116">
    <w:name w:val="Dark List Accent 6"/>
    <w:basedOn w:val="38"/>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54C5E"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41320"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C71C31"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C71C31" w:themeFill="accent6" w:themeFillShade="BF"/>
      </w:tcPr>
    </w:tblStylePr>
    <w:tblStylePr w:type="band1Vert">
      <w:tblPr/>
      <w:tcPr>
        <w:tcBorders>
          <w:top w:val="nil"/>
          <w:left w:val="nil"/>
          <w:bottom w:val="nil"/>
          <w:right w:val="nil"/>
          <w:insideH w:val="nil"/>
          <w:insideV w:val="nil"/>
        </w:tcBorders>
        <w:shd w:val="clear" w:color="auto" w:fill="C71C31" w:themeFill="accent6" w:themeFillShade="BF"/>
      </w:tcPr>
    </w:tblStylePr>
    <w:tblStylePr w:type="band1Horz">
      <w:tblPr/>
      <w:tcPr>
        <w:tcBorders>
          <w:top w:val="nil"/>
          <w:left w:val="nil"/>
          <w:bottom w:val="nil"/>
          <w:right w:val="nil"/>
          <w:insideH w:val="nil"/>
          <w:insideV w:val="nil"/>
        </w:tcBorders>
        <w:shd w:val="clear" w:color="auto" w:fill="C71C31" w:themeFill="accent6" w:themeFillShade="BF"/>
      </w:tcPr>
    </w:tblStylePr>
  </w:style>
  <w:style w:type="table" w:styleId="117">
    <w:name w:val="Colorful Shading"/>
    <w:basedOn w:val="38"/>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38"/>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4874CB" w:themeColor="accent1" w:sz="4" w:space="0"/>
        <w:bottom w:val="single" w:color="4874CB" w:themeColor="accent1" w:sz="4" w:space="0"/>
        <w:right w:val="single" w:color="4874CB"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1F9" w:themeFill="accen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44380"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44380"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44380" w:themeFill="accent1" w:themeFillShade="99"/>
      </w:tcPr>
    </w:tblStylePr>
    <w:tblStylePr w:type="band1Vert">
      <w:tblPr/>
      <w:tcPr>
        <w:shd w:val="clear" w:color="auto" w:fill="B5C7EA" w:themeFill="accent1" w:themeFillTint="66"/>
      </w:tcPr>
    </w:tblStylePr>
    <w:tblStylePr w:type="band1Horz">
      <w:tblPr/>
      <w:tcPr>
        <w:shd w:val="clear" w:color="auto" w:fill="A3B9E5"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38"/>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EE822F" w:themeColor="accent2" w:sz="4" w:space="0"/>
        <w:bottom w:val="single" w:color="EE822F" w:themeColor="accent2" w:sz="4" w:space="0"/>
        <w:right w:val="single" w:color="EE822F"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E4B0C"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E4B0C"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E4B0C" w:themeFill="accent2" w:themeFillShade="99"/>
      </w:tcPr>
    </w:tblStylePr>
    <w:tblStylePr w:type="band1Vert">
      <w:tblPr/>
      <w:tcPr>
        <w:shd w:val="clear" w:color="auto" w:fill="F8CCAB" w:themeFill="accent2" w:themeFillTint="66"/>
      </w:tcPr>
    </w:tblStylePr>
    <w:tblStylePr w:type="band1Horz">
      <w:tblPr/>
      <w:tcPr>
        <w:shd w:val="clear" w:color="auto" w:fill="F6C097"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38"/>
    <w:qFormat/>
    <w:uiPriority w:val="71"/>
    <w:pPr>
      <w:spacing w:after="0" w:line="240" w:lineRule="auto"/>
    </w:pPr>
    <w:rPr>
      <w:color w:val="000000" w:themeColor="text1"/>
      <w14:textFill>
        <w14:solidFill>
          <w14:schemeClr w14:val="tx1"/>
        </w14:solidFill>
      </w14:textFill>
    </w:rPr>
    <w:tblPr>
      <w:tblBorders>
        <w:top w:val="single" w:color="75BD42" w:themeColor="accent4" w:sz="24" w:space="0"/>
        <w:left w:val="single" w:color="F2BA02" w:themeColor="accent3" w:sz="4" w:space="0"/>
        <w:bottom w:val="single" w:color="F2BA02" w:themeColor="accent3" w:sz="4" w:space="0"/>
        <w:right w:val="single" w:color="F2BA02"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8E5" w:themeFill="accent3" w:themeFillTint="19"/>
    </w:tcPr>
    <w:tblStylePr w:type="firstRow">
      <w:rPr>
        <w:b/>
        <w:bCs/>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16F01"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16F01"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16F01" w:themeFill="accent3" w:themeFillShade="99"/>
      </w:tcPr>
    </w:tblStylePr>
    <w:tblStylePr w:type="band1Vert">
      <w:tblPr/>
      <w:tcPr>
        <w:shd w:val="clear" w:color="auto" w:fill="FEE595" w:themeFill="accent3" w:themeFillTint="66"/>
      </w:tcPr>
    </w:tblStylePr>
    <w:tblStylePr w:type="band1Horz">
      <w:tblPr/>
      <w:tcPr>
        <w:shd w:val="clear" w:color="auto" w:fill="FDDF7B" w:themeFill="accent3" w:themeFillTint="7F"/>
      </w:tcPr>
    </w:tblStylePr>
  </w:style>
  <w:style w:type="table" w:styleId="121">
    <w:name w:val="Colorful Shading Accent 4"/>
    <w:basedOn w:val="38"/>
    <w:qFormat/>
    <w:uiPriority w:val="71"/>
    <w:pPr>
      <w:spacing w:after="0" w:line="240" w:lineRule="auto"/>
    </w:pPr>
    <w:rPr>
      <w:color w:val="000000" w:themeColor="text1"/>
      <w14:textFill>
        <w14:solidFill>
          <w14:schemeClr w14:val="tx1"/>
        </w14:solidFill>
      </w14:textFill>
    </w:rPr>
    <w:tblPr>
      <w:tblBorders>
        <w:top w:val="single" w:color="F2BA02" w:themeColor="accent3" w:sz="24" w:space="0"/>
        <w:left w:val="single" w:color="75BD42" w:themeColor="accent4" w:sz="4" w:space="0"/>
        <w:bottom w:val="single" w:color="75BD42" w:themeColor="accent4" w:sz="4" w:space="0"/>
        <w:right w:val="single" w:color="75BD4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1F8EC" w:themeFill="accent4" w:themeFillTint="19"/>
    </w:tcPr>
    <w:tblStylePr w:type="firstRow">
      <w:rPr>
        <w:b/>
        <w:bCs/>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67127"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67127"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67127" w:themeFill="accent4" w:themeFillShade="99"/>
      </w:tcPr>
    </w:tblStylePr>
    <w:tblStylePr w:type="band1Vert">
      <w:tblPr/>
      <w:tcPr>
        <w:shd w:val="clear" w:color="auto" w:fill="C7E4B3" w:themeFill="accent4" w:themeFillTint="66"/>
      </w:tcPr>
    </w:tblStylePr>
    <w:tblStylePr w:type="band1Horz">
      <w:tblPr/>
      <w:tcPr>
        <w:shd w:val="clear" w:color="auto" w:fill="BADEA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38"/>
    <w:qFormat/>
    <w:uiPriority w:val="71"/>
    <w:pPr>
      <w:spacing w:after="0" w:line="240" w:lineRule="auto"/>
    </w:pPr>
    <w:rPr>
      <w:color w:val="000000" w:themeColor="text1"/>
      <w14:textFill>
        <w14:solidFill>
          <w14:schemeClr w14:val="tx1"/>
        </w14:solidFill>
      </w14:textFill>
    </w:rPr>
    <w:tblPr>
      <w:tblBorders>
        <w:top w:val="single" w:color="E54C5E" w:themeColor="accent6" w:sz="24" w:space="0"/>
        <w:left w:val="single" w:color="30C0B4" w:themeColor="accent5" w:sz="4" w:space="0"/>
        <w:bottom w:val="single" w:color="30C0B4" w:themeColor="accent5" w:sz="4" w:space="0"/>
        <w:right w:val="single" w:color="30C0B4"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9F9F8" w:themeFill="accent5" w:themeFillTint="19"/>
    </w:tcPr>
    <w:tblStylePr w:type="firstRow">
      <w:rPr>
        <w:b/>
        <w:bCs/>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1C736B"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1C736B"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1C736B" w:themeFill="accent5" w:themeFillShade="99"/>
      </w:tcPr>
    </w:tblStylePr>
    <w:tblStylePr w:type="band1Vert">
      <w:tblPr/>
      <w:tcPr>
        <w:shd w:val="clear" w:color="auto" w:fill="A8E9E3" w:themeFill="accent5" w:themeFillTint="66"/>
      </w:tcPr>
    </w:tblStylePr>
    <w:tblStylePr w:type="band1Horz">
      <w:tblPr/>
      <w:tcPr>
        <w:shd w:val="clear" w:color="auto" w:fill="93E4DD"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38"/>
    <w:qFormat/>
    <w:uiPriority w:val="71"/>
    <w:pPr>
      <w:spacing w:after="0" w:line="240" w:lineRule="auto"/>
    </w:pPr>
    <w:rPr>
      <w:color w:val="000000" w:themeColor="text1"/>
      <w14:textFill>
        <w14:solidFill>
          <w14:schemeClr w14:val="tx1"/>
        </w14:solidFill>
      </w14:textFill>
    </w:rPr>
    <w:tblPr>
      <w:tblBorders>
        <w:top w:val="single" w:color="30C0B4" w:themeColor="accent5" w:sz="24" w:space="0"/>
        <w:left w:val="single" w:color="E54C5E" w:themeColor="accent6" w:sz="4" w:space="0"/>
        <w:bottom w:val="single" w:color="E54C5E" w:themeColor="accent6" w:sz="4" w:space="0"/>
        <w:right w:val="single" w:color="E54C5E"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CEDEF" w:themeFill="accent6" w:themeFillTint="19"/>
    </w:tcPr>
    <w:tblStylePr w:type="firstRow">
      <w:rPr>
        <w:b/>
        <w:bCs/>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F172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F172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F1727" w:themeFill="accent6" w:themeFillShade="99"/>
      </w:tcPr>
    </w:tblStylePr>
    <w:tblStylePr w:type="band1Vert">
      <w:tblPr/>
      <w:tcPr>
        <w:shd w:val="clear" w:color="auto" w:fill="F4B7BE" w:themeFill="accent6" w:themeFillTint="66"/>
      </w:tcPr>
    </w:tblStylePr>
    <w:tblStylePr w:type="band1Horz">
      <w:tblPr/>
      <w:tcPr>
        <w:shd w:val="clear" w:color="auto" w:fill="F2A5AE"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38"/>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1F9"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CF2" w:themeFill="accent1" w:themeFillTint="3F"/>
      </w:tcPr>
    </w:tblStylePr>
    <w:tblStylePr w:type="band1Horz">
      <w:tblPr/>
      <w:tcPr>
        <w:shd w:val="clear" w:color="auto" w:fill="DAE3F4" w:themeFill="accent1" w:themeFillTint="33"/>
      </w:tcPr>
    </w:tblStylePr>
  </w:style>
  <w:style w:type="table" w:styleId="126">
    <w:name w:val="Colorful List Accent 2"/>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E0CB" w:themeFill="accent2" w:themeFillTint="3F"/>
      </w:tcPr>
    </w:tblStylePr>
    <w:tblStylePr w:type="band1Horz">
      <w:tblPr/>
      <w:tcPr>
        <w:shd w:val="clear" w:color="auto" w:fill="FBE5D5" w:themeFill="accent2" w:themeFillTint="33"/>
      </w:tcPr>
    </w:tblStylePr>
  </w:style>
  <w:style w:type="table" w:styleId="127">
    <w:name w:val="Colorful List Accent 3"/>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8E5"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5D9734" w:themeFill="accent4" w:themeFillShade="CC"/>
      </w:tcPr>
    </w:tblStylePr>
    <w:tblStylePr w:type="lastRow">
      <w:rPr>
        <w:b/>
        <w:bCs/>
        <w:color w:val="5E9735"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FBD" w:themeFill="accent3" w:themeFillTint="3F"/>
      </w:tcPr>
    </w:tblStylePr>
    <w:tblStylePr w:type="band1Horz">
      <w:tblPr/>
      <w:tcPr>
        <w:shd w:val="clear" w:color="auto" w:fill="FEF2CA" w:themeFill="accent3" w:themeFillTint="33"/>
      </w:tcPr>
    </w:tblStylePr>
  </w:style>
  <w:style w:type="table" w:styleId="128">
    <w:name w:val="Colorful List Accent 4"/>
    <w:basedOn w:val="38"/>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1F8EC"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19401" w:themeFill="accent3" w:themeFillShade="CC"/>
      </w:tcPr>
    </w:tblStylePr>
    <w:tblStylePr w:type="lastRow">
      <w:rPr>
        <w:b/>
        <w:bCs/>
        <w:color w:val="C29502"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D0" w:themeFill="accent4" w:themeFillTint="3F"/>
      </w:tcPr>
    </w:tblStylePr>
    <w:tblStylePr w:type="band1Horz">
      <w:tblPr/>
      <w:tcPr>
        <w:shd w:val="clear" w:color="auto" w:fill="E3F1D9" w:themeFill="accent4" w:themeFillTint="33"/>
      </w:tcPr>
    </w:tblStylePr>
  </w:style>
  <w:style w:type="table" w:styleId="129">
    <w:name w:val="Colorful List Accent 5"/>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9F9F8"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51E34" w:themeFill="accent6" w:themeFillShade="CC"/>
      </w:tcPr>
    </w:tblStylePr>
    <w:tblStylePr w:type="lastRow">
      <w:rPr>
        <w:b/>
        <w:bCs/>
        <w:color w:val="D51F34"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1EE" w:themeFill="accent5" w:themeFillTint="3F"/>
      </w:tcPr>
    </w:tblStylePr>
    <w:tblStylePr w:type="band1Horz">
      <w:tblPr/>
      <w:tcPr>
        <w:shd w:val="clear" w:color="auto" w:fill="D3F4F1" w:themeFill="accent5" w:themeFillTint="33"/>
      </w:tcPr>
    </w:tblStylePr>
  </w:style>
  <w:style w:type="table" w:styleId="130">
    <w:name w:val="Colorful List Accent 6"/>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CEDEF"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26998F" w:themeFill="accent5" w:themeFillShade="CC"/>
      </w:tcPr>
    </w:tblStylePr>
    <w:tblStylePr w:type="lastRow">
      <w:rPr>
        <w:b/>
        <w:bCs/>
        <w:color w:val="269A90"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2D7" w:themeFill="accent6" w:themeFillTint="3F"/>
      </w:tcPr>
    </w:tblStylePr>
    <w:tblStylePr w:type="band1Horz">
      <w:tblPr/>
      <w:tcPr>
        <w:shd w:val="clear" w:color="auto" w:fill="F9DBDE" w:themeFill="accent6" w:themeFillTint="33"/>
      </w:tcPr>
    </w:tblStylePr>
  </w:style>
  <w:style w:type="table" w:styleId="131">
    <w:name w:val="Colorful Grid"/>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3F4" w:themeFill="accent1" w:themeFillTint="33"/>
    </w:tcPr>
    <w:tblStylePr w:type="firstRow">
      <w:rPr>
        <w:b/>
        <w:bCs/>
      </w:rPr>
      <w:tblPr/>
      <w:tcPr>
        <w:shd w:val="clear" w:color="auto" w:fill="B5C7EA" w:themeFill="accent1" w:themeFillTint="66"/>
      </w:tcPr>
    </w:tblStylePr>
    <w:tblStylePr w:type="lastRow">
      <w:rPr>
        <w:b/>
        <w:bCs/>
        <w:color w:val="000000" w:themeColor="text1"/>
        <w14:textFill>
          <w14:solidFill>
            <w14:schemeClr w14:val="tx1"/>
          </w14:solidFill>
        </w14:textFill>
      </w:rPr>
      <w:tblPr/>
      <w:tcPr>
        <w:shd w:val="clear" w:color="auto" w:fill="B5C7EA" w:themeFill="accent1" w:themeFillTint="66"/>
      </w:tcPr>
    </w:tblStylePr>
    <w:tblStylePr w:type="firstCol">
      <w:rPr>
        <w:color w:val="FFFFFF" w:themeColor="background1"/>
        <w14:textFill>
          <w14:solidFill>
            <w14:schemeClr w14:val="bg1"/>
          </w14:solidFill>
        </w14:textFill>
      </w:rPr>
      <w:tblPr/>
      <w:tcPr>
        <w:shd w:val="clear" w:color="auto" w:fill="2D54A0" w:themeFill="accent1" w:themeFillShade="BF"/>
      </w:tcPr>
    </w:tblStylePr>
    <w:tblStylePr w:type="lastCol">
      <w:rPr>
        <w:color w:val="FFFFFF" w:themeColor="background1"/>
        <w14:textFill>
          <w14:solidFill>
            <w14:schemeClr w14:val="bg1"/>
          </w14:solidFill>
        </w14:textFill>
      </w:rPr>
      <w:tblPr/>
      <w:tcPr>
        <w:shd w:val="clear" w:color="auto" w:fill="2D54A0" w:themeFill="accent1" w:themeFillShade="BF"/>
      </w:tc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133">
    <w:name w:val="Colorful Grid Accent 2"/>
    <w:basedOn w:val="38"/>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BE5D5" w:themeFill="accent2" w:themeFillTint="33"/>
    </w:tcPr>
    <w:tblStylePr w:type="firstRow">
      <w:rPr>
        <w:b/>
        <w:bCs/>
      </w:rPr>
      <w:tblPr/>
      <w:tcPr>
        <w:shd w:val="clear" w:color="auto" w:fill="F8CCAB" w:themeFill="accent2" w:themeFillTint="66"/>
      </w:tcPr>
    </w:tblStylePr>
    <w:tblStylePr w:type="lastRow">
      <w:rPr>
        <w:b/>
        <w:bCs/>
        <w:color w:val="000000" w:themeColor="text1"/>
        <w14:textFill>
          <w14:solidFill>
            <w14:schemeClr w14:val="tx1"/>
          </w14:solidFill>
        </w14:textFill>
      </w:rPr>
      <w:tblPr/>
      <w:tcPr>
        <w:shd w:val="clear" w:color="auto" w:fill="F8CCAB" w:themeFill="accent2" w:themeFillTint="66"/>
      </w:tcPr>
    </w:tblStylePr>
    <w:tblStylePr w:type="firstCol">
      <w:rPr>
        <w:color w:val="FFFFFF" w:themeColor="background1"/>
        <w14:textFill>
          <w14:solidFill>
            <w14:schemeClr w14:val="bg1"/>
          </w14:solidFill>
        </w14:textFill>
      </w:rPr>
      <w:tblPr/>
      <w:tcPr>
        <w:shd w:val="clear" w:color="auto" w:fill="C55E10" w:themeFill="accent2" w:themeFillShade="BF"/>
      </w:tcPr>
    </w:tblStylePr>
    <w:tblStylePr w:type="lastCol">
      <w:rPr>
        <w:color w:val="FFFFFF" w:themeColor="background1"/>
        <w14:textFill>
          <w14:solidFill>
            <w14:schemeClr w14:val="bg1"/>
          </w14:solidFill>
        </w14:textFill>
      </w:rPr>
      <w:tblPr/>
      <w:tcPr>
        <w:shd w:val="clear" w:color="auto" w:fill="C55E10" w:themeFill="accent2" w:themeFillShade="BF"/>
      </w:tc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134">
    <w:name w:val="Colorful Grid Accent 3"/>
    <w:basedOn w:val="38"/>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EF2CA" w:themeFill="accent3" w:themeFillTint="33"/>
    </w:tcPr>
    <w:tblStylePr w:type="firstRow">
      <w:rPr>
        <w:b/>
        <w:bCs/>
      </w:rPr>
      <w:tblPr/>
      <w:tcPr>
        <w:shd w:val="clear" w:color="auto" w:fill="FEE595" w:themeFill="accent3" w:themeFillTint="66"/>
      </w:tcPr>
    </w:tblStylePr>
    <w:tblStylePr w:type="lastRow">
      <w:rPr>
        <w:b/>
        <w:bCs/>
        <w:color w:val="000000" w:themeColor="text1"/>
        <w14:textFill>
          <w14:solidFill>
            <w14:schemeClr w14:val="tx1"/>
          </w14:solidFill>
        </w14:textFill>
      </w:rPr>
      <w:tblPr/>
      <w:tcPr>
        <w:shd w:val="clear" w:color="auto" w:fill="FEE595" w:themeFill="accent3" w:themeFillTint="66"/>
      </w:tcPr>
    </w:tblStylePr>
    <w:tblStylePr w:type="firstCol">
      <w:rPr>
        <w:color w:val="FFFFFF" w:themeColor="background1"/>
        <w14:textFill>
          <w14:solidFill>
            <w14:schemeClr w14:val="bg1"/>
          </w14:solidFill>
        </w14:textFill>
      </w:rPr>
      <w:tblPr/>
      <w:tcPr>
        <w:shd w:val="clear" w:color="auto" w:fill="B58B01" w:themeFill="accent3" w:themeFillShade="BF"/>
      </w:tcPr>
    </w:tblStylePr>
    <w:tblStylePr w:type="lastCol">
      <w:rPr>
        <w:color w:val="FFFFFF" w:themeColor="background1"/>
        <w14:textFill>
          <w14:solidFill>
            <w14:schemeClr w14:val="bg1"/>
          </w14:solidFill>
        </w14:textFill>
      </w:rPr>
      <w:tblPr/>
      <w:tcPr>
        <w:shd w:val="clear" w:color="auto" w:fill="B58B01" w:themeFill="accent3" w:themeFillShade="BF"/>
      </w:tc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135">
    <w:name w:val="Colorful Grid Accent 4"/>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3F1D9" w:themeFill="accent4" w:themeFillTint="33"/>
    </w:tcPr>
    <w:tblStylePr w:type="firstRow">
      <w:rPr>
        <w:b/>
        <w:bCs/>
      </w:rPr>
      <w:tblPr/>
      <w:tcPr>
        <w:shd w:val="clear" w:color="auto" w:fill="C7E4B3" w:themeFill="accent4" w:themeFillTint="66"/>
      </w:tcPr>
    </w:tblStylePr>
    <w:tblStylePr w:type="lastRow">
      <w:rPr>
        <w:b/>
        <w:bCs/>
        <w:color w:val="000000" w:themeColor="text1"/>
        <w14:textFill>
          <w14:solidFill>
            <w14:schemeClr w14:val="tx1"/>
          </w14:solidFill>
        </w14:textFill>
      </w:rPr>
      <w:tblPr/>
      <w:tcPr>
        <w:shd w:val="clear" w:color="auto" w:fill="C7E4B3" w:themeFill="accent4" w:themeFillTint="66"/>
      </w:tcPr>
    </w:tblStylePr>
    <w:tblStylePr w:type="firstCol">
      <w:rPr>
        <w:color w:val="FFFFFF" w:themeColor="background1"/>
        <w14:textFill>
          <w14:solidFill>
            <w14:schemeClr w14:val="bg1"/>
          </w14:solidFill>
        </w14:textFill>
      </w:rPr>
      <w:tblPr/>
      <w:tcPr>
        <w:shd w:val="clear" w:color="auto" w:fill="578D31" w:themeFill="accent4" w:themeFillShade="BF"/>
      </w:tcPr>
    </w:tblStylePr>
    <w:tblStylePr w:type="lastCol">
      <w:rPr>
        <w:color w:val="FFFFFF" w:themeColor="background1"/>
        <w14:textFill>
          <w14:solidFill>
            <w14:schemeClr w14:val="bg1"/>
          </w14:solidFill>
        </w14:textFill>
      </w:rPr>
      <w:tblPr/>
      <w:tcPr>
        <w:shd w:val="clear" w:color="auto" w:fill="578D31" w:themeFill="accent4" w:themeFillShade="BF"/>
      </w:tc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136">
    <w:name w:val="Colorful Grid Accent 5"/>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3F4F1" w:themeFill="accent5" w:themeFillTint="33"/>
    </w:tcPr>
    <w:tblStylePr w:type="firstRow">
      <w:rPr>
        <w:b/>
        <w:bCs/>
      </w:rPr>
      <w:tblPr/>
      <w:tcPr>
        <w:shd w:val="clear" w:color="auto" w:fill="A8E9E3" w:themeFill="accent5" w:themeFillTint="66"/>
      </w:tcPr>
    </w:tblStylePr>
    <w:tblStylePr w:type="lastRow">
      <w:rPr>
        <w:b/>
        <w:bCs/>
        <w:color w:val="000000" w:themeColor="text1"/>
        <w14:textFill>
          <w14:solidFill>
            <w14:schemeClr w14:val="tx1"/>
          </w14:solidFill>
        </w14:textFill>
      </w:rPr>
      <w:tblPr/>
      <w:tcPr>
        <w:shd w:val="clear" w:color="auto" w:fill="A8E9E3" w:themeFill="accent5" w:themeFillTint="66"/>
      </w:tcPr>
    </w:tblStylePr>
    <w:tblStylePr w:type="firstCol">
      <w:rPr>
        <w:color w:val="FFFFFF" w:themeColor="background1"/>
        <w14:textFill>
          <w14:solidFill>
            <w14:schemeClr w14:val="bg1"/>
          </w14:solidFill>
        </w14:textFill>
      </w:rPr>
      <w:tblPr/>
      <w:tcPr>
        <w:shd w:val="clear" w:color="auto" w:fill="238F86" w:themeFill="accent5" w:themeFillShade="BF"/>
      </w:tcPr>
    </w:tblStylePr>
    <w:tblStylePr w:type="lastCol">
      <w:rPr>
        <w:color w:val="FFFFFF" w:themeColor="background1"/>
        <w14:textFill>
          <w14:solidFill>
            <w14:schemeClr w14:val="bg1"/>
          </w14:solidFill>
        </w14:textFill>
      </w:rPr>
      <w:tblPr/>
      <w:tcPr>
        <w:shd w:val="clear" w:color="auto" w:fill="238F86" w:themeFill="accent5" w:themeFillShade="BF"/>
      </w:tc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137">
    <w:name w:val="Colorful Grid Accent 6"/>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9DBDE" w:themeFill="accent6" w:themeFillTint="33"/>
    </w:tcPr>
    <w:tblStylePr w:type="firstRow">
      <w:rPr>
        <w:b/>
        <w:bCs/>
      </w:rPr>
      <w:tblPr/>
      <w:tcPr>
        <w:shd w:val="clear" w:color="auto" w:fill="F4B7BE" w:themeFill="accent6" w:themeFillTint="66"/>
      </w:tcPr>
    </w:tblStylePr>
    <w:tblStylePr w:type="lastRow">
      <w:rPr>
        <w:b/>
        <w:bCs/>
        <w:color w:val="000000" w:themeColor="text1"/>
        <w14:textFill>
          <w14:solidFill>
            <w14:schemeClr w14:val="tx1"/>
          </w14:solidFill>
        </w14:textFill>
      </w:rPr>
      <w:tblPr/>
      <w:tcPr>
        <w:shd w:val="clear" w:color="auto" w:fill="F4B7BE" w:themeFill="accent6" w:themeFillTint="66"/>
      </w:tcPr>
    </w:tblStylePr>
    <w:tblStylePr w:type="firstCol">
      <w:rPr>
        <w:color w:val="FFFFFF" w:themeColor="background1"/>
        <w14:textFill>
          <w14:solidFill>
            <w14:schemeClr w14:val="bg1"/>
          </w14:solidFill>
        </w14:textFill>
      </w:rPr>
      <w:tblPr/>
      <w:tcPr>
        <w:shd w:val="clear" w:color="auto" w:fill="C71C31" w:themeFill="accent6" w:themeFillShade="BF"/>
      </w:tcPr>
    </w:tblStylePr>
    <w:tblStylePr w:type="lastCol">
      <w:rPr>
        <w:color w:val="FFFFFF" w:themeColor="background1"/>
        <w14:textFill>
          <w14:solidFill>
            <w14:schemeClr w14:val="bg1"/>
          </w14:solidFill>
        </w14:textFill>
      </w:rPr>
      <w:tblPr/>
      <w:tcPr>
        <w:shd w:val="clear" w:color="auto" w:fill="C71C31" w:themeFill="accent6" w:themeFillShade="BF"/>
      </w:tc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character" w:styleId="139">
    <w:name w:val="Strong"/>
    <w:basedOn w:val="138"/>
    <w:qFormat/>
    <w:uiPriority w:val="22"/>
    <w:rPr>
      <w:b/>
      <w:bCs/>
    </w:rPr>
  </w:style>
  <w:style w:type="character" w:styleId="140">
    <w:name w:val="Emphasis"/>
    <w:basedOn w:val="138"/>
    <w:qFormat/>
    <w:uiPriority w:val="20"/>
    <w:rPr>
      <w:i/>
      <w:iCs/>
    </w:rPr>
  </w:style>
  <w:style w:type="character" w:styleId="141">
    <w:name w:val="HTML Code"/>
    <w:basedOn w:val="138"/>
    <w:semiHidden/>
    <w:unhideWhenUsed/>
    <w:qFormat/>
    <w:uiPriority w:val="99"/>
    <w:rPr>
      <w:rFonts w:ascii="Courier New" w:hAnsi="Courier New"/>
      <w:sz w:val="20"/>
    </w:rPr>
  </w:style>
  <w:style w:type="character" w:customStyle="1" w:styleId="142">
    <w:name w:val="Header Char"/>
    <w:basedOn w:val="138"/>
    <w:link w:val="26"/>
    <w:qFormat/>
    <w:uiPriority w:val="99"/>
  </w:style>
  <w:style w:type="character" w:customStyle="1" w:styleId="143">
    <w:name w:val="Footer Char"/>
    <w:basedOn w:val="138"/>
    <w:link w:val="25"/>
    <w:qFormat/>
    <w:uiPriority w:val="99"/>
  </w:style>
  <w:style w:type="paragraph" w:styleId="144">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5">
    <w:name w:val="Heading 1 Char"/>
    <w:basedOn w:val="138"/>
    <w:link w:val="3"/>
    <w:qFormat/>
    <w:uiPriority w:val="9"/>
    <w:rPr>
      <w:rFonts w:ascii="Times New Roman" w:hAnsi="Times New Roman" w:eastAsia="黑体" w:cs="Times New Roman"/>
      <w:color w:val="000000"/>
      <w:kern w:val="44"/>
      <w:sz w:val="32"/>
      <w:szCs w:val="44"/>
      <w:lang w:bidi="ar-SA"/>
    </w:rPr>
  </w:style>
  <w:style w:type="character" w:customStyle="1" w:styleId="146">
    <w:name w:val="Heading 2 Char"/>
    <w:basedOn w:val="138"/>
    <w:qFormat/>
    <w:uiPriority w:val="9"/>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customStyle="1" w:styleId="147">
    <w:name w:val="Heading 3 Char"/>
    <w:basedOn w:val="138"/>
    <w:qFormat/>
    <w:uiPriority w:val="9"/>
    <w:rPr>
      <w:rFonts w:asciiTheme="majorHAnsi" w:hAnsiTheme="majorHAnsi" w:eastAsiaTheme="majorEastAsia" w:cstheme="majorBidi"/>
      <w:b/>
      <w:bCs/>
      <w:color w:val="4874CB" w:themeColor="accent1"/>
      <w14:textFill>
        <w14:solidFill>
          <w14:schemeClr w14:val="accent1"/>
        </w14:solidFill>
      </w14:textFill>
    </w:rPr>
  </w:style>
  <w:style w:type="character" w:customStyle="1" w:styleId="148">
    <w:name w:val="Title Char"/>
    <w:basedOn w:val="138"/>
    <w:qFormat/>
    <w:uiPriority w:val="10"/>
    <w:rPr>
      <w:rFonts w:asciiTheme="majorHAnsi" w:hAnsiTheme="majorHAnsi" w:eastAsiaTheme="majorEastAsia" w:cstheme="majorBidi"/>
      <w:color w:val="333F50" w:themeColor="text2" w:themeShade="BF"/>
      <w:spacing w:val="5"/>
      <w:kern w:val="28"/>
      <w:sz w:val="52"/>
      <w:szCs w:val="52"/>
    </w:rPr>
  </w:style>
  <w:style w:type="character" w:customStyle="1" w:styleId="149">
    <w:name w:val="Subtitle Char"/>
    <w:basedOn w:val="138"/>
    <w:qFormat/>
    <w:uiPriority w:val="11"/>
    <w:rPr>
      <w:rFonts w:asciiTheme="majorHAnsi" w:hAnsiTheme="majorHAnsi" w:eastAsiaTheme="majorEastAsia" w:cstheme="majorBidi"/>
      <w:i/>
      <w:iCs/>
      <w:color w:val="4874CB" w:themeColor="accent1"/>
      <w:spacing w:val="15"/>
      <w:sz w:val="24"/>
      <w:szCs w:val="24"/>
      <w14:textFill>
        <w14:solidFill>
          <w14:schemeClr w14:val="accent1"/>
        </w14:solidFill>
      </w14:textFill>
    </w:rPr>
  </w:style>
  <w:style w:type="paragraph" w:styleId="150">
    <w:name w:val="List Paragraph"/>
    <w:basedOn w:val="1"/>
    <w:qFormat/>
    <w:uiPriority w:val="34"/>
    <w:pPr>
      <w:ind w:left="720"/>
      <w:contextualSpacing/>
    </w:pPr>
  </w:style>
  <w:style w:type="character" w:customStyle="1" w:styleId="151">
    <w:name w:val="Body Text Char"/>
    <w:basedOn w:val="138"/>
    <w:qFormat/>
    <w:uiPriority w:val="99"/>
  </w:style>
  <w:style w:type="character" w:customStyle="1" w:styleId="152">
    <w:name w:val="Body Text 2 Char"/>
    <w:basedOn w:val="138"/>
    <w:link w:val="32"/>
    <w:qFormat/>
    <w:uiPriority w:val="99"/>
  </w:style>
  <w:style w:type="character" w:customStyle="1" w:styleId="153">
    <w:name w:val="Body Text 3 Char"/>
    <w:basedOn w:val="138"/>
    <w:link w:val="17"/>
    <w:qFormat/>
    <w:uiPriority w:val="99"/>
    <w:rPr>
      <w:sz w:val="16"/>
      <w:szCs w:val="16"/>
    </w:rPr>
  </w:style>
  <w:style w:type="character" w:customStyle="1" w:styleId="154">
    <w:name w:val="Macro Text Char"/>
    <w:basedOn w:val="138"/>
    <w:link w:val="2"/>
    <w:qFormat/>
    <w:uiPriority w:val="99"/>
    <w:rPr>
      <w:rFonts w:ascii="Courier" w:hAnsi="Courier" w:eastAsiaTheme="minorEastAsia" w:cstheme="minorBidi"/>
      <w:sz w:val="20"/>
      <w:szCs w:val="20"/>
      <w:lang w:val="en-US" w:eastAsia="en-US" w:bidi="ar-SA"/>
    </w:rPr>
  </w:style>
  <w:style w:type="paragraph" w:styleId="155">
    <w:name w:val="Quote"/>
    <w:basedOn w:val="1"/>
    <w:next w:val="1"/>
    <w:link w:val="156"/>
    <w:qFormat/>
    <w:uiPriority w:val="29"/>
    <w:rPr>
      <w:i/>
      <w:iCs/>
      <w:color w:val="000000" w:themeColor="text1"/>
      <w14:textFill>
        <w14:solidFill>
          <w14:schemeClr w14:val="tx1"/>
        </w14:solidFill>
      </w14:textFill>
    </w:rPr>
  </w:style>
  <w:style w:type="character" w:customStyle="1" w:styleId="156">
    <w:name w:val="Quote Char"/>
    <w:basedOn w:val="138"/>
    <w:link w:val="155"/>
    <w:qFormat/>
    <w:uiPriority w:val="29"/>
    <w:rPr>
      <w:i/>
      <w:iCs/>
      <w:color w:val="000000" w:themeColor="text1"/>
      <w14:textFill>
        <w14:solidFill>
          <w14:schemeClr w14:val="tx1"/>
        </w14:solidFill>
      </w14:textFill>
    </w:rPr>
  </w:style>
  <w:style w:type="character" w:customStyle="1" w:styleId="157">
    <w:name w:val="Heading 4 Char"/>
    <w:basedOn w:val="138"/>
    <w:link w:val="6"/>
    <w:semiHidden/>
    <w:qFormat/>
    <w:uiPriority w:val="9"/>
    <w:rPr>
      <w:rFonts w:ascii="Times New Roman" w:hAnsi="Times New Roman" w:eastAsia="黑体" w:cs="Times New Roman"/>
      <w:bCs/>
      <w:kern w:val="2"/>
      <w:sz w:val="28"/>
      <w:szCs w:val="28"/>
      <w:lang w:bidi="ar-SA"/>
    </w:rPr>
  </w:style>
  <w:style w:type="character" w:customStyle="1" w:styleId="158">
    <w:name w:val="Heading 5 Char"/>
    <w:basedOn w:val="138"/>
    <w:link w:val="7"/>
    <w:semiHidden/>
    <w:qFormat/>
    <w:uiPriority w:val="9"/>
    <w:rPr>
      <w:rFonts w:ascii="Times New Roman" w:hAnsi="Times New Roman" w:eastAsia="黑体" w:cs="Times New Roman"/>
      <w:bCs/>
      <w:kern w:val="2"/>
      <w:sz w:val="28"/>
      <w:szCs w:val="28"/>
      <w:lang w:bidi="ar-SA"/>
    </w:rPr>
  </w:style>
  <w:style w:type="character" w:customStyle="1" w:styleId="159">
    <w:name w:val="Heading 6 Char"/>
    <w:basedOn w:val="138"/>
    <w:link w:val="8"/>
    <w:semiHidden/>
    <w:qFormat/>
    <w:uiPriority w:val="9"/>
    <w:rPr>
      <w:rFonts w:ascii="Times New Roman" w:hAnsi="Times New Roman" w:eastAsia="黑体" w:cs="Times New Roman"/>
      <w:bCs/>
      <w:kern w:val="2"/>
      <w:sz w:val="28"/>
      <w:szCs w:val="24"/>
      <w:lang w:bidi="ar-SA"/>
    </w:rPr>
  </w:style>
  <w:style w:type="character" w:customStyle="1" w:styleId="160">
    <w:name w:val="Heading 7 Char"/>
    <w:basedOn w:val="138"/>
    <w:link w:val="9"/>
    <w:semiHidden/>
    <w:qFormat/>
    <w:uiPriority w:val="9"/>
    <w:rPr>
      <w:rFonts w:ascii="Times New Roman" w:hAnsi="Times New Roman" w:eastAsia="黑体" w:cs="Times New Roman"/>
      <w:bCs/>
      <w:kern w:val="2"/>
      <w:sz w:val="24"/>
      <w:szCs w:val="24"/>
      <w:lang w:bidi="ar-SA"/>
    </w:rPr>
  </w:style>
  <w:style w:type="character" w:customStyle="1" w:styleId="161">
    <w:name w:val="Heading 8 Char"/>
    <w:basedOn w:val="138"/>
    <w:link w:val="10"/>
    <w:semiHidden/>
    <w:qFormat/>
    <w:uiPriority w:val="9"/>
    <w:rPr>
      <w:rFonts w:ascii="Times New Roman" w:hAnsi="Times New Roman" w:eastAsia="黑体" w:cs="Times New Roman"/>
      <w:kern w:val="2"/>
      <w:sz w:val="24"/>
      <w:szCs w:val="24"/>
      <w:lang w:bidi="ar-SA"/>
    </w:rPr>
  </w:style>
  <w:style w:type="character" w:customStyle="1" w:styleId="162">
    <w:name w:val="Heading 9 Char"/>
    <w:basedOn w:val="138"/>
    <w:link w:val="11"/>
    <w:semiHidden/>
    <w:qFormat/>
    <w:uiPriority w:val="9"/>
    <w:rPr>
      <w:rFonts w:ascii="Times New Roman" w:hAnsi="Times New Roman" w:eastAsia="黑体" w:cs="Times New Roman"/>
      <w:kern w:val="2"/>
      <w:sz w:val="21"/>
      <w:szCs w:val="21"/>
      <w:lang w:bidi="ar-SA"/>
    </w:rPr>
  </w:style>
  <w:style w:type="paragraph" w:styleId="163">
    <w:name w:val="Intense Quote"/>
    <w:basedOn w:val="1"/>
    <w:next w:val="1"/>
    <w:link w:val="164"/>
    <w:qFormat/>
    <w:uiPriority w:val="30"/>
    <w:pPr>
      <w:pBdr>
        <w:bottom w:val="single" w:color="4874CB" w:themeColor="accent1" w:sz="4" w:space="4"/>
      </w:pBdr>
      <w:spacing w:before="200" w:after="280"/>
      <w:ind w:left="936" w:right="936"/>
    </w:pPr>
    <w:rPr>
      <w:b/>
      <w:bCs/>
      <w:i/>
      <w:iCs/>
      <w:color w:val="4874CB" w:themeColor="accent1"/>
      <w14:textFill>
        <w14:solidFill>
          <w14:schemeClr w14:val="accent1"/>
        </w14:solidFill>
      </w14:textFill>
    </w:rPr>
  </w:style>
  <w:style w:type="character" w:customStyle="1" w:styleId="164">
    <w:name w:val="Intense Quote Char"/>
    <w:basedOn w:val="138"/>
    <w:link w:val="163"/>
    <w:qFormat/>
    <w:uiPriority w:val="30"/>
    <w:rPr>
      <w:b/>
      <w:bCs/>
      <w:i/>
      <w:iCs/>
      <w:color w:val="4874CB" w:themeColor="accent1"/>
      <w14:textFill>
        <w14:solidFill>
          <w14:schemeClr w14:val="accent1"/>
        </w14:solidFill>
      </w14:textFill>
    </w:rPr>
  </w:style>
  <w:style w:type="character" w:customStyle="1" w:styleId="165">
    <w:name w:val="Subtle Emphasis"/>
    <w:basedOn w:val="138"/>
    <w:qFormat/>
    <w:uiPriority w:val="19"/>
    <w:rPr>
      <w:i/>
      <w:iCs/>
      <w:color w:val="808080" w:themeColor="text1" w:themeTint="80"/>
      <w14:textFill>
        <w14:solidFill>
          <w14:schemeClr w14:val="tx1">
            <w14:lumMod w14:val="50000"/>
            <w14:lumOff w14:val="50000"/>
          </w14:schemeClr>
        </w14:solidFill>
      </w14:textFill>
    </w:rPr>
  </w:style>
  <w:style w:type="character" w:customStyle="1" w:styleId="166">
    <w:name w:val="Intense Emphasis"/>
    <w:basedOn w:val="138"/>
    <w:qFormat/>
    <w:uiPriority w:val="21"/>
    <w:rPr>
      <w:b/>
      <w:bCs/>
      <w:i/>
      <w:iCs/>
      <w:color w:val="4874CB" w:themeColor="accent1"/>
      <w14:textFill>
        <w14:solidFill>
          <w14:schemeClr w14:val="accent1"/>
        </w14:solidFill>
      </w14:textFill>
    </w:rPr>
  </w:style>
  <w:style w:type="character" w:customStyle="1" w:styleId="167">
    <w:name w:val="Subtle Reference"/>
    <w:basedOn w:val="138"/>
    <w:qFormat/>
    <w:uiPriority w:val="31"/>
    <w:rPr>
      <w:smallCaps/>
      <w:color w:val="EE822F" w:themeColor="accent2"/>
      <w:u w:val="single"/>
      <w14:textFill>
        <w14:solidFill>
          <w14:schemeClr w14:val="accent2"/>
        </w14:solidFill>
      </w14:textFill>
    </w:rPr>
  </w:style>
  <w:style w:type="character" w:customStyle="1" w:styleId="168">
    <w:name w:val="Intense Reference"/>
    <w:basedOn w:val="138"/>
    <w:qFormat/>
    <w:uiPriority w:val="32"/>
    <w:rPr>
      <w:b/>
      <w:bCs/>
      <w:smallCaps/>
      <w:color w:val="EE822F" w:themeColor="accent2"/>
      <w:spacing w:val="5"/>
      <w:u w:val="single"/>
      <w14:textFill>
        <w14:solidFill>
          <w14:schemeClr w14:val="accent2"/>
        </w14:solidFill>
      </w14:textFill>
    </w:rPr>
  </w:style>
  <w:style w:type="character" w:customStyle="1" w:styleId="169">
    <w:name w:val="Book Title"/>
    <w:basedOn w:val="138"/>
    <w:qFormat/>
    <w:uiPriority w:val="33"/>
    <w:rPr>
      <w:b/>
      <w:bCs/>
      <w:smallCaps/>
      <w:spacing w:val="5"/>
    </w:rPr>
  </w:style>
  <w:style w:type="paragraph" w:customStyle="1" w:styleId="170">
    <w:name w:val="TOC Heading"/>
    <w:basedOn w:val="3"/>
    <w:next w:val="1"/>
    <w:semiHidden/>
    <w:unhideWhenUsed/>
    <w:qFormat/>
    <w:uiPriority w:val="39"/>
    <w:pPr>
      <w:outlineLvl w:val="9"/>
    </w:pPr>
  </w:style>
  <w:style w:type="paragraph" w:customStyle="1" w:styleId="171">
    <w:name w:val="附录标题"/>
    <w:next w:val="1"/>
    <w:qFormat/>
    <w:uiPriority w:val="0"/>
    <w:pPr>
      <w:widowControl w:val="0"/>
      <w:adjustRightInd w:val="0"/>
      <w:spacing w:before="100" w:after="100" w:line="360" w:lineRule="auto"/>
      <w:jc w:val="both"/>
      <w:outlineLvl w:val="0"/>
    </w:pPr>
    <w:rPr>
      <w:rFonts w:ascii="Times New Roman" w:hAnsi="Times New Roman" w:eastAsia="宋体" w:cs="Times New Roman"/>
    </w:rPr>
  </w:style>
  <w:style w:type="paragraph" w:customStyle="1" w:styleId="172">
    <w:name w:val="内容块-06-h"/>
    <w:basedOn w:val="1"/>
    <w:next w:val="1"/>
    <w:qFormat/>
    <w:uiPriority w:val="0"/>
    <w:pPr>
      <w:pBdr>
        <w:left w:val="single" w:color="E54C5E" w:themeColor="accent6" w:sz="12" w:space="10"/>
      </w:pBdr>
      <w:ind w:left="227"/>
      <w:textAlignment w:val="center"/>
    </w:pPr>
    <w:rPr>
      <w:rFonts w:asciiTheme="minorEastAsia" w:hAnsiTheme="minorEastAsia"/>
      <w:color w:val="595959" w:themeColor="text1" w:themeTint="A6"/>
      <w:szCs w:val="21"/>
      <w14:textFill>
        <w14:solidFill>
          <w14:schemeClr w14:val="tx1">
            <w14:lumMod w14:val="65000"/>
            <w14:lumOff w14:val="35000"/>
          </w14:schemeClr>
        </w14:solidFill>
      </w14:textFill>
    </w:rPr>
  </w:style>
  <w:style w:type="character" w:customStyle="1" w:styleId="173">
    <w:name w:val="页眉 字符"/>
    <w:link w:val="26"/>
    <w:qFormat/>
    <w:uiPriority w:val="0"/>
  </w:style>
  <w:style w:type="character" w:customStyle="1" w:styleId="174">
    <w:name w:val="页脚 字符"/>
    <w:link w:val="25"/>
    <w:qFormat/>
    <w:uiPriority w:val="0"/>
  </w:style>
  <w:style w:type="paragraph" w:customStyle="1" w:styleId="175">
    <w:name w:val="内容块-13-h"/>
    <w:basedOn w:val="1"/>
    <w:next w:val="1"/>
    <w:qFormat/>
    <w:uiPriority w:val="0"/>
    <w:pPr>
      <w:pBdr>
        <w:top w:val="single" w:color="F2A5AE" w:themeColor="accent6" w:themeTint="7F" w:sz="4" w:space="10"/>
        <w:left w:val="single" w:color="F2A5AE" w:themeColor="accent6" w:themeTint="7F" w:sz="4" w:space="17"/>
        <w:bottom w:val="single" w:color="F2A5AE" w:themeColor="accent6" w:themeTint="7F" w:sz="4" w:space="10"/>
        <w:right w:val="single" w:color="F2A5AE" w:themeColor="accent6" w:themeTint="7F" w:sz="4" w:space="17"/>
      </w:pBdr>
      <w:shd w:val="clear" w:color="auto" w:fill="FDF6F7" w:themeFill="accent6" w:themeFillTint="0C"/>
      <w:ind w:left="363" w:right="363"/>
      <w:textAlignment w:val="center"/>
    </w:pPr>
    <w:rPr>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7" Type="http://schemas.openxmlformats.org/officeDocument/2006/relationships/fontTable" Target="fontTable.xml"/><Relationship Id="rId56" Type="http://schemas.openxmlformats.org/officeDocument/2006/relationships/customXml" Target="../customXml/item2.xml"/><Relationship Id="rId55" Type="http://schemas.openxmlformats.org/officeDocument/2006/relationships/numbering" Target="numbering.xml"/><Relationship Id="rId54" Type="http://schemas.openxmlformats.org/officeDocument/2006/relationships/customXml" Target="../customXml/item1.xml"/><Relationship Id="rId53" Type="http://schemas.openxmlformats.org/officeDocument/2006/relationships/image" Target="media/image42.png"/><Relationship Id="rId52" Type="http://schemas.openxmlformats.org/officeDocument/2006/relationships/image" Target="media/image41.png"/><Relationship Id="rId51" Type="http://schemas.openxmlformats.org/officeDocument/2006/relationships/image" Target="media/image40.png"/><Relationship Id="rId50" Type="http://schemas.openxmlformats.org/officeDocument/2006/relationships/image" Target="media/image39.png"/><Relationship Id="rId5" Type="http://schemas.openxmlformats.org/officeDocument/2006/relationships/header" Target="header1.xml"/><Relationship Id="rId49" Type="http://schemas.openxmlformats.org/officeDocument/2006/relationships/image" Target="media/image38.png"/><Relationship Id="rId48" Type="http://schemas.openxmlformats.org/officeDocument/2006/relationships/image" Target="media/image37.png"/><Relationship Id="rId47" Type="http://schemas.openxmlformats.org/officeDocument/2006/relationships/image" Target="media/image36.png"/><Relationship Id="rId46" Type="http://schemas.openxmlformats.org/officeDocument/2006/relationships/image" Target="media/image35.png"/><Relationship Id="rId45" Type="http://schemas.openxmlformats.org/officeDocument/2006/relationships/image" Target="media/image34.png"/><Relationship Id="rId44" Type="http://schemas.openxmlformats.org/officeDocument/2006/relationships/image" Target="media/image33.png"/><Relationship Id="rId43" Type="http://schemas.openxmlformats.org/officeDocument/2006/relationships/image" Target="media/image32.png"/><Relationship Id="rId42" Type="http://schemas.openxmlformats.org/officeDocument/2006/relationships/image" Target="media/image31.png"/><Relationship Id="rId41" Type="http://schemas.openxmlformats.org/officeDocument/2006/relationships/image" Target="media/image30.png"/><Relationship Id="rId40" Type="http://schemas.openxmlformats.org/officeDocument/2006/relationships/image" Target="media/image29.png"/><Relationship Id="rId4" Type="http://schemas.openxmlformats.org/officeDocument/2006/relationships/endnotes" Target="endnotes.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185</Pages>
  <Words>190</Words>
  <Characters>242</Characters>
  <Lines>0</Lines>
  <Paragraphs>0</Paragraphs>
  <TotalTime>536</TotalTime>
  <ScaleCrop>false</ScaleCrop>
  <LinksUpToDate>false</LinksUpToDate>
  <CharactersWithSpaces>251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v2.1.0 格式与结构修复版（基于 v2.0.0）</dc:description>
  <cp:lastModifiedBy>王亮</cp:lastModifiedBy>
  <dcterms:modified xsi:type="dcterms:W3CDTF">2026-09-17T02:19:34Z</dcterms:modified>
  <cp:revision>1</cp:revision>
  <cp:version>2.1.0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eyJoZGlkIjoiYWI3ZjY5NzZmOTc1MDNkMWE5OWFlYWEzYTNmM2Y2NjYiLCJ1c2VySWQiOiIxMjM4ODM0NDc0In0=</vt:lpwstr>
  </property>
  <property fmtid="{D5CDD505-2E9C-101B-9397-08002B2CF9AE}" pid="3" name="KSOProductBuildVer">
    <vt:lpwstr>2052-12.1.0.28505</vt:lpwstr>
  </property>
  <property fmtid="{D5CDD505-2E9C-101B-9397-08002B2CF9AE}" pid="4" name="ICV">
    <vt:lpwstr>02975A3A65374B3B911E4CE4759B6884_12</vt:lpwstr>
  </property>
</Properties>
</file>