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right"/>
      </w:pPr>
      <w:r>
        <w:rPr>
          <w:rFonts w:ascii="微软雅黑" w:hAnsi="微软雅黑"/>
          <w:b/>
          <w:color w:val="DC2626"/>
          <w:sz w:val="19"/>
        </w:rPr>
        <w:t>密级：内部绝密 (L4 - Top Secret / Core Asset)</w:t>
      </w:r>
    </w:p>
    <w:p>
      <w:pPr>
        <w:spacing w:before="1000"/>
        <w:jc w:val="center"/>
      </w:pPr>
      <w:r>
        <w:rPr>
          <w:rFonts w:ascii="微软雅黑" w:hAnsi="微软雅黑"/>
          <w:b/>
          <w:color w:val="64748B"/>
          <w:sz w:val="26"/>
        </w:rPr>
        <w:t>特变电工股份有限公司 · 数字化管理与智能制造部</w:t>
      </w:r>
    </w:p>
    <w:p>
      <w:pPr>
        <w:spacing w:before="400" w:after="160"/>
        <w:jc w:val="center"/>
      </w:pPr>
      <w:r>
        <w:rPr>
          <w:rFonts w:ascii="微软雅黑" w:hAnsi="微软雅黑"/>
          <w:b/>
          <w:color w:val="1E3A8A"/>
          <w:sz w:val="44"/>
        </w:rPr>
        <w:t>特变电工能碳数字化双中心</w:t>
      </w:r>
    </w:p>
    <w:p>
      <w:pPr>
        <w:spacing w:after="160"/>
        <w:jc w:val="center"/>
      </w:pPr>
      <w:r>
        <w:rPr>
          <w:rFonts w:ascii="微软雅黑" w:hAnsi="微软雅黑"/>
          <w:b/>
          <w:color w:val="0284C7"/>
          <w:sz w:val="34"/>
        </w:rPr>
        <w:t>因子库与折标煤管理体系 · 全景功能需求规格说明书 (PRD)</w:t>
      </w:r>
    </w:p>
    <w:p>
      <w:pPr>
        <w:spacing w:after="1000"/>
        <w:jc w:val="center"/>
      </w:pPr>
      <w:r>
        <w:rPr>
          <w:rFonts w:ascii="Consolas" w:hAnsi="Consolas"/>
          <w:color w:val="64748B"/>
          <w:sz w:val="18"/>
        </w:rPr>
        <w:t>Emission Factor Libraries &amp; Standard Coal Conversion System</w:t>
        <w:br/>
        <w:t>End-to-End Functional Specification &amp; Software Engineering Baseline</w:t>
      </w:r>
    </w:p>
    <w:tbl>
      <w:tblPr>
        <w:tblW w:type="auto" w:w="0"/>
        <w:jc w:val="center"/>
        <w:tblLayout w:type="fixed"/>
        <w:tblLook w:firstColumn="1" w:firstRow="1" w:lastColumn="0" w:lastRow="0" w:noHBand="0" w:noVBand="1" w:val="04A0"/>
      </w:tblPr>
      <w:tblGrid>
        <w:gridCol w:w="4824"/>
        <w:gridCol w:w="4824"/>
      </w:tblGrid>
      <w:tr>
        <w:tc>
          <w:tcPr>
            <w:tcW w:type="dxa" w:w="3168"/>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受控编号 (Doc Control)</w:t>
            </w:r>
          </w:p>
        </w:tc>
        <w:tc>
          <w:tcPr>
            <w:tcW w:type="dxa" w:w="6480"/>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color w:val="1F2937"/>
                <w:sz w:val="17"/>
              </w:rPr>
              <w:t>TBEA-PRD-FACTOR-MASTER-2026-V1.0</w:t>
            </w:r>
          </w:p>
        </w:tc>
      </w:tr>
      <w:tr>
        <w:tc>
          <w:tcPr>
            <w:tcW w:type="dxa" w:w="3168"/>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文档版本 (Version)</w:t>
            </w:r>
          </w:p>
        </w:tc>
        <w:tc>
          <w:tcPr>
            <w:tcW w:type="dxa" w:w="6480"/>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color w:val="1F2937"/>
                <w:sz w:val="17"/>
              </w:rPr>
              <w:t>v1.0.0 (全景施工发布基线版)</w:t>
            </w:r>
          </w:p>
        </w:tc>
      </w:tr>
      <w:tr>
        <w:tc>
          <w:tcPr>
            <w:tcW w:type="dxa" w:w="3168"/>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归属工程 (System Scope)</w:t>
            </w:r>
          </w:p>
        </w:tc>
        <w:tc>
          <w:tcPr>
            <w:tcW w:type="dxa" w:w="6480"/>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特变电工能碳数字化双中心（零碳园区集控中心 + 产品碳足迹集采中心）</w:t>
            </w:r>
          </w:p>
        </w:tc>
      </w:tr>
      <w:tr>
        <w:tc>
          <w:tcPr>
            <w:tcW w:type="dxa" w:w="3168"/>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核心涵盖 (Core Modules)</w:t>
            </w:r>
          </w:p>
        </w:tc>
        <w:tc>
          <w:tcPr>
            <w:tcW w:type="dxa" w:w="6480"/>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原材料碳排因子、电力碳排因子、能源活动碳排因子、折标煤系数库</w:t>
            </w:r>
          </w:p>
        </w:tc>
      </w:tr>
      <w:tr>
        <w:tc>
          <w:tcPr>
            <w:tcW w:type="dxa" w:w="3168"/>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编写部门 (Author Team)</w:t>
            </w:r>
          </w:p>
        </w:tc>
        <w:tc>
          <w:tcPr>
            <w:tcW w:type="dxa" w:w="6480"/>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产品碳足迹与能碳系统联合项目组 (Product &amp; Architecture Team)</w:t>
            </w:r>
          </w:p>
        </w:tc>
      </w:tr>
      <w:tr>
        <w:tc>
          <w:tcPr>
            <w:tcW w:type="dxa" w:w="3168"/>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基准规范 (Design Specs)</w:t>
            </w:r>
          </w:p>
        </w:tc>
        <w:tc>
          <w:tcPr>
            <w:tcW w:type="dxa" w:w="6480"/>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tbea-module-prd-template (v1.0.0) × tbea-industrial-design (v1.0.0)</w:t>
            </w:r>
          </w:p>
        </w:tc>
      </w:tr>
      <w:tr>
        <w:tc>
          <w:tcPr>
            <w:tcW w:type="dxa" w:w="3168"/>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适用范围 (Target Entity)</w:t>
            </w:r>
          </w:p>
        </w:tc>
        <w:tc>
          <w:tcPr>
            <w:tcW w:type="dxa" w:w="6480"/>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color w:val="16A34A"/>
                <w:sz w:val="17"/>
              </w:rPr>
              <w:t>特变电工全集团（沈变、衡变、新变、鲁缆、中发等）及供应链协同单位</w:t>
            </w:r>
          </w:p>
        </w:tc>
      </w:tr>
      <w:tr>
        <w:tc>
          <w:tcPr>
            <w:tcW w:type="dxa" w:w="3168"/>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审签状态 (Sign-off Status)</w:t>
            </w:r>
          </w:p>
        </w:tc>
        <w:tc>
          <w:tcPr>
            <w:tcW w:type="dxa" w:w="6480"/>
            <w:shd w:fill="F8FAFC"/>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APPROVED &amp; BASELINED (四方联合审签通过 · 生产施工研发基线)</w:t>
            </w:r>
          </w:p>
        </w:tc>
      </w:tr>
      <w:tr>
        <w:tc>
          <w:tcPr>
            <w:tcW w:type="dxa" w:w="3168"/>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发布日期 (Release Date)</w:t>
            </w:r>
          </w:p>
        </w:tc>
        <w:tc>
          <w:tcPr>
            <w:tcW w:type="dxa" w:w="6480"/>
            <w:shd w:fill="FFFFFF"/>
            <w:tcMar>
              <w:top w:w="45" w:type="dxa"/>
              <w:bottom w:w="45"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2026-09-16 (正式生效)</w:t>
            </w:r>
          </w:p>
        </w:tc>
      </w:tr>
    </w:tbl>
    <w:p>
      <w:r>
        <w:br w:type="page"/>
      </w:r>
    </w:p>
    <w:p>
      <w:pPr>
        <w:pStyle w:val="Heading1"/>
        <w:keepNext/>
        <w:spacing w:before="320" w:after="120"/>
      </w:pPr>
      <w:r>
        <w:rPr>
          <w:rFonts w:ascii="微软雅黑" w:hAnsi="微软雅黑"/>
          <w:b/>
          <w:color w:val="1E3A8A"/>
          <w:sz w:val="30"/>
        </w:rPr>
        <w:t>特变电工能碳数字化双中心 · 因子库与折标煤管理体系 · 全景功能需求规格说明书 (PRD)</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受控编号</w:t>
            </w:r>
            <w:r>
              <w:rPr>
                <w:rFonts w:ascii="微软雅黑" w:hAnsi="微软雅黑"/>
                <w:color w:val="1F2937"/>
                <w:sz w:val="17"/>
              </w:rPr>
              <w:t>：</w:t>
            </w:r>
            <w:r>
              <w:rPr>
                <w:rFonts w:ascii="Consolas" w:hAnsi="Consolas"/>
                <w:b w:val="0"/>
                <w:color w:val="0284C7"/>
                <w:sz w:val="15"/>
              </w:rPr>
              <w:t xml:space="preserve"> TBEA-PRD-FACTOR-MASTER-2026-V1.0 </w:t>
            </w:r>
          </w:p>
          <w:p>
            <w:pPr>
              <w:spacing w:before="20" w:after="40" w:line="276" w:lineRule="auto"/>
            </w:pPr>
            <w:r>
              <w:rPr>
                <w:rFonts w:ascii="微软雅黑" w:hAnsi="微软雅黑"/>
                <w:b/>
                <w:color w:val="1E3A8A"/>
                <w:sz w:val="17"/>
              </w:rPr>
              <w:t>文档版本</w:t>
            </w:r>
            <w:r>
              <w:rPr>
                <w:rFonts w:ascii="微软雅黑" w:hAnsi="微软雅黑"/>
                <w:color w:val="1F2937"/>
                <w:sz w:val="17"/>
              </w:rPr>
              <w:t>：</w:t>
            </w:r>
            <w:r>
              <w:rPr>
                <w:rFonts w:ascii="Consolas" w:hAnsi="Consolas"/>
                <w:b w:val="0"/>
                <w:color w:val="0284C7"/>
                <w:sz w:val="15"/>
              </w:rPr>
              <w:t xml:space="preserve"> v1.0.0 (全景施工发布基线版) </w:t>
            </w:r>
          </w:p>
          <w:p>
            <w:pPr>
              <w:spacing w:before="20" w:after="40" w:line="276" w:lineRule="auto"/>
            </w:pPr>
            <w:r>
              <w:rPr>
                <w:rFonts w:ascii="微软雅黑" w:hAnsi="微软雅黑"/>
                <w:b/>
                <w:color w:val="1E3A8A"/>
                <w:sz w:val="17"/>
              </w:rPr>
              <w:t>密级</w:t>
            </w:r>
            <w:r>
              <w:rPr>
                <w:rFonts w:ascii="微软雅黑" w:hAnsi="微软雅黑"/>
                <w:color w:val="1F2937"/>
                <w:sz w:val="17"/>
              </w:rPr>
              <w:t>：内部绝密 (L4 - Confidential / Top Secret)</w:t>
            </w:r>
          </w:p>
          <w:p>
            <w:pPr>
              <w:spacing w:before="20" w:after="40" w:line="276" w:lineRule="auto"/>
            </w:pPr>
            <w:r>
              <w:rPr>
                <w:rFonts w:ascii="微软雅黑" w:hAnsi="微软雅黑"/>
                <w:b/>
                <w:color w:val="1E3A8A"/>
                <w:sz w:val="17"/>
              </w:rPr>
              <w:t>归属工程</w:t>
            </w:r>
            <w:r>
              <w:rPr>
                <w:rFonts w:ascii="微软雅黑" w:hAnsi="微软雅黑"/>
                <w:color w:val="1F2937"/>
                <w:sz w:val="17"/>
              </w:rPr>
              <w:t>：特变电工能碳数字化双中心（零碳园区集控中心 + 产品碳足迹集采中心）</w:t>
            </w:r>
          </w:p>
          <w:p>
            <w:pPr>
              <w:spacing w:before="20" w:after="40" w:line="276" w:lineRule="auto"/>
            </w:pPr>
            <w:r>
              <w:rPr>
                <w:rFonts w:ascii="微软雅黑" w:hAnsi="微软雅黑"/>
                <w:b/>
                <w:color w:val="1E3A8A"/>
                <w:sz w:val="17"/>
              </w:rPr>
              <w:t>编写部门</w:t>
            </w:r>
            <w:r>
              <w:rPr>
                <w:rFonts w:ascii="微软雅黑" w:hAnsi="微软雅黑"/>
                <w:color w:val="1F2937"/>
                <w:sz w:val="17"/>
              </w:rPr>
              <w:t>：产品碳足迹与能碳系统联合项目组 (Product &amp; Architecture Team)</w:t>
            </w:r>
          </w:p>
          <w:p>
            <w:pPr>
              <w:spacing w:before="20" w:after="40" w:line="276" w:lineRule="auto"/>
            </w:pPr>
            <w:r>
              <w:rPr>
                <w:rFonts w:ascii="微软雅黑" w:hAnsi="微软雅黑"/>
                <w:b/>
                <w:color w:val="1E3A8A"/>
                <w:sz w:val="17"/>
              </w:rPr>
              <w:t>基准规范依赖</w:t>
            </w:r>
            <w:r>
              <w:rPr>
                <w:rFonts w:ascii="微软雅黑" w:hAnsi="微软雅黑"/>
                <w:color w:val="1F2937"/>
                <w:sz w:val="17"/>
              </w:rPr>
              <w:t>：</w:t>
            </w:r>
            <w:r>
              <w:rPr>
                <w:rFonts w:ascii="Consolas" w:hAnsi="Consolas"/>
                <w:b w:val="0"/>
                <w:color w:val="0284C7"/>
                <w:sz w:val="15"/>
              </w:rPr>
              <w:t xml:space="preserve"> tbea-module-prd-template </w:t>
            </w:r>
            <w:r>
              <w:rPr>
                <w:rFonts w:ascii="微软雅黑" w:hAnsi="微软雅黑"/>
                <w:color w:val="1F2937"/>
                <w:sz w:val="17"/>
              </w:rPr>
              <w:t xml:space="preserve"> (v1.0.0) × </w:t>
            </w:r>
            <w:r>
              <w:rPr>
                <w:rFonts w:ascii="Consolas" w:hAnsi="Consolas"/>
                <w:b w:val="0"/>
                <w:color w:val="0284C7"/>
                <w:sz w:val="15"/>
              </w:rPr>
              <w:t xml:space="preserve"> tbea-industrial-design </w:t>
            </w:r>
            <w:r>
              <w:rPr>
                <w:rFonts w:ascii="微软雅黑" w:hAnsi="微软雅黑"/>
                <w:color w:val="1F2937"/>
                <w:sz w:val="17"/>
              </w:rPr>
              <w:t xml:space="preserve"> (v1.0.0)</w:t>
            </w:r>
          </w:p>
          <w:p>
            <w:pPr>
              <w:spacing w:before="20" w:after="40" w:line="276" w:lineRule="auto"/>
            </w:pPr>
            <w:r>
              <w:rPr>
                <w:rFonts w:ascii="微软雅黑" w:hAnsi="微软雅黑"/>
                <w:b/>
                <w:color w:val="1E3A8A"/>
                <w:sz w:val="17"/>
              </w:rPr>
              <w:t>发布日期</w:t>
            </w:r>
            <w:r>
              <w:rPr>
                <w:rFonts w:ascii="微软雅黑" w:hAnsi="微软雅黑"/>
                <w:color w:val="1F2937"/>
                <w:sz w:val="17"/>
              </w:rPr>
              <w:t>：2026-09-16</w:t>
            </w:r>
          </w:p>
          <w:p>
            <w:pPr>
              <w:spacing w:before="20" w:after="40" w:line="276" w:lineRule="auto"/>
            </w:pPr>
            <w:r>
              <w:rPr>
                <w:rFonts w:ascii="微软雅黑" w:hAnsi="微软雅黑"/>
                <w:b/>
                <w:color w:val="1E3A8A"/>
                <w:sz w:val="17"/>
              </w:rPr>
              <w:t>状态</w:t>
            </w:r>
            <w:r>
              <w:rPr>
                <w:rFonts w:ascii="微软雅黑" w:hAnsi="微软雅黑"/>
                <w:color w:val="1F2937"/>
                <w:sz w:val="17"/>
              </w:rPr>
              <w:t>：</w:t>
            </w:r>
            <w:r>
              <w:rPr>
                <w:rFonts w:ascii="Consolas" w:hAnsi="Consolas"/>
                <w:b w:val="0"/>
                <w:color w:val="0284C7"/>
                <w:sz w:val="15"/>
              </w:rPr>
              <w:t xml:space="preserve"> APPROVED &amp; BASELINED </w:t>
            </w:r>
            <w:r>
              <w:rPr>
                <w:rFonts w:ascii="微软雅黑" w:hAnsi="微软雅黑"/>
                <w:color w:val="1F2937"/>
                <w:sz w:val="17"/>
              </w:rPr>
              <w:t xml:space="preserve"> (四方联合审签通过，研发、交付与合规实施基准)</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全局目录 (Table of Contents)</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第1章 因子库与折标煤管理体系全局架构与元数据</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第2章 原材料碳排因子管理功能需求规格 (Raw Material Factor)</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第3章 电力碳排因子管理功能需求规格 (Power Factor)</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第4章 能源活动碳排因子管理功能需求规格 (Energy Activity Factor)</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第5章 折标煤系数库管理功能需求规格 (Standard Coal Conversion Library)</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第6章 四大因子库统一错误码字典与异常治理规范</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第1章 因子库与折标煤管理体系全局架构与元数据</w:t>
      </w:r>
    </w:p>
    <w:p>
      <w:pPr>
        <w:pStyle w:val="Heading2"/>
        <w:keepNext/>
        <w:spacing w:before="240" w:after="100"/>
      </w:pPr>
      <w:r>
        <w:rPr>
          <w:rFonts w:ascii="微软雅黑" w:hAnsi="微软雅黑"/>
          <w:b/>
          <w:color w:val="0284C7"/>
          <w:sz w:val="25"/>
        </w:rPr>
        <w:t>1.1 因子库在双中心架构中的基石地位</w:t>
      </w:r>
    </w:p>
    <w:p>
      <w:pPr>
        <w:spacing w:before="20" w:after="60" w:line="276" w:lineRule="auto"/>
      </w:pPr>
      <w:r>
        <w:rPr>
          <w:rFonts w:ascii="微软雅黑" w:hAnsi="微软雅黑"/>
          <w:color w:val="1F2937"/>
          <w:sz w:val="18"/>
        </w:rPr>
        <w:t>特变电工能碳数字化双中心（零碳园区集控中心 + 产品碳足迹集采中心）的所有能耗折标、碳排滚算、产品生命周期评价（LCA）及欧盟 CBAM 关税申报，均强依赖于底层标准化因子的精度、时效性与版本不可篡改性。</w:t>
      </w:r>
    </w:p>
    <w:p>
      <w:pPr>
        <w:spacing w:before="20" w:after="60" w:line="276" w:lineRule="auto"/>
      </w:pPr>
      <w:r>
        <w:rPr>
          <w:rFonts w:ascii="微软雅黑" w:hAnsi="微软雅黑"/>
          <w:color w:val="1F2937"/>
          <w:sz w:val="18"/>
        </w:rPr>
        <w:t>本体系由四大核心基础库构成：</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原材料碳排因子库</w:t>
      </w:r>
      <w:r>
        <w:rPr>
          <w:rFonts w:ascii="微软雅黑" w:hAnsi="微软雅黑"/>
          <w:color w:val="1F2937"/>
          <w:sz w:val="18"/>
        </w:rPr>
        <w:t>：唯一具备全量维护、供应商一级实测入库、摇篮到大门工序拆解与一键回滚能力；</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电力碳排因子库</w:t>
      </w:r>
      <w:r>
        <w:rPr>
          <w:rFonts w:ascii="微软雅黑" w:hAnsi="微软雅黑"/>
          <w:color w:val="1F2937"/>
          <w:sz w:val="18"/>
        </w:rPr>
        <w:t>：覆盖全国 6 大区域电网、各省域基准电网因子与市场化绿电/自发自用绿电消纳净零认证；</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能源活动碳排因子库</w:t>
      </w:r>
      <w:r>
        <w:rPr>
          <w:rFonts w:ascii="微软雅黑" w:hAnsi="微软雅黑"/>
          <w:color w:val="1F2937"/>
          <w:sz w:val="18"/>
        </w:rPr>
        <w:t>：覆盖天然气、原煤、柴油、外购蒸汽与制冷剂等化石能源直接燃烧（Scope 1）与热力排放（Scope 2）；</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折标煤系数库</w:t>
      </w:r>
      <w:r>
        <w:rPr>
          <w:rFonts w:ascii="微软雅黑" w:hAnsi="微软雅黑"/>
          <w:color w:val="1F2937"/>
          <w:sz w:val="18"/>
        </w:rPr>
        <w:t>：依据国家标准 GB/T 2589-2020《综合能耗计算通则》，将各介质实物物理量统一转换为标准煤（tce / kgce）当量与等价基准。</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graph TD</w:t>
            </w:r>
          </w:p>
          <w:p>
            <w:pPr>
              <w:spacing w:before="0" w:after="20" w:line="252" w:lineRule="auto"/>
            </w:pPr>
            <w:r>
              <w:rPr>
                <w:rFonts w:ascii="Consolas" w:hAnsi="Consolas"/>
                <w:color w:val="0F172A"/>
                <w:sz w:val="15"/>
              </w:rPr>
              <w:t xml:space="preserve">    subgraph 因子管理与输入源</w:t>
            </w:r>
          </w:p>
          <w:p>
            <w:pPr>
              <w:spacing w:before="0" w:after="20" w:line="252" w:lineRule="auto"/>
            </w:pPr>
            <w:r>
              <w:rPr>
                <w:rFonts w:ascii="Consolas" w:hAnsi="Consolas"/>
                <w:color w:val="0F172A"/>
                <w:sz w:val="15"/>
              </w:rPr>
              <w:t xml:space="preserve">        RAW[原材料碳排因子库&lt;br/&gt;供应商实测/Ecoinvent/CLCD]</w:t>
            </w:r>
          </w:p>
          <w:p>
            <w:pPr>
              <w:spacing w:before="0" w:after="20" w:line="252" w:lineRule="auto"/>
            </w:pPr>
            <w:r>
              <w:rPr>
                <w:rFonts w:ascii="Consolas" w:hAnsi="Consolas"/>
                <w:color w:val="0F172A"/>
                <w:sz w:val="15"/>
              </w:rPr>
              <w:t xml:space="preserve">        POW[电力碳排因子库&lt;br/&gt;生态环境部/绿证GEC/省域网]</w:t>
            </w:r>
          </w:p>
          <w:p>
            <w:pPr>
              <w:spacing w:before="0" w:after="20" w:line="252" w:lineRule="auto"/>
            </w:pPr>
            <w:r>
              <w:rPr>
                <w:rFonts w:ascii="Consolas" w:hAnsi="Consolas"/>
                <w:color w:val="0F172A"/>
                <w:sz w:val="15"/>
              </w:rPr>
              <w:t xml:space="preserve">        ENE[能源活动碳排因子库&lt;br/&gt;发改委指南/IPCC/燃气组分]</w:t>
            </w:r>
          </w:p>
          <w:p>
            <w:pPr>
              <w:spacing w:before="0" w:after="20" w:line="252" w:lineRule="auto"/>
            </w:pPr>
            <w:r>
              <w:rPr>
                <w:rFonts w:ascii="Consolas" w:hAnsi="Consolas"/>
                <w:color w:val="0F172A"/>
                <w:sz w:val="15"/>
              </w:rPr>
              <w:t xml:space="preserve">        COAL[折标煤系数库&lt;br/&gt;GB/T 2589-2020 强制国标]</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subgraph 业务计算与应用中枢</w:t>
            </w:r>
          </w:p>
          <w:p>
            <w:pPr>
              <w:spacing w:before="0" w:after="20" w:line="252" w:lineRule="auto"/>
            </w:pPr>
            <w:r>
              <w:rPr>
                <w:rFonts w:ascii="Consolas" w:hAnsi="Consolas"/>
                <w:color w:val="0F172A"/>
                <w:sz w:val="15"/>
              </w:rPr>
              <w:t xml:space="preserve">        CF_LCA[产品 LCA 碳足迹核算引擎&lt;br/&gt;/carbon-footprint/database/accounting]</w:t>
            </w:r>
          </w:p>
          <w:p>
            <w:pPr>
              <w:spacing w:before="0" w:after="20" w:line="252" w:lineRule="auto"/>
            </w:pPr>
            <w:r>
              <w:rPr>
                <w:rFonts w:ascii="Consolas" w:hAnsi="Consolas"/>
                <w:color w:val="0F172A"/>
                <w:sz w:val="15"/>
              </w:rPr>
              <w:t xml:space="preserve">        CBAM[欧盟 CBAM 关税合规测算&lt;br/&gt;/carbon-footprint/cbam/declaration]</w:t>
            </w:r>
          </w:p>
          <w:p>
            <w:pPr>
              <w:spacing w:before="0" w:after="20" w:line="252" w:lineRule="auto"/>
            </w:pPr>
            <w:r>
              <w:rPr>
                <w:rFonts w:ascii="Consolas" w:hAnsi="Consolas"/>
                <w:color w:val="0F172A"/>
                <w:sz w:val="15"/>
              </w:rPr>
              <w:t xml:space="preserve">        ZC_MON[用能在线监测与折标煤平衡&lt;br/&gt;/zero-carbon/monitor/online/usage]</w:t>
            </w:r>
          </w:p>
          <w:p>
            <w:pPr>
              <w:spacing w:before="0" w:after="20" w:line="252" w:lineRule="auto"/>
            </w:pPr>
            <w:r>
              <w:rPr>
                <w:rFonts w:ascii="Consolas" w:hAnsi="Consolas"/>
                <w:color w:val="0F172A"/>
                <w:sz w:val="15"/>
              </w:rPr>
              <w:t xml:space="preserve">        BENCH[工序对标与单位产品单耗&lt;br/&gt;/zero-carbon/energy/unit-product]</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RAW --&gt; CF_LCA</w:t>
            </w:r>
          </w:p>
          <w:p>
            <w:pPr>
              <w:spacing w:before="0" w:after="20" w:line="252" w:lineRule="auto"/>
            </w:pPr>
            <w:r>
              <w:rPr>
                <w:rFonts w:ascii="Consolas" w:hAnsi="Consolas"/>
                <w:color w:val="0F172A"/>
                <w:sz w:val="15"/>
              </w:rPr>
              <w:t xml:space="preserve">    RAW --&gt; CBAM</w:t>
            </w:r>
          </w:p>
          <w:p>
            <w:pPr>
              <w:spacing w:before="0" w:after="20" w:line="252" w:lineRule="auto"/>
            </w:pPr>
            <w:r>
              <w:rPr>
                <w:rFonts w:ascii="Consolas" w:hAnsi="Consolas"/>
                <w:color w:val="0F172A"/>
                <w:sz w:val="15"/>
              </w:rPr>
              <w:t xml:space="preserve">    POW --&gt; CF_LCA</w:t>
            </w:r>
          </w:p>
          <w:p>
            <w:pPr>
              <w:spacing w:before="0" w:after="20" w:line="252" w:lineRule="auto"/>
            </w:pPr>
            <w:r>
              <w:rPr>
                <w:rFonts w:ascii="Consolas" w:hAnsi="Consolas"/>
                <w:color w:val="0F172A"/>
                <w:sz w:val="15"/>
              </w:rPr>
              <w:t xml:space="preserve">    POW --&gt; ZC_MON</w:t>
            </w:r>
          </w:p>
          <w:p>
            <w:pPr>
              <w:spacing w:before="0" w:after="20" w:line="252" w:lineRule="auto"/>
            </w:pPr>
            <w:r>
              <w:rPr>
                <w:rFonts w:ascii="Consolas" w:hAnsi="Consolas"/>
                <w:color w:val="0F172A"/>
                <w:sz w:val="15"/>
              </w:rPr>
              <w:t xml:space="preserve">    ENE --&gt; ZC_MON</w:t>
            </w:r>
          </w:p>
          <w:p>
            <w:pPr>
              <w:spacing w:before="0" w:after="20" w:line="252" w:lineRule="auto"/>
            </w:pPr>
            <w:r>
              <w:rPr>
                <w:rFonts w:ascii="Consolas" w:hAnsi="Consolas"/>
                <w:color w:val="0F172A"/>
                <w:sz w:val="15"/>
              </w:rPr>
              <w:t xml:space="preserve">    ENE --&gt; CF_LCA</w:t>
            </w:r>
          </w:p>
          <w:p>
            <w:pPr>
              <w:spacing w:before="0" w:after="20" w:line="252" w:lineRule="auto"/>
            </w:pPr>
            <w:r>
              <w:rPr>
                <w:rFonts w:ascii="Consolas" w:hAnsi="Consolas"/>
                <w:color w:val="0F172A"/>
                <w:sz w:val="15"/>
              </w:rPr>
              <w:t xml:space="preserve">    COAL --&gt; ZC_MON</w:t>
            </w:r>
          </w:p>
          <w:p>
            <w:pPr>
              <w:spacing w:before="0" w:after="20" w:line="252" w:lineRule="auto"/>
            </w:pPr>
            <w:r>
              <w:rPr>
                <w:rFonts w:ascii="Consolas" w:hAnsi="Consolas"/>
                <w:color w:val="0F172A"/>
                <w:sz w:val="15"/>
              </w:rPr>
              <w:t xml:space="preserve">    COAL --&gt; BENCH</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第2章 原材料碳排因子管理功能需求规格 (Raw Material Factor)</w:t>
      </w:r>
    </w:p>
    <w:p>
      <w:pPr>
        <w:pStyle w:val="Heading2"/>
        <w:keepNext/>
        <w:spacing w:before="240" w:after="100"/>
      </w:pPr>
      <w:r>
        <w:rPr>
          <w:rFonts w:ascii="微软雅黑" w:hAnsi="微软雅黑"/>
          <w:b/>
          <w:color w:val="0284C7"/>
          <w:sz w:val="25"/>
        </w:rPr>
        <w:t>【1】定位与架构角色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功能定位</w:t>
      </w:r>
      <w:r>
        <w:rPr>
          <w:rFonts w:ascii="微软雅黑" w:hAnsi="微软雅黑"/>
          <w:color w:val="1F2937"/>
          <w:sz w:val="18"/>
        </w:rP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承载角色</w:t>
      </w:r>
      <w:r>
        <w:rPr>
          <w:rFonts w:ascii="微软雅黑" w:hAnsi="微软雅黑"/>
          <w:color w:val="1F2937"/>
          <w:sz w:val="18"/>
        </w:rPr>
        <w:t>：P4 碳核算工程师（因子录入、版本维护与回滚）、P5 国际贸易与关税专家（CBAM 前驱物审核）、P6 外部独立审计机构（数据质量 DQR 审查）。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页面路由</w:t>
      </w:r>
      <w:r>
        <w:rPr>
          <w:rFonts w:ascii="微软雅黑" w:hAnsi="微软雅黑"/>
          <w:color w:val="1F2937"/>
          <w:sz w:val="18"/>
        </w:rPr>
        <w:t>：</w:t>
      </w:r>
      <w:r>
        <w:rPr>
          <w:rFonts w:ascii="Consolas" w:hAnsi="Consolas"/>
          <w:b w:val="0"/>
          <w:color w:val="0284C7"/>
          <w:sz w:val="16"/>
        </w:rPr>
        <w:t xml:space="preserve"> /carbon-footprint/factor/material </w:t>
      </w:r>
      <w:r>
        <w:rPr>
          <w:rFonts w:ascii="微软雅黑" w:hAnsi="微软雅黑"/>
          <w:color w:val="1F2937"/>
          <w:sz w:val="18"/>
        </w:rPr>
        <w:t>（详情内页：</w:t>
      </w:r>
      <w:r>
        <w:rPr>
          <w:rFonts w:ascii="Consolas" w:hAnsi="Consolas"/>
          <w:b w:val="0"/>
          <w:color w:val="0284C7"/>
          <w:sz w:val="16"/>
        </w:rPr>
        <w:t xml:space="preserve"> /carbon-footprint/factor/material/detail/:factorId </w:t>
      </w:r>
      <w:r>
        <w:rPr>
          <w:rFonts w:ascii="微软雅黑" w:hAnsi="微软雅黑"/>
          <w:color w:val="1F2937"/>
          <w:sz w:val="18"/>
        </w:rPr>
        <w:t>，版本历史：右侧抽屉）。</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上游依赖</w:t>
      </w:r>
      <w:r>
        <w:rPr>
          <w:rFonts w:ascii="微软雅黑" w:hAnsi="微软雅黑"/>
          <w:color w:val="1F2937"/>
          <w:sz w:val="18"/>
        </w:rPr>
        <w:t>：供应商一级实测数据与碳足迹核查证明（CFV）、第三方商业数据库（Ecoinvent 3.10 / Sphera GaBi / CLCD）、国家发改委与生态环境部权威指导值。</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下游输出</w:t>
      </w:r>
      <w:r>
        <w:rPr>
          <w:rFonts w:ascii="微软雅黑" w:hAnsi="微软雅黑"/>
          <w:color w:val="1F2937"/>
          <w:sz w:val="18"/>
        </w:rPr>
        <w:t>：产品实景 BOM 碳足迹核算工作台（原材料阶段排放量滚算）、欧盟 CBAM 关税申报（直接与间接嵌入排放测算）、ISO 14067 第三方认证材料申报包。</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本文档定位</w:t>
      </w:r>
      <w:r>
        <w:rPr>
          <w:rFonts w:ascii="微软雅黑" w:hAnsi="微软雅黑"/>
          <w:color w:val="1F2937"/>
          <w:sz w:val="18"/>
        </w:rPr>
        <w:t>：本模块为产品碳足迹集采中心因子库中唯一的“全生命周期维护与版本控制”核心模块（电力、能源活动及折标煤因子为只读消费视图），严格对齐八段式完整度规范。</w:t>
      </w:r>
    </w:p>
    <w:p>
      <w:pPr>
        <w:pStyle w:val="Heading2"/>
        <w:keepNext/>
        <w:spacing w:before="240" w:after="100"/>
      </w:pPr>
      <w:r>
        <w:rPr>
          <w:rFonts w:ascii="微软雅黑" w:hAnsi="微软雅黑"/>
          <w:b/>
          <w:color w:val="0284C7"/>
          <w:sz w:val="25"/>
        </w:rPr>
        <w:t>【2】业务场景与用户故事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业务场景描述</w:t>
      </w:r>
      <w:r>
        <w:rPr>
          <w:rFonts w:ascii="微软雅黑" w:hAnsi="微软雅黑"/>
          <w:color w:val="1F2937"/>
          <w:sz w:val="18"/>
        </w:rPr>
        <w:t>：在应对国际高标准绿色装备招标或欧盟 CBAM 碳关税时，碳核算工程师需将行业缺省因子替换为宝钢高牌号取向硅钢片、江西铜业低碳铜杆的供应商一级实测因子，以压降产品碳足迹并建立出海竞争力；当某批次实测数据出现争议时，支持平滑回滚至上一核准基准版本并保留全链审计留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TEXT】</w:t>
              <w:br/>
            </w:r>
          </w:p>
          <w:p>
            <w:pPr>
              <w:spacing w:before="0" w:after="20" w:line="252" w:lineRule="auto"/>
            </w:pPr>
            <w:r>
              <w:rPr>
                <w:rFonts w:ascii="Consolas" w:hAnsi="Consolas"/>
                <w:color w:val="0F172A"/>
                <w:sz w:val="15"/>
              </w:rPr>
              <w:t xml:space="preserve">  As a 碳核算与认证工程师 (Persona P4)，</w:t>
            </w:r>
          </w:p>
          <w:p>
            <w:pPr>
              <w:spacing w:before="0" w:after="20" w:line="252" w:lineRule="auto"/>
            </w:pPr>
            <w:r>
              <w:rPr>
                <w:rFonts w:ascii="Consolas" w:hAnsi="Consolas"/>
                <w:color w:val="0F172A"/>
                <w:sz w:val="15"/>
              </w:rPr>
              <w:t xml:space="preserve">  I want 在原材料碳排因子库中按适用产业和产品套系检索物料，维护当前因子值、摇篮到大门工序构成与核查证明，并在升级版本时将原值自动沉淀为对比默认值，</w:t>
            </w:r>
          </w:p>
          <w:p>
            <w:pPr>
              <w:spacing w:before="0" w:after="20" w:line="252" w:lineRule="auto"/>
            </w:pPr>
            <w:r>
              <w:rPr>
                <w:rFonts w:ascii="Consolas" w:hAnsi="Consolas"/>
                <w:color w:val="0F172A"/>
                <w:sz w:val="15"/>
              </w:rPr>
              <w:t xml:space="preserve">  So that 我能在产品 LCA 核算中精准调用低碳主材实测因子降低核算碳排，同时保留完备的版本变更链条以通过第三方机构独立核验。</w:t>
            </w:r>
          </w:p>
        </w:tc>
      </w:tr>
    </w:tbl>
    <w:p>
      <w:pPr>
        <w:spacing w:after="40"/>
      </w:pPr>
    </w:p>
    <w:p>
      <w:pPr>
        <w:pStyle w:val="Heading2"/>
        <w:keepNext/>
        <w:spacing w:before="240" w:after="100"/>
      </w:pPr>
      <w:r>
        <w:rPr>
          <w:rFonts w:ascii="微软雅黑" w:hAnsi="微软雅黑"/>
          <w:b/>
          <w:color w:val="0284C7"/>
          <w:sz w:val="25"/>
        </w:rPr>
        <w:t>【3】功能规格与交互契约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通用交互与过滤规则</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顶部提供【适用产业】切片 Tab（全部 / 变压器产业 / 线缆产业 / 通用）；</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提供【产品套系联动切片器】（如选中“特高压 1000kV 变压器”自动关联取向硅钢、电解铜、环氧树脂、绝缘油等物料）；</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数据表格行高严格固定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），垂直居中，数字列采用等宽 Mono 字体右对齐；激活态仅由边框高亮自解释呈现。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因子列表与当前/默认值双轨对比</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因子核心数值列复合展示：</w:t>
      </w:r>
      <w:r>
        <w:rPr>
          <w:rFonts w:ascii="Consolas" w:hAnsi="Consolas"/>
          <w:b w:val="0"/>
          <w:color w:val="0284C7"/>
          <w:sz w:val="16"/>
        </w:rPr>
        <w:t xml:space="preserve"> 当前值 / 默认值 </w:t>
      </w:r>
      <w:r>
        <w:rPr>
          <w:rFonts w:ascii="微软雅黑" w:hAnsi="微软雅黑"/>
          <w:color w:val="1F2937"/>
          <w:sz w:val="18"/>
        </w:rPr>
        <w:t xml:space="preserve">（例如 </w:t>
      </w:r>
      <w:r>
        <w:rPr>
          <w:rFonts w:ascii="Consolas" w:hAnsi="Consolas"/>
          <w:b w:val="0"/>
          <w:color w:val="0284C7"/>
          <w:sz w:val="16"/>
        </w:rPr>
        <w:t xml:space="preserve"> 2.0500 / 2.1200 </w:t>
      </w:r>
      <w:r>
        <w:rPr>
          <w:rFonts w:ascii="微软雅黑" w:hAnsi="微软雅黑"/>
          <w:color w:val="1F2937"/>
          <w:sz w:val="18"/>
        </w:rPr>
        <w:t xml:space="preserve">，单位 </w:t>
      </w:r>
      <w:r>
        <w:rPr>
          <w:rFonts w:ascii="Consolas" w:hAnsi="Consolas"/>
          <w:b w:val="0"/>
          <w:color w:val="0284C7"/>
          <w:sz w:val="16"/>
        </w:rPr>
        <w:t xml:space="preserve"> kgCO2e/kg </w:t>
      </w:r>
      <w:r>
        <w:rPr>
          <w:rFonts w:ascii="微软雅黑" w:hAnsi="微软雅黑"/>
          <w:color w:val="1F2937"/>
          <w:sz w:val="18"/>
        </w:rPr>
        <w:t>），当前值加粗呈现，默认值（上一稳定基准版本值）以浅灰展示；</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五级客观来源徽章：</w:t>
      </w:r>
      <w:r>
        <w:rPr>
          <w:rFonts w:ascii="Consolas" w:hAnsi="Consolas"/>
          <w:b w:val="0"/>
          <w:color w:val="0284C7"/>
          <w:sz w:val="16"/>
        </w:rPr>
        <w:t xml:space="preserve"> 供应商实测 (Tier 1) </w:t>
      </w:r>
      <w:r>
        <w:rPr>
          <w:rFonts w:ascii="微软雅黑" w:hAnsi="微软雅黑"/>
          <w:color w:val="1F2937"/>
          <w:sz w:val="18"/>
        </w:rPr>
        <w:t>（绿色）、</w:t>
      </w:r>
      <w:r>
        <w:rPr>
          <w:rFonts w:ascii="Consolas" w:hAnsi="Consolas"/>
          <w:b w:val="0"/>
          <w:color w:val="0284C7"/>
          <w:sz w:val="16"/>
        </w:rPr>
        <w:t xml:space="preserve"> 第三方核证 (Certified) </w:t>
      </w:r>
      <w:r>
        <w:rPr>
          <w:rFonts w:ascii="微软雅黑" w:hAnsi="微软雅黑"/>
          <w:color w:val="1F2937"/>
          <w:sz w:val="18"/>
        </w:rPr>
        <w:t>（蓝色）、</w:t>
      </w:r>
      <w:r>
        <w:rPr>
          <w:rFonts w:ascii="Consolas" w:hAnsi="Consolas"/>
          <w:b w:val="0"/>
          <w:color w:val="0284C7"/>
          <w:sz w:val="16"/>
        </w:rPr>
        <w:t xml:space="preserve"> 行业标准 (Industry Avg) </w:t>
      </w:r>
      <w:r>
        <w:rPr>
          <w:rFonts w:ascii="微软雅黑" w:hAnsi="微软雅黑"/>
          <w:color w:val="1F2937"/>
          <w:sz w:val="18"/>
        </w:rPr>
        <w:t>（青色）、</w:t>
      </w:r>
      <w:r>
        <w:rPr>
          <w:rFonts w:ascii="Consolas" w:hAnsi="Consolas"/>
          <w:b w:val="0"/>
          <w:color w:val="0284C7"/>
          <w:sz w:val="16"/>
        </w:rPr>
        <w:t xml:space="preserve"> 公用数据库 (LCA DB) </w:t>
      </w:r>
      <w:r>
        <w:rPr>
          <w:rFonts w:ascii="微软雅黑" w:hAnsi="微软雅黑"/>
          <w:color w:val="1F2937"/>
          <w:sz w:val="18"/>
        </w:rPr>
        <w:t>（紫色）、</w:t>
      </w:r>
      <w:r>
        <w:rPr>
          <w:rFonts w:ascii="Consolas" w:hAnsi="Consolas"/>
          <w:b w:val="0"/>
          <w:color w:val="0284C7"/>
          <w:sz w:val="16"/>
        </w:rPr>
        <w:t xml:space="preserve"> IPCC 缺省值 (Default) </w:t>
      </w:r>
      <w:r>
        <w:rPr>
          <w:rFonts w:ascii="微软雅黑" w:hAnsi="微软雅黑"/>
          <w:color w:val="1F2937"/>
          <w:sz w:val="18"/>
        </w:rPr>
        <w:t>（橙色）。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摇篮到大门工序构成拆解 (Cradle-to-Gate)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点击行内【详情】滑出抽屉，呈现该物料五阶段碳排放绝对量与占比构成：①矿石开采与洗选 ➔ ②初级冶炼 ➔ ③电解精炼与电力 ➔ ④深加工成型 ➔ ⑤上游运输；提供条形堆叠图解析。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因子版本演化与一键回滚状态机</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版本升级</w:t>
      </w:r>
      <w:r>
        <w:rPr>
          <w:rFonts w:ascii="微软雅黑" w:hAnsi="微软雅黑"/>
          <w:color w:val="1F2937"/>
          <w:sz w:val="18"/>
        </w:rPr>
        <w:t xml:space="preserve">：输入新因子值、来源与凭证附件后，原当前值沉淀为新默认值，版本号按 </w:t>
      </w:r>
      <w:r>
        <w:rPr>
          <w:rFonts w:ascii="Consolas" w:hAnsi="Consolas"/>
          <w:b w:val="0"/>
          <w:color w:val="0284C7"/>
          <w:sz w:val="16"/>
        </w:rPr>
        <w:t xml:space="preserve"> vX.Y </w:t>
      </w:r>
      <w:r>
        <w:rPr>
          <w:rFonts w:ascii="微软雅黑" w:hAnsi="微软雅黑"/>
          <w:color w:val="1F2937"/>
          <w:sz w:val="18"/>
        </w:rPr>
        <w:t xml:space="preserve"> 单调递增；</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版本回滚</w:t>
      </w:r>
      <w:r>
        <w:rPr>
          <w:rFonts w:ascii="微软雅黑" w:hAnsi="微软雅黑"/>
          <w:color w:val="1F2937"/>
          <w:sz w:val="18"/>
        </w:rPr>
        <w:t>：在版本历史抽屉中点击【回滚至此版本】，系统生成新版本快照并注明“回滚自 vX.Y”，保障版本时间线单调递增，严禁物理抹除历史；</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引用加锁</w:t>
      </w:r>
      <w:r>
        <w:rPr>
          <w:rFonts w:ascii="微软雅黑" w:hAnsi="微软雅黑"/>
          <w:color w:val="1F2937"/>
          <w:sz w:val="18"/>
        </w:rPr>
        <w:t xml:space="preserve">：已被标记为 </w:t>
      </w:r>
      <w:r>
        <w:rPr>
          <w:rFonts w:ascii="Consolas" w:hAnsi="Consolas"/>
          <w:b w:val="0"/>
          <w:color w:val="0284C7"/>
          <w:sz w:val="16"/>
        </w:rPr>
        <w:t xml:space="preserve"> LCA_CERTIFIED </w:t>
      </w:r>
      <w:r>
        <w:rPr>
          <w:rFonts w:ascii="微软雅黑" w:hAnsi="微软雅黑"/>
          <w:color w:val="1F2937"/>
          <w:sz w:val="18"/>
        </w:rPr>
        <w:t xml:space="preserve"> 或 </w:t>
      </w:r>
      <w:r>
        <w:rPr>
          <w:rFonts w:ascii="Consolas" w:hAnsi="Consolas"/>
          <w:b w:val="0"/>
          <w:color w:val="0284C7"/>
          <w:sz w:val="16"/>
        </w:rPr>
        <w:t xml:space="preserve"> CBAM_DECLARED </w:t>
      </w:r>
      <w:r>
        <w:rPr>
          <w:rFonts w:ascii="微软雅黑" w:hAnsi="微软雅黑"/>
          <w:color w:val="1F2937"/>
          <w:sz w:val="18"/>
        </w:rPr>
        <w:t xml:space="preserve"> 报告引用的因子版本自动锁定（</w:t>
      </w:r>
      <w:r>
        <w:rPr>
          <w:rFonts w:ascii="Consolas" w:hAnsi="Consolas"/>
          <w:b w:val="0"/>
          <w:color w:val="0284C7"/>
          <w:sz w:val="16"/>
        </w:rPr>
        <w:t xml:space="preserve"> is_immutable = true </w:t>
      </w:r>
      <w:r>
        <w:rPr>
          <w:rFonts w:ascii="微软雅黑" w:hAnsi="微软雅黑"/>
          <w:color w:val="1F2937"/>
          <w:sz w:val="18"/>
        </w:rPr>
        <w:t>），操作列【删除】置灰禁用。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因子跨层级应用口径矩阵</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一级节点（集团集控）：统管官方基础因子库，下发推荐优选供应商因子目录；</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二级节点（产业公司）：继承集团库，补充产业专属特种物料因子；</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三级节点（实体工厂）：依据实际采购批次优先选用合格供应商实测因子；</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四级节点（车间/产线）：BOM 依据物料编码自动带出对应因子版本，严禁车间手动修改。</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【业务约束与工程规范契约】：</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变压器专用特种电磁/绝缘材料与线缆专用绝缘护套材料在数据库与界面中严格物理隔离，禁止跨产业混选混用；</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系统严禁出现“高污染原料”、“表现优良”等主观定性评价，统一以客观基准偏差量与 DQR 数据质量分级呈现。</w:t>
      </w:r>
    </w:p>
    <w:p>
      <w:pPr>
        <w:pStyle w:val="Heading2"/>
        <w:keepNext/>
        <w:spacing w:before="240" w:after="100"/>
      </w:pPr>
      <w:r>
        <w:rPr>
          <w:rFonts w:ascii="微软雅黑" w:hAnsi="微软雅黑"/>
          <w:b/>
          <w:color w:val="0284C7"/>
          <w:sz w:val="25"/>
        </w:rPr>
        <w:t>【4】页面字段字典与数据契约</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工程单位</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校验与约束规则</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因子唯一编码</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唯一，格式 </w:t>
            </w:r>
            <w:r>
              <w:rPr>
                <w:rFonts w:ascii="Consolas" w:hAnsi="Consolas"/>
                <w:b w:val="0"/>
                <w:color w:val="0284C7"/>
                <w:sz w:val="14"/>
              </w:rPr>
              <w:t xml:space="preserve"> RM&lt;3位流水&gt;&lt;2位校验码&gt;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原材料标准名称</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非空，最长 64 字符；与 ERP 物料分类名称标准对齐</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适用产业分类</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枚举：</w:t>
            </w:r>
            <w:r>
              <w:rPr>
                <w:rFonts w:ascii="Consolas" w:hAnsi="Consolas"/>
                <w:b w:val="0"/>
                <w:color w:val="0284C7"/>
                <w:sz w:val="14"/>
              </w:rPr>
              <w:t xml:space="preserve"> 变压器产业 </w:t>
            </w:r>
            <w:r>
              <w:rPr>
                <w:rFonts w:ascii="微软雅黑" w:hAnsi="微软雅黑"/>
                <w:color w:val="1F2937"/>
                <w:sz w:val="16"/>
              </w:rPr>
              <w:t xml:space="preserve"> / </w:t>
            </w:r>
            <w:r>
              <w:rPr>
                <w:rFonts w:ascii="Consolas" w:hAnsi="Consolas"/>
                <w:b w:val="0"/>
                <w:color w:val="0284C7"/>
                <w:sz w:val="14"/>
              </w:rPr>
              <w:t xml:space="preserve"> 线缆产业 </w:t>
            </w:r>
            <w:r>
              <w:rPr>
                <w:rFonts w:ascii="微软雅黑" w:hAnsi="微软雅黑"/>
                <w:color w:val="1F2937"/>
                <w:sz w:val="16"/>
              </w:rPr>
              <w:t xml:space="preserve"> / </w:t>
            </w:r>
            <w:r>
              <w:rPr>
                <w:rFonts w:ascii="Consolas" w:hAnsi="Consolas"/>
                <w:b w:val="0"/>
                <w:color w:val="0284C7"/>
                <w:sz w:val="14"/>
              </w:rPr>
              <w:t xml:space="preserve"> 通用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当前生效因子值</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kgCO2e/kg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严格 </w:t>
            </w:r>
            <w:r>
              <w:rPr>
                <w:rFonts w:ascii="Consolas" w:hAnsi="Consolas"/>
                <w:b w:val="0"/>
                <w:color w:val="0284C7"/>
                <w:sz w:val="14"/>
              </w:rPr>
              <w:t xml:space="preserve"> &gt; 0 </w:t>
            </w:r>
            <w:r>
              <w:rPr>
                <w:rFonts w:ascii="微软雅黑" w:hAnsi="微软雅黑"/>
                <w:color w:val="1F2937"/>
                <w:sz w:val="16"/>
              </w:rPr>
              <w:t>；保留 4 位小数；LCA 核心计算参数</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默认/基准因子值</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kgCO2e/kg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初始等于当前值；版本更新后自动沉淀为上一版本值</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法定量纲单位</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kgCO2e/kg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全系统强制统一为 </w:t>
            </w:r>
            <w:r>
              <w:rPr>
                <w:rFonts w:ascii="Consolas" w:hAnsi="Consolas"/>
                <w:b w:val="0"/>
                <w:color w:val="0284C7"/>
                <w:sz w:val="14"/>
              </w:rPr>
              <w:t xml:space="preserve"> kgCO2e/kg </w:t>
            </w:r>
            <w:r>
              <w:rPr>
                <w:rFonts w:ascii="微软雅黑" w:hAnsi="微软雅黑"/>
                <w:color w:val="1F2937"/>
                <w:sz w:val="16"/>
              </w:rPr>
              <w:t>，严禁量纲混淆</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7</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数据来源层级</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枚举：</w:t>
            </w:r>
            <w:r>
              <w:rPr>
                <w:rFonts w:ascii="Consolas" w:hAnsi="Consolas"/>
                <w:b w:val="0"/>
                <w:color w:val="0284C7"/>
                <w:sz w:val="14"/>
              </w:rPr>
              <w:t xml:space="preserve"> 供应商实测 </w:t>
            </w:r>
            <w:r>
              <w:rPr>
                <w:rFonts w:ascii="微软雅黑" w:hAnsi="微软雅黑"/>
                <w:color w:val="1F2937"/>
                <w:sz w:val="16"/>
              </w:rPr>
              <w:t xml:space="preserve"> / </w:t>
            </w:r>
            <w:r>
              <w:rPr>
                <w:rFonts w:ascii="Consolas" w:hAnsi="Consolas"/>
                <w:b w:val="0"/>
                <w:color w:val="0284C7"/>
                <w:sz w:val="14"/>
              </w:rPr>
              <w:t xml:space="preserve"> 第三方核证 </w:t>
            </w:r>
            <w:r>
              <w:rPr>
                <w:rFonts w:ascii="微软雅黑" w:hAnsi="微软雅黑"/>
                <w:color w:val="1F2937"/>
                <w:sz w:val="16"/>
              </w:rPr>
              <w:t xml:space="preserve"> / </w:t>
            </w:r>
            <w:r>
              <w:rPr>
                <w:rFonts w:ascii="Consolas" w:hAnsi="Consolas"/>
                <w:b w:val="0"/>
                <w:color w:val="0284C7"/>
                <w:sz w:val="14"/>
              </w:rPr>
              <w:t xml:space="preserve"> 行业标准 </w:t>
            </w:r>
            <w:r>
              <w:rPr>
                <w:rFonts w:ascii="微软雅黑" w:hAnsi="微软雅黑"/>
                <w:color w:val="1F2937"/>
                <w:sz w:val="16"/>
              </w:rPr>
              <w:t xml:space="preserve"> / </w:t>
            </w:r>
            <w:r>
              <w:rPr>
                <w:rFonts w:ascii="Consolas" w:hAnsi="Consolas"/>
                <w:b w:val="0"/>
                <w:color w:val="0284C7"/>
                <w:sz w:val="14"/>
              </w:rPr>
              <w:t xml:space="preserve"> 公用数据库 </w:t>
            </w:r>
            <w:r>
              <w:rPr>
                <w:rFonts w:ascii="微软雅黑" w:hAnsi="微软雅黑"/>
                <w:color w:val="1F2937"/>
                <w:sz w:val="16"/>
              </w:rPr>
              <w:t xml:space="preserve"> / </w:t>
            </w:r>
            <w:r>
              <w:rPr>
                <w:rFonts w:ascii="Consolas" w:hAnsi="Consolas"/>
                <w:b w:val="0"/>
                <w:color w:val="0284C7"/>
                <w:sz w:val="14"/>
              </w:rPr>
              <w:t xml:space="preserve"> IPCC缺省值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8</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提供方/数据库名称</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如 </w:t>
            </w:r>
            <w:r>
              <w:rPr>
                <w:rFonts w:ascii="Consolas" w:hAnsi="Consolas"/>
                <w:b w:val="0"/>
                <w:color w:val="0284C7"/>
                <w:sz w:val="14"/>
              </w:rPr>
              <w:t xml:space="preserve"> 宝钢实测报告 </w:t>
            </w:r>
            <w:r>
              <w:rPr>
                <w:rFonts w:ascii="微软雅黑" w:hAnsi="微软雅黑"/>
                <w:color w:val="1F2937"/>
                <w:sz w:val="16"/>
              </w:rPr>
              <w:t>、</w:t>
            </w:r>
            <w:r>
              <w:rPr>
                <w:rFonts w:ascii="Consolas" w:hAnsi="Consolas"/>
                <w:b w:val="0"/>
                <w:color w:val="0284C7"/>
                <w:sz w:val="14"/>
              </w:rPr>
              <w:t xml:space="preserve"> Ecoinvent 3.10 </w:t>
            </w:r>
            <w:r>
              <w:rPr>
                <w:rFonts w:ascii="微软雅黑" w:hAnsi="微软雅黑"/>
                <w:color w:val="1F2937"/>
                <w:sz w:val="16"/>
              </w:rPr>
              <w:t>、</w:t>
            </w:r>
            <w:r>
              <w:rPr>
                <w:rFonts w:ascii="Consolas" w:hAnsi="Consolas"/>
                <w:b w:val="0"/>
                <w:color w:val="0284C7"/>
                <w:sz w:val="14"/>
              </w:rPr>
              <w:t xml:space="preserve"> CLCD </w:t>
            </w:r>
            <w:r>
              <w:rPr>
                <w:rFonts w:ascii="微软雅黑" w:hAnsi="微软雅黑"/>
                <w:color w:val="1F2937"/>
                <w:sz w:val="16"/>
              </w:rPr>
              <w:t xml:space="preserve"> 等</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9</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系统边界定义</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固定为 </w:t>
            </w:r>
            <w:r>
              <w:rPr>
                <w:rFonts w:ascii="Consolas" w:hAnsi="Consolas"/>
                <w:b w:val="0"/>
                <w:color w:val="0284C7"/>
                <w:sz w:val="14"/>
              </w:rPr>
              <w:t xml:space="preserve"> 摇篮到大门 (Cradle-to-Gate)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当前发布版本号</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格式 </w:t>
            </w:r>
            <w:r>
              <w:rPr>
                <w:rFonts w:ascii="Consolas" w:hAnsi="Consolas"/>
                <w:b w:val="0"/>
                <w:color w:val="0284C7"/>
                <w:sz w:val="14"/>
              </w:rPr>
              <w:t xml:space="preserve"> vX.Y </w:t>
            </w:r>
            <w:r>
              <w:rPr>
                <w:rFonts w:ascii="微软雅黑" w:hAnsi="微软雅黑"/>
                <w:color w:val="1F2937"/>
                <w:sz w:val="16"/>
              </w:rPr>
              <w:t xml:space="preserve">（如 </w:t>
            </w:r>
            <w:r>
              <w:rPr>
                <w:rFonts w:ascii="Consolas" w:hAnsi="Consolas"/>
                <w:b w:val="0"/>
                <w:color w:val="0284C7"/>
                <w:sz w:val="14"/>
              </w:rPr>
              <w:t xml:space="preserve"> v3.2 </w:t>
            </w:r>
            <w:r>
              <w:rPr>
                <w:rFonts w:ascii="微软雅黑" w:hAnsi="微软雅黑"/>
                <w:color w:val="1F2937"/>
                <w:sz w:val="16"/>
              </w:rPr>
              <w:t>），严格单调递增</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数据质量评级 (DQR)</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[1.00, 5.00] </w:t>
            </w:r>
            <w:r>
              <w:rPr>
                <w:rFonts w:ascii="微软雅黑" w:hAnsi="微软雅黑"/>
                <w:color w:val="1F2937"/>
                <w:sz w:val="16"/>
              </w:rPr>
              <w:t>，四维综合评分，数值越低代表质量越高</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引用锁定防删标识</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Boolean</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被已生效报告引用后置为 </w:t>
            </w:r>
            <w:r>
              <w:rPr>
                <w:rFonts w:ascii="Consolas" w:hAnsi="Consolas"/>
                <w:b w:val="0"/>
                <w:color w:val="0284C7"/>
                <w:sz w:val="14"/>
              </w:rPr>
              <w:t xml:space="preserve"> true </w:t>
            </w:r>
            <w:r>
              <w:rPr>
                <w:rFonts w:ascii="微软雅黑" w:hAnsi="微软雅黑"/>
                <w:color w:val="1F2937"/>
                <w:sz w:val="16"/>
              </w:rPr>
              <w:t>，前端禁用删除按钮</w:t>
            </w:r>
          </w:p>
        </w:tc>
      </w:tr>
    </w:tbl>
    <w:p>
      <w:pPr>
        <w:spacing w:after="60"/>
      </w:pPr>
    </w:p>
    <w:p>
      <w:pPr>
        <w:pStyle w:val="Heading2"/>
        <w:keepNext/>
        <w:spacing w:before="240" w:after="100"/>
      </w:pPr>
      <w:r>
        <w:rPr>
          <w:rFonts w:ascii="微软雅黑" w:hAnsi="微软雅黑"/>
          <w:b/>
          <w:color w:val="0284C7"/>
          <w:sz w:val="25"/>
        </w:rPr>
        <w:t>【5】核心数学模型与算法框架</w:t>
      </w:r>
    </w:p>
    <w:p>
      <w:pPr>
        <w:spacing w:before="20" w:after="60" w:line="276" w:lineRule="auto"/>
      </w:pPr>
      <w:r>
        <w:rPr>
          <w:rFonts w:ascii="微软雅黑" w:hAnsi="微软雅黑"/>
          <w:color w:val="1F2937"/>
          <w:sz w:val="18"/>
        </w:rPr>
        <w:t>📐 【核心业务数学模型与计算公式】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EF_{\text{mat}} = \sum_{k=1}^{m} \left( \frac{W_k}{\sum_{j=1}^{m} W_j} \times EF_k \right) \quad (\text{多供应商混料加权综合因子})</w:t>
            </w:r>
          </w:p>
          <w:p>
            <w:pPr>
              <w:spacing w:before="0" w:after="20" w:line="276" w:lineRule="auto"/>
            </w:pPr>
            <w:r>
              <w:rPr>
                <w:rFonts w:ascii="Consolas" w:hAnsi="Consolas"/>
                <w:b/>
                <w:color w:val="1E3A8A"/>
                <w:sz w:val="17"/>
              </w:rPr>
              <w:t>\Delta EF_{\text{pct}} = \frac{EF_{\text{current}} - EF_{\text{default}}}{EF_{\text{default}}} \times 100\% \quad (\text{因子版本变动偏离率})</w:t>
            </w:r>
          </w:p>
          <w:p>
            <w:pPr>
              <w:spacing w:before="0" w:after="20" w:line="276" w:lineRule="auto"/>
            </w:pPr>
            <w:r>
              <w:rPr>
                <w:rFonts w:ascii="Consolas" w:hAnsi="Consolas"/>
                <w:b/>
                <w:color w:val="1E3A8A"/>
                <w:sz w:val="17"/>
              </w:rPr>
              <w:t>DQR = \frac{TeR + GeR + TiR + ReR}{4} \quad (\text{数据质量四维综合评级})</w:t>
            </w:r>
          </w:p>
          <w:p>
            <w:pPr>
              <w:spacing w:before="0" w:after="20" w:line="276" w:lineRule="auto"/>
            </w:pPr>
            <w:r>
              <w:rPr>
                <w:rFonts w:ascii="Consolas" w:hAnsi="Consolas"/>
                <w:b/>
                <w:color w:val="1E3A8A"/>
                <w:sz w:val="17"/>
              </w:rPr>
              <w:t>C_{\text{material}} = \sum_{i=1}^{n} ( M_i \times EF_{\text{mat}, i} ) \quad (\text{产品原材料阶段总碳足迹})</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变量定义与取值约定</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W_k</w:t>
      </w:r>
      <w:r>
        <w:rPr>
          <w:rFonts w:ascii="微软雅黑" w:hAnsi="微软雅黑"/>
          <w:color w:val="1F2937"/>
          <w:sz w:val="18"/>
        </w:rPr>
        <w:t xml:space="preserve"> 为向第 </w:t>
      </w:r>
      <w:r>
        <w:rPr>
          <w:rFonts w:ascii="Consolas" w:hAnsi="Consolas"/>
          <w:i/>
          <w:color w:val="15803D"/>
          <w:sz w:val="18"/>
        </w:rPr>
        <w:t>k</w:t>
      </w:r>
      <w:r>
        <w:rPr>
          <w:rFonts w:ascii="微软雅黑" w:hAnsi="微软雅黑"/>
          <w:color w:val="1F2937"/>
          <w:sz w:val="18"/>
        </w:rPr>
        <w:t xml:space="preserve"> 家供应商采购该物料的实际重量（kg 或 t）；</w:t>
      </w:r>
      <w:r>
        <w:rPr>
          <w:rFonts w:ascii="Consolas" w:hAnsi="Consolas"/>
          <w:i/>
          <w:color w:val="15803D"/>
          <w:sz w:val="18"/>
        </w:rPr>
        <w:t>EF_k</w:t>
      </w:r>
      <w:r>
        <w:rPr>
          <w:rFonts w:ascii="微软雅黑" w:hAnsi="微软雅黑"/>
          <w:color w:val="1F2937"/>
          <w:sz w:val="18"/>
        </w:rPr>
        <w:t xml:space="preserve"> 为对应供应商核证因子；</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TeR</w:t>
      </w:r>
      <w:r>
        <w:rPr>
          <w:rFonts w:ascii="微软雅黑" w:hAnsi="微软雅黑"/>
          <w:color w:val="1F2937"/>
          <w:sz w:val="18"/>
        </w:rPr>
        <w:t>（技术代表性）、</w:t>
      </w:r>
      <w:r>
        <w:rPr>
          <w:rFonts w:ascii="Consolas" w:hAnsi="Consolas"/>
          <w:i/>
          <w:color w:val="15803D"/>
          <w:sz w:val="18"/>
        </w:rPr>
        <w:t>GeR</w:t>
      </w:r>
      <w:r>
        <w:rPr>
          <w:rFonts w:ascii="微软雅黑" w:hAnsi="微软雅黑"/>
          <w:color w:val="1F2937"/>
          <w:sz w:val="18"/>
        </w:rPr>
        <w:t>（地理代表性）、</w:t>
      </w:r>
      <w:r>
        <w:rPr>
          <w:rFonts w:ascii="Consolas" w:hAnsi="Consolas"/>
          <w:i/>
          <w:color w:val="15803D"/>
          <w:sz w:val="18"/>
        </w:rPr>
        <w:t>TiR</w:t>
      </w:r>
      <w:r>
        <w:rPr>
          <w:rFonts w:ascii="微软雅黑" w:hAnsi="微软雅黑"/>
          <w:color w:val="1F2937"/>
          <w:sz w:val="18"/>
        </w:rPr>
        <w:t>（时间代表性）、</w:t>
      </w:r>
      <w:r>
        <w:rPr>
          <w:rFonts w:ascii="Consolas" w:hAnsi="Consolas"/>
          <w:i/>
          <w:color w:val="15803D"/>
          <w:sz w:val="18"/>
        </w:rPr>
        <w:t>ReR</w:t>
      </w:r>
      <w:r>
        <w:rPr>
          <w:rFonts w:ascii="微软雅黑" w:hAnsi="微软雅黑"/>
          <w:color w:val="1F2937"/>
          <w:sz w:val="18"/>
        </w:rPr>
        <w:t>（可靠性）分别按 1~5 档评分；</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DQR 分级标准</w:t>
      </w:r>
      <w:r>
        <w:rPr>
          <w:rFonts w:ascii="微软雅黑" w:hAnsi="微软雅黑"/>
          <w:color w:val="1F2937"/>
          <w:sz w:val="18"/>
        </w:rPr>
        <w:t>：</w:t>
      </w:r>
      <w:r>
        <w:rPr>
          <w:rFonts w:ascii="Consolas" w:hAnsi="Consolas"/>
          <w:i/>
          <w:color w:val="15803D"/>
          <w:sz w:val="18"/>
        </w:rPr>
        <w:t>DQR \le 1.6</w:t>
      </w:r>
      <w:r>
        <w:rPr>
          <w:rFonts w:ascii="微软雅黑" w:hAnsi="微软雅黑"/>
          <w:color w:val="1F2937"/>
          <w:sz w:val="18"/>
        </w:rPr>
        <w:t xml:space="preserve"> 判定为高质量（一级数据）；</w:t>
      </w:r>
      <w:r>
        <w:rPr>
          <w:rFonts w:ascii="Consolas" w:hAnsi="Consolas"/>
          <w:i/>
          <w:color w:val="15803D"/>
          <w:sz w:val="18"/>
        </w:rPr>
        <w:t>1.6 &lt; DQR \le 3.0</w:t>
      </w:r>
      <w:r>
        <w:rPr>
          <w:rFonts w:ascii="微软雅黑" w:hAnsi="微软雅黑"/>
          <w:color w:val="1F2937"/>
          <w:sz w:val="18"/>
        </w:rPr>
        <w:t xml:space="preserve"> 判定为中质量；</w:t>
      </w:r>
      <w:r>
        <w:rPr>
          <w:rFonts w:ascii="Consolas" w:hAnsi="Consolas"/>
          <w:i/>
          <w:color w:val="15803D"/>
          <w:sz w:val="18"/>
        </w:rPr>
        <w:t>DQR &gt; 3.0</w:t>
      </w:r>
      <w:r>
        <w:rPr>
          <w:rFonts w:ascii="微软雅黑" w:hAnsi="微软雅黑"/>
          <w:color w:val="1F2937"/>
          <w:sz w:val="18"/>
        </w:rPr>
        <w:t xml:space="preserve"> 判定为低质量并触发合规预警；</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\Delta EF_{\text{pct}}</w:t>
      </w:r>
      <w:r>
        <w:rPr>
          <w:rFonts w:ascii="微软雅黑" w:hAnsi="微软雅黑"/>
          <w:color w:val="1F2937"/>
          <w:sz w:val="18"/>
        </w:rPr>
        <w:t xml:space="preserve"> 为负值代表物料绿色低碳化升级，正值代表碳排放强度上升。</w:t>
      </w:r>
    </w:p>
    <w:p>
      <w:pPr>
        <w:pStyle w:val="Heading2"/>
        <w:keepNext/>
        <w:spacing w:before="240" w:after="100"/>
      </w:pPr>
      <w:r>
        <w:rPr>
          <w:rFonts w:ascii="微软雅黑" w:hAnsi="微软雅黑"/>
          <w:b/>
          <w:color w:val="0284C7"/>
          <w:sz w:val="25"/>
        </w:rPr>
        <w:t>【6】展示、对标与判定口径</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双轨口径</w:t>
      </w:r>
      <w:r>
        <w:rPr>
          <w:rFonts w:ascii="微软雅黑" w:hAnsi="微软雅黑"/>
          <w:color w:val="1F2937"/>
          <w:sz w:val="18"/>
        </w:rPr>
        <w:t>：因子列表常态展示当前值与默认值，默认值作为时序对标基准。</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偏离口径</w:t>
      </w:r>
      <w:r>
        <w:rPr>
          <w:rFonts w:ascii="微软雅黑" w:hAnsi="微软雅黑"/>
          <w:color w:val="1F2937"/>
          <w:sz w:val="18"/>
        </w:rPr>
        <w:t>：</w:t>
      </w:r>
      <w:r>
        <w:rPr>
          <w:rFonts w:ascii="Consolas" w:hAnsi="Consolas"/>
          <w:i/>
          <w:color w:val="15803D"/>
          <w:sz w:val="18"/>
        </w:rPr>
        <w:t>\Delta EF_{\text{pct}} \le -5.00\%</w:t>
      </w:r>
      <w:r>
        <w:rPr>
          <w:rFonts w:ascii="微软雅黑" w:hAnsi="微软雅黑"/>
          <w:color w:val="1F2937"/>
          <w:sz w:val="18"/>
        </w:rPr>
        <w:t xml:space="preserve"> 标记绿色优化箭头，</w:t>
      </w:r>
      <w:r>
        <w:rPr>
          <w:rFonts w:ascii="Consolas" w:hAnsi="Consolas"/>
          <w:i/>
          <w:color w:val="15803D"/>
          <w:sz w:val="18"/>
        </w:rPr>
        <w:t>-5.00\% &lt; \Delta EF_{\text{pct}} \le +5.00\%</w:t>
      </w:r>
      <w:r>
        <w:rPr>
          <w:rFonts w:ascii="微软雅黑" w:hAnsi="微软雅黑"/>
          <w:color w:val="1F2937"/>
          <w:sz w:val="18"/>
        </w:rPr>
        <w:t xml:space="preserve"> 标记灰色持平，</w:t>
      </w:r>
      <w:r>
        <w:rPr>
          <w:rFonts w:ascii="Consolas" w:hAnsi="Consolas"/>
          <w:i/>
          <w:color w:val="15803D"/>
          <w:sz w:val="18"/>
        </w:rPr>
        <w:t>\Delta EF_{\text{pct}} &gt; +5.00\%</w:t>
      </w:r>
      <w:r>
        <w:rPr>
          <w:rFonts w:ascii="微软雅黑" w:hAnsi="微软雅黑"/>
          <w:color w:val="1F2937"/>
          <w:sz w:val="18"/>
        </w:rPr>
        <w:t xml:space="preserve"> 标记黄色提示。</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锁定口径</w:t>
      </w:r>
      <w:r>
        <w:rPr>
          <w:rFonts w:ascii="微软雅黑" w:hAnsi="微软雅黑"/>
          <w:color w:val="1F2937"/>
          <w:sz w:val="18"/>
        </w:rPr>
        <w:t xml:space="preserve">：凡被标记为 </w:t>
      </w:r>
      <w:r>
        <w:rPr>
          <w:rFonts w:ascii="Consolas" w:hAnsi="Consolas"/>
          <w:b w:val="0"/>
          <w:color w:val="0284C7"/>
          <w:sz w:val="16"/>
        </w:rPr>
        <w:t xml:space="preserve"> LCA_CERTIFIED </w:t>
      </w:r>
      <w:r>
        <w:rPr>
          <w:rFonts w:ascii="微软雅黑" w:hAnsi="微软雅黑"/>
          <w:color w:val="1F2937"/>
          <w:sz w:val="18"/>
        </w:rPr>
        <w:t xml:space="preserve"> 或 </w:t>
      </w:r>
      <w:r>
        <w:rPr>
          <w:rFonts w:ascii="Consolas" w:hAnsi="Consolas"/>
          <w:b w:val="0"/>
          <w:color w:val="0284C7"/>
          <w:sz w:val="16"/>
        </w:rPr>
        <w:t xml:space="preserve"> CBAM_DECLARED </w:t>
      </w:r>
      <w:r>
        <w:rPr>
          <w:rFonts w:ascii="微软雅黑" w:hAnsi="微软雅黑"/>
          <w:color w:val="1F2937"/>
          <w:sz w:val="18"/>
        </w:rPr>
        <w:t xml:space="preserve"> 报告所引用的因子版本强制锁定，仅允许通过发布新版本推进。</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空值口径</w:t>
      </w:r>
      <w:r>
        <w:rPr>
          <w:rFonts w:ascii="微软雅黑" w:hAnsi="微软雅黑"/>
          <w:color w:val="1F2937"/>
          <w:sz w:val="18"/>
        </w:rPr>
        <w:t xml:space="preserve">：新建因子无历史基准时默认值显示 </w:t>
      </w:r>
      <w:r>
        <w:rPr>
          <w:rFonts w:ascii="Consolas" w:hAnsi="Consolas"/>
          <w:b w:val="0"/>
          <w:color w:val="0284C7"/>
          <w:sz w:val="16"/>
        </w:rPr>
        <w:t xml:space="preserve"> -- </w:t>
      </w:r>
      <w:r>
        <w:rPr>
          <w:rFonts w:ascii="微软雅黑" w:hAnsi="微软雅黑"/>
          <w:color w:val="1F2937"/>
          <w:sz w:val="18"/>
        </w:rPr>
        <w:t xml:space="preserve">；缺失实测值时强制匹配公用数据库缺省值，严禁显示 </w:t>
      </w:r>
      <w:r>
        <w:rPr>
          <w:rFonts w:ascii="Consolas" w:hAnsi="Consolas"/>
          <w:b w:val="0"/>
          <w:color w:val="0284C7"/>
          <w:sz w:val="16"/>
        </w:rPr>
        <w:t xml:space="preserve"> 0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溯源口径</w:t>
      </w:r>
      <w:r>
        <w:rPr>
          <w:rFonts w:ascii="微软雅黑" w:hAnsi="微软雅黑"/>
          <w:color w:val="1F2937"/>
          <w:sz w:val="18"/>
        </w:rPr>
        <w:t>：每个因子卡片与行内明确展示版本号、核验机构、有效截止期与操作员工号，保障审计双向追溯。</w:t>
      </w:r>
    </w:p>
    <w:p>
      <w:pPr>
        <w:pStyle w:val="Heading2"/>
        <w:keepNext/>
        <w:spacing w:before="240" w:after="100"/>
      </w:pPr>
      <w:r>
        <w:rPr>
          <w:rFonts w:ascii="微软雅黑" w:hAnsi="微软雅黑"/>
          <w:b/>
          <w:color w:val="0284C7"/>
          <w:sz w:val="25"/>
        </w:rPr>
        <w:t>【7】边界条件、异常处理与防错规则</w:t>
      </w:r>
    </w:p>
    <w:p>
      <w:pPr>
        <w:spacing w:before="20" w:after="60" w:line="276" w:lineRule="auto"/>
      </w:pPr>
      <w:r>
        <w:rPr>
          <w:rFonts w:ascii="微软雅黑" w:hAnsi="微软雅黑"/>
          <w:color w:val="1F2937"/>
          <w:sz w:val="18"/>
        </w:rPr>
        <w:t>⚠️ 【研发设计红线与强约束校验】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除零安全防御</w:t>
      </w:r>
      <w:r>
        <w:rPr>
          <w:rFonts w:ascii="微软雅黑" w:hAnsi="微软雅黑"/>
          <w:color w:val="1F2937"/>
          <w:sz w:val="18"/>
        </w:rPr>
        <w:t xml:space="preserve">：多供应商加权核算中，当采购总重 </w:t>
      </w:r>
      <w:r>
        <w:rPr>
          <w:rFonts w:ascii="Consolas" w:hAnsi="Consolas"/>
          <w:i/>
          <w:color w:val="15803D"/>
          <w:sz w:val="18"/>
        </w:rPr>
        <w:t>\sum W_j = 0</w:t>
      </w:r>
      <w:r>
        <w:rPr>
          <w:rFonts w:ascii="微软雅黑" w:hAnsi="微软雅黑"/>
          <w:color w:val="1F2937"/>
          <w:sz w:val="18"/>
        </w:rPr>
        <w:t xml:space="preserve"> 时，加权因子自动兜底采用国家标准缺省值，记录 </w:t>
      </w:r>
      <w:r>
        <w:rPr>
          <w:rFonts w:ascii="Consolas" w:hAnsi="Consolas"/>
          <w:b w:val="0"/>
          <w:color w:val="0284C7"/>
          <w:sz w:val="16"/>
        </w:rPr>
        <w:t xml:space="preserve"> E_CALC_FACTOR_WEIGHT_ZERO_FALLBACK </w:t>
      </w:r>
      <w:r>
        <w:rPr>
          <w:rFonts w:ascii="微软雅黑" w:hAnsi="微软雅黑"/>
          <w:color w:val="1F2937"/>
          <w:sz w:val="18"/>
        </w:rPr>
        <w:t xml:space="preserve">，系统不出现 </w:t>
      </w:r>
      <w:r>
        <w:rPr>
          <w:rFonts w:ascii="Consolas" w:hAnsi="Consolas"/>
          <w:b w:val="0"/>
          <w:color w:val="0284C7"/>
          <w:sz w:val="16"/>
        </w:rPr>
        <w:t xml:space="preserve"> NaN </w:t>
      </w:r>
      <w:r>
        <w:rPr>
          <w:rFonts w:ascii="微软雅黑" w:hAnsi="微软雅黑"/>
          <w:color w:val="1F2937"/>
          <w:sz w:val="18"/>
        </w:rPr>
        <w:t xml:space="preserve"> 或白屏。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因子数值非正数强阻断</w:t>
      </w:r>
      <w:r>
        <w:rPr>
          <w:rFonts w:ascii="微软雅黑" w:hAnsi="微软雅黑"/>
          <w:color w:val="1F2937"/>
          <w:sz w:val="18"/>
        </w:rPr>
        <w:t xml:space="preserve">：录入因子必须满足 </w:t>
      </w:r>
      <w:r>
        <w:rPr>
          <w:rFonts w:ascii="Consolas" w:hAnsi="Consolas"/>
          <w:i/>
          <w:color w:val="15803D"/>
          <w:sz w:val="18"/>
        </w:rPr>
        <w:t>EF_{\text{current}} &gt; 0</w:t>
      </w:r>
      <w:r>
        <w:rPr>
          <w:rFonts w:ascii="微软雅黑" w:hAnsi="微软雅黑"/>
          <w:color w:val="1F2937"/>
          <w:sz w:val="18"/>
        </w:rPr>
        <w:t xml:space="preserve">，输入 </w:t>
      </w:r>
      <w:r>
        <w:rPr>
          <w:rFonts w:ascii="Consolas" w:hAnsi="Consolas"/>
          <w:i/>
          <w:color w:val="15803D"/>
          <w:sz w:val="18"/>
        </w:rPr>
        <w:t>\le 0</w:t>
      </w:r>
      <w:r>
        <w:rPr>
          <w:rFonts w:ascii="微软雅黑" w:hAnsi="微软雅黑"/>
          <w:color w:val="1F2937"/>
          <w:sz w:val="18"/>
        </w:rPr>
        <w:t xml:space="preserve"> 时阻断提交并提示“因子数值必须严格大于0”，触发 </w:t>
      </w:r>
      <w:r>
        <w:rPr>
          <w:rFonts w:ascii="Consolas" w:hAnsi="Consolas"/>
          <w:b w:val="0"/>
          <w:color w:val="0284C7"/>
          <w:sz w:val="16"/>
        </w:rPr>
        <w:t xml:space="preserve"> E_VAL_FACTOR_NON_POSITIVE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在用因子物理删除阻断</w:t>
      </w:r>
      <w:r>
        <w:rPr>
          <w:rFonts w:ascii="微软雅黑" w:hAnsi="微软雅黑"/>
          <w:color w:val="1F2937"/>
          <w:sz w:val="18"/>
        </w:rPr>
        <w:t xml:space="preserve">：已被认证报告引用的因子版本禁止执行物理删除，系统弹出强阻断提示并返回错误码 </w:t>
      </w:r>
      <w:r>
        <w:rPr>
          <w:rFonts w:ascii="Consolas" w:hAnsi="Consolas"/>
          <w:b w:val="0"/>
          <w:color w:val="0284C7"/>
          <w:sz w:val="16"/>
        </w:rPr>
        <w:t xml:space="preserve"> E_FACTOR_IN_USE_DELETE_DENIED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版本号冲突阻断</w:t>
      </w:r>
      <w:r>
        <w:rPr>
          <w:rFonts w:ascii="微软雅黑" w:hAnsi="微软雅黑"/>
          <w:color w:val="1F2937"/>
          <w:sz w:val="18"/>
        </w:rPr>
        <w:t xml:space="preserve">：手动录入版本号若低于当前版本或与已有版本重复，系统阻断保存，触发 </w:t>
      </w:r>
      <w:r>
        <w:rPr>
          <w:rFonts w:ascii="Consolas" w:hAnsi="Consolas"/>
          <w:b w:val="0"/>
          <w:color w:val="0284C7"/>
          <w:sz w:val="16"/>
        </w:rPr>
        <w:t xml:space="preserve"> E_FACTOR_VERSION_CONFLICT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RBAC 越权拦截</w:t>
      </w:r>
      <w:r>
        <w:rPr>
          <w:rFonts w:ascii="微软雅黑" w:hAnsi="微软雅黑"/>
          <w:color w:val="1F2937"/>
          <w:sz w:val="18"/>
        </w:rPr>
        <w:t xml:space="preserve">：仅 P4 角色具备因子新增、编辑与回滚权限，非授权角色操作返回 </w:t>
      </w:r>
      <w:r>
        <w:rPr>
          <w:rFonts w:ascii="Consolas" w:hAnsi="Consolas"/>
          <w:b w:val="0"/>
          <w:color w:val="0284C7"/>
          <w:sz w:val="16"/>
        </w:rPr>
        <w:t xml:space="preserve"> HTTP 403 </w:t>
      </w:r>
      <w:r>
        <w:rPr>
          <w:rFonts w:ascii="微软雅黑" w:hAnsi="微软雅黑"/>
          <w:color w:val="1F2937"/>
          <w:sz w:val="18"/>
        </w:rPr>
        <w:t xml:space="preserve">，触发 </w:t>
      </w:r>
      <w:r>
        <w:rPr>
          <w:rFonts w:ascii="Consolas" w:hAnsi="Consolas"/>
          <w:b w:val="0"/>
          <w:color w:val="0284C7"/>
          <w:sz w:val="16"/>
        </w:rPr>
        <w:t xml:space="preserve"> E_AUTH_RBAC_FORBIDDEN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回滚必须留痕</w:t>
      </w:r>
      <w:r>
        <w:rPr>
          <w:rFonts w:ascii="微软雅黑" w:hAnsi="微软雅黑"/>
          <w:color w:val="1F2937"/>
          <w:sz w:val="18"/>
        </w:rPr>
        <w:t>：执行版本回滚必须填写不少于 10 个字符的业务原因说明，空理由禁止提交。</w:t>
      </w:r>
    </w:p>
    <w:p>
      <w:pPr>
        <w:pStyle w:val="Heading2"/>
        <w:keepNext/>
        <w:spacing w:before="240" w:after="100"/>
      </w:pPr>
      <w:r>
        <w:rPr>
          <w:rFonts w:ascii="微软雅黑" w:hAnsi="微软雅黑"/>
          <w:b/>
          <w:color w:val="0284C7"/>
          <w:sz w:val="25"/>
        </w:rPr>
        <w:t>【8】QA 自动化验收准则（Gherkin BDD）</w:t>
      </w:r>
    </w:p>
    <w:p>
      <w:pPr>
        <w:spacing w:before="20" w:after="60" w:line="276" w:lineRule="auto"/>
      </w:pPr>
      <w:r>
        <w:rPr>
          <w:rFonts w:ascii="微软雅黑" w:hAnsi="微软雅黑"/>
          <w:color w:val="1F2937"/>
          <w:sz w:val="18"/>
        </w:rPr>
        <w:t>🧪 【QA 自动化验收准则 · Gherkin BDD 用例契约】</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原材料碳排因子全生命周期治理与版本控制</w:t>
            </w:r>
          </w:p>
          <w:p>
            <w:pPr>
              <w:spacing w:before="0" w:after="20" w:line="264" w:lineRule="auto"/>
            </w:pPr>
            <w:r>
              <w:rPr>
                <w:rFonts w:ascii="Consolas" w:hAnsi="Consolas"/>
                <w:b/>
                <w:color w:val="0284C7"/>
                <w:sz w:val="16"/>
              </w:rPr>
              <w:t xml:space="preserve">  Scenario: 供应商实测高保真因子新增与版本初始化</w:t>
            </w:r>
          </w:p>
          <w:p>
            <w:pPr>
              <w:spacing w:before="0" w:after="20" w:line="264" w:lineRule="auto"/>
            </w:pPr>
            <w:r>
              <w:rPr>
                <w:rFonts w:ascii="Consolas" w:hAnsi="Consolas"/>
                <w:color w:val="1F2937"/>
                <w:sz w:val="16"/>
              </w:rPr>
              <w:t xml:space="preserve">    Given P4 认证工程师登录并进入变压器产业原材料因子管理界面</w:t>
            </w:r>
          </w:p>
          <w:p>
            <w:pPr>
              <w:spacing w:before="0" w:after="20" w:line="264" w:lineRule="auto"/>
            </w:pPr>
            <w:r>
              <w:rPr>
                <w:rFonts w:ascii="Consolas" w:hAnsi="Consolas"/>
                <w:color w:val="1F2937"/>
                <w:sz w:val="16"/>
              </w:rPr>
              <w:t xml:space="preserve">    When 点击新建因子，录入名称 "高磁导取向硅钢片", 产业 "变压器产业", 因子值 1.9500, 单位 "kgCO2e/kg", 来源 "供应商实测", 提供方 "宝钢股份"</w:t>
            </w:r>
          </w:p>
          <w:p>
            <w:pPr>
              <w:spacing w:before="0" w:after="20" w:line="264" w:lineRule="auto"/>
            </w:pPr>
            <w:r>
              <w:rPr>
                <w:rFonts w:ascii="Consolas" w:hAnsi="Consolas"/>
                <w:b/>
                <w:color w:val="16A34A"/>
                <w:sz w:val="16"/>
              </w:rPr>
              <w:t xml:space="preserve">    Then 系统保存成功并生成唯一编码 RM 开头</w:t>
            </w:r>
          </w:p>
          <w:p>
            <w:pPr>
              <w:spacing w:before="0" w:after="20" w:line="264" w:lineRule="auto"/>
            </w:pPr>
            <w:r>
              <w:rPr>
                <w:rFonts w:ascii="Consolas" w:hAnsi="Consolas"/>
                <w:color w:val="1F2937"/>
                <w:sz w:val="16"/>
              </w:rPr>
              <w:t xml:space="preserve">    And 当前生效因子值显示为 1.9500</w:t>
            </w:r>
          </w:p>
          <w:p>
            <w:pPr>
              <w:spacing w:before="0" w:after="20" w:line="264" w:lineRule="auto"/>
            </w:pPr>
            <w:r>
              <w:rPr>
                <w:rFonts w:ascii="Consolas" w:hAnsi="Consolas"/>
                <w:color w:val="1F2937"/>
                <w:sz w:val="16"/>
              </w:rPr>
              <w:t xml:space="preserve">    And 默认值列自动初始化为 1.9500</w:t>
            </w:r>
          </w:p>
          <w:p>
            <w:pPr>
              <w:spacing w:before="0" w:after="20" w:line="264" w:lineRule="auto"/>
            </w:pPr>
            <w:r>
              <w:rPr>
                <w:rFonts w:ascii="Consolas" w:hAnsi="Consolas"/>
                <w:color w:val="1F2937"/>
                <w:sz w:val="16"/>
              </w:rPr>
              <w:t xml:space="preserve">    And 历史版本流水中自动写入版本号 "v1.0" 与操作人员工号</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被引用因子不可变性与删除强阻断防御</w:t>
            </w:r>
          </w:p>
          <w:p>
            <w:pPr>
              <w:spacing w:before="0" w:after="20" w:line="264" w:lineRule="auto"/>
            </w:pPr>
            <w:r>
              <w:rPr>
                <w:rFonts w:ascii="Consolas" w:hAnsi="Consolas"/>
                <w:color w:val="1F2937"/>
                <w:sz w:val="16"/>
              </w:rPr>
              <w:t xml:space="preserve">    Given 某原材料因子 "电解铜" (RM002, v3.2) 已被型号 "SZ11-50000/110" 的已归档 LCA 报告引用</w:t>
            </w:r>
          </w:p>
          <w:p>
            <w:pPr>
              <w:spacing w:before="0" w:after="20" w:line="264" w:lineRule="auto"/>
            </w:pPr>
            <w:r>
              <w:rPr>
                <w:rFonts w:ascii="Consolas" w:hAnsi="Consolas"/>
                <w:color w:val="1F2937"/>
                <w:sz w:val="16"/>
              </w:rPr>
              <w:t xml:space="preserve">    When 用户在列表操作列尝试点击 "删除" 按钮</w:t>
            </w:r>
          </w:p>
          <w:p>
            <w:pPr>
              <w:spacing w:before="0" w:after="20" w:line="264" w:lineRule="auto"/>
            </w:pPr>
            <w:r>
              <w:rPr>
                <w:rFonts w:ascii="Consolas" w:hAnsi="Consolas"/>
                <w:b/>
                <w:color w:val="16A34A"/>
                <w:sz w:val="16"/>
              </w:rPr>
              <w:t xml:space="preserve">    Then "删除" 按钮处于置灰禁用状态并悬停提示 "该因子已被生效报告引用，禁止删除"</w:t>
            </w:r>
          </w:p>
          <w:p>
            <w:pPr>
              <w:spacing w:before="0" w:after="20" w:line="264" w:lineRule="auto"/>
            </w:pPr>
            <w:r>
              <w:rPr>
                <w:rFonts w:ascii="Consolas" w:hAnsi="Consolas"/>
                <w:color w:val="1F2937"/>
                <w:sz w:val="16"/>
              </w:rPr>
              <w:t xml:space="preserve">    And 后台 API 拦截该 DELETE 请求并返回错误码 E_FACTOR_IN_USE_DELETE_DENIED</w:t>
            </w:r>
          </w:p>
          <w:p>
            <w:pPr>
              <w:spacing w:before="0" w:after="20" w:line="264" w:lineRule="auto"/>
            </w:pPr>
            <w:r>
              <w:rPr>
                <w:rFonts w:ascii="Consolas" w:hAnsi="Consolas"/>
                <w:color w:val="1F2937"/>
                <w:sz w:val="16"/>
              </w:rPr>
              <w:t xml:space="preserve">    And 数据库中该行数据保持完整未受破坏</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因子版本一键回滚与默认值重置流水断言</w:t>
            </w:r>
          </w:p>
          <w:p>
            <w:pPr>
              <w:spacing w:before="0" w:after="20" w:line="264" w:lineRule="auto"/>
            </w:pPr>
            <w:r>
              <w:rPr>
                <w:rFonts w:ascii="Consolas" w:hAnsi="Consolas"/>
                <w:color w:val="1F2937"/>
                <w:sz w:val="16"/>
              </w:rPr>
              <w:t xml:space="preserve">    Given 原材料因子 "电工铝锭" 当前版本为 "v2.6", 因子值为 8.1000, 历史存在版本 "v2.5" (因子值 7.8000)</w:t>
            </w:r>
          </w:p>
          <w:p>
            <w:pPr>
              <w:spacing w:before="0" w:after="20" w:line="264" w:lineRule="auto"/>
            </w:pPr>
            <w:r>
              <w:rPr>
                <w:rFonts w:ascii="Consolas" w:hAnsi="Consolas"/>
                <w:color w:val="1F2937"/>
                <w:sz w:val="16"/>
              </w:rPr>
              <w:t xml:space="preserve">    When 用户在版本抽屉中选中 "v2.5" 并点击 "回滚至此版本", 填写理由 "有色协会数据复测更正说明"</w:t>
            </w:r>
          </w:p>
          <w:p>
            <w:pPr>
              <w:spacing w:before="0" w:after="20" w:line="264" w:lineRule="auto"/>
            </w:pPr>
            <w:r>
              <w:rPr>
                <w:rFonts w:ascii="Consolas" w:hAnsi="Consolas"/>
                <w:b/>
                <w:color w:val="16A34A"/>
                <w:sz w:val="16"/>
              </w:rPr>
              <w:t xml:space="preserve">    Then 因子当前生效值更新为 7.8000</w:t>
            </w:r>
          </w:p>
          <w:p>
            <w:pPr>
              <w:spacing w:before="0" w:after="20" w:line="264" w:lineRule="auto"/>
            </w:pPr>
            <w:r>
              <w:rPr>
                <w:rFonts w:ascii="Consolas" w:hAnsi="Consolas"/>
                <w:color w:val="1F2937"/>
                <w:sz w:val="16"/>
              </w:rPr>
              <w:t xml:space="preserve">    And 默认值列自动变更为回滚前的当前值 8.1000</w:t>
            </w:r>
          </w:p>
          <w:p>
            <w:pPr>
              <w:spacing w:before="0" w:after="20" w:line="264" w:lineRule="auto"/>
            </w:pPr>
            <w:r>
              <w:rPr>
                <w:rFonts w:ascii="Consolas" w:hAnsi="Consolas"/>
                <w:color w:val="1F2937"/>
                <w:sz w:val="16"/>
              </w:rPr>
              <w:t xml:space="preserve">    And 系统生成新版本节点 "v3.0 (回滚自 v2.5)"</w:t>
            </w:r>
          </w:p>
          <w:p>
            <w:pPr>
              <w:spacing w:before="0" w:after="20" w:line="264" w:lineRule="auto"/>
            </w:pPr>
            <w:r>
              <w:rPr>
                <w:rFonts w:ascii="Consolas" w:hAnsi="Consolas"/>
                <w:color w:val="1F2937"/>
                <w:sz w:val="16"/>
              </w:rPr>
              <w:t xml:space="preserve">    And 审计日志表中新增一条操作类型为 "因子版本回滚" 的留痕记录</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极限数值除零防御与非法输入拦截</w:t>
            </w:r>
          </w:p>
          <w:p>
            <w:pPr>
              <w:spacing w:before="0" w:after="20" w:line="264" w:lineRule="auto"/>
            </w:pPr>
            <w:r>
              <w:rPr>
                <w:rFonts w:ascii="Consolas" w:hAnsi="Consolas"/>
                <w:color w:val="1F2937"/>
                <w:sz w:val="16"/>
              </w:rPr>
              <w:t xml:space="preserve">    Given 用户在录入界面将因子值输入为 "0" 或 "-1.25"</w:t>
            </w:r>
          </w:p>
          <w:p>
            <w:pPr>
              <w:spacing w:before="0" w:after="20" w:line="264" w:lineRule="auto"/>
            </w:pPr>
            <w:r>
              <w:rPr>
                <w:rFonts w:ascii="Consolas" w:hAnsi="Consolas"/>
                <w:color w:val="1F2937"/>
                <w:sz w:val="16"/>
              </w:rPr>
              <w:t xml:space="preserve">    When 用户点击确认提交表单</w:t>
            </w:r>
          </w:p>
          <w:p>
            <w:pPr>
              <w:spacing w:before="0" w:after="20" w:line="264" w:lineRule="auto"/>
            </w:pPr>
            <w:r>
              <w:rPr>
                <w:rFonts w:ascii="Consolas" w:hAnsi="Consolas"/>
                <w:b/>
                <w:color w:val="16A34A"/>
                <w:sz w:val="16"/>
              </w:rPr>
              <w:t xml:space="preserve">    Then 输入框下方立即出现红色校验告警 "因子数值必须严格大于0"</w:t>
            </w:r>
          </w:p>
          <w:p>
            <w:pPr>
              <w:spacing w:before="0" w:after="20" w:line="264" w:lineRule="auto"/>
            </w:pPr>
            <w:r>
              <w:rPr>
                <w:rFonts w:ascii="Consolas" w:hAnsi="Consolas"/>
                <w:color w:val="1F2937"/>
                <w:sz w:val="16"/>
              </w:rPr>
              <w:t xml:space="preserve">    And 提交按钮被禁用，阻断表单向后端发起无效请求</w:t>
            </w:r>
          </w:p>
          <w:p>
            <w:pPr>
              <w:spacing w:before="0" w:after="20" w:line="264" w:lineRule="auto"/>
            </w:pPr>
            <w:r>
              <w:rPr>
                <w:rFonts w:ascii="Consolas" w:hAnsi="Consolas"/>
                <w:color w:val="1F2937"/>
                <w:sz w:val="16"/>
              </w:rPr>
              <w:t xml:space="preserve">    And 系统不产生任何前端脚本崩溃或未捕获异常</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第3章 电力碳排因子管理功能需求规格 (Power Factor)</w:t>
      </w:r>
    </w:p>
    <w:p>
      <w:pPr>
        <w:pStyle w:val="Heading2"/>
        <w:keepNext/>
        <w:spacing w:before="240" w:after="100"/>
      </w:pPr>
      <w:r>
        <w:rPr>
          <w:rFonts w:ascii="微软雅黑" w:hAnsi="微软雅黑"/>
          <w:b/>
          <w:color w:val="0284C7"/>
          <w:sz w:val="25"/>
        </w:rPr>
        <w:t>【1】定位与架构角色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功能定位</w:t>
      </w:r>
      <w:r>
        <w:rPr>
          <w:rFonts w:ascii="微软雅黑" w:hAnsi="微软雅黑"/>
          <w:color w:val="1F2937"/>
          <w:sz w:val="18"/>
        </w:rPr>
        <w:t>：作为全集团范围二（Scope 2）外购电力间接温室气体排放核算、车间工序分时用电碳排分析与市场化绿电消纳抵扣的核心参数库，实现国家级、区域电网级、省域电网级以及特定清洁电源级因子的统一纳管与版本同步。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承载角色</w:t>
      </w:r>
      <w:r>
        <w:rPr>
          <w:rFonts w:ascii="微软雅黑" w:hAnsi="微软雅黑"/>
          <w:color w:val="1F2937"/>
          <w:sz w:val="18"/>
        </w:rPr>
        <w:t>：P1 集团决策层（只读查验全网平均因子）、P2 园区能碳专员（属地电网因子匹配）、P4 碳核算工程师（绿电消纳核准与证书冲抵）。</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页面路由</w:t>
      </w:r>
      <w:r>
        <w:rPr>
          <w:rFonts w:ascii="微软雅黑" w:hAnsi="微软雅黑"/>
          <w:color w:val="1F2937"/>
          <w:sz w:val="18"/>
        </w:rPr>
        <w:t>：</w:t>
      </w:r>
      <w:r>
        <w:rPr>
          <w:rFonts w:ascii="Consolas" w:hAnsi="Consolas"/>
          <w:b w:val="0"/>
          <w:color w:val="0284C7"/>
          <w:sz w:val="16"/>
        </w:rPr>
        <w:t xml:space="preserve"> /carbon-footprint/factor/power </w:t>
      </w:r>
      <w:r>
        <w:rPr>
          <w:rFonts w:ascii="微软雅黑" w:hAnsi="微软雅黑"/>
          <w:color w:val="1F2937"/>
          <w:sz w:val="18"/>
        </w:rPr>
        <w:t xml:space="preserve">（集采中心消费视图）与 </w:t>
      </w:r>
      <w:r>
        <w:rPr>
          <w:rFonts w:ascii="Consolas" w:hAnsi="Consolas"/>
          <w:b w:val="0"/>
          <w:color w:val="0284C7"/>
          <w:sz w:val="16"/>
        </w:rPr>
        <w:t xml:space="preserve"> /zero-carbon/config/factor/power </w:t>
      </w:r>
      <w:r>
        <w:rPr>
          <w:rFonts w:ascii="微软雅黑" w:hAnsi="微软雅黑"/>
          <w:color w:val="1F2937"/>
          <w:sz w:val="18"/>
        </w:rPr>
        <w:t>（集控中心管理视图）。</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上游依赖</w:t>
      </w:r>
      <w:r>
        <w:rPr>
          <w:rFonts w:ascii="微软雅黑" w:hAnsi="微软雅黑"/>
          <w:color w:val="1F2937"/>
          <w:sz w:val="18"/>
        </w:rPr>
        <w:t>：生态环境部与国家统计局年度《中国区域电网基准线排放因子》公开发布版、北京电力交易中心与广州电力交易中心绿证（GEC）划转核销记录。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下游输出</w:t>
      </w:r>
      <w:r>
        <w:rPr>
          <w:rFonts w:ascii="微软雅黑" w:hAnsi="微软雅黑"/>
          <w:color w:val="1F2937"/>
          <w:sz w:val="18"/>
        </w:rPr>
        <w:t>：用能在线监测（</w:t>
      </w:r>
      <w:r>
        <w:rPr>
          <w:rFonts w:ascii="Consolas" w:hAnsi="Consolas"/>
          <w:b w:val="0"/>
          <w:color w:val="0284C7"/>
          <w:sz w:val="16"/>
        </w:rPr>
        <w:t xml:space="preserve"> /zero-carbon/monitor/online/usage </w:t>
      </w:r>
      <w:r>
        <w:rPr>
          <w:rFonts w:ascii="微软雅黑" w:hAnsi="微软雅黑"/>
          <w:color w:val="1F2937"/>
          <w:sz w:val="18"/>
        </w:rPr>
        <w:t>，日/月电力间接碳排计算）、工业微电网监测（</w:t>
      </w:r>
      <w:r>
        <w:rPr>
          <w:rFonts w:ascii="Consolas" w:hAnsi="Consolas"/>
          <w:b w:val="0"/>
          <w:color w:val="0284C7"/>
          <w:sz w:val="16"/>
        </w:rPr>
        <w:t xml:space="preserve"> /zero-carbon/monitor/online/microgrid </w:t>
      </w:r>
      <w:r>
        <w:rPr>
          <w:rFonts w:ascii="微软雅黑" w:hAnsi="微软雅黑"/>
          <w:color w:val="1F2937"/>
          <w:sz w:val="18"/>
        </w:rPr>
        <w:t>，自发自用光伏消纳减碳量核算）、产品 LCA 生产制造阶段电力间接排放分摊。</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本文档定位</w:t>
      </w:r>
      <w:r>
        <w:rPr>
          <w:rFonts w:ascii="微软雅黑" w:hAnsi="微软雅黑"/>
          <w:color w:val="1F2937"/>
          <w:sz w:val="18"/>
        </w:rPr>
        <w:t>：本模块在集采中心展现为只读视图，在集控中心基础管理提供维护支持，严格遵循八段式完整度。</w:t>
      </w:r>
    </w:p>
    <w:p>
      <w:pPr>
        <w:pStyle w:val="Heading2"/>
        <w:keepNext/>
        <w:spacing w:before="240" w:after="100"/>
      </w:pPr>
      <w:r>
        <w:rPr>
          <w:rFonts w:ascii="微软雅黑" w:hAnsi="微软雅黑"/>
          <w:b/>
          <w:color w:val="0284C7"/>
          <w:sz w:val="25"/>
        </w:rPr>
        <w:t>【2】业务场景与用户故事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业务场景描述</w:t>
      </w:r>
      <w:r>
        <w:rPr>
          <w:rFonts w:ascii="微软雅黑" w:hAnsi="微软雅黑"/>
          <w:color w:val="1F2937"/>
          <w:sz w:val="18"/>
        </w:rPr>
        <w:t>：特变电工在全国拥有 15 大现代化产业园区，分布于新疆（西北电网）、天津/北京（华北电网）、上海（华东电网）、湖南（华中电网）、辽宁（东北电网）与广东（南方电网）。不同属地电网因能源结构差异，电力排放因子相差显著（从华东 0.5257 到西北 0.6127 kgCO2e/kWh）；同时各厂区大力消纳屋顶光伏与直购绿电。系统需根据生产工厂的属地电网与绿电交易凭证精准匹配电力碳排因子。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TEXT】</w:t>
              <w:br/>
            </w:r>
          </w:p>
          <w:p>
            <w:pPr>
              <w:spacing w:before="0" w:after="20" w:line="252" w:lineRule="auto"/>
            </w:pPr>
            <w:r>
              <w:rPr>
                <w:rFonts w:ascii="Consolas" w:hAnsi="Consolas"/>
                <w:color w:val="0F172A"/>
                <w:sz w:val="15"/>
              </w:rPr>
              <w:t xml:space="preserve">  As a 园区能碳专员 (Persona P2)，</w:t>
            </w:r>
          </w:p>
          <w:p>
            <w:pPr>
              <w:spacing w:before="0" w:after="20" w:line="252" w:lineRule="auto"/>
            </w:pPr>
            <w:r>
              <w:rPr>
                <w:rFonts w:ascii="Consolas" w:hAnsi="Consolas"/>
                <w:color w:val="0F172A"/>
                <w:sz w:val="15"/>
              </w:rPr>
              <w:t xml:space="preserve">  I want 按照工厂属地省份与区域电网检索生效的电力碳排因子，并查看常规市电、自发自用光伏与绿电交易的对应因子值，</w:t>
            </w:r>
          </w:p>
          <w:p>
            <w:pPr>
              <w:spacing w:before="0" w:after="20" w:line="252" w:lineRule="auto"/>
            </w:pPr>
            <w:r>
              <w:rPr>
                <w:rFonts w:ascii="Consolas" w:hAnsi="Consolas"/>
                <w:color w:val="0F172A"/>
                <w:sz w:val="15"/>
              </w:rPr>
              <w:t xml:space="preserve">  So that 我能准确核算车间及全厂外购电力的真实 Scope 2 间接排放，并在核销绿电后合规享受零碳排放核减。</w:t>
            </w:r>
          </w:p>
        </w:tc>
      </w:tr>
    </w:tbl>
    <w:p>
      <w:pPr>
        <w:spacing w:after="40"/>
      </w:pPr>
    </w:p>
    <w:p>
      <w:pPr>
        <w:pStyle w:val="Heading2"/>
        <w:keepNext/>
        <w:spacing w:before="240" w:after="100"/>
      </w:pPr>
      <w:r>
        <w:rPr>
          <w:rFonts w:ascii="微软雅黑" w:hAnsi="微软雅黑"/>
          <w:b/>
          <w:color w:val="0284C7"/>
          <w:sz w:val="25"/>
        </w:rPr>
        <w:t>【3】功能规格与交互契约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多维组合筛选与视图组织</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顶部提供【区域电网】切片（</w:t>
      </w:r>
      <w:r>
        <w:rPr>
          <w:rFonts w:ascii="Consolas" w:hAnsi="Consolas"/>
          <w:b w:val="0"/>
          <w:color w:val="0284C7"/>
          <w:sz w:val="16"/>
        </w:rPr>
        <w:t xml:space="preserve"> 华北 </w:t>
      </w:r>
      <w:r>
        <w:rPr>
          <w:rFonts w:ascii="微软雅黑" w:hAnsi="微软雅黑"/>
          <w:color w:val="1F2937"/>
          <w:sz w:val="18"/>
        </w:rPr>
        <w:t xml:space="preserve"> / </w:t>
      </w:r>
      <w:r>
        <w:rPr>
          <w:rFonts w:ascii="Consolas" w:hAnsi="Consolas"/>
          <w:b w:val="0"/>
          <w:color w:val="0284C7"/>
          <w:sz w:val="16"/>
        </w:rPr>
        <w:t xml:space="preserve"> 华东 </w:t>
      </w:r>
      <w:r>
        <w:rPr>
          <w:rFonts w:ascii="微软雅黑" w:hAnsi="微软雅黑"/>
          <w:color w:val="1F2937"/>
          <w:sz w:val="18"/>
        </w:rPr>
        <w:t xml:space="preserve"> / </w:t>
      </w:r>
      <w:r>
        <w:rPr>
          <w:rFonts w:ascii="Consolas" w:hAnsi="Consolas"/>
          <w:b w:val="0"/>
          <w:color w:val="0284C7"/>
          <w:sz w:val="16"/>
        </w:rPr>
        <w:t xml:space="preserve"> 华中 </w:t>
      </w:r>
      <w:r>
        <w:rPr>
          <w:rFonts w:ascii="微软雅黑" w:hAnsi="微软雅黑"/>
          <w:color w:val="1F2937"/>
          <w:sz w:val="18"/>
        </w:rPr>
        <w:t xml:space="preserve"> / </w:t>
      </w:r>
      <w:r>
        <w:rPr>
          <w:rFonts w:ascii="Consolas" w:hAnsi="Consolas"/>
          <w:b w:val="0"/>
          <w:color w:val="0284C7"/>
          <w:sz w:val="16"/>
        </w:rPr>
        <w:t xml:space="preserve"> 东北 </w:t>
      </w:r>
      <w:r>
        <w:rPr>
          <w:rFonts w:ascii="微软雅黑" w:hAnsi="微软雅黑"/>
          <w:color w:val="1F2937"/>
          <w:sz w:val="18"/>
        </w:rPr>
        <w:t xml:space="preserve"> / </w:t>
      </w:r>
      <w:r>
        <w:rPr>
          <w:rFonts w:ascii="Consolas" w:hAnsi="Consolas"/>
          <w:b w:val="0"/>
          <w:color w:val="0284C7"/>
          <w:sz w:val="16"/>
        </w:rPr>
        <w:t xml:space="preserve"> 西北 </w:t>
      </w:r>
      <w:r>
        <w:rPr>
          <w:rFonts w:ascii="微软雅黑" w:hAnsi="微软雅黑"/>
          <w:color w:val="1F2937"/>
          <w:sz w:val="18"/>
        </w:rPr>
        <w:t xml:space="preserve"> / </w:t>
      </w:r>
      <w:r>
        <w:rPr>
          <w:rFonts w:ascii="Consolas" w:hAnsi="Consolas"/>
          <w:b w:val="0"/>
          <w:color w:val="0284C7"/>
          <w:sz w:val="16"/>
        </w:rPr>
        <w:t xml:space="preserve"> 南方 </w:t>
      </w:r>
      <w:r>
        <w:rPr>
          <w:rFonts w:ascii="微软雅黑" w:hAnsi="微软雅黑"/>
          <w:color w:val="1F2937"/>
          <w:sz w:val="18"/>
        </w:rPr>
        <w:t xml:space="preserve"> / </w:t>
      </w:r>
      <w:r>
        <w:rPr>
          <w:rFonts w:ascii="Consolas" w:hAnsi="Consolas"/>
          <w:b w:val="0"/>
          <w:color w:val="0284C7"/>
          <w:sz w:val="16"/>
        </w:rPr>
        <w:t xml:space="preserve"> 全国统一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提供【省份下钻】下拉选框（北京、天津、上海、湖南、辽宁、新疆、山东、四川、广东等）；</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提供【电力来源】过滤（</w:t>
      </w:r>
      <w:r>
        <w:rPr>
          <w:rFonts w:ascii="Consolas" w:hAnsi="Consolas"/>
          <w:b w:val="0"/>
          <w:color w:val="0284C7"/>
          <w:sz w:val="16"/>
        </w:rPr>
        <w:t xml:space="preserve"> 电网平均 </w:t>
      </w:r>
      <w:r>
        <w:rPr>
          <w:rFonts w:ascii="微软雅黑" w:hAnsi="微软雅黑"/>
          <w:color w:val="1F2937"/>
          <w:sz w:val="18"/>
        </w:rPr>
        <w:t xml:space="preserve"> / </w:t>
      </w:r>
      <w:r>
        <w:rPr>
          <w:rFonts w:ascii="Consolas" w:hAnsi="Consolas"/>
          <w:b w:val="0"/>
          <w:color w:val="0284C7"/>
          <w:sz w:val="16"/>
        </w:rPr>
        <w:t xml:space="preserve"> 燃煤自备电厂 </w:t>
      </w:r>
      <w:r>
        <w:rPr>
          <w:rFonts w:ascii="微软雅黑" w:hAnsi="微软雅黑"/>
          <w:color w:val="1F2937"/>
          <w:sz w:val="18"/>
        </w:rPr>
        <w:t xml:space="preserve"> / </w:t>
      </w:r>
      <w:r>
        <w:rPr>
          <w:rFonts w:ascii="Consolas" w:hAnsi="Consolas"/>
          <w:b w:val="0"/>
          <w:color w:val="0284C7"/>
          <w:sz w:val="16"/>
        </w:rPr>
        <w:t xml:space="preserve"> 光伏发电 </w:t>
      </w:r>
      <w:r>
        <w:rPr>
          <w:rFonts w:ascii="微软雅黑" w:hAnsi="微软雅黑"/>
          <w:color w:val="1F2937"/>
          <w:sz w:val="18"/>
        </w:rPr>
        <w:t xml:space="preserve"> / </w:t>
      </w:r>
      <w:r>
        <w:rPr>
          <w:rFonts w:ascii="Consolas" w:hAnsi="Consolas"/>
          <w:b w:val="0"/>
          <w:color w:val="0284C7"/>
          <w:sz w:val="16"/>
        </w:rPr>
        <w:t xml:space="preserve"> 风力发电 </w:t>
      </w:r>
      <w:r>
        <w:rPr>
          <w:rFonts w:ascii="微软雅黑" w:hAnsi="微软雅黑"/>
          <w:color w:val="1F2937"/>
          <w:sz w:val="18"/>
        </w:rPr>
        <w:t xml:space="preserve"> / </w:t>
      </w:r>
      <w:r>
        <w:rPr>
          <w:rFonts w:ascii="Consolas" w:hAnsi="Consolas"/>
          <w:b w:val="0"/>
          <w:color w:val="0284C7"/>
          <w:sz w:val="16"/>
        </w:rPr>
        <w:t xml:space="preserve"> 水力发电 </w:t>
      </w:r>
      <w:r>
        <w:rPr>
          <w:rFonts w:ascii="微软雅黑" w:hAnsi="微软雅黑"/>
          <w:color w:val="1F2937"/>
          <w:sz w:val="18"/>
        </w:rPr>
        <w:t xml:space="preserve"> / </w:t>
      </w:r>
      <w:r>
        <w:rPr>
          <w:rFonts w:ascii="Consolas" w:hAnsi="Consolas"/>
          <w:b w:val="0"/>
          <w:color w:val="0284C7"/>
          <w:sz w:val="16"/>
        </w:rPr>
        <w:t xml:space="preserve"> 绿电（市场化交易）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表格每一行高固定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 Mono 等宽右对齐。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电网因子当前值与默认值对照</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因子值列统一以 </w:t>
      </w:r>
      <w:r>
        <w:rPr>
          <w:rFonts w:ascii="Consolas" w:hAnsi="Consolas"/>
          <w:b w:val="0"/>
          <w:color w:val="0284C7"/>
          <w:sz w:val="16"/>
        </w:rPr>
        <w:t xml:space="preserve"> 当前值 / 默认值 </w:t>
      </w:r>
      <w:r>
        <w:rPr>
          <w:rFonts w:ascii="微软雅黑" w:hAnsi="微软雅黑"/>
          <w:color w:val="1F2937"/>
          <w:sz w:val="18"/>
        </w:rPr>
        <w:t xml:space="preserve"> 显示（如新疆电网平均当前值 </w:t>
      </w:r>
      <w:r>
        <w:rPr>
          <w:rFonts w:ascii="Consolas" w:hAnsi="Consolas"/>
          <w:b w:val="0"/>
          <w:color w:val="0284C7"/>
          <w:sz w:val="16"/>
        </w:rPr>
        <w:t xml:space="preserve"> 0.6127 </w:t>
      </w:r>
      <w:r>
        <w:rPr>
          <w:rFonts w:ascii="微软雅黑" w:hAnsi="微软雅黑"/>
          <w:color w:val="1F2937"/>
          <w:sz w:val="18"/>
        </w:rPr>
        <w:t xml:space="preserve"> / 默认值 </w:t>
      </w:r>
      <w:r>
        <w:rPr>
          <w:rFonts w:ascii="Consolas" w:hAnsi="Consolas"/>
          <w:b w:val="0"/>
          <w:color w:val="0284C7"/>
          <w:sz w:val="16"/>
        </w:rPr>
        <w:t xml:space="preserve"> 0.6200 kgCO2e/kWh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绿电（市场化交易）经过权威核销后，其因子显示为 </w:t>
      </w:r>
      <w:r>
        <w:rPr>
          <w:rFonts w:ascii="Consolas" w:hAnsi="Consolas"/>
          <w:b w:val="0"/>
          <w:color w:val="0284C7"/>
          <w:sz w:val="16"/>
        </w:rPr>
        <w:t xml:space="preserve"> 0.0000 kgCO2e/kWh </w:t>
      </w:r>
      <w:r>
        <w:rPr>
          <w:rFonts w:ascii="微软雅黑" w:hAnsi="微软雅黑"/>
          <w:color w:val="1F2937"/>
          <w:sz w:val="18"/>
        </w:rPr>
        <w:t xml:space="preserve">，并打上实心绿底 </w:t>
      </w:r>
      <w:r>
        <w:rPr>
          <w:rFonts w:ascii="Consolas" w:hAnsi="Consolas"/>
          <w:b w:val="0"/>
          <w:color w:val="0284C7"/>
          <w:sz w:val="16"/>
        </w:rPr>
        <w:t xml:space="preserve"> Zero-Emission </w:t>
      </w:r>
      <w:r>
        <w:rPr>
          <w:rFonts w:ascii="微软雅黑" w:hAnsi="微软雅黑"/>
          <w:color w:val="1F2937"/>
          <w:sz w:val="18"/>
        </w:rPr>
        <w:t xml:space="preserve"> 徽章。</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年度电网因子版本快照机制</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当生态环境部发布新年度全国及区域电网因子时，系统建立新年度版本（如 </w:t>
      </w:r>
      <w:r>
        <w:rPr>
          <w:rFonts w:ascii="Consolas" w:hAnsi="Consolas"/>
          <w:b w:val="0"/>
          <w:color w:val="0284C7"/>
          <w:sz w:val="16"/>
        </w:rPr>
        <w:t xml:space="preserve"> v2024.1 </w:t>
      </w:r>
      <w:r>
        <w:rPr>
          <w:rFonts w:ascii="微软雅黑" w:hAnsi="微软雅黑"/>
          <w:color w:val="1F2937"/>
          <w:sz w:val="18"/>
        </w:rPr>
        <w:t>），历史年度版本（</w:t>
      </w:r>
      <w:r>
        <w:rPr>
          <w:rFonts w:ascii="Consolas" w:hAnsi="Consolas"/>
          <w:b w:val="0"/>
          <w:color w:val="0284C7"/>
          <w:sz w:val="16"/>
        </w:rPr>
        <w:t xml:space="preserve"> v2023.1 </w:t>
      </w:r>
      <w:r>
        <w:rPr>
          <w:rFonts w:ascii="微软雅黑" w:hAnsi="微软雅黑"/>
          <w:color w:val="1F2937"/>
          <w:sz w:val="18"/>
        </w:rPr>
        <w:t>）自动固化为冻结归档态，仅供追溯历史财务年份数据。</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【业务约束与工程规范契约】：</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绿电唯一性核销契约</w:t>
      </w:r>
      <w:r>
        <w:rPr>
          <w:rFonts w:ascii="微软雅黑" w:hAnsi="微软雅黑"/>
          <w:color w:val="1F2937"/>
          <w:sz w:val="18"/>
        </w:rPr>
        <w:t>：直购绿电或绿色电力证书（GEC）在冲抵电力碳排时，必须具有国家可再生能源信息管理中心的唯一证书编号，严禁“一证多抵”；</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自备电厂独立口径</w:t>
      </w:r>
      <w:r>
        <w:rPr>
          <w:rFonts w:ascii="微软雅黑" w:hAnsi="微软雅黑"/>
          <w:color w:val="1F2937"/>
          <w:sz w:val="18"/>
        </w:rPr>
        <w:t>：园区内部拥有燃煤自备电厂的实体单位（如天池能源），其自备发电必须采用机组实测供电碳排放强度（如 0.8320 kgCO2e/kWh），严禁套用外部公用电网均值掩盖自身排放。</w:t>
      </w:r>
    </w:p>
    <w:p>
      <w:pPr>
        <w:pStyle w:val="Heading2"/>
        <w:keepNext/>
        <w:spacing w:before="240" w:after="100"/>
      </w:pPr>
      <w:r>
        <w:rPr>
          <w:rFonts w:ascii="微软雅黑" w:hAnsi="微软雅黑"/>
          <w:b/>
          <w:color w:val="0284C7"/>
          <w:sz w:val="25"/>
        </w:rPr>
        <w:t>【4】页面字段字典与数据契约</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工程单位</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校验与约束规则</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电力因子唯一编码</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唯一，格式 </w:t>
            </w:r>
            <w:r>
              <w:rPr>
                <w:rFonts w:ascii="Consolas" w:hAnsi="Consolas"/>
                <w:b w:val="0"/>
                <w:color w:val="0284C7"/>
                <w:sz w:val="14"/>
              </w:rPr>
              <w:t xml:space="preserve"> PW&lt;3位流水&gt;&lt;2位校验码&gt;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所属行政省份</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涵盖集团各厂区属地，如 </w:t>
            </w:r>
            <w:r>
              <w:rPr>
                <w:rFonts w:ascii="Consolas" w:hAnsi="Consolas"/>
                <w:b w:val="0"/>
                <w:color w:val="0284C7"/>
                <w:sz w:val="14"/>
              </w:rPr>
              <w:t xml:space="preserve"> 新疆 </w:t>
            </w:r>
            <w:r>
              <w:rPr>
                <w:rFonts w:ascii="微软雅黑" w:hAnsi="微软雅黑"/>
                <w:color w:val="1F2937"/>
                <w:sz w:val="16"/>
              </w:rPr>
              <w:t>、</w:t>
            </w:r>
            <w:r>
              <w:rPr>
                <w:rFonts w:ascii="Consolas" w:hAnsi="Consolas"/>
                <w:b w:val="0"/>
                <w:color w:val="0284C7"/>
                <w:sz w:val="14"/>
              </w:rPr>
              <w:t xml:space="preserve"> 湖南 </w:t>
            </w:r>
            <w:r>
              <w:rPr>
                <w:rFonts w:ascii="微软雅黑" w:hAnsi="微软雅黑"/>
                <w:color w:val="1F2937"/>
                <w:sz w:val="16"/>
              </w:rPr>
              <w:t>、</w:t>
            </w:r>
            <w:r>
              <w:rPr>
                <w:rFonts w:ascii="Consolas" w:hAnsi="Consolas"/>
                <w:b w:val="0"/>
                <w:color w:val="0284C7"/>
                <w:sz w:val="14"/>
              </w:rPr>
              <w:t xml:space="preserve"> 辽宁 </w:t>
            </w:r>
            <w:r>
              <w:rPr>
                <w:rFonts w:ascii="微软雅黑" w:hAnsi="微软雅黑"/>
                <w:color w:val="1F2937"/>
                <w:sz w:val="16"/>
              </w:rPr>
              <w:t xml:space="preserve"> 等</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所属区域电网</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枚举：华北 / 华东 / 华中 / 东北 / 西北 / 南方区域电网</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电力来源类别</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电网平均 / 燃煤自备电厂 / 光伏发电 / 风力发电 / 水力发电 / 市场化绿电</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当前生效因子值</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kgCO2e/kWh</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 xml:space="preserve">；绿电核销后为 0.0000；常规电网取值区间 </w:t>
            </w:r>
            <w:r>
              <w:rPr>
                <w:rFonts w:ascii="Consolas" w:hAnsi="Consolas"/>
                <w:b w:val="0"/>
                <w:color w:val="0284C7"/>
                <w:sz w:val="14"/>
              </w:rPr>
              <w:t xml:space="preserve"> [0.3000, 1.2000]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默认/基准因子值</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kgCO2e/kWh</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取上一年度生态环境部发布的官方基准因子值</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7</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法定量纲单位</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kgCO2e/kWh</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统一为 </w:t>
            </w:r>
            <w:r>
              <w:rPr>
                <w:rFonts w:ascii="Consolas" w:hAnsi="Consolas"/>
                <w:b w:val="0"/>
                <w:color w:val="0284C7"/>
                <w:sz w:val="14"/>
              </w:rPr>
              <w:t xml:space="preserve"> kgCO2e/kWh </w:t>
            </w:r>
            <w:r>
              <w:rPr>
                <w:rFonts w:ascii="微软雅黑" w:hAnsi="微软雅黑"/>
                <w:color w:val="1F2937"/>
                <w:sz w:val="16"/>
              </w:rPr>
              <w:t>，禁止混入 MWh 或度</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8</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来源发布机构</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如 </w:t>
            </w:r>
            <w:r>
              <w:rPr>
                <w:rFonts w:ascii="Consolas" w:hAnsi="Consolas"/>
                <w:b w:val="0"/>
                <w:color w:val="0284C7"/>
                <w:sz w:val="14"/>
              </w:rPr>
              <w:t xml:space="preserve"> 生态环境部 </w:t>
            </w:r>
            <w:r>
              <w:rPr>
                <w:rFonts w:ascii="微软雅黑" w:hAnsi="微软雅黑"/>
                <w:color w:val="1F2937"/>
                <w:sz w:val="16"/>
              </w:rPr>
              <w:t>、</w:t>
            </w:r>
            <w:r>
              <w:rPr>
                <w:rFonts w:ascii="Consolas" w:hAnsi="Consolas"/>
                <w:b w:val="0"/>
                <w:color w:val="0284C7"/>
                <w:sz w:val="14"/>
              </w:rPr>
              <w:t xml:space="preserve"> 省级生态环境厅 </w:t>
            </w:r>
            <w:r>
              <w:rPr>
                <w:rFonts w:ascii="微软雅黑" w:hAnsi="微软雅黑"/>
                <w:color w:val="1F2937"/>
                <w:sz w:val="16"/>
              </w:rPr>
              <w:t>、</w:t>
            </w:r>
            <w:r>
              <w:rPr>
                <w:rFonts w:ascii="Consolas" w:hAnsi="Consolas"/>
                <w:b w:val="0"/>
                <w:color w:val="0284C7"/>
                <w:sz w:val="14"/>
              </w:rPr>
              <w:t xml:space="preserve"> 国家电力调度中心 </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9</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适用发布年度版本</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格式 </w:t>
            </w:r>
            <w:r>
              <w:rPr>
                <w:rFonts w:ascii="Consolas" w:hAnsi="Consolas"/>
                <w:b w:val="0"/>
                <w:color w:val="0284C7"/>
                <w:sz w:val="14"/>
              </w:rPr>
              <w:t xml:space="preserve"> v&lt;年&gt;.&lt;版本&gt; </w:t>
            </w:r>
            <w:r>
              <w:rPr>
                <w:rFonts w:ascii="微软雅黑" w:hAnsi="微软雅黑"/>
                <w:color w:val="1F2937"/>
                <w:sz w:val="16"/>
              </w:rPr>
              <w:t xml:space="preserve">（如 </w:t>
            </w:r>
            <w:r>
              <w:rPr>
                <w:rFonts w:ascii="Consolas" w:hAnsi="Consolas"/>
                <w:b w:val="0"/>
                <w:color w:val="0284C7"/>
                <w:sz w:val="14"/>
              </w:rPr>
              <w:t xml:space="preserve"> v2024.1 </w:t>
            </w:r>
            <w:r>
              <w:rPr>
                <w:rFonts w:ascii="微软雅黑" w:hAnsi="微软雅黑"/>
                <w:color w:val="1F2937"/>
                <w:sz w:val="16"/>
              </w:rPr>
              <w:t>）</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是否属于零碳绿电</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Boolean</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true </w:t>
            </w:r>
            <w:r>
              <w:rPr>
                <w:rFonts w:ascii="微软雅黑" w:hAnsi="微软雅黑"/>
                <w:color w:val="1F2937"/>
                <w:sz w:val="16"/>
              </w:rPr>
              <w:t xml:space="preserve"> 为可再生能源/市场化核销绿电，</w:t>
            </w:r>
            <w:r>
              <w:rPr>
                <w:rFonts w:ascii="Consolas" w:hAnsi="Consolas"/>
                <w:b w:val="0"/>
                <w:color w:val="0284C7"/>
                <w:sz w:val="14"/>
              </w:rPr>
              <w:t xml:space="preserve"> false </w:t>
            </w:r>
            <w:r>
              <w:rPr>
                <w:rFonts w:ascii="微软雅黑" w:hAnsi="微软雅黑"/>
                <w:color w:val="1F2937"/>
                <w:sz w:val="16"/>
              </w:rPr>
              <w:t xml:space="preserve"> 为化石市电</w:t>
            </w:r>
          </w:p>
        </w:tc>
      </w:tr>
    </w:tbl>
    <w:p>
      <w:pPr>
        <w:spacing w:after="60"/>
      </w:pPr>
    </w:p>
    <w:p>
      <w:pPr>
        <w:pStyle w:val="Heading2"/>
        <w:keepNext/>
        <w:spacing w:before="240" w:after="100"/>
      </w:pPr>
      <w:r>
        <w:rPr>
          <w:rFonts w:ascii="微软雅黑" w:hAnsi="微软雅黑"/>
          <w:b/>
          <w:color w:val="0284C7"/>
          <w:sz w:val="25"/>
        </w:rPr>
        <w:t>【5】核心数学模型与算法框架</w:t>
      </w:r>
    </w:p>
    <w:p>
      <w:pPr>
        <w:spacing w:before="20" w:after="60" w:line="276" w:lineRule="auto"/>
      </w:pPr>
      <w:r>
        <w:rPr>
          <w:rFonts w:ascii="微软雅黑" w:hAnsi="微软雅黑"/>
          <w:color w:val="1F2937"/>
          <w:sz w:val="18"/>
        </w:rPr>
        <w:t>📐 【核心业务数学模型与计算公式】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EF_{\text{grid\_composite}} = \frac{\sum_{i=1}^{p} ( Q_{\text{purchased}, i} \times EF_{\text{grid}, i} )}{\sum_{i=1}^{p} Q_{\text{purchased}, i}} \quad (\text{全集团购网电力综合加权因子})</w:t>
            </w:r>
          </w:p>
          <w:p>
            <w:pPr>
              <w:spacing w:before="0" w:after="20" w:line="276" w:lineRule="auto"/>
            </w:pPr>
            <w:r>
              <w:rPr>
                <w:rFonts w:ascii="Consolas" w:hAnsi="Consolas"/>
                <w:b/>
                <w:color w:val="1E3A8A"/>
                <w:sz w:val="17"/>
              </w:rPr>
              <w:t>C_{\text{Scope2, elec}} = ( Q_{\text{grid\_total}} - Q_{\text{green\_verified}} ) \times EF_{\text{grid}} + Q_{\text{green\_verified}} \times 0 \quad (\text{电力间接排放净额})</w:t>
            </w:r>
          </w:p>
          <w:p>
            <w:pPr>
              <w:spacing w:before="0" w:after="20" w:line="276" w:lineRule="auto"/>
            </w:pPr>
            <w:r>
              <w:rPr>
                <w:rFonts w:ascii="Consolas" w:hAnsi="Consolas"/>
                <w:b/>
                <w:color w:val="1E3A8A"/>
                <w:sz w:val="17"/>
              </w:rPr>
              <w:t>R_{\text{green\_power}} = \frac{Q_{\text{pv\_self}} + Q_{\text{green\_market}}}{Q_{\text{grid\_total}} + Q_{\text{pv\_self}}} \times 100\% \quad (\text{绿电综合消纳占比})</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变量定义与取值约定</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Q_{\text{purchased}, i}</w:t>
      </w:r>
      <w:r>
        <w:rPr>
          <w:rFonts w:ascii="微软雅黑" w:hAnsi="微软雅黑"/>
          <w:color w:val="1F2937"/>
          <w:sz w:val="18"/>
        </w:rPr>
        <w:t xml:space="preserve">：第 </w:t>
      </w:r>
      <w:r>
        <w:rPr>
          <w:rFonts w:ascii="Consolas" w:hAnsi="Consolas"/>
          <w:i/>
          <w:color w:val="15803D"/>
          <w:sz w:val="18"/>
        </w:rPr>
        <w:t>i</w:t>
      </w:r>
      <w:r>
        <w:rPr>
          <w:rFonts w:ascii="微软雅黑" w:hAnsi="微软雅黑"/>
          <w:color w:val="1F2937"/>
          <w:sz w:val="18"/>
        </w:rPr>
        <w:t xml:space="preserve"> 个园区购入市电量（kWh）；</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EF_{\text{grid}, i}</w:t>
      </w:r>
      <w:r>
        <w:rPr>
          <w:rFonts w:ascii="微软雅黑" w:hAnsi="微软雅黑"/>
          <w:color w:val="1F2937"/>
          <w:sz w:val="18"/>
        </w:rPr>
        <w:t xml:space="preserve">：第 </w:t>
      </w:r>
      <w:r>
        <w:rPr>
          <w:rFonts w:ascii="Consolas" w:hAnsi="Consolas"/>
          <w:i/>
          <w:color w:val="15803D"/>
          <w:sz w:val="18"/>
        </w:rPr>
        <w:t>i</w:t>
      </w:r>
      <w:r>
        <w:rPr>
          <w:rFonts w:ascii="微软雅黑" w:hAnsi="微软雅黑"/>
          <w:color w:val="1F2937"/>
          <w:sz w:val="18"/>
        </w:rPr>
        <w:t xml:space="preserve"> 个园区所在地电网排放因子（kgCO2e/kWh）；</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Q_{\text{green\_verified}}</w:t>
      </w:r>
      <w:r>
        <w:rPr>
          <w:rFonts w:ascii="微软雅黑" w:hAnsi="微软雅黑"/>
          <w:color w:val="1F2937"/>
          <w:sz w:val="18"/>
        </w:rPr>
        <w:t>：取得官方核销绿证对应的结算电量（kWh）；</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严禁出现负碳计算：当 </w:t>
      </w:r>
      <w:r>
        <w:rPr>
          <w:rFonts w:ascii="Consolas" w:hAnsi="Consolas"/>
          <w:i/>
          <w:color w:val="15803D"/>
          <w:sz w:val="18"/>
        </w:rPr>
        <w:t>Q_{\text{green\_verified}} &gt; Q_{\text{grid\_total}}</w:t>
      </w:r>
      <w:r>
        <w:rPr>
          <w:rFonts w:ascii="微软雅黑" w:hAnsi="微软雅黑"/>
          <w:color w:val="1F2937"/>
          <w:sz w:val="18"/>
        </w:rPr>
        <w:t xml:space="preserve"> 时，</w:t>
      </w:r>
      <w:r>
        <w:rPr>
          <w:rFonts w:ascii="Consolas" w:hAnsi="Consolas"/>
          <w:i/>
          <w:color w:val="15803D"/>
          <w:sz w:val="18"/>
        </w:rPr>
        <w:t>C_{\text{Scope2, elec}}</w:t>
      </w:r>
      <w:r>
        <w:rPr>
          <w:rFonts w:ascii="微软雅黑" w:hAnsi="微软雅黑"/>
          <w:color w:val="1F2937"/>
          <w:sz w:val="18"/>
        </w:rPr>
        <w:t xml:space="preserve"> 兜底锁定为 </w:t>
      </w:r>
      <w:r>
        <w:rPr>
          <w:rFonts w:ascii="Consolas" w:hAnsi="Consolas"/>
          <w:b w:val="0"/>
          <w:color w:val="0284C7"/>
          <w:sz w:val="16"/>
        </w:rPr>
        <w:t xml:space="preserve"> 0.00 </w:t>
      </w:r>
      <w:r>
        <w:rPr>
          <w:rFonts w:ascii="微软雅黑" w:hAnsi="微软雅黑"/>
          <w:color w:val="1F2937"/>
          <w:sz w:val="18"/>
        </w:rPr>
        <w:t>，不得产生“负碳抵消外部化石燃料”。</w:t>
      </w:r>
    </w:p>
    <w:p>
      <w:pPr>
        <w:pStyle w:val="Heading2"/>
        <w:keepNext/>
        <w:spacing w:before="240" w:after="100"/>
      </w:pPr>
      <w:r>
        <w:rPr>
          <w:rFonts w:ascii="微软雅黑" w:hAnsi="微软雅黑"/>
          <w:b/>
          <w:color w:val="0284C7"/>
          <w:sz w:val="25"/>
        </w:rPr>
        <w:t>【6】展示、对标与判定口径</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分级对标口径</w:t>
      </w:r>
      <w:r>
        <w:rPr>
          <w:rFonts w:ascii="微软雅黑" w:hAnsi="微软雅黑"/>
          <w:color w:val="1F2937"/>
          <w:sz w:val="18"/>
        </w:rPr>
        <w:t>：各园区电力排放因子常态与全国平均电网因子（全国基准线 0.5703）横向对齐；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消纳认定口径</w:t>
      </w:r>
      <w:r>
        <w:rPr>
          <w:rFonts w:ascii="微软雅黑" w:hAnsi="微软雅黑"/>
          <w:color w:val="1F2937"/>
          <w:sz w:val="18"/>
        </w:rPr>
        <w:t xml:space="preserve">：厂房屋顶分布式光伏自发自用电量，因子按 </w:t>
      </w:r>
      <w:r>
        <w:rPr>
          <w:rFonts w:ascii="Consolas" w:hAnsi="Consolas"/>
          <w:b w:val="0"/>
          <w:color w:val="0284C7"/>
          <w:sz w:val="16"/>
        </w:rPr>
        <w:t xml:space="preserve"> 0.0000 kgCO2e/kWh </w:t>
      </w:r>
      <w:r>
        <w:rPr>
          <w:rFonts w:ascii="微软雅黑" w:hAnsi="微软雅黑"/>
          <w:color w:val="1F2937"/>
          <w:sz w:val="18"/>
        </w:rPr>
        <w:t xml:space="preserve"> 认定，全生命周期 LCA 制造端分摊按 </w:t>
      </w:r>
      <w:r>
        <w:rPr>
          <w:rFonts w:ascii="Consolas" w:hAnsi="Consolas"/>
          <w:b w:val="0"/>
          <w:color w:val="0284C7"/>
          <w:sz w:val="16"/>
        </w:rPr>
        <w:t xml:space="preserve"> 0.0480 kgCO2e/kWh </w:t>
      </w:r>
      <w:r>
        <w:rPr>
          <w:rFonts w:ascii="微软雅黑" w:hAnsi="微软雅黑"/>
          <w:color w:val="1F2937"/>
          <w:sz w:val="18"/>
        </w:rPr>
        <w:t xml:space="preserve"> 认定；</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空值口径</w:t>
      </w:r>
      <w:r>
        <w:rPr>
          <w:rFonts w:ascii="微软雅黑" w:hAnsi="微软雅黑"/>
          <w:color w:val="1F2937"/>
          <w:sz w:val="18"/>
        </w:rPr>
        <w:t xml:space="preserve">：对于未联网的小微测点，因子默认继承所在地所属省级电网平均因子，严禁显示 </w:t>
      </w:r>
      <w:r>
        <w:rPr>
          <w:rFonts w:ascii="Consolas" w:hAnsi="Consolas"/>
          <w:b w:val="0"/>
          <w:color w:val="0284C7"/>
          <w:sz w:val="16"/>
        </w:rPr>
        <w:t xml:space="preserve"> -- </w:t>
      </w:r>
      <w:r>
        <w:rPr>
          <w:rFonts w:ascii="微软雅黑" w:hAnsi="微软雅黑"/>
          <w:color w:val="1F2937"/>
          <w:sz w:val="18"/>
        </w:rPr>
        <w:t xml:space="preserve"> 导致计算中断。</w:t>
      </w:r>
    </w:p>
    <w:p>
      <w:pPr>
        <w:pStyle w:val="Heading2"/>
        <w:keepNext/>
        <w:spacing w:before="240" w:after="100"/>
      </w:pPr>
      <w:r>
        <w:rPr>
          <w:rFonts w:ascii="微软雅黑" w:hAnsi="微软雅黑"/>
          <w:b/>
          <w:color w:val="0284C7"/>
          <w:sz w:val="25"/>
        </w:rPr>
        <w:t>【7】边界条件、异常处理与防错规则</w:t>
      </w:r>
    </w:p>
    <w:p>
      <w:pPr>
        <w:spacing w:before="20" w:after="60" w:line="276" w:lineRule="auto"/>
      </w:pPr>
      <w:r>
        <w:rPr>
          <w:rFonts w:ascii="微软雅黑" w:hAnsi="微软雅黑"/>
          <w:color w:val="1F2937"/>
          <w:sz w:val="18"/>
        </w:rPr>
        <w:t>⚠️ 【研发设计红线与强约束校验】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历史关账月度强冻结</w:t>
      </w:r>
      <w:r>
        <w:rPr>
          <w:rFonts w:ascii="微软雅黑" w:hAnsi="微软雅黑"/>
          <w:color w:val="1F2937"/>
          <w:sz w:val="18"/>
        </w:rPr>
        <w:t xml:space="preserve">：已完成财务锁账的月份，其核算所引用的电力因子版本自动固化，即便后续生态环境部补丁修正因子，历史月份禁止自动刷新，触发 </w:t>
      </w:r>
      <w:r>
        <w:rPr>
          <w:rFonts w:ascii="Consolas" w:hAnsi="Consolas"/>
          <w:b w:val="0"/>
          <w:color w:val="0284C7"/>
          <w:sz w:val="16"/>
        </w:rPr>
        <w:t xml:space="preserve"> E_SYS_FACTOR_LOCKED_HISTORIC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绿电超量抵扣截断</w:t>
      </w:r>
      <w:r>
        <w:rPr>
          <w:rFonts w:ascii="微软雅黑" w:hAnsi="微软雅黑"/>
          <w:color w:val="1F2937"/>
          <w:sz w:val="18"/>
        </w:rPr>
        <w:t xml:space="preserve">：绿电核销申报量大于用电总量时，系统自动截断至总用电量，溢出部分自动流转至下一统计周期，记录告警 </w:t>
      </w:r>
      <w:r>
        <w:rPr>
          <w:rFonts w:ascii="Consolas" w:hAnsi="Consolas"/>
          <w:b w:val="0"/>
          <w:color w:val="0284C7"/>
          <w:sz w:val="16"/>
        </w:rPr>
        <w:t xml:space="preserve"> E_CALC_GREEN_OFFSET_OVERFLOW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自备电厂实测脱失拦截</w:t>
      </w:r>
      <w:r>
        <w:rPr>
          <w:rFonts w:ascii="微软雅黑" w:hAnsi="微软雅黑"/>
          <w:color w:val="1F2937"/>
          <w:sz w:val="18"/>
        </w:rPr>
        <w:t xml:space="preserve">：自备电厂当月未上传连续在线监测（CEMS）烟气实测值时，系统阻断其提交“超低因子”，强制采用燃煤发电机组上限值 0.8320 kgCO2e/kWh，抛出 </w:t>
      </w:r>
      <w:r>
        <w:rPr>
          <w:rFonts w:ascii="Consolas" w:hAnsi="Consolas"/>
          <w:b w:val="0"/>
          <w:color w:val="0284C7"/>
          <w:sz w:val="16"/>
        </w:rPr>
        <w:t xml:space="preserve"> E_VAL_CEMS_OFFLINE_PENALTY </w:t>
      </w:r>
      <w:r>
        <w:rPr>
          <w:rFonts w:ascii="微软雅黑" w:hAnsi="微软雅黑"/>
          <w:color w:val="1F2937"/>
          <w:sz w:val="18"/>
        </w:rPr>
        <w:t>。</w:t>
      </w:r>
    </w:p>
    <w:p>
      <w:pPr>
        <w:pStyle w:val="Heading2"/>
        <w:keepNext/>
        <w:spacing w:before="240" w:after="100"/>
      </w:pPr>
      <w:r>
        <w:rPr>
          <w:rFonts w:ascii="微软雅黑" w:hAnsi="微软雅黑"/>
          <w:b/>
          <w:color w:val="0284C7"/>
          <w:sz w:val="25"/>
        </w:rPr>
        <w:t>【8】QA 自动化验收准则（Gherkin BDD）</w:t>
      </w:r>
    </w:p>
    <w:p>
      <w:pPr>
        <w:spacing w:before="20" w:after="60" w:line="276" w:lineRule="auto"/>
      </w:pPr>
      <w:r>
        <w:rPr>
          <w:rFonts w:ascii="微软雅黑" w:hAnsi="微软雅黑"/>
          <w:color w:val="1F2937"/>
          <w:sz w:val="18"/>
        </w:rPr>
        <w:t>🧪 【QA 自动化验收准则 · Gherkin BDD 用例契约】</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电力碳排因子多电网匹配与绿电核销</w:t>
            </w:r>
          </w:p>
          <w:p>
            <w:pPr>
              <w:spacing w:before="0" w:after="20" w:line="264" w:lineRule="auto"/>
            </w:pPr>
            <w:r>
              <w:rPr>
                <w:rFonts w:ascii="Consolas" w:hAnsi="Consolas"/>
                <w:b/>
                <w:color w:val="0284C7"/>
                <w:sz w:val="16"/>
              </w:rPr>
              <w:t xml:space="preserve">  Scenario: 跨省多园区属地电网因子精准匹配</w:t>
            </w:r>
          </w:p>
          <w:p>
            <w:pPr>
              <w:spacing w:before="0" w:after="20" w:line="264" w:lineRule="auto"/>
            </w:pPr>
            <w:r>
              <w:rPr>
                <w:rFonts w:ascii="Consolas" w:hAnsi="Consolas"/>
                <w:color w:val="1F2937"/>
                <w:sz w:val="16"/>
              </w:rPr>
              <w:t xml:space="preserve">    Given 新疆变压器厂位于乌鲁木齐，上海销售技术中心位于上海闵行</w:t>
            </w:r>
          </w:p>
          <w:p>
            <w:pPr>
              <w:spacing w:before="0" w:after="20" w:line="264" w:lineRule="auto"/>
            </w:pPr>
            <w:r>
              <w:rPr>
                <w:rFonts w:ascii="Consolas" w:hAnsi="Consolas"/>
                <w:color w:val="1F2937"/>
                <w:sz w:val="16"/>
              </w:rPr>
              <w:t xml:space="preserve">    When 系统分别抓取两地当月市电消耗的计算因子</w:t>
            </w:r>
          </w:p>
          <w:p>
            <w:pPr>
              <w:spacing w:before="0" w:after="20" w:line="264" w:lineRule="auto"/>
            </w:pPr>
            <w:r>
              <w:rPr>
                <w:rFonts w:ascii="Consolas" w:hAnsi="Consolas"/>
                <w:b/>
                <w:color w:val="16A34A"/>
                <w:sz w:val="16"/>
              </w:rPr>
              <w:t xml:space="preserve">    Then 新疆园区自动匹配西北电网因子 0.6127 kgCO2e/kWh</w:t>
            </w:r>
          </w:p>
          <w:p>
            <w:pPr>
              <w:spacing w:before="0" w:after="20" w:line="264" w:lineRule="auto"/>
            </w:pPr>
            <w:r>
              <w:rPr>
                <w:rFonts w:ascii="Consolas" w:hAnsi="Consolas"/>
                <w:color w:val="1F2937"/>
                <w:sz w:val="16"/>
              </w:rPr>
              <w:t xml:space="preserve">    And 上海中心自动匹配华东电网因子 0.5257 kgCO2e/kWh</w:t>
            </w:r>
          </w:p>
          <w:p>
            <w:pPr>
              <w:spacing w:before="0" w:after="20" w:line="264" w:lineRule="auto"/>
            </w:pPr>
            <w:r>
              <w:rPr>
                <w:rFonts w:ascii="Consolas" w:hAnsi="Consolas"/>
                <w:color w:val="1F2937"/>
                <w:sz w:val="16"/>
              </w:rPr>
              <w:t xml:space="preserve">    And 系统不产生跨电网串用</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市场化绿电凭证冲抵归零断言</w:t>
            </w:r>
          </w:p>
          <w:p>
            <w:pPr>
              <w:spacing w:before="0" w:after="20" w:line="264" w:lineRule="auto"/>
            </w:pPr>
            <w:r>
              <w:rPr>
                <w:rFonts w:ascii="Consolas" w:hAnsi="Consolas"/>
                <w:color w:val="1F2937"/>
                <w:sz w:val="16"/>
              </w:rPr>
              <w:t xml:space="preserve">    Given 某车间当月市电消耗 100,000 kWh, 录入合规核销绿电凭证 40,000 kWh</w:t>
            </w:r>
          </w:p>
          <w:p>
            <w:pPr>
              <w:spacing w:before="0" w:after="20" w:line="264" w:lineRule="auto"/>
            </w:pPr>
            <w:r>
              <w:rPr>
                <w:rFonts w:ascii="Consolas" w:hAnsi="Consolas"/>
                <w:color w:val="1F2937"/>
                <w:sz w:val="16"/>
              </w:rPr>
              <w:t xml:space="preserve">    When 系统计算该车间当月外购电力 Scope 2 间接排放</w:t>
            </w:r>
          </w:p>
          <w:p>
            <w:pPr>
              <w:spacing w:before="0" w:after="20" w:line="264" w:lineRule="auto"/>
            </w:pPr>
            <w:r>
              <w:rPr>
                <w:rFonts w:ascii="Consolas" w:hAnsi="Consolas"/>
                <w:b/>
                <w:color w:val="16A34A"/>
                <w:sz w:val="16"/>
              </w:rPr>
              <w:t xml:space="preserve">    Then 40,000 kWh 绿电部分按 0.0000 kgCO2e/kWh 核算</w:t>
            </w:r>
          </w:p>
          <w:p>
            <w:pPr>
              <w:spacing w:before="0" w:after="20" w:line="264" w:lineRule="auto"/>
            </w:pPr>
            <w:r>
              <w:rPr>
                <w:rFonts w:ascii="Consolas" w:hAnsi="Consolas"/>
                <w:color w:val="1F2937"/>
                <w:sz w:val="16"/>
              </w:rPr>
              <w:t xml:space="preserve">    And 剩余 60,000 kWh 按属地电网因子核算</w:t>
            </w:r>
          </w:p>
          <w:p>
            <w:pPr>
              <w:spacing w:before="0" w:after="20" w:line="264" w:lineRule="auto"/>
            </w:pPr>
            <w:r>
              <w:rPr>
                <w:rFonts w:ascii="Consolas" w:hAnsi="Consolas"/>
                <w:color w:val="1F2937"/>
                <w:sz w:val="16"/>
              </w:rPr>
              <w:t xml:space="preserve">    And 总电力排放精准等于 60,000 × EF_grid</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第4章 能源活动碳排因子管理功能需求规格 (Energy Activity Factor)</w:t>
      </w:r>
    </w:p>
    <w:p>
      <w:pPr>
        <w:pStyle w:val="Heading2"/>
        <w:keepNext/>
        <w:spacing w:before="240" w:after="100"/>
      </w:pPr>
      <w:r>
        <w:rPr>
          <w:rFonts w:ascii="微软雅黑" w:hAnsi="微软雅黑"/>
          <w:b/>
          <w:color w:val="0284C7"/>
          <w:sz w:val="25"/>
        </w:rPr>
        <w:t>【1】定位与架构角色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功能定位</w:t>
      </w:r>
      <w:r>
        <w:rPr>
          <w:rFonts w:ascii="微软雅黑" w:hAnsi="微软雅黑"/>
          <w:color w:val="1F2937"/>
          <w:sz w:val="18"/>
        </w:rPr>
        <w:t>：作为全集团范围一（Scope 1）化石燃料直接燃烧温室气体排放及外购热力蒸汽排放的核算参数中枢，管理化石燃料（天然气、柴油、汽油、原煤、液化石油气）、外购工业蒸汽以及设备逸散制冷剂（如 R134a、R410A）的核心排放参数。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承载角色</w:t>
      </w:r>
      <w:r>
        <w:rPr>
          <w:rFonts w:ascii="微软雅黑" w:hAnsi="微软雅黑"/>
          <w:color w:val="1F2937"/>
          <w:sz w:val="18"/>
        </w:rPr>
        <w:t>：P2 园区能碳专员（燃料消耗录入与检验单上传）、P4 碳核算工程师（因子基线核准与低位发热量实测修正）。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页面路由</w:t>
      </w:r>
      <w:r>
        <w:rPr>
          <w:rFonts w:ascii="微软雅黑" w:hAnsi="微软雅黑"/>
          <w:color w:val="1F2937"/>
          <w:sz w:val="18"/>
        </w:rPr>
        <w:t>：</w:t>
      </w:r>
      <w:r>
        <w:rPr>
          <w:rFonts w:ascii="Consolas" w:hAnsi="Consolas"/>
          <w:b w:val="0"/>
          <w:color w:val="0284C7"/>
          <w:sz w:val="16"/>
        </w:rPr>
        <w:t xml:space="preserve"> /carbon-footprint/factor/energy </w:t>
      </w:r>
      <w:r>
        <w:rPr>
          <w:rFonts w:ascii="微软雅黑" w:hAnsi="微软雅黑"/>
          <w:color w:val="1F2937"/>
          <w:sz w:val="18"/>
        </w:rPr>
        <w:t xml:space="preserve"> 与 </w:t>
      </w:r>
      <w:r>
        <w:rPr>
          <w:rFonts w:ascii="Consolas" w:hAnsi="Consolas"/>
          <w:b w:val="0"/>
          <w:color w:val="0284C7"/>
          <w:sz w:val="16"/>
        </w:rPr>
        <w:t xml:space="preserve"> /zero-carbon/config/factor/energy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上游依赖</w:t>
      </w:r>
      <w:r>
        <w:rPr>
          <w:rFonts w:ascii="微软雅黑" w:hAnsi="微软雅黑"/>
          <w:color w:val="1F2937"/>
          <w:sz w:val="18"/>
        </w:rPr>
        <w:t>：燃气公司管道天然气月度化验单、燃料供应商采购发票与质检报告、国家发展改革委《企业温室气体排放核算方法与报告指南》、IPCC 国家温室气体清单指南。</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下游输出</w:t>
      </w:r>
      <w:r>
        <w:rPr>
          <w:rFonts w:ascii="微软雅黑" w:hAnsi="微软雅黑"/>
          <w:color w:val="1F2937"/>
          <w:sz w:val="18"/>
        </w:rPr>
        <w:t>：用能在线监测（</w:t>
      </w:r>
      <w:r>
        <w:rPr>
          <w:rFonts w:ascii="Consolas" w:hAnsi="Consolas"/>
          <w:b w:val="0"/>
          <w:color w:val="0284C7"/>
          <w:sz w:val="16"/>
        </w:rPr>
        <w:t xml:space="preserve"> /zero-carbon/monitor/online/usage </w:t>
      </w:r>
      <w:r>
        <w:rPr>
          <w:rFonts w:ascii="微软雅黑" w:hAnsi="微软雅黑"/>
          <w:color w:val="1F2937"/>
          <w:sz w:val="18"/>
        </w:rPr>
        <w:t>，直接碳排放核算）、综合能源平衡分析（</w:t>
      </w:r>
      <w:r>
        <w:rPr>
          <w:rFonts w:ascii="Consolas" w:hAnsi="Consolas"/>
          <w:b w:val="0"/>
          <w:color w:val="0284C7"/>
          <w:sz w:val="16"/>
        </w:rPr>
        <w:t xml:space="preserve"> /zero-carbon/energy/structure </w:t>
      </w:r>
      <w:r>
        <w:rPr>
          <w:rFonts w:ascii="微软雅黑" w:hAnsi="微软雅黑"/>
          <w:color w:val="1F2937"/>
          <w:sz w:val="18"/>
        </w:rPr>
        <w:t>，折标与碳排映射）、产品 LCA 生产制造阶段天然气与柴油排放分摊。</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本文档定位</w:t>
      </w:r>
      <w:r>
        <w:rPr>
          <w:rFonts w:ascii="微软雅黑" w:hAnsi="微软雅黑"/>
          <w:color w:val="1F2937"/>
          <w:sz w:val="18"/>
        </w:rPr>
        <w:t>：支撑集团范围一直接排放与外购热力核算的统一参数库，严格遵循八段式完整度。</w:t>
      </w:r>
    </w:p>
    <w:p>
      <w:pPr>
        <w:pStyle w:val="Heading2"/>
        <w:keepNext/>
        <w:spacing w:before="240" w:after="100"/>
      </w:pPr>
      <w:r>
        <w:rPr>
          <w:rFonts w:ascii="微软雅黑" w:hAnsi="微软雅黑"/>
          <w:b/>
          <w:color w:val="0284C7"/>
          <w:sz w:val="25"/>
        </w:rPr>
        <w:t>【2】业务场景与用户故事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业务场景描述</w:t>
      </w:r>
      <w:r>
        <w:rPr>
          <w:rFonts w:ascii="微软雅黑" w:hAnsi="微软雅黑"/>
          <w:color w:val="1F2937"/>
          <w:sz w:val="18"/>
        </w:rPr>
        <w:t>：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TEXT】</w:t>
              <w:br/>
            </w:r>
          </w:p>
          <w:p>
            <w:pPr>
              <w:spacing w:before="0" w:after="20" w:line="252" w:lineRule="auto"/>
            </w:pPr>
            <w:r>
              <w:rPr>
                <w:rFonts w:ascii="Consolas" w:hAnsi="Consolas"/>
                <w:color w:val="0F172A"/>
                <w:sz w:val="15"/>
              </w:rPr>
              <w:t xml:space="preserve">  As a 园区能碳专员 (Persona P2)，</w:t>
            </w:r>
          </w:p>
          <w:p>
            <w:pPr>
              <w:spacing w:before="0" w:after="20" w:line="252" w:lineRule="auto"/>
            </w:pPr>
            <w:r>
              <w:rPr>
                <w:rFonts w:ascii="Consolas" w:hAnsi="Consolas"/>
                <w:color w:val="0F172A"/>
                <w:sz w:val="15"/>
              </w:rPr>
              <w:t xml:space="preserve">  I want 在能源活动碳排因子库中查看各类燃料的标准因子值，并能根据天然气每月化验单录入低位热值与含碳量以动态刷新实测因子，</w:t>
            </w:r>
          </w:p>
          <w:p>
            <w:pPr>
              <w:spacing w:before="0" w:after="20" w:line="252" w:lineRule="auto"/>
            </w:pPr>
            <w:r>
              <w:rPr>
                <w:rFonts w:ascii="Consolas" w:hAnsi="Consolas"/>
                <w:color w:val="0F172A"/>
                <w:sz w:val="15"/>
              </w:rPr>
              <w:t xml:space="preserve">  So that 我能依据精准的燃料特性核算车间工业炉窑的直接燃烧碳排放，避免采用保守缺省值虚增企业碳排。</w:t>
            </w:r>
          </w:p>
        </w:tc>
      </w:tr>
    </w:tbl>
    <w:p>
      <w:pPr>
        <w:spacing w:after="40"/>
      </w:pPr>
    </w:p>
    <w:p>
      <w:pPr>
        <w:pStyle w:val="Heading2"/>
        <w:keepNext/>
        <w:spacing w:before="240" w:after="100"/>
      </w:pPr>
      <w:r>
        <w:rPr>
          <w:rFonts w:ascii="微软雅黑" w:hAnsi="微软雅黑"/>
          <w:b/>
          <w:color w:val="0284C7"/>
          <w:sz w:val="25"/>
        </w:rPr>
        <w:t>【3】功能规格与交互契约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分类导航与界面排版</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顶部提供【能源活动类别】切片（</w:t>
      </w:r>
      <w:r>
        <w:rPr>
          <w:rFonts w:ascii="Consolas" w:hAnsi="Consolas"/>
          <w:b w:val="0"/>
          <w:color w:val="0284C7"/>
          <w:sz w:val="16"/>
        </w:rPr>
        <w:t xml:space="preserve"> 全部 </w:t>
      </w:r>
      <w:r>
        <w:rPr>
          <w:rFonts w:ascii="微软雅黑" w:hAnsi="微软雅黑"/>
          <w:color w:val="1F2937"/>
          <w:sz w:val="18"/>
        </w:rPr>
        <w:t xml:space="preserve"> / </w:t>
      </w:r>
      <w:r>
        <w:rPr>
          <w:rFonts w:ascii="Consolas" w:hAnsi="Consolas"/>
          <w:b w:val="0"/>
          <w:color w:val="0284C7"/>
          <w:sz w:val="16"/>
        </w:rPr>
        <w:t xml:space="preserve"> 化石燃料 </w:t>
      </w:r>
      <w:r>
        <w:rPr>
          <w:rFonts w:ascii="微软雅黑" w:hAnsi="微软雅黑"/>
          <w:color w:val="1F2937"/>
          <w:sz w:val="18"/>
        </w:rPr>
        <w:t xml:space="preserve"> / </w:t>
      </w:r>
      <w:r>
        <w:rPr>
          <w:rFonts w:ascii="Consolas" w:hAnsi="Consolas"/>
          <w:b w:val="0"/>
          <w:color w:val="0284C7"/>
          <w:sz w:val="16"/>
        </w:rPr>
        <w:t xml:space="preserve"> 热力/蒸汽 </w:t>
      </w:r>
      <w:r>
        <w:rPr>
          <w:rFonts w:ascii="微软雅黑" w:hAnsi="微软雅黑"/>
          <w:color w:val="1F2937"/>
          <w:sz w:val="18"/>
        </w:rPr>
        <w:t xml:space="preserve"> / </w:t>
      </w:r>
      <w:r>
        <w:rPr>
          <w:rFonts w:ascii="Consolas" w:hAnsi="Consolas"/>
          <w:b w:val="0"/>
          <w:color w:val="0284C7"/>
          <w:sz w:val="16"/>
        </w:rPr>
        <w:t xml:space="preserve"> 制冷剂 </w:t>
      </w:r>
      <w:r>
        <w:rPr>
          <w:rFonts w:ascii="微软雅黑" w:hAnsi="微软雅黑"/>
          <w:color w:val="1F2937"/>
          <w:sz w:val="18"/>
        </w:rPr>
        <w:t xml:space="preserve"> / </w:t>
      </w:r>
      <w:r>
        <w:rPr>
          <w:rFonts w:ascii="Consolas" w:hAnsi="Consolas"/>
          <w:b w:val="0"/>
          <w:color w:val="0284C7"/>
          <w:sz w:val="16"/>
        </w:rPr>
        <w:t xml:space="preserve"> 其他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数据表格行高严格锁定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 Mono 等宽右对齐；</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因子值列复合呈现：</w:t>
      </w:r>
      <w:r>
        <w:rPr>
          <w:rFonts w:ascii="Consolas" w:hAnsi="Consolas"/>
          <w:b w:val="0"/>
          <w:color w:val="0284C7"/>
          <w:sz w:val="16"/>
        </w:rPr>
        <w:t xml:space="preserve"> 当前生效值 / 默认缺省值 </w:t>
      </w:r>
      <w:r>
        <w:rPr>
          <w:rFonts w:ascii="微软雅黑" w:hAnsi="微软雅黑"/>
          <w:color w:val="1F2937"/>
          <w:sz w:val="18"/>
        </w:rPr>
        <w:t xml:space="preserve">（例如天然气 </w:t>
      </w:r>
      <w:r>
        <w:rPr>
          <w:rFonts w:ascii="Consolas" w:hAnsi="Consolas"/>
          <w:b w:val="0"/>
          <w:color w:val="0284C7"/>
          <w:sz w:val="16"/>
        </w:rPr>
        <w:t xml:space="preserve"> 2.1622 / 2.1800 kgCO2e/m³ </w:t>
      </w:r>
      <w:r>
        <w:rPr>
          <w:rFonts w:ascii="微软雅黑" w:hAnsi="微软雅黑"/>
          <w:color w:val="1F2937"/>
          <w:sz w:val="18"/>
        </w:rPr>
        <w:t xml:space="preserve">，柴油 </w:t>
      </w:r>
      <w:r>
        <w:rPr>
          <w:rFonts w:ascii="Consolas" w:hAnsi="Consolas"/>
          <w:b w:val="0"/>
          <w:color w:val="0284C7"/>
          <w:sz w:val="16"/>
        </w:rPr>
        <w:t xml:space="preserve"> 3.0959 / 3.1200 kgCO2e/kg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三参数三层级透明穿透展示</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点击化石燃料因子行展开，展示底层三大核算参数：</w:t>
      </w:r>
    </w:p>
    <w:p>
      <w:pPr>
        <w:spacing w:before="20" w:after="40" w:line="276" w:lineRule="auto"/>
        <w:ind w:left="936"/>
      </w:pPr>
      <w:r>
        <w:rPr>
          <w:rFonts w:ascii="Consolas" w:hAnsi="Consolas"/>
          <w:b/>
          <w:color w:val="1E3A8A"/>
          <w:sz w:val="17"/>
        </w:rPr>
        <w:t xml:space="preserve">1. </w:t>
      </w:r>
      <w:r>
        <w:rPr>
          <w:rFonts w:ascii="微软雅黑" w:hAnsi="微软雅黑"/>
          <w:b/>
          <w:color w:val="1E3A8A"/>
          <w:sz w:val="18"/>
        </w:rPr>
        <w:t>低位发热量 (NCV)</w:t>
      </w:r>
      <w:r>
        <w:rPr>
          <w:rFonts w:ascii="微软雅黑" w:hAnsi="微软雅黑"/>
          <w:color w:val="1F2937"/>
          <w:sz w:val="18"/>
        </w:rPr>
        <w:t xml:space="preserve">：如天然气标况 </w:t>
      </w:r>
      <w:r>
        <w:rPr>
          <w:rFonts w:ascii="Consolas" w:hAnsi="Consolas"/>
          <w:b w:val="0"/>
          <w:color w:val="0284C7"/>
          <w:sz w:val="16"/>
        </w:rPr>
        <w:t xml:space="preserve"> 38.931 MJ/m³ </w:t>
      </w:r>
      <w:r>
        <w:rPr>
          <w:rFonts w:ascii="微软雅黑" w:hAnsi="微软雅黑"/>
          <w:color w:val="1F2937"/>
          <w:sz w:val="18"/>
        </w:rPr>
        <w:t>；</w:t>
      </w:r>
    </w:p>
    <w:p>
      <w:pPr>
        <w:spacing w:before="20" w:after="40" w:line="276" w:lineRule="auto"/>
        <w:ind w:left="936"/>
      </w:pPr>
      <w:r>
        <w:rPr>
          <w:rFonts w:ascii="Consolas" w:hAnsi="Consolas"/>
          <w:b/>
          <w:color w:val="1E3A8A"/>
          <w:sz w:val="17"/>
        </w:rPr>
        <w:t xml:space="preserve">2. </w:t>
      </w:r>
      <w:r>
        <w:rPr>
          <w:rFonts w:ascii="微软雅黑" w:hAnsi="微软雅黑"/>
          <w:b/>
          <w:color w:val="1E3A8A"/>
          <w:sz w:val="18"/>
        </w:rPr>
        <w:t>单位热值含碳量 (CC)</w:t>
      </w:r>
      <w:r>
        <w:rPr>
          <w:rFonts w:ascii="微软雅黑" w:hAnsi="微软雅黑"/>
          <w:color w:val="1F2937"/>
          <w:sz w:val="18"/>
        </w:rPr>
        <w:t xml:space="preserve">：如天然气 </w:t>
      </w:r>
      <w:r>
        <w:rPr>
          <w:rFonts w:ascii="Consolas" w:hAnsi="Consolas"/>
          <w:b w:val="0"/>
          <w:color w:val="0284C7"/>
          <w:sz w:val="16"/>
        </w:rPr>
        <w:t xml:space="preserve"> 15.32 tC/TJ </w:t>
      </w:r>
      <w:r>
        <w:rPr>
          <w:rFonts w:ascii="微软雅黑" w:hAnsi="微软雅黑"/>
          <w:color w:val="1F2937"/>
          <w:sz w:val="18"/>
        </w:rPr>
        <w:t>；</w:t>
      </w:r>
    </w:p>
    <w:p>
      <w:pPr>
        <w:spacing w:before="20" w:after="40" w:line="276" w:lineRule="auto"/>
        <w:ind w:left="936"/>
      </w:pPr>
      <w:r>
        <w:rPr>
          <w:rFonts w:ascii="Consolas" w:hAnsi="Consolas"/>
          <w:b/>
          <w:color w:val="1E3A8A"/>
          <w:sz w:val="17"/>
        </w:rPr>
        <w:t xml:space="preserve">3. </w:t>
      </w:r>
      <w:r>
        <w:rPr>
          <w:rFonts w:ascii="微软雅黑" w:hAnsi="微软雅黑"/>
          <w:b/>
          <w:color w:val="1E3A8A"/>
          <w:sz w:val="18"/>
        </w:rPr>
        <w:t>碳氧化率 (OF)</w:t>
      </w:r>
      <w:r>
        <w:rPr>
          <w:rFonts w:ascii="微软雅黑" w:hAnsi="微软雅黑"/>
          <w:color w:val="1F2937"/>
          <w:sz w:val="18"/>
        </w:rPr>
        <w:t xml:space="preserve">：如工业炉天然气燃烧 </w:t>
      </w:r>
      <w:r>
        <w:rPr>
          <w:rFonts w:ascii="Consolas" w:hAnsi="Consolas"/>
          <w:b w:val="0"/>
          <w:color w:val="0284C7"/>
          <w:sz w:val="16"/>
        </w:rPr>
        <w:t xml:space="preserve"> 99.0%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清晰标注该因子是采用国家指南缺省值，还是基于燃气化验单的实测修正值。</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外购工业蒸汽因子温压解耦与热焓计算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外购蒸汽因子支持根据蒸汽供汽类型（低压饱和蒸汽 / 过热蒸汽）与表压（MPa）、温度（°C）自动从国际水蒸气热焓表（IAPWS-IF97）插值匹配比焓值，计算专属排放因子（如 </w:t>
      </w:r>
      <w:r>
        <w:rPr>
          <w:rFonts w:ascii="Consolas" w:hAnsi="Consolas"/>
          <w:b w:val="0"/>
          <w:color w:val="0284C7"/>
          <w:sz w:val="16"/>
        </w:rPr>
        <w:t xml:space="preserve"> 0.1100 kgCO2e/MJ </w:t>
      </w:r>
      <w:r>
        <w:rPr>
          <w:rFonts w:ascii="微软雅黑" w:hAnsi="微软雅黑"/>
          <w:color w:val="1F2937"/>
          <w:sz w:val="18"/>
        </w:rPr>
        <w:t xml:space="preserve"> 或 </w:t>
      </w:r>
      <w:r>
        <w:rPr>
          <w:rFonts w:ascii="Consolas" w:hAnsi="Consolas"/>
          <w:b w:val="0"/>
          <w:color w:val="0284C7"/>
          <w:sz w:val="16"/>
        </w:rPr>
        <w:t xml:space="preserve"> 276.5 kgCO2e/t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【业务约束与工程规范契约】：</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客观中立原则</w:t>
      </w:r>
      <w:r>
        <w:rPr>
          <w:rFonts w:ascii="微软雅黑" w:hAnsi="微软雅黑"/>
          <w:color w:val="1F2937"/>
          <w:sz w:val="18"/>
        </w:rPr>
        <w:t>：严禁在燃煤或重油因子卡片标注“劣质燃料”或“污染严重”等情绪化词汇，仅如实标注热值与单位含碳量；</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制冷剂逸散全球变暖潜能值 (GWP) 强制锚定 IPCC 第五次评估报告 (AR5)</w:t>
      </w:r>
      <w:r>
        <w:rPr>
          <w:rFonts w:ascii="微软雅黑" w:hAnsi="微软雅黑"/>
          <w:color w:val="1F2937"/>
          <w:sz w:val="18"/>
        </w:rPr>
        <w:t>，R134a 强制锁定为 1430，严禁任意篡改。</w:t>
      </w:r>
    </w:p>
    <w:p>
      <w:pPr>
        <w:pStyle w:val="Heading2"/>
        <w:keepNext/>
        <w:spacing w:before="240" w:after="100"/>
      </w:pPr>
      <w:r>
        <w:rPr>
          <w:rFonts w:ascii="微软雅黑" w:hAnsi="微软雅黑"/>
          <w:b/>
          <w:color w:val="0284C7"/>
          <w:sz w:val="25"/>
        </w:rPr>
        <w:t>【4】页面字段字典与数据契约</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工程单位</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校验与约束规则</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能源活动因子编码</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唯一，格式 </w:t>
            </w:r>
            <w:r>
              <w:rPr>
                <w:rFonts w:ascii="Consolas" w:hAnsi="Consolas"/>
                <w:b w:val="0"/>
                <w:color w:val="0284C7"/>
                <w:sz w:val="14"/>
              </w:rPr>
              <w:t xml:space="preserve"> EA&lt;3位流水&gt;&lt;2位校验码&gt;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能源活动/燃料名称</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如 </w:t>
            </w:r>
            <w:r>
              <w:rPr>
                <w:rFonts w:ascii="Consolas" w:hAnsi="Consolas"/>
                <w:b w:val="0"/>
                <w:color w:val="0284C7"/>
                <w:sz w:val="14"/>
              </w:rPr>
              <w:t xml:space="preserve"> 管道天然气 </w:t>
            </w:r>
            <w:r>
              <w:rPr>
                <w:rFonts w:ascii="微软雅黑" w:hAnsi="微软雅黑"/>
                <w:color w:val="1F2937"/>
                <w:sz w:val="16"/>
              </w:rPr>
              <w:t>、</w:t>
            </w:r>
            <w:r>
              <w:rPr>
                <w:rFonts w:ascii="Consolas" w:hAnsi="Consolas"/>
                <w:b w:val="0"/>
                <w:color w:val="0284C7"/>
                <w:sz w:val="14"/>
              </w:rPr>
              <w:t xml:space="preserve"> 轻柴油 </w:t>
            </w:r>
            <w:r>
              <w:rPr>
                <w:rFonts w:ascii="微软雅黑" w:hAnsi="微软雅黑"/>
                <w:color w:val="1F2937"/>
                <w:sz w:val="16"/>
              </w:rPr>
              <w:t>、</w:t>
            </w:r>
            <w:r>
              <w:rPr>
                <w:rFonts w:ascii="Consolas" w:hAnsi="Consolas"/>
                <w:b w:val="0"/>
                <w:color w:val="0284C7"/>
                <w:sz w:val="14"/>
              </w:rPr>
              <w:t xml:space="preserve"> 原煤(烟煤) </w:t>
            </w:r>
            <w:r>
              <w:rPr>
                <w:rFonts w:ascii="微软雅黑" w:hAnsi="微软雅黑"/>
                <w:color w:val="1F2937"/>
                <w:sz w:val="16"/>
              </w:rPr>
              <w:t>、</w:t>
            </w:r>
            <w:r>
              <w:rPr>
                <w:rFonts w:ascii="Consolas" w:hAnsi="Consolas"/>
                <w:b w:val="0"/>
                <w:color w:val="0284C7"/>
                <w:sz w:val="14"/>
              </w:rPr>
              <w:t xml:space="preserve"> 外购蒸汽 </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能源大类归属</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化石燃料 / 热力/蒸汽 / 制冷剂 / 其他</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当前生效因子值</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实物单位</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严格 </w:t>
            </w:r>
            <w:r>
              <w:rPr>
                <w:rFonts w:ascii="Consolas" w:hAnsi="Consolas"/>
                <w:b w:val="0"/>
                <w:color w:val="0284C7"/>
                <w:sz w:val="14"/>
              </w:rPr>
              <w:t xml:space="preserve"> &gt; 0 </w:t>
            </w:r>
            <w:r>
              <w:rPr>
                <w:rFonts w:ascii="微软雅黑" w:hAnsi="微软雅黑"/>
                <w:color w:val="1F2937"/>
                <w:sz w:val="16"/>
              </w:rPr>
              <w:t xml:space="preserve">；天然气为 </w:t>
            </w:r>
            <w:r>
              <w:rPr>
                <w:rFonts w:ascii="Consolas" w:hAnsi="Consolas"/>
                <w:b w:val="0"/>
                <w:color w:val="0284C7"/>
                <w:sz w:val="14"/>
              </w:rPr>
              <w:t xml:space="preserve"> kgCO2e/m³ </w:t>
            </w:r>
            <w:r>
              <w:rPr>
                <w:rFonts w:ascii="微软雅黑" w:hAnsi="微软雅黑"/>
                <w:color w:val="1F2937"/>
                <w:sz w:val="16"/>
              </w:rPr>
              <w:t xml:space="preserve">，燃料油为 </w:t>
            </w:r>
            <w:r>
              <w:rPr>
                <w:rFonts w:ascii="Consolas" w:hAnsi="Consolas"/>
                <w:b w:val="0"/>
                <w:color w:val="0284C7"/>
                <w:sz w:val="14"/>
              </w:rPr>
              <w:t xml:space="preserve"> kgCO2e/kg </w:t>
            </w:r>
            <w:r>
              <w:rPr>
                <w:rFonts w:ascii="微软雅黑" w:hAnsi="微软雅黑"/>
                <w:color w:val="1F2937"/>
                <w:sz w:val="16"/>
              </w:rPr>
              <w:t xml:space="preserve">，蒸汽为 </w:t>
            </w:r>
            <w:r>
              <w:rPr>
                <w:rFonts w:ascii="Consolas" w:hAnsi="Consolas"/>
                <w:b w:val="0"/>
                <w:color w:val="0284C7"/>
                <w:sz w:val="14"/>
              </w:rPr>
              <w:t xml:space="preserve"> kgCO2e/MJ </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默认/缺省因子值</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实物单位</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国家发改委核算指南推荐缺省值</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低位发热量 (NCV)</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MJ/kg 或 MJ/m³</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严格 </w:t>
            </w:r>
            <w:r>
              <w:rPr>
                <w:rFonts w:ascii="Consolas" w:hAnsi="Consolas"/>
                <w:b w:val="0"/>
                <w:color w:val="0284C7"/>
                <w:sz w:val="14"/>
              </w:rPr>
              <w:t xml:space="preserve"> &gt; 0 </w:t>
            </w:r>
            <w:r>
              <w:rPr>
                <w:rFonts w:ascii="微软雅黑" w:hAnsi="微软雅黑"/>
                <w:color w:val="1F2937"/>
                <w:sz w:val="16"/>
              </w:rPr>
              <w:t>；按实测或国标录入</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7</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单位热值含碳量 (CC)</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tC/TJ</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严格 </w:t>
            </w:r>
            <w:r>
              <w:rPr>
                <w:rFonts w:ascii="Consolas" w:hAnsi="Consolas"/>
                <w:b w:val="0"/>
                <w:color w:val="0284C7"/>
                <w:sz w:val="14"/>
              </w:rPr>
              <w:t xml:space="preserve"> &gt; 0 </w:t>
            </w:r>
            <w:r>
              <w:rPr>
                <w:rFonts w:ascii="微软雅黑" w:hAnsi="微软雅黑"/>
                <w:color w:val="1F2937"/>
                <w:sz w:val="16"/>
              </w:rPr>
              <w:t>；碳核算关键中间参数</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8</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碳氧化率 (OF)</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取值区间 </w:t>
            </w:r>
            <w:r>
              <w:rPr>
                <w:rFonts w:ascii="Consolas" w:hAnsi="Consolas"/>
                <w:b w:val="0"/>
                <w:color w:val="0284C7"/>
                <w:sz w:val="14"/>
              </w:rPr>
              <w:t xml:space="preserve"> [90.0, 100.0] </w:t>
            </w:r>
            <w:r>
              <w:rPr>
                <w:rFonts w:ascii="微软雅黑" w:hAnsi="微软雅黑"/>
                <w:color w:val="1F2937"/>
                <w:sz w:val="16"/>
              </w:rPr>
              <w:t>，炉窑燃烧效率</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9</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制冷剂潜能值 (GWP)</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Integer</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仅制冷剂类型有效，如 R134a 锁定为 1430</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因子版本发布代号</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格式 </w:t>
            </w:r>
            <w:r>
              <w:rPr>
                <w:rFonts w:ascii="Consolas" w:hAnsi="Consolas"/>
                <w:b w:val="0"/>
                <w:color w:val="0284C7"/>
                <w:sz w:val="14"/>
              </w:rPr>
              <w:t xml:space="preserve"> v&lt;年份&gt;.&lt;流水&gt; </w:t>
            </w:r>
            <w:r>
              <w:rPr>
                <w:rFonts w:ascii="微软雅黑" w:hAnsi="微软雅黑"/>
                <w:color w:val="1F2937"/>
                <w:sz w:val="16"/>
              </w:rPr>
              <w:t xml:space="preserve">（如 </w:t>
            </w:r>
            <w:r>
              <w:rPr>
                <w:rFonts w:ascii="Consolas" w:hAnsi="Consolas"/>
                <w:b w:val="0"/>
                <w:color w:val="0284C7"/>
                <w:sz w:val="14"/>
              </w:rPr>
              <w:t xml:space="preserve"> v2023.2 </w:t>
            </w:r>
            <w:r>
              <w:rPr>
                <w:rFonts w:ascii="微软雅黑" w:hAnsi="微软雅黑"/>
                <w:color w:val="1F2937"/>
                <w:sz w:val="16"/>
              </w:rPr>
              <w:t>）</w:t>
            </w:r>
          </w:p>
        </w:tc>
      </w:tr>
    </w:tbl>
    <w:p>
      <w:pPr>
        <w:spacing w:after="60"/>
      </w:pPr>
    </w:p>
    <w:p>
      <w:pPr>
        <w:pStyle w:val="Heading2"/>
        <w:keepNext/>
        <w:spacing w:before="240" w:after="100"/>
      </w:pPr>
      <w:r>
        <w:rPr>
          <w:rFonts w:ascii="微软雅黑" w:hAnsi="微软雅黑"/>
          <w:b/>
          <w:color w:val="0284C7"/>
          <w:sz w:val="25"/>
        </w:rPr>
        <w:t>【5】核心数学模型与算法框架</w:t>
      </w:r>
    </w:p>
    <w:p>
      <w:pPr>
        <w:spacing w:before="20" w:after="60" w:line="276" w:lineRule="auto"/>
      </w:pPr>
      <w:r>
        <w:rPr>
          <w:rFonts w:ascii="微软雅黑" w:hAnsi="微软雅黑"/>
          <w:color w:val="1F2937"/>
          <w:sz w:val="18"/>
        </w:rPr>
        <w:t>📐 【核心业务数学模型与计算公式】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EF_{\text{fossil}} = \text{NCV} \times \text{CC} \times \text{OF} \times \frac{44}{12} \times 10^{-3} \quad (\text{化石燃料直接燃烧排放因子})</w:t>
            </w:r>
          </w:p>
          <w:p>
            <w:pPr>
              <w:spacing w:before="0" w:after="20" w:line="276" w:lineRule="auto"/>
            </w:pPr>
            <w:r>
              <w:rPr>
                <w:rFonts w:ascii="Consolas" w:hAnsi="Consolas"/>
                <w:b/>
                <w:color w:val="1E3A8A"/>
                <w:sz w:val="17"/>
              </w:rPr>
              <w:t>EF_{\text{steam}} = \frac{h_{\text{steam}} - h_{\text{water}}}{\eta_{\text{boiler}}} \times EF_{\text{fuel}} \quad (\text{外购工业蒸汽折算因子})</w:t>
            </w:r>
          </w:p>
          <w:p>
            <w:pPr>
              <w:spacing w:before="0" w:after="20" w:line="276" w:lineRule="auto"/>
            </w:pPr>
            <w:r>
              <w:rPr>
                <w:rFonts w:ascii="Consolas" w:hAnsi="Consolas"/>
                <w:b/>
                <w:color w:val="1E3A8A"/>
                <w:sz w:val="17"/>
              </w:rPr>
              <w:t>C_{\text{Scope1, total}} = \sum_{j=1}^{k} \left( Q_{\text{fuel}, j} \times EF_{\text{fossil}, j} \right) + \sum_{m=1}^{r} \left( L_{\text{refrig}, m} \times \text{GWP}_m \right) \quad (\text{范围一直接排放量})</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变量定义与取值约定</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\text{NCV}</w:t>
      </w:r>
      <w:r>
        <w:rPr>
          <w:rFonts w:ascii="微软雅黑" w:hAnsi="微软雅黑"/>
          <w:color w:val="1F2937"/>
          <w:sz w:val="18"/>
        </w:rPr>
        <w:t xml:space="preserve">：平均低位发热量（固体/液体为 </w:t>
      </w:r>
      <w:r>
        <w:rPr>
          <w:rFonts w:ascii="Consolas" w:hAnsi="Consolas"/>
          <w:i/>
          <w:color w:val="15803D"/>
          <w:sz w:val="18"/>
        </w:rPr>
        <w:t>\text{kJ/kg}</w:t>
      </w:r>
      <w:r>
        <w:rPr>
          <w:rFonts w:ascii="微软雅黑" w:hAnsi="微软雅黑"/>
          <w:color w:val="1F2937"/>
          <w:sz w:val="18"/>
        </w:rPr>
        <w:t xml:space="preserve">，气体为 </w:t>
      </w:r>
      <w:r>
        <w:rPr>
          <w:rFonts w:ascii="Consolas" w:hAnsi="Consolas"/>
          <w:i/>
          <w:color w:val="15803D"/>
          <w:sz w:val="18"/>
        </w:rPr>
        <w:t>\text{kJ/m}^3</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\text{CC}</w:t>
      </w:r>
      <w:r>
        <w:rPr>
          <w:rFonts w:ascii="微软雅黑" w:hAnsi="微软雅黑"/>
          <w:color w:val="1F2937"/>
          <w:sz w:val="18"/>
        </w:rPr>
        <w:t>：单位热值含碳量（</w:t>
      </w:r>
      <w:r>
        <w:rPr>
          <w:rFonts w:ascii="Consolas" w:hAnsi="Consolas"/>
          <w:i/>
          <w:color w:val="15803D"/>
          <w:sz w:val="18"/>
        </w:rPr>
        <w:t>\text{tC/TJ}</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\text{OF}</w:t>
      </w:r>
      <w:r>
        <w:rPr>
          <w:rFonts w:ascii="微软雅黑" w:hAnsi="微软雅黑"/>
          <w:color w:val="1F2937"/>
          <w:sz w:val="18"/>
        </w:rPr>
        <w:t>：碳氧化率（百分比）；</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44/12</w:t>
      </w:r>
      <w:r>
        <w:rPr>
          <w:rFonts w:ascii="微软雅黑" w:hAnsi="微软雅黑"/>
          <w:color w:val="1F2937"/>
          <w:sz w:val="18"/>
        </w:rPr>
        <w:t xml:space="preserve">：二氧化碳与碳的分子量比率（约等于 </w:t>
      </w:r>
      <w:r>
        <w:rPr>
          <w:rFonts w:ascii="Consolas" w:hAnsi="Consolas"/>
          <w:i/>
          <w:color w:val="15803D"/>
          <w:sz w:val="18"/>
        </w:rPr>
        <w:t>3.6667</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h_{\text{steam}}</w:t>
      </w:r>
      <w:r>
        <w:rPr>
          <w:rFonts w:ascii="微软雅黑" w:hAnsi="微软雅黑"/>
          <w:color w:val="1F2937"/>
          <w:sz w:val="18"/>
        </w:rPr>
        <w:t>：蒸汽供汽比焓（</w:t>
      </w:r>
      <w:r>
        <w:rPr>
          <w:rFonts w:ascii="Consolas" w:hAnsi="Consolas"/>
          <w:i/>
          <w:color w:val="15803D"/>
          <w:sz w:val="18"/>
        </w:rPr>
        <w:t>\text{kJ/kg}</w:t>
      </w:r>
      <w:r>
        <w:rPr>
          <w:rFonts w:ascii="微软雅黑" w:hAnsi="微软雅黑"/>
          <w:color w:val="1F2937"/>
          <w:sz w:val="18"/>
        </w:rPr>
        <w:t>）；</w:t>
      </w:r>
      <w:r>
        <w:rPr>
          <w:rFonts w:ascii="Consolas" w:hAnsi="Consolas"/>
          <w:i/>
          <w:color w:val="15803D"/>
          <w:sz w:val="18"/>
        </w:rPr>
        <w:t>h_{\text{water}}</w:t>
      </w:r>
      <w:r>
        <w:rPr>
          <w:rFonts w:ascii="微软雅黑" w:hAnsi="微软雅黑"/>
          <w:color w:val="1F2937"/>
          <w:sz w:val="18"/>
        </w:rPr>
        <w:t>：锅炉给水温度比焓（</w:t>
      </w:r>
      <w:r>
        <w:rPr>
          <w:rFonts w:ascii="Consolas" w:hAnsi="Consolas"/>
          <w:i/>
          <w:color w:val="15803D"/>
          <w:sz w:val="18"/>
        </w:rPr>
        <w:t>\text{kJ/kg}</w:t>
      </w:r>
      <w:r>
        <w:rPr>
          <w:rFonts w:ascii="微软雅黑" w:hAnsi="微软雅黑"/>
          <w:color w:val="1F2937"/>
          <w:sz w:val="18"/>
        </w:rPr>
        <w:t>）；</w:t>
      </w:r>
      <w:r>
        <w:rPr>
          <w:rFonts w:ascii="Consolas" w:hAnsi="Consolas"/>
          <w:i/>
          <w:color w:val="15803D"/>
          <w:sz w:val="18"/>
        </w:rPr>
        <w:t>\eta_{\text{boiler}}</w:t>
      </w:r>
      <w:r>
        <w:rPr>
          <w:rFonts w:ascii="微软雅黑" w:hAnsi="微软雅黑"/>
          <w:color w:val="1F2937"/>
          <w:sz w:val="18"/>
        </w:rPr>
        <w:t xml:space="preserve">：供热锅炉综合热效率（系统缺省取 </w:t>
      </w:r>
      <w:r>
        <w:rPr>
          <w:rFonts w:ascii="Consolas" w:hAnsi="Consolas"/>
          <w:i/>
          <w:color w:val="15803D"/>
          <w:sz w:val="18"/>
        </w:rPr>
        <w:t>80.0\%</w:t>
      </w:r>
      <w:r>
        <w:rPr>
          <w:rFonts w:ascii="微软雅黑" w:hAnsi="微软雅黑"/>
          <w:color w:val="1F2937"/>
          <w:sz w:val="18"/>
        </w:rPr>
        <w:t>）。</w:t>
      </w:r>
    </w:p>
    <w:p>
      <w:pPr>
        <w:pStyle w:val="Heading2"/>
        <w:keepNext/>
        <w:spacing w:before="240" w:after="100"/>
      </w:pPr>
      <w:r>
        <w:rPr>
          <w:rFonts w:ascii="微软雅黑" w:hAnsi="微软雅黑"/>
          <w:b/>
          <w:color w:val="0284C7"/>
          <w:sz w:val="25"/>
        </w:rPr>
        <w:t>【6】展示、对标与判定口径</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双轨展示</w:t>
      </w:r>
      <w:r>
        <w:rPr>
          <w:rFonts w:ascii="微软雅黑" w:hAnsi="微软雅黑"/>
          <w:color w:val="1F2937"/>
          <w:sz w:val="18"/>
        </w:rPr>
        <w:t>：因子卡片明确标注实测值与发改委缺省值对比；</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温室气体折算口径</w:t>
      </w:r>
      <w:r>
        <w:rPr>
          <w:rFonts w:ascii="微软雅黑" w:hAnsi="微软雅黑"/>
          <w:color w:val="1F2937"/>
          <w:sz w:val="18"/>
        </w:rPr>
        <w:t>：所有能源活动排放结果统一以二氧化碳当量（</w:t>
      </w:r>
      <w:r>
        <w:rPr>
          <w:rFonts w:ascii="Consolas" w:hAnsi="Consolas"/>
          <w:i/>
          <w:color w:val="15803D"/>
          <w:sz w:val="18"/>
        </w:rPr>
        <w:t>\text{tCO}_2\text{e}</w:t>
      </w:r>
      <w:r>
        <w:rPr>
          <w:rFonts w:ascii="微软雅黑" w:hAnsi="微软雅黑"/>
          <w:color w:val="1F2937"/>
          <w:sz w:val="18"/>
        </w:rPr>
        <w:t xml:space="preserve">）汇总，非二氧化碳温室气体（如甲烷 </w:t>
      </w:r>
      <w:r>
        <w:rPr>
          <w:rFonts w:ascii="Consolas" w:hAnsi="Consolas"/>
          <w:i/>
          <w:color w:val="15803D"/>
          <w:sz w:val="18"/>
        </w:rPr>
        <w:t>\text{CH}_4</w:t>
      </w:r>
      <w:r>
        <w:rPr>
          <w:rFonts w:ascii="微软雅黑" w:hAnsi="微软雅黑"/>
          <w:color w:val="1F2937"/>
          <w:sz w:val="18"/>
        </w:rPr>
        <w:t xml:space="preserve">、氧化亚氮 </w:t>
      </w:r>
      <w:r>
        <w:rPr>
          <w:rFonts w:ascii="Consolas" w:hAnsi="Consolas"/>
          <w:i/>
          <w:color w:val="15803D"/>
          <w:sz w:val="18"/>
        </w:rPr>
        <w:t>\text{N}_2\text{O}</w:t>
      </w:r>
      <w:r>
        <w:rPr>
          <w:rFonts w:ascii="微软雅黑" w:hAnsi="微软雅黑"/>
          <w:color w:val="1F2937"/>
          <w:sz w:val="18"/>
        </w:rPr>
        <w:t>）已按 GWP 统一折算入综合因子中；</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空值口径</w:t>
      </w:r>
      <w:r>
        <w:rPr>
          <w:rFonts w:ascii="微软雅黑" w:hAnsi="微软雅黑"/>
          <w:color w:val="1F2937"/>
          <w:sz w:val="18"/>
        </w:rPr>
        <w:t>：任何车间新增特种燃气或工业副产气未录入实测热值时，系统强制回退采用通用化石燃料上限缺省值，严禁空值运行。</w:t>
      </w:r>
    </w:p>
    <w:p>
      <w:pPr>
        <w:pStyle w:val="Heading2"/>
        <w:keepNext/>
        <w:spacing w:before="240" w:after="100"/>
      </w:pPr>
      <w:r>
        <w:rPr>
          <w:rFonts w:ascii="微软雅黑" w:hAnsi="微软雅黑"/>
          <w:b/>
          <w:color w:val="0284C7"/>
          <w:sz w:val="25"/>
        </w:rPr>
        <w:t>【7】边界条件、异常处理与防错规则</w:t>
      </w:r>
    </w:p>
    <w:p>
      <w:pPr>
        <w:spacing w:before="20" w:after="60" w:line="276" w:lineRule="auto"/>
      </w:pPr>
      <w:r>
        <w:rPr>
          <w:rFonts w:ascii="微软雅黑" w:hAnsi="微软雅黑"/>
          <w:color w:val="1F2937"/>
          <w:sz w:val="18"/>
        </w:rPr>
        <w:t>⚠️ 【研发设计红线与强约束校验】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发热量非物理极值拦截</w:t>
      </w:r>
      <w:r>
        <w:rPr>
          <w:rFonts w:ascii="微软雅黑" w:hAnsi="微软雅黑"/>
          <w:color w:val="1F2937"/>
          <w:sz w:val="18"/>
        </w:rPr>
        <w:t xml:space="preserve">：低位发热量输入超过热力学物理极限（如天然气输入 </w:t>
      </w:r>
      <w:r>
        <w:rPr>
          <w:rFonts w:ascii="Consolas" w:hAnsi="Consolas"/>
          <w:i/>
          <w:color w:val="15803D"/>
          <w:sz w:val="18"/>
        </w:rPr>
        <w:t>&gt; 50 \text{ MJ/m}^3</w:t>
      </w:r>
      <w:r>
        <w:rPr>
          <w:rFonts w:ascii="微软雅黑" w:hAnsi="微软雅黑"/>
          <w:color w:val="1F2937"/>
          <w:sz w:val="18"/>
        </w:rPr>
        <w:t xml:space="preserve">）时，系统强阻断保存，抛出 </w:t>
      </w:r>
      <w:r>
        <w:rPr>
          <w:rFonts w:ascii="Consolas" w:hAnsi="Consolas"/>
          <w:b w:val="0"/>
          <w:color w:val="0284C7"/>
          <w:sz w:val="16"/>
        </w:rPr>
        <w:t xml:space="preserve"> E_VAL_NCV_OUT_OF_PHYSICAL_RANGE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碳氧化率非法越界阻断</w:t>
      </w:r>
      <w:r>
        <w:rPr>
          <w:rFonts w:ascii="微软雅黑" w:hAnsi="微软雅黑"/>
          <w:color w:val="1F2937"/>
          <w:sz w:val="18"/>
        </w:rPr>
        <w:t xml:space="preserve">：碳氧化率输入必须在 </w:t>
      </w:r>
      <w:r>
        <w:rPr>
          <w:rFonts w:ascii="Consolas" w:hAnsi="Consolas"/>
          <w:b w:val="0"/>
          <w:color w:val="0284C7"/>
          <w:sz w:val="16"/>
        </w:rPr>
        <w:t xml:space="preserve"> [90.0%, 100.0%] </w:t>
      </w:r>
      <w:r>
        <w:rPr>
          <w:rFonts w:ascii="微软雅黑" w:hAnsi="微软雅黑"/>
          <w:color w:val="1F2937"/>
          <w:sz w:val="18"/>
        </w:rPr>
        <w:t xml:space="preserve"> 之间，大于 100% 阻断提交，记录 </w:t>
      </w:r>
      <w:r>
        <w:rPr>
          <w:rFonts w:ascii="Consolas" w:hAnsi="Consolas"/>
          <w:b w:val="0"/>
          <w:color w:val="0284C7"/>
          <w:sz w:val="16"/>
        </w:rPr>
        <w:t xml:space="preserve"> E_VAL_OF_RATE_INVALID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蒸汽热焓查表失效兜底</w:t>
      </w:r>
      <w:r>
        <w:rPr>
          <w:rFonts w:ascii="微软雅黑" w:hAnsi="微软雅黑"/>
          <w:color w:val="1F2937"/>
          <w:sz w:val="18"/>
        </w:rPr>
        <w:t>：当输入表压与温度在 IAPWS 饱和区外时，系统自动使用经验线性插值计算，并弹出黄色非标提示，避免算式除零崩溃。</w:t>
      </w:r>
    </w:p>
    <w:p>
      <w:pPr>
        <w:pStyle w:val="Heading2"/>
        <w:keepNext/>
        <w:spacing w:before="240" w:after="100"/>
      </w:pPr>
      <w:r>
        <w:rPr>
          <w:rFonts w:ascii="微软雅黑" w:hAnsi="微软雅黑"/>
          <w:b/>
          <w:color w:val="0284C7"/>
          <w:sz w:val="25"/>
        </w:rPr>
        <w:t>【8】QA 自动化验收准则（Gherkin BDD）</w:t>
      </w:r>
    </w:p>
    <w:p>
      <w:pPr>
        <w:spacing w:before="20" w:after="60" w:line="276" w:lineRule="auto"/>
      </w:pPr>
      <w:r>
        <w:rPr>
          <w:rFonts w:ascii="微软雅黑" w:hAnsi="微软雅黑"/>
          <w:color w:val="1F2937"/>
          <w:sz w:val="18"/>
        </w:rPr>
        <w:t>🧪 【QA 自动化验收准则 · Gherkin BDD 用例契约】</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能源活动与化石燃料碳排因子核算验证</w:t>
            </w:r>
          </w:p>
          <w:p>
            <w:pPr>
              <w:spacing w:before="0" w:after="20" w:line="264" w:lineRule="auto"/>
            </w:pPr>
            <w:r>
              <w:rPr>
                <w:rFonts w:ascii="Consolas" w:hAnsi="Consolas"/>
                <w:b/>
                <w:color w:val="0284C7"/>
                <w:sz w:val="16"/>
              </w:rPr>
              <w:t xml:space="preserve">  Scenario: 天然气三参数动态计算排放因子精度</w:t>
            </w:r>
          </w:p>
          <w:p>
            <w:pPr>
              <w:spacing w:before="0" w:after="20" w:line="264" w:lineRule="auto"/>
            </w:pPr>
            <w:r>
              <w:rPr>
                <w:rFonts w:ascii="Consolas" w:hAnsi="Consolas"/>
                <w:color w:val="1F2937"/>
                <w:sz w:val="16"/>
              </w:rPr>
              <w:t xml:space="preserve">    Given 天然气实测低位热值 NCV 为 38.931 MJ/m³, 单位热值含碳量 CC 为 15.32 tC/TJ, 碳氧化率 OF 为 99.0%</w:t>
            </w:r>
          </w:p>
          <w:p>
            <w:pPr>
              <w:spacing w:before="0" w:after="20" w:line="264" w:lineRule="auto"/>
            </w:pPr>
            <w:r>
              <w:rPr>
                <w:rFonts w:ascii="Consolas" w:hAnsi="Consolas"/>
                <w:color w:val="1F2937"/>
                <w:sz w:val="16"/>
              </w:rPr>
              <w:t xml:space="preserve">    When 碳核算引擎计算其综合二氧化碳排放因子</w:t>
            </w:r>
          </w:p>
          <w:p>
            <w:pPr>
              <w:spacing w:before="0" w:after="20" w:line="264" w:lineRule="auto"/>
            </w:pPr>
            <w:r>
              <w:rPr>
                <w:rFonts w:ascii="Consolas" w:hAnsi="Consolas"/>
                <w:b/>
                <w:color w:val="16A34A"/>
                <w:sz w:val="16"/>
              </w:rPr>
              <w:t xml:space="preserve">    Then 计算出的因子值精确等于 2.1622 kgCO2e/m³ (容差 &lt;= 0.0001)</w:t>
            </w:r>
          </w:p>
          <w:p>
            <w:pPr>
              <w:spacing w:before="0" w:after="20" w:line="264" w:lineRule="auto"/>
            </w:pPr>
            <w:r>
              <w:rPr>
                <w:rFonts w:ascii="Consolas" w:hAnsi="Consolas"/>
                <w:color w:val="1F2937"/>
                <w:sz w:val="16"/>
              </w:rPr>
              <w:t xml:space="preserve">    And 界面因子当前值同步更新并标注为实测修正源</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碳氧化率越界与极端物理量防御</w:t>
            </w:r>
          </w:p>
          <w:p>
            <w:pPr>
              <w:spacing w:before="0" w:after="20" w:line="264" w:lineRule="auto"/>
            </w:pPr>
            <w:r>
              <w:rPr>
                <w:rFonts w:ascii="Consolas" w:hAnsi="Consolas"/>
                <w:color w:val="1F2937"/>
                <w:sz w:val="16"/>
              </w:rPr>
              <w:t xml:space="preserve">    Given 用户在录入柴油因子时，误将碳氧化率输入为 105.0%</w:t>
            </w:r>
          </w:p>
          <w:p>
            <w:pPr>
              <w:spacing w:before="0" w:after="20" w:line="264" w:lineRule="auto"/>
            </w:pPr>
            <w:r>
              <w:rPr>
                <w:rFonts w:ascii="Consolas" w:hAnsi="Consolas"/>
                <w:color w:val="1F2937"/>
                <w:sz w:val="16"/>
              </w:rPr>
              <w:t xml:space="preserve">    When 用户点击确认提交保存</w:t>
            </w:r>
          </w:p>
          <w:p>
            <w:pPr>
              <w:spacing w:before="0" w:after="20" w:line="264" w:lineRule="auto"/>
            </w:pPr>
            <w:r>
              <w:rPr>
                <w:rFonts w:ascii="Consolas" w:hAnsi="Consolas"/>
                <w:b/>
                <w:color w:val="16A34A"/>
                <w:sz w:val="16"/>
              </w:rPr>
              <w:t xml:space="preserve">    Then 表单标红提示 "碳氧化率不得超过100.0%"</w:t>
            </w:r>
          </w:p>
          <w:p>
            <w:pPr>
              <w:spacing w:before="0" w:after="20" w:line="264" w:lineRule="auto"/>
            </w:pPr>
            <w:r>
              <w:rPr>
                <w:rFonts w:ascii="Consolas" w:hAnsi="Consolas"/>
                <w:color w:val="1F2937"/>
                <w:sz w:val="16"/>
              </w:rPr>
              <w:t xml:space="preserve">    And 提交动作被底层安全校验直接拦截</w:t>
            </w:r>
          </w:p>
          <w:p>
            <w:pPr>
              <w:spacing w:before="0" w:after="20" w:line="264" w:lineRule="auto"/>
            </w:pPr>
            <w:r>
              <w:rPr>
                <w:rFonts w:ascii="Consolas" w:hAnsi="Consolas"/>
                <w:color w:val="1F2937"/>
                <w:sz w:val="16"/>
              </w:rPr>
              <w:t xml:space="preserve">    And 数据库不写入任何脏数据</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第5章 折标煤系数库管理功能需求规格 (Standard Coal Conversion Library)</w:t>
      </w:r>
    </w:p>
    <w:p>
      <w:pPr>
        <w:pStyle w:val="Heading2"/>
        <w:keepNext/>
        <w:spacing w:before="240" w:after="100"/>
      </w:pPr>
      <w:r>
        <w:rPr>
          <w:rFonts w:ascii="微软雅黑" w:hAnsi="微软雅黑"/>
          <w:b/>
          <w:color w:val="0284C7"/>
          <w:sz w:val="25"/>
        </w:rPr>
        <w:t>【1】定位与架构角色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功能定位</w:t>
      </w:r>
      <w:r>
        <w:rPr>
          <w:rFonts w:ascii="微软雅黑" w:hAnsi="微软雅黑"/>
          <w:color w:val="1F2937"/>
          <w:sz w:val="18"/>
        </w:rPr>
        <w:t xml:space="preserve">：严格依据国家标准 </w:t>
      </w:r>
      <w:r>
        <w:rPr>
          <w:rFonts w:ascii="微软雅黑" w:hAnsi="微软雅黑"/>
          <w:b/>
          <w:color w:val="1E3A8A"/>
          <w:sz w:val="18"/>
        </w:rPr>
        <w:t>GB/T 2589-2020《综合能耗计算通则》</w:t>
      </w:r>
      <w:r>
        <w:rPr>
          <w:rFonts w:ascii="微软雅黑" w:hAnsi="微软雅黑"/>
          <w:color w:val="1F2937"/>
          <w:sz w:val="18"/>
        </w:rPr>
        <w:t>，构建全集团各类能源介质（电力、天然气、原煤、柴油、汽油、外购蒸汽、新鲜水、氮气、压缩空气等）实物计量单位向“千克标准煤 (kgce)”与“吨标准煤 (tce)”转换的法定换算中枢。</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承载角色</w:t>
      </w:r>
      <w:r>
        <w:rPr>
          <w:rFonts w:ascii="微软雅黑" w:hAnsi="微软雅黑"/>
          <w:color w:val="1F2937"/>
          <w:sz w:val="18"/>
        </w:rPr>
        <w:t>：P1 集团决策层（集团综合能效核准）、P2 园区能碳专员（车间折标能耗统计）、PM 业务总监（指标考核基准锁定）。</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页面路由</w:t>
      </w:r>
      <w:r>
        <w:rPr>
          <w:rFonts w:ascii="微软雅黑" w:hAnsi="微软雅黑"/>
          <w:color w:val="1F2937"/>
          <w:sz w:val="18"/>
        </w:rPr>
        <w:t>：</w:t>
      </w:r>
      <w:r>
        <w:rPr>
          <w:rFonts w:ascii="Consolas" w:hAnsi="Consolas"/>
          <w:b w:val="0"/>
          <w:color w:val="0284C7"/>
          <w:sz w:val="16"/>
        </w:rPr>
        <w:t xml:space="preserve"> /carbon-footprint/factor/coal </w:t>
      </w:r>
      <w:r>
        <w:rPr>
          <w:rFonts w:ascii="微软雅黑" w:hAnsi="微软雅黑"/>
          <w:color w:val="1F2937"/>
          <w:sz w:val="18"/>
        </w:rPr>
        <w:t xml:space="preserve"> 与 </w:t>
      </w:r>
      <w:r>
        <w:rPr>
          <w:rFonts w:ascii="Consolas" w:hAnsi="Consolas"/>
          <w:b w:val="0"/>
          <w:color w:val="0284C7"/>
          <w:sz w:val="16"/>
        </w:rPr>
        <w:t xml:space="preserve"> /zero-carbon/config/factor/coal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上游依赖</w:t>
      </w:r>
      <w:r>
        <w:rPr>
          <w:rFonts w:ascii="微软雅黑" w:hAnsi="微软雅黑"/>
          <w:color w:val="1F2937"/>
          <w:sz w:val="18"/>
        </w:rPr>
        <w:t>：国家标准化管理委员会强制性国标 GB/T 2589-2020 附录 A、工业锅炉蒸汽供热协议、重点用能单位耗能工质折算通则。</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下游输出</w:t>
      </w:r>
      <w:r>
        <w:rPr>
          <w:rFonts w:ascii="微软雅黑" w:hAnsi="微软雅黑"/>
          <w:color w:val="1F2937"/>
          <w:sz w:val="18"/>
        </w:rPr>
        <w:t>：用能在线监测（全厂综合能耗统计）、能耗能效分析（单位产值综合能耗、单位产品综合单耗对标）、统计报表（能源购销存与综合能耗平衡报表）。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本文档定位</w:t>
      </w:r>
      <w:r>
        <w:rPr>
          <w:rFonts w:ascii="微软雅黑" w:hAnsi="微软雅黑"/>
          <w:color w:val="1F2937"/>
          <w:sz w:val="18"/>
        </w:rPr>
        <w:t>：支撑全平台所有“吨标煤 (tce)”相关 KPI 运算的核心底层标准库，严格遵循八段式完整度。</w:t>
      </w:r>
    </w:p>
    <w:p>
      <w:pPr>
        <w:pStyle w:val="Heading2"/>
        <w:keepNext/>
        <w:spacing w:before="240" w:after="100"/>
      </w:pPr>
      <w:r>
        <w:rPr>
          <w:rFonts w:ascii="微软雅黑" w:hAnsi="微软雅黑"/>
          <w:b/>
          <w:color w:val="0284C7"/>
          <w:sz w:val="25"/>
        </w:rPr>
        <w:t>【2】业务场景与用户故事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业务场景描述</w:t>
      </w:r>
      <w:r>
        <w:rPr>
          <w:rFonts w:ascii="微软雅黑" w:hAnsi="微软雅黑"/>
          <w:color w:val="1F2937"/>
          <w:sz w:val="18"/>
        </w:rPr>
        <w:t xml:space="preserve">：特变电工在统计全厂能源消费时，面临电（kWh）、气（m³）、煤（kg）、水（t）、汽（MJ/t）量纲不统一的现实问题，无法直接累加。必须通过折标煤系数库将各介质实物消费量换算为标准煤（当量热值 </w:t>
      </w:r>
      <w:r>
        <w:rPr>
          <w:rFonts w:ascii="Consolas" w:hAnsi="Consolas"/>
          <w:i/>
          <w:color w:val="15803D"/>
          <w:sz w:val="18"/>
        </w:rPr>
        <w:t>29,307.6 \text{ kJ/kgce}</w:t>
      </w:r>
      <w:r>
        <w:rPr>
          <w:rFonts w:ascii="微软雅黑" w:hAnsi="微软雅黑"/>
          <w:color w:val="1F2937"/>
          <w:sz w:val="18"/>
        </w:rPr>
        <w:t>），以此核算全集团、各园区及关键工序的综合能源消费总量与万元产值能耗指标。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TEXT】</w:t>
              <w:br/>
            </w:r>
          </w:p>
          <w:p>
            <w:pPr>
              <w:spacing w:before="0" w:after="20" w:line="252" w:lineRule="auto"/>
            </w:pPr>
            <w:r>
              <w:rPr>
                <w:rFonts w:ascii="Consolas" w:hAnsi="Consolas"/>
                <w:color w:val="0F172A"/>
                <w:sz w:val="15"/>
              </w:rPr>
              <w:t xml:space="preserve">  As a 园区能碳专员 (Persona P2)，</w:t>
            </w:r>
          </w:p>
          <w:p>
            <w:pPr>
              <w:spacing w:before="0" w:after="20" w:line="252" w:lineRule="auto"/>
            </w:pPr>
            <w:r>
              <w:rPr>
                <w:rFonts w:ascii="Consolas" w:hAnsi="Consolas"/>
                <w:color w:val="0F172A"/>
                <w:sz w:val="15"/>
              </w:rPr>
              <w:t xml:space="preserve">  I want 按照法定国标查验电力、天然气、外购蒸汽等各类能源介质的折标煤系数及低位发热量，</w:t>
            </w:r>
          </w:p>
          <w:p>
            <w:pPr>
              <w:spacing w:before="0" w:after="20" w:line="252" w:lineRule="auto"/>
            </w:pPr>
            <w:r>
              <w:rPr>
                <w:rFonts w:ascii="Consolas" w:hAnsi="Consolas"/>
                <w:color w:val="0F172A"/>
                <w:sz w:val="15"/>
              </w:rPr>
              <w:t xml:space="preserve">  So that 我能依据国家标准精准核算车间及全厂的综合能源消费量 (tce)，确保对标管理与政府能效报送口径 100% 合规。</w:t>
            </w:r>
          </w:p>
        </w:tc>
      </w:tr>
    </w:tbl>
    <w:p>
      <w:pPr>
        <w:spacing w:after="40"/>
      </w:pPr>
    </w:p>
    <w:p>
      <w:pPr>
        <w:pStyle w:val="Heading2"/>
        <w:keepNext/>
        <w:spacing w:before="240" w:after="100"/>
      </w:pPr>
      <w:r>
        <w:rPr>
          <w:rFonts w:ascii="微软雅黑" w:hAnsi="微软雅黑"/>
          <w:b/>
          <w:color w:val="0284C7"/>
          <w:sz w:val="25"/>
        </w:rPr>
        <w:t>【3】功能规格与交互契约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界面结构与国标展示</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列表清晰展示能源品种、折标系数（</w:t>
      </w:r>
      <w:r>
        <w:rPr>
          <w:rFonts w:ascii="Consolas" w:hAnsi="Consolas"/>
          <w:b w:val="0"/>
          <w:color w:val="0284C7"/>
          <w:sz w:val="16"/>
        </w:rPr>
        <w:t xml:space="preserve"> kgce/实物单位 </w:t>
      </w:r>
      <w:r>
        <w:rPr>
          <w:rFonts w:ascii="微软雅黑" w:hAnsi="微软雅黑"/>
          <w:color w:val="1F2937"/>
          <w:sz w:val="18"/>
        </w:rPr>
        <w:t>）、低位热值基准（MJ/实物单位）、数据来源及版本依据；</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表格行高严格固定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 Mono 等宽右对齐；</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界面顶部常态置顶展示国标基准徽章：</w:t>
      </w:r>
      <w:r>
        <w:rPr>
          <w:rFonts w:ascii="Consolas" w:hAnsi="Consolas"/>
          <w:b w:val="0"/>
          <w:color w:val="0284C7"/>
          <w:sz w:val="16"/>
        </w:rPr>
        <w:t xml:space="preserve"> GB/T 2589-2020 强制性国家标准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双口径折标系数透明并存</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当量值折标 (Equivalent)</w:t>
      </w:r>
      <w:r>
        <w:rPr>
          <w:rFonts w:ascii="微软雅黑" w:hAnsi="微软雅黑"/>
          <w:color w:val="1F2937"/>
          <w:sz w:val="18"/>
        </w:rPr>
        <w:t xml:space="preserve">：电力固定为 </w:t>
      </w:r>
      <w:r>
        <w:rPr>
          <w:rFonts w:ascii="Consolas" w:hAnsi="Consolas"/>
          <w:b w:val="0"/>
          <w:color w:val="0284C7"/>
          <w:sz w:val="16"/>
        </w:rPr>
        <w:t xml:space="preserve"> 0.1229 kgce/kWh </w:t>
      </w:r>
      <w:r>
        <w:rPr>
          <w:rFonts w:ascii="微软雅黑" w:hAnsi="微软雅黑"/>
          <w:color w:val="1F2937"/>
          <w:sz w:val="18"/>
        </w:rPr>
        <w:t>（理论热值折算）；</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等价热值折标 (Primary Energy Equiv)</w:t>
      </w:r>
      <w:r>
        <w:rPr>
          <w:rFonts w:ascii="微软雅黑" w:hAnsi="微软雅黑"/>
          <w:color w:val="1F2937"/>
          <w:sz w:val="18"/>
        </w:rPr>
        <w:t xml:space="preserve">：根据年度供电煤耗动态配置（如国家统计局公布的火电供电平均煤耗约 </w:t>
      </w:r>
      <w:r>
        <w:rPr>
          <w:rFonts w:ascii="Consolas" w:hAnsi="Consolas"/>
          <w:b w:val="0"/>
          <w:color w:val="0284C7"/>
          <w:sz w:val="16"/>
        </w:rPr>
        <w:t xml:space="preserve"> 0.2850 kgce/kWh </w:t>
      </w:r>
      <w:r>
        <w:rPr>
          <w:rFonts w:ascii="微软雅黑" w:hAnsi="微软雅黑"/>
          <w:color w:val="1F2937"/>
          <w:sz w:val="18"/>
        </w:rPr>
        <w:t>），支持双模式切换展示与报表生成。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耗能工质综合转换矩阵</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不仅涵盖一次能源与二次能源，全量集成耗能工质折标系数：工业新鲜水（</w:t>
      </w:r>
      <w:r>
        <w:rPr>
          <w:rFonts w:ascii="Consolas" w:hAnsi="Consolas"/>
          <w:i/>
          <w:color w:val="15803D"/>
          <w:sz w:val="18"/>
        </w:rPr>
        <w:t>0.0857 \text{ kgce/t}</w:t>
      </w:r>
      <w:r>
        <w:rPr>
          <w:rFonts w:ascii="微软雅黑" w:hAnsi="微软雅黑"/>
          <w:color w:val="1F2937"/>
          <w:sz w:val="18"/>
        </w:rPr>
        <w:t>）、软化水（</w:t>
      </w:r>
      <w:r>
        <w:rPr>
          <w:rFonts w:ascii="Consolas" w:hAnsi="Consolas"/>
          <w:i/>
          <w:color w:val="15803D"/>
          <w:sz w:val="18"/>
        </w:rPr>
        <w:t>0.4857 \text{ kgce/t}</w:t>
      </w:r>
      <w:r>
        <w:rPr>
          <w:rFonts w:ascii="微软雅黑" w:hAnsi="微软雅黑"/>
          <w:color w:val="1F2937"/>
          <w:sz w:val="18"/>
        </w:rPr>
        <w:t>）、压缩空气（</w:t>
      </w:r>
      <w:r>
        <w:rPr>
          <w:rFonts w:ascii="Consolas" w:hAnsi="Consolas"/>
          <w:i/>
          <w:color w:val="15803D"/>
          <w:sz w:val="18"/>
        </w:rPr>
        <w:t>0.0400 \text{ kgce/m}^3</w:t>
      </w:r>
      <w:r>
        <w:rPr>
          <w:rFonts w:ascii="微软雅黑" w:hAnsi="微软雅黑"/>
          <w:color w:val="1F2937"/>
          <w:sz w:val="18"/>
        </w:rPr>
        <w:t>）、高纯液氮（</w:t>
      </w:r>
      <w:r>
        <w:rPr>
          <w:rFonts w:ascii="Consolas" w:hAnsi="Consolas"/>
          <w:i/>
          <w:color w:val="15803D"/>
          <w:sz w:val="18"/>
        </w:rPr>
        <w:t>0.6714 \text{ kgce/m}^3</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【业务约束与工程规范契约】：</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国标常量强制只读防篡改</w:t>
      </w:r>
      <w:r>
        <w:rPr>
          <w:rFonts w:ascii="微软雅黑" w:hAnsi="微软雅黑"/>
          <w:color w:val="1F2937"/>
          <w:sz w:val="18"/>
        </w:rPr>
        <w:t>：电力当量值 0.1229、天然气 1.2143 等法定标准常数被系统加锁锁定，除国家发布新修订标准外，任何用户（包括超级管理员）禁止随意在线修改系数；</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分母为零安全兜底</w:t>
      </w:r>
      <w:r>
        <w:rPr>
          <w:rFonts w:ascii="微软雅黑" w:hAnsi="微软雅黑"/>
          <w:color w:val="1F2937"/>
          <w:sz w:val="18"/>
        </w:rPr>
        <w:t xml:space="preserve">：当基于折标煤计算单位产品单耗时，产量或产值为 0 必须安全输出 </w:t>
      </w:r>
      <w:r>
        <w:rPr>
          <w:rFonts w:ascii="Consolas" w:hAnsi="Consolas"/>
          <w:b w:val="0"/>
          <w:color w:val="0284C7"/>
          <w:sz w:val="16"/>
        </w:rPr>
        <w:t xml:space="preserve"> -- </w:t>
      </w:r>
      <w:r>
        <w:rPr>
          <w:rFonts w:ascii="微软雅黑" w:hAnsi="微软雅黑"/>
          <w:color w:val="1F2937"/>
          <w:sz w:val="18"/>
        </w:rPr>
        <w:t>，严禁抛出异常。</w:t>
      </w:r>
    </w:p>
    <w:p>
      <w:pPr>
        <w:pStyle w:val="Heading2"/>
        <w:keepNext/>
        <w:spacing w:before="240" w:after="100"/>
      </w:pPr>
      <w:r>
        <w:rPr>
          <w:rFonts w:ascii="微软雅黑" w:hAnsi="微软雅黑"/>
          <w:b/>
          <w:color w:val="0284C7"/>
          <w:sz w:val="25"/>
        </w:rPr>
        <w:t>【4】页面字段字典与数据契约</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工程单位</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校验与约束规则</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折标系数唯一编码</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唯一，格式 </w:t>
            </w:r>
            <w:r>
              <w:rPr>
                <w:rFonts w:ascii="Consolas" w:hAnsi="Consolas"/>
                <w:b w:val="0"/>
                <w:color w:val="0284C7"/>
                <w:sz w:val="14"/>
              </w:rPr>
              <w:t xml:space="preserve"> CC&lt;3位流水&gt;&lt;2位校验码&gt; </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能源品种/工质名称</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如 </w:t>
            </w:r>
            <w:r>
              <w:rPr>
                <w:rFonts w:ascii="Consolas" w:hAnsi="Consolas"/>
                <w:b w:val="0"/>
                <w:color w:val="0284C7"/>
                <w:sz w:val="14"/>
              </w:rPr>
              <w:t xml:space="preserve"> 电力 </w:t>
            </w:r>
            <w:r>
              <w:rPr>
                <w:rFonts w:ascii="微软雅黑" w:hAnsi="微软雅黑"/>
                <w:color w:val="1F2937"/>
                <w:sz w:val="16"/>
              </w:rPr>
              <w:t>、</w:t>
            </w:r>
            <w:r>
              <w:rPr>
                <w:rFonts w:ascii="Consolas" w:hAnsi="Consolas"/>
                <w:b w:val="0"/>
                <w:color w:val="0284C7"/>
                <w:sz w:val="14"/>
              </w:rPr>
              <w:t xml:space="preserve"> 天然气 </w:t>
            </w:r>
            <w:r>
              <w:rPr>
                <w:rFonts w:ascii="微软雅黑" w:hAnsi="微软雅黑"/>
                <w:color w:val="1F2937"/>
                <w:sz w:val="16"/>
              </w:rPr>
              <w:t>、</w:t>
            </w:r>
            <w:r>
              <w:rPr>
                <w:rFonts w:ascii="Consolas" w:hAnsi="Consolas"/>
                <w:b w:val="0"/>
                <w:color w:val="0284C7"/>
                <w:sz w:val="14"/>
              </w:rPr>
              <w:t xml:space="preserve"> 原煤 </w:t>
            </w:r>
            <w:r>
              <w:rPr>
                <w:rFonts w:ascii="微软雅黑" w:hAnsi="微软雅黑"/>
                <w:color w:val="1F2937"/>
                <w:sz w:val="16"/>
              </w:rPr>
              <w:t>、</w:t>
            </w:r>
            <w:r>
              <w:rPr>
                <w:rFonts w:ascii="Consolas" w:hAnsi="Consolas"/>
                <w:b w:val="0"/>
                <w:color w:val="0284C7"/>
                <w:sz w:val="14"/>
              </w:rPr>
              <w:t xml:space="preserve"> 柴油 </w:t>
            </w:r>
            <w:r>
              <w:rPr>
                <w:rFonts w:ascii="微软雅黑" w:hAnsi="微软雅黑"/>
                <w:color w:val="1F2937"/>
                <w:sz w:val="16"/>
              </w:rPr>
              <w:t>、</w:t>
            </w:r>
            <w:r>
              <w:rPr>
                <w:rFonts w:ascii="Consolas" w:hAnsi="Consolas"/>
                <w:b w:val="0"/>
                <w:color w:val="0284C7"/>
                <w:sz w:val="14"/>
              </w:rPr>
              <w:t xml:space="preserve"> 外购蒸汽 </w:t>
            </w:r>
            <w:r>
              <w:rPr>
                <w:rFonts w:ascii="微软雅黑" w:hAnsi="微软雅黑"/>
                <w:color w:val="1F2937"/>
                <w:sz w:val="16"/>
              </w:rPr>
              <w:t>、</w:t>
            </w:r>
            <w:r>
              <w:rPr>
                <w:rFonts w:ascii="Consolas" w:hAnsi="Consolas"/>
                <w:b w:val="0"/>
                <w:color w:val="0284C7"/>
                <w:sz w:val="14"/>
              </w:rPr>
              <w:t xml:space="preserve"> 新鲜水 </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当量折标煤系数</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kgce/实物单位</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严格依据 GB/T 2589-2020；电力为 0.1229，天然气为 1.2143</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等价折标煤系数</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kgce/实物单位</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供电煤耗等价值，按年度发布</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基准低位发热量</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MJ/实物单位</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天然气标况 35.588，标准煤理论 29.3076</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引用国标标准代号</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固定为 </w:t>
            </w:r>
            <w:r>
              <w:rPr>
                <w:rFonts w:ascii="Consolas" w:hAnsi="Consolas"/>
                <w:b w:val="0"/>
                <w:color w:val="0284C7"/>
                <w:sz w:val="14"/>
              </w:rPr>
              <w:t xml:space="preserve"> GB/T 2589-2020 </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7</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是否为法定耗能工质</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Boolean</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true </w:t>
            </w:r>
            <w:r>
              <w:rPr>
                <w:rFonts w:ascii="微软雅黑" w:hAnsi="微软雅黑"/>
                <w:color w:val="1F2937"/>
                <w:sz w:val="16"/>
              </w:rPr>
              <w:t xml:space="preserve"> 为新鲜水/软水/氮气/压缩空气，</w:t>
            </w:r>
            <w:r>
              <w:rPr>
                <w:rFonts w:ascii="Consolas" w:hAnsi="Consolas"/>
                <w:b w:val="0"/>
                <w:color w:val="0284C7"/>
                <w:sz w:val="14"/>
              </w:rPr>
              <w:t xml:space="preserve"> false </w:t>
            </w:r>
            <w:r>
              <w:rPr>
                <w:rFonts w:ascii="微软雅黑" w:hAnsi="微软雅黑"/>
                <w:color w:val="1F2937"/>
                <w:sz w:val="16"/>
              </w:rPr>
              <w:t xml:space="preserve"> 为常规能源</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8</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当前启用状态</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枚举：</w:t>
            </w:r>
            <w:r>
              <w:rPr>
                <w:rFonts w:ascii="Consolas" w:hAnsi="Consolas"/>
                <w:b w:val="0"/>
                <w:color w:val="0284C7"/>
                <w:sz w:val="14"/>
              </w:rPr>
              <w:t xml:space="preserve"> 启用 </w:t>
            </w:r>
            <w:r>
              <w:rPr>
                <w:rFonts w:ascii="微软雅黑" w:hAnsi="微软雅黑"/>
                <w:color w:val="1F2937"/>
                <w:sz w:val="16"/>
              </w:rPr>
              <w:t xml:space="preserve"> / </w:t>
            </w:r>
            <w:r>
              <w:rPr>
                <w:rFonts w:ascii="Consolas" w:hAnsi="Consolas"/>
                <w:b w:val="0"/>
                <w:color w:val="0284C7"/>
                <w:sz w:val="14"/>
              </w:rPr>
              <w:t xml:space="preserve"> 停用 </w:t>
            </w:r>
          </w:p>
        </w:tc>
      </w:tr>
    </w:tbl>
    <w:p>
      <w:pPr>
        <w:spacing w:after="60"/>
      </w:pPr>
    </w:p>
    <w:p>
      <w:pPr>
        <w:pStyle w:val="Heading2"/>
        <w:keepNext/>
        <w:spacing w:before="240" w:after="100"/>
      </w:pPr>
      <w:r>
        <w:rPr>
          <w:rFonts w:ascii="微软雅黑" w:hAnsi="微软雅黑"/>
          <w:b/>
          <w:color w:val="0284C7"/>
          <w:sz w:val="25"/>
        </w:rPr>
        <w:t>【5】核心数学模型与算法框架</w:t>
      </w:r>
    </w:p>
    <w:p>
      <w:pPr>
        <w:spacing w:before="20" w:after="60" w:line="276" w:lineRule="auto"/>
      </w:pPr>
      <w:r>
        <w:rPr>
          <w:rFonts w:ascii="微软雅黑" w:hAnsi="微软雅黑"/>
          <w:color w:val="1F2937"/>
          <w:sz w:val="18"/>
        </w:rPr>
        <w:t>📐 【核心业务数学模型与计算公式】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E_{\text{tce}} = \sum_{i=1}^{n} \frac{E_i \times k_i}{1000} \quad (\text{全厂综合能耗折标煤总量，单位: tce})</w:t>
            </w:r>
          </w:p>
          <w:p>
            <w:pPr>
              <w:spacing w:before="0" w:after="20" w:line="276" w:lineRule="auto"/>
            </w:pPr>
            <w:r>
              <w:rPr>
                <w:rFonts w:ascii="Consolas" w:hAnsi="Consolas"/>
                <w:b/>
                <w:color w:val="1E3A8A"/>
                <w:sz w:val="17"/>
              </w:rPr>
              <w:t>k_i = \frac{\text{NCV}_i}{29307.6 \text{ kJ/kgce}} \quad (\text{理论低位发热量换算折标系数公式})</w:t>
            </w:r>
          </w:p>
          <w:p>
            <w:pPr>
              <w:spacing w:before="0" w:after="20" w:line="276" w:lineRule="auto"/>
            </w:pPr>
            <w:r>
              <w:rPr>
                <w:rFonts w:ascii="Consolas" w:hAnsi="Consolas"/>
                <w:b/>
                <w:color w:val="1E3A8A"/>
                <w:sz w:val="17"/>
              </w:rPr>
              <w:t>e_{\text{output\_val}} = \begin{cases} \frac{E_{\text{tce}}}{G_{\text{output}} / 10000}, &amp; G_{\text{output}} &gt; 0 \\ \text{兜底: "--"}, &amp; G_{\text{output}} = 0 \end{cases} \quad (\text{万元产值综合能耗，单位: tce/万元})</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变量定义与取值约定</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E_i</w:t>
      </w:r>
      <w:r>
        <w:rPr>
          <w:rFonts w:ascii="微软雅黑" w:hAnsi="微软雅黑"/>
          <w:color w:val="1F2937"/>
          <w:sz w:val="18"/>
        </w:rPr>
        <w:t xml:space="preserve">：第 </w:t>
      </w:r>
      <w:r>
        <w:rPr>
          <w:rFonts w:ascii="Consolas" w:hAnsi="Consolas"/>
          <w:i/>
          <w:color w:val="15803D"/>
          <w:sz w:val="18"/>
        </w:rPr>
        <w:t>i</w:t>
      </w:r>
      <w:r>
        <w:rPr>
          <w:rFonts w:ascii="微软雅黑" w:hAnsi="微软雅黑"/>
          <w:color w:val="1F2937"/>
          <w:sz w:val="18"/>
        </w:rPr>
        <w:t xml:space="preserve"> 种能源实物消费量（如 kWh, m³, kg, 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k_i</w:t>
      </w:r>
      <w:r>
        <w:rPr>
          <w:rFonts w:ascii="微软雅黑" w:hAnsi="微软雅黑"/>
          <w:color w:val="1F2937"/>
          <w:sz w:val="18"/>
        </w:rPr>
        <w:t xml:space="preserve">：第 </w:t>
      </w:r>
      <w:r>
        <w:rPr>
          <w:rFonts w:ascii="Consolas" w:hAnsi="Consolas"/>
          <w:i/>
          <w:color w:val="15803D"/>
          <w:sz w:val="18"/>
        </w:rPr>
        <w:t>i</w:t>
      </w:r>
      <w:r>
        <w:rPr>
          <w:rFonts w:ascii="微软雅黑" w:hAnsi="微软雅黑"/>
          <w:color w:val="1F2937"/>
          <w:sz w:val="18"/>
        </w:rPr>
        <w:t xml:space="preserve"> 种能源对应的国家标准折标煤系数（</w:t>
      </w:r>
      <w:r>
        <w:rPr>
          <w:rFonts w:ascii="Consolas" w:hAnsi="Consolas"/>
          <w:i/>
          <w:color w:val="15803D"/>
          <w:sz w:val="18"/>
        </w:rPr>
        <w:t>\text{kgce/实物单位}</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1000</w:t>
      </w:r>
      <w:r>
        <w:rPr>
          <w:rFonts w:ascii="微软雅黑" w:hAnsi="微软雅黑"/>
          <w:color w:val="1F2937"/>
          <w:sz w:val="18"/>
        </w:rPr>
        <w:t>：千克标准煤与吨标准煤进位制（</w:t>
      </w:r>
      <w:r>
        <w:rPr>
          <w:rFonts w:ascii="Consolas" w:hAnsi="Consolas"/>
          <w:i/>
          <w:color w:val="15803D"/>
          <w:sz w:val="18"/>
        </w:rPr>
        <w:t>1 \text{ tce} = 1000 \text{ kgce}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G_{\text{output}}</w:t>
      </w:r>
      <w:r>
        <w:rPr>
          <w:rFonts w:ascii="微软雅黑" w:hAnsi="微软雅黑"/>
          <w:color w:val="1F2937"/>
          <w:sz w:val="18"/>
        </w:rPr>
        <w:t xml:space="preserve">：工业产值（元），分母为 0 时安全兜底显示 </w:t>
      </w:r>
      <w:r>
        <w:rPr>
          <w:rFonts w:ascii="Consolas" w:hAnsi="Consolas"/>
          <w:b w:val="0"/>
          <w:color w:val="0284C7"/>
          <w:sz w:val="16"/>
        </w:rPr>
        <w:t xml:space="preserve"> -- </w:t>
      </w:r>
      <w:r>
        <w:rPr>
          <w:rFonts w:ascii="微软雅黑" w:hAnsi="微软雅黑"/>
          <w:color w:val="1F2937"/>
          <w:sz w:val="18"/>
        </w:rPr>
        <w:t>。</w:t>
      </w:r>
    </w:p>
    <w:p>
      <w:pPr>
        <w:pStyle w:val="Heading2"/>
        <w:keepNext/>
        <w:spacing w:before="240" w:after="100"/>
      </w:pPr>
      <w:r>
        <w:rPr>
          <w:rFonts w:ascii="微软雅黑" w:hAnsi="微软雅黑"/>
          <w:b/>
          <w:color w:val="0284C7"/>
          <w:sz w:val="25"/>
        </w:rPr>
        <w:t>【6】展示、对标与判定口径</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统一当量展示</w:t>
      </w:r>
      <w:r>
        <w:rPr>
          <w:rFonts w:ascii="微软雅黑" w:hAnsi="微软雅黑"/>
          <w:color w:val="1F2937"/>
          <w:sz w:val="18"/>
        </w:rPr>
        <w:t>：系统全景图表默认均采用“当量热值”折标计算，报表导出提供“当量/等价”双列切换；</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精度口径</w:t>
      </w:r>
      <w:r>
        <w:rPr>
          <w:rFonts w:ascii="微软雅黑" w:hAnsi="微软雅黑"/>
          <w:color w:val="1F2937"/>
          <w:sz w:val="18"/>
        </w:rPr>
        <w:t>：</w:t>
      </w:r>
      <w:r>
        <w:rPr>
          <w:rFonts w:ascii="Consolas" w:hAnsi="Consolas"/>
          <w:i/>
          <w:color w:val="15803D"/>
          <w:sz w:val="18"/>
        </w:rPr>
        <w:t>\text{tce}</w:t>
      </w:r>
      <w:r>
        <w:rPr>
          <w:rFonts w:ascii="微软雅黑" w:hAnsi="微软雅黑"/>
          <w:color w:val="1F2937"/>
          <w:sz w:val="18"/>
        </w:rPr>
        <w:t xml:space="preserve"> 保留 4 位小数，</w:t>
      </w:r>
      <w:r>
        <w:rPr>
          <w:rFonts w:ascii="Consolas" w:hAnsi="Consolas"/>
          <w:i/>
          <w:color w:val="15803D"/>
          <w:sz w:val="18"/>
        </w:rPr>
        <w:t>\text{kgce}</w:t>
      </w:r>
      <w:r>
        <w:rPr>
          <w:rFonts w:ascii="微软雅黑" w:hAnsi="微软雅黑"/>
          <w:color w:val="1F2937"/>
          <w:sz w:val="18"/>
        </w:rPr>
        <w:t xml:space="preserve"> 保留 2 位小数；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空值口径</w:t>
      </w:r>
      <w:r>
        <w:rPr>
          <w:rFonts w:ascii="微软雅黑" w:hAnsi="微软雅黑"/>
          <w:color w:val="1F2937"/>
          <w:sz w:val="18"/>
        </w:rPr>
        <w:t xml:space="preserve">：若工厂当期某能源消费为 0，折标煤量如实显示 </w:t>
      </w:r>
      <w:r>
        <w:rPr>
          <w:rFonts w:ascii="Consolas" w:hAnsi="Consolas"/>
          <w:b w:val="0"/>
          <w:color w:val="0284C7"/>
          <w:sz w:val="16"/>
        </w:rPr>
        <w:t xml:space="preserve"> 0.0000 tce </w:t>
      </w:r>
      <w:r>
        <w:rPr>
          <w:rFonts w:ascii="微软雅黑" w:hAnsi="微软雅黑"/>
          <w:color w:val="1F2937"/>
          <w:sz w:val="18"/>
        </w:rPr>
        <w:t xml:space="preserve">；若仪表断网未上报，统一显示 </w:t>
      </w:r>
      <w:r>
        <w:rPr>
          <w:rFonts w:ascii="Consolas" w:hAnsi="Consolas"/>
          <w:b w:val="0"/>
          <w:color w:val="0284C7"/>
          <w:sz w:val="16"/>
        </w:rPr>
        <w:t xml:space="preserve"> -- </w:t>
      </w:r>
      <w:r>
        <w:rPr>
          <w:rFonts w:ascii="微软雅黑" w:hAnsi="微软雅黑"/>
          <w:color w:val="1F2937"/>
          <w:sz w:val="18"/>
        </w:rPr>
        <w:t>，严禁将断网视为 0 能耗。</w:t>
      </w:r>
    </w:p>
    <w:p>
      <w:pPr>
        <w:pStyle w:val="Heading2"/>
        <w:keepNext/>
        <w:spacing w:before="240" w:after="100"/>
      </w:pPr>
      <w:r>
        <w:rPr>
          <w:rFonts w:ascii="微软雅黑" w:hAnsi="微软雅黑"/>
          <w:b/>
          <w:color w:val="0284C7"/>
          <w:sz w:val="25"/>
        </w:rPr>
        <w:t>【7】边界条件、异常处理与防错规则</w:t>
      </w:r>
    </w:p>
    <w:p>
      <w:pPr>
        <w:spacing w:before="20" w:after="60" w:line="276" w:lineRule="auto"/>
      </w:pPr>
      <w:r>
        <w:rPr>
          <w:rFonts w:ascii="微软雅黑" w:hAnsi="微软雅黑"/>
          <w:color w:val="1F2937"/>
          <w:sz w:val="18"/>
        </w:rPr>
        <w:t>⚠️ 【研发设计红线与强约束校验】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单耗计算除零软拦截</w:t>
      </w:r>
      <w:r>
        <w:rPr>
          <w:rFonts w:ascii="微软雅黑" w:hAnsi="微软雅黑"/>
          <w:color w:val="1F2937"/>
          <w:sz w:val="18"/>
        </w:rPr>
        <w:t xml:space="preserve">：产值或产品产量为 0 时，折标单耗严禁除零崩溃，必须安全返回 </w:t>
      </w:r>
      <w:r>
        <w:rPr>
          <w:rFonts w:ascii="Consolas" w:hAnsi="Consolas"/>
          <w:b w:val="0"/>
          <w:color w:val="0284C7"/>
          <w:sz w:val="16"/>
        </w:rPr>
        <w:t xml:space="preserve"> -- </w:t>
      </w:r>
      <w:r>
        <w:rPr>
          <w:rFonts w:ascii="微软雅黑" w:hAnsi="微软雅黑"/>
          <w:color w:val="1F2937"/>
          <w:sz w:val="18"/>
        </w:rPr>
        <w:t xml:space="preserve">，抛出软告警 </w:t>
      </w:r>
      <w:r>
        <w:rPr>
          <w:rFonts w:ascii="Consolas" w:hAnsi="Consolas"/>
          <w:b w:val="0"/>
          <w:color w:val="0284C7"/>
          <w:sz w:val="16"/>
        </w:rPr>
        <w:t xml:space="preserve"> E_CALC_UNIT_DIV_ZERO_SOFT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国标核心字段修改阻断</w:t>
      </w:r>
      <w:r>
        <w:rPr>
          <w:rFonts w:ascii="微软雅黑" w:hAnsi="微软雅黑"/>
          <w:color w:val="1F2937"/>
          <w:sz w:val="18"/>
        </w:rPr>
        <w:t xml:space="preserve">：任何角色在线编辑电力（0.1229）、天然气（1.2143）系数时，系统弹出阻断并提示“GB/T 2589-2020 强制国标受控字段不可在线直接编辑”，触发 </w:t>
      </w:r>
      <w:r>
        <w:rPr>
          <w:rFonts w:ascii="Consolas" w:hAnsi="Consolas"/>
          <w:b w:val="0"/>
          <w:color w:val="0284C7"/>
          <w:sz w:val="16"/>
        </w:rPr>
        <w:t xml:space="preserve"> E_SYS_GB_STD_IMMUTABLE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实物物理量负数校验</w:t>
      </w:r>
      <w:r>
        <w:rPr>
          <w:rFonts w:ascii="微软雅黑" w:hAnsi="微软雅黑"/>
          <w:color w:val="1F2937"/>
          <w:sz w:val="18"/>
        </w:rPr>
        <w:t xml:space="preserve">：能耗实物量输入 </w:t>
      </w:r>
      <w:r>
        <w:rPr>
          <w:rFonts w:ascii="Consolas" w:hAnsi="Consolas"/>
          <w:i/>
          <w:color w:val="15803D"/>
          <w:sz w:val="18"/>
        </w:rPr>
        <w:t>&lt; 0</w:t>
      </w:r>
      <w:r>
        <w:rPr>
          <w:rFonts w:ascii="微软雅黑" w:hAnsi="微软雅黑"/>
          <w:color w:val="1F2937"/>
          <w:sz w:val="18"/>
        </w:rPr>
        <w:t xml:space="preserve"> 时拦截保存，触发 </w:t>
      </w:r>
      <w:r>
        <w:rPr>
          <w:rFonts w:ascii="Consolas" w:hAnsi="Consolas"/>
          <w:b w:val="0"/>
          <w:color w:val="0284C7"/>
          <w:sz w:val="16"/>
        </w:rPr>
        <w:t xml:space="preserve"> E_VAL_ENERGY_USAGE_NEGATIVE </w:t>
      </w:r>
      <w:r>
        <w:rPr>
          <w:rFonts w:ascii="微软雅黑" w:hAnsi="微软雅黑"/>
          <w:color w:val="1F2937"/>
          <w:sz w:val="18"/>
        </w:rPr>
        <w:t>。</w:t>
      </w:r>
    </w:p>
    <w:p>
      <w:pPr>
        <w:pStyle w:val="Heading2"/>
        <w:keepNext/>
        <w:spacing w:before="240" w:after="100"/>
      </w:pPr>
      <w:r>
        <w:rPr>
          <w:rFonts w:ascii="微软雅黑" w:hAnsi="微软雅黑"/>
          <w:b/>
          <w:color w:val="0284C7"/>
          <w:sz w:val="25"/>
        </w:rPr>
        <w:t>【8】QA 自动化验收准则（Gherkin BDD）</w:t>
      </w:r>
    </w:p>
    <w:p>
      <w:pPr>
        <w:spacing w:before="20" w:after="60" w:line="276" w:lineRule="auto"/>
      </w:pPr>
      <w:r>
        <w:rPr>
          <w:rFonts w:ascii="微软雅黑" w:hAnsi="微软雅黑"/>
          <w:color w:val="1F2937"/>
          <w:sz w:val="18"/>
        </w:rPr>
        <w:t>🧪 【QA 自动化验收准则 · Gherkin BDD 用例契约】</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GB/T 2589-2020 折标煤模型与除零防御</w:t>
            </w:r>
          </w:p>
          <w:p>
            <w:pPr>
              <w:spacing w:before="0" w:after="20" w:line="264" w:lineRule="auto"/>
            </w:pPr>
            <w:r>
              <w:rPr>
                <w:rFonts w:ascii="Consolas" w:hAnsi="Consolas"/>
                <w:b/>
                <w:color w:val="0284C7"/>
                <w:sz w:val="16"/>
              </w:rPr>
              <w:t xml:space="preserve">  Scenario: 全介质实物量转标煤计算精度验证</w:t>
            </w:r>
          </w:p>
          <w:p>
            <w:pPr>
              <w:spacing w:before="0" w:after="20" w:line="264" w:lineRule="auto"/>
            </w:pPr>
            <w:r>
              <w:rPr>
                <w:rFonts w:ascii="Consolas" w:hAnsi="Consolas"/>
                <w:color w:val="1F2937"/>
                <w:sz w:val="16"/>
              </w:rPr>
              <w:t xml:space="preserve">    Given 某车间月度消耗电力 10,000 kWh, 天然气 1,000 m³, 工业新鲜水 500 t</w:t>
            </w:r>
          </w:p>
          <w:p>
            <w:pPr>
              <w:spacing w:before="0" w:after="20" w:line="264" w:lineRule="auto"/>
            </w:pPr>
            <w:r>
              <w:rPr>
                <w:rFonts w:ascii="Consolas" w:hAnsi="Consolas"/>
                <w:color w:val="1F2937"/>
                <w:sz w:val="16"/>
              </w:rPr>
              <w:t xml:space="preserve">    When 系统调用折标煤系数库执行综合能耗核算</w:t>
            </w:r>
          </w:p>
          <w:p>
            <w:pPr>
              <w:spacing w:before="0" w:after="20" w:line="264" w:lineRule="auto"/>
            </w:pPr>
            <w:r>
              <w:rPr>
                <w:rFonts w:ascii="Consolas" w:hAnsi="Consolas"/>
                <w:b/>
                <w:color w:val="16A34A"/>
                <w:sz w:val="16"/>
              </w:rPr>
              <w:t xml:space="preserve">    Then 电力折标煤量精确等于 1.2290 tce</w:t>
            </w:r>
          </w:p>
          <w:p>
            <w:pPr>
              <w:spacing w:before="0" w:after="20" w:line="264" w:lineRule="auto"/>
            </w:pPr>
            <w:r>
              <w:rPr>
                <w:rFonts w:ascii="Consolas" w:hAnsi="Consolas"/>
                <w:color w:val="1F2937"/>
                <w:sz w:val="16"/>
              </w:rPr>
              <w:t xml:space="preserve">    And 天然气折标煤量精确等于 1.2143 tce</w:t>
            </w:r>
          </w:p>
          <w:p>
            <w:pPr>
              <w:spacing w:before="0" w:after="20" w:line="264" w:lineRule="auto"/>
            </w:pPr>
            <w:r>
              <w:rPr>
                <w:rFonts w:ascii="Consolas" w:hAnsi="Consolas"/>
                <w:color w:val="1F2937"/>
                <w:sz w:val="16"/>
              </w:rPr>
              <w:t xml:space="preserve">    And 新鲜水工质折算量精确等于 0.0429 tce</w:t>
            </w:r>
          </w:p>
          <w:p>
            <w:pPr>
              <w:spacing w:before="0" w:after="20" w:line="264" w:lineRule="auto"/>
            </w:pPr>
            <w:r>
              <w:rPr>
                <w:rFonts w:ascii="Consolas" w:hAnsi="Consolas"/>
                <w:color w:val="1F2937"/>
                <w:sz w:val="16"/>
              </w:rPr>
              <w:t xml:space="preserve">    And 车间总综合能耗精确等于 2.4862 tce (容差 &lt;= 0.0001)</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万元产值能耗除零极限边界防御</w:t>
            </w:r>
          </w:p>
          <w:p>
            <w:pPr>
              <w:spacing w:before="0" w:after="20" w:line="264" w:lineRule="auto"/>
            </w:pPr>
            <w:r>
              <w:rPr>
                <w:rFonts w:ascii="Consolas" w:hAnsi="Consolas"/>
                <w:color w:val="1F2937"/>
                <w:sz w:val="16"/>
              </w:rPr>
              <w:t xml:space="preserve">    Given 某新建车间当月综合能耗为 5.5000 tce，但产值报工为 0 元</w:t>
            </w:r>
          </w:p>
          <w:p>
            <w:pPr>
              <w:spacing w:before="0" w:after="20" w:line="264" w:lineRule="auto"/>
            </w:pPr>
            <w:r>
              <w:rPr>
                <w:rFonts w:ascii="Consolas" w:hAnsi="Consolas"/>
                <w:color w:val="1F2937"/>
                <w:sz w:val="16"/>
              </w:rPr>
              <w:t xml:space="preserve">    When 系统渲染该车间万元产值综合能耗指标</w:t>
            </w:r>
          </w:p>
          <w:p>
            <w:pPr>
              <w:spacing w:before="0" w:after="20" w:line="264" w:lineRule="auto"/>
            </w:pPr>
            <w:r>
              <w:rPr>
                <w:rFonts w:ascii="Consolas" w:hAnsi="Consolas"/>
                <w:b/>
                <w:color w:val="16A34A"/>
                <w:sz w:val="16"/>
              </w:rPr>
              <w:t xml:space="preserve">    Then 页面安全展示为 "--"</w:t>
            </w:r>
          </w:p>
          <w:p>
            <w:pPr>
              <w:spacing w:before="0" w:after="20" w:line="264" w:lineRule="auto"/>
            </w:pPr>
            <w:r>
              <w:rPr>
                <w:rFonts w:ascii="Consolas" w:hAnsi="Consolas"/>
                <w:color w:val="1F2937"/>
                <w:sz w:val="16"/>
              </w:rPr>
              <w:t xml:space="preserve">    And 系统不出现 NaN、Infinity 或前端崩溃异常</w:t>
            </w:r>
          </w:p>
          <w:p>
            <w:pPr>
              <w:spacing w:before="0" w:after="20" w:line="264" w:lineRule="auto"/>
            </w:pPr>
            <w:r>
              <w:rPr>
                <w:rFonts w:ascii="Consolas" w:hAnsi="Consolas"/>
                <w:color w:val="1F2937"/>
                <w:sz w:val="16"/>
              </w:rPr>
              <w:t xml:space="preserve">    And 后台记录软处理告警 E_CALC_UNIT_DIV_ZERO_SOFT</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第6章 四大因子库统一错误码字典与异常治理规范</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错误代码 (Error Code)</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错误级别</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归属模块</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触发业务场景与边界</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前端用户呈现与交互动作</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E_VAL_FACTOR_NON_POSITIVE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严重阻断</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原材料/化石</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输入因子值小于或等于 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输入框标红提示“因子数值必须严格大于0”，禁用提交按钮</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E_FACTOR_IN_USE_DELETE_DENIED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业务拦截</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原材料因子</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尝试删除已被认证报告引用的因子版本</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弹出阻断警示弹窗，提示具体被引用的报告编号，置灰删除按钮</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E_FACTOR_VERSION_CONFLICT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逻辑冲突</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全因子库</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版本号未递增或与历史版本号重复</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提示“版本号必须单调递增（如从v3.1到v3.2）”，阻止保存</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E_CALC_FACTOR_WEIGHT_ZERO_FALLBACK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容错兜底</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原材料因子</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多供应商加权采购总重为 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自动回退采用国家标准缺省值，并在计算明细中予以标注</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E_SYS_FACTOR_LOCKED_HISTORIC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安全阻断</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电力/化石</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尝试重算或修改已财务锁账月份的因子</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提示“已关账月份数据已固化，禁止修改”，返回 403 阻断</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E_CALC_GREEN_OFFSET_OVERFLOW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业务预警</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电力碳排</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绿电核销申报量超过实际购电用电总量</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自动截断至总用电量，提示“超出绿电量已结转至下月”</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E_VAL_CEMS_OFFLINE_PENALTY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惩治兜底</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自备电厂</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燃煤自备电厂烟气监测脱网缺失实测值</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强制采用高阶惩罚性缺省因子（0.8320），并高亮标黄预警</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E_VAL_NCV_OUT_OF_PHYSICAL_RANGE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科学阻断</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能源活动</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燃料低位发热量输入超出物理极值</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提示“发热量超出物理极限范围，请重新校对化验单”</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E_SYS_GB_STD_IMMUTABLE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权限锁死</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折标煤库</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尝试在线覆盖 GB/T 2589-2020 国标常量</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强行锁定保存按钮，提示“国标受控常量仅允许通过版本补丁升级”</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E_CALC_UNIT_DIV_ZERO_SOFT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柔性容错</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全系统单耗</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产量、产值或电量分母为 0 时计算单耗</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前端安全显示 </w:t>
            </w:r>
            <w:r>
              <w:rPr>
                <w:rFonts w:ascii="Consolas" w:hAnsi="Consolas"/>
                <w:b w:val="0"/>
                <w:color w:val="0284C7"/>
                <w:sz w:val="14"/>
              </w:rPr>
              <w:t xml:space="preserve"> -- </w:t>
            </w:r>
            <w:r>
              <w:rPr>
                <w:rFonts w:ascii="微软雅黑" w:hAnsi="微软雅黑"/>
                <w:color w:val="1F2937"/>
                <w:sz w:val="16"/>
              </w:rPr>
              <w:t>，底层静默记入系统计算日志，杜绝白屏崩溃</w:t>
            </w:r>
          </w:p>
        </w:tc>
      </w:tr>
    </w:tbl>
    <w:p>
      <w:pPr>
        <w:spacing w:after="60"/>
      </w:pP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64748B"/>
        <w:sz w:val="17"/>
      </w:rPr>
      <w:t>特变电工股份有限公司 · 内部绝密工程技术资产 严禁未经授权复制与外传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64748B"/>
        <w:sz w:val="17"/>
      </w:rPr>
      <w:t>特变电工能碳数字化双中心 · 因子库与折标煤体系 (PRD) v1.0.0 · 生产施工基线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