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 w14:paraId="56F918DC">
      <w:pPr>
        <w:bidi w:val="0"/>
        <w:rPr>
          <w:rFonts w:hint="eastAsia" w:ascii="宋体" w:hAnsi="宋体" w:eastAsia="宋体" w:cs="宋体"/>
          <w:i w:val="0"/>
          <w:iCs w:val="0"/>
          <w:sz w:val="24"/>
          <w:szCs w:val="24"/>
        </w:rPr>
      </w:pPr>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用户操作手册（预发布版 V1.0）</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7"/>
        <w:gridCol w:w="384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tcBorders>
              <w:tl2br w:val="nil"/>
            </w:tcBorders>
            <w:shd w:val="clear" w:color="auto" w:fill="FFFFFF"/>
            <w:tcMar>
              <w:top w:w="50" w:type="dxa"/>
              <w:left w:w="70" w:type="dxa"/>
              <w:bottom w:w="50" w:type="dxa"/>
              <w:right w:w="70" w:type="dxa"/>
            </w:tcMar>
            <w:vAlign w:val="center"/>
          </w:tcPr>
          <w:p w14:paraId="4620B388">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受控编号</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E5D4408">
            <w:pPr>
              <w:jc w:val="both"/>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384FFEA4">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文档版本</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0C140582">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V1.0</w:t>
            </w:r>
            <w:r>
              <w:rPr>
                <w:rFonts w:hint="eastAsia" w:ascii="宋体" w:hAnsi="宋体" w:eastAsia="宋体" w:cs="宋体"/>
                <w:b w:val="0"/>
                <w:i w:val="0"/>
                <w:iCs w:val="0"/>
                <w:color w:val="000000"/>
                <w:sz w:val="24"/>
                <w:szCs w:val="24"/>
                <w:lang w:val="en-US" w:eastAsia="zh-CN"/>
              </w:rPr>
              <w:t/>
            </w:r>
            <w:r>
              <w:rPr>
                <w:rFonts w:hint="eastAsia" w:ascii="宋体" w:hAnsi="宋体" w:eastAsia="宋体" w:cs="宋体"/>
                <w:b w:val="0"/>
                <w:i w:val="0"/>
                <w:iCs w:val="0"/>
                <w:color w:val="000000"/>
                <w:sz w:val="24"/>
                <w:szCs w:val="24"/>
              </w:rPr>
              <w:t/>
            </w:r>
            <w:r>
              <w:rPr>
                <w:rFonts w:hint="eastAsia" w:ascii="宋体" w:hAnsi="宋体" w:eastAsia="宋体" w:cs="宋体"/>
                <w:b w:val="0"/>
                <w:i w:val="0"/>
                <w:iCs w:val="0"/>
                <w:color w:val="000000"/>
                <w:sz w:val="24"/>
                <w:szCs w:val="24"/>
                <w:lang w:val="en-US" w:eastAsia="zh-CN"/>
              </w:rPr>
              <w:t/>
            </w:r>
            <w:bookmarkStart w:id="100" w:name="_GoBack"/>
            <w:bookmarkEnd w:id="100"/>
            <w:r>
              <w:rPr>
                <w:rFonts w:hint="eastAsia" w:ascii="宋体" w:hAnsi="宋体" w:eastAsia="宋体" w:cs="宋体"/>
                <w:b w:val="0"/>
                <w:i w:val="0"/>
                <w:iCs w:val="0"/>
                <w:color w:val="000000"/>
                <w:sz w:val="24"/>
                <w:szCs w:val="24"/>
              </w:rPr>
              <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21DD9299">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归属工程</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77E4E139">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7" w:type="dxa"/>
            <w:shd w:val="clear" w:color="auto" w:fill="FFFFFF"/>
            <w:tcMar>
              <w:top w:w="50" w:type="dxa"/>
              <w:left w:w="70" w:type="dxa"/>
              <w:bottom w:w="50" w:type="dxa"/>
              <w:right w:w="70" w:type="dxa"/>
            </w:tcMar>
            <w:vAlign w:val="center"/>
          </w:tcPr>
          <w:p w14:paraId="4324044B">
            <w:pPr>
              <w:jc w:val="right"/>
              <w:rPr>
                <w:rFonts w:hint="eastAsia" w:ascii="宋体" w:hAnsi="宋体" w:eastAsia="宋体" w:cs="宋体"/>
                <w:b w:val="0"/>
                <w:i w:val="0"/>
                <w:iCs w:val="0"/>
                <w:color w:val="000000"/>
                <w:sz w:val="24"/>
                <w:szCs w:val="24"/>
                <w:lang w:eastAsia="zh-CN"/>
              </w:rPr>
            </w:pPr>
            <w:r>
              <w:rPr>
                <w:rFonts w:hint="eastAsia" w:ascii="宋体" w:hAnsi="宋体" w:eastAsia="宋体" w:cs="宋体"/>
                <w:b w:val="0"/>
                <w:i w:val="0"/>
                <w:iCs w:val="0"/>
                <w:color w:val="000000"/>
                <w:sz w:val="24"/>
                <w:szCs w:val="24"/>
              </w:rPr>
              <w:t>发布日期</w:t>
            </w:r>
            <w:r>
              <w:rPr>
                <w:rFonts w:hint="eastAsia" w:ascii="宋体" w:hAnsi="宋体" w:eastAsia="宋体" w:cs="宋体"/>
                <w:b w:val="0"/>
                <w:i w:val="0"/>
                <w:iCs w:val="0"/>
                <w:color w:val="000000"/>
                <w:sz w:val="24"/>
                <w:szCs w:val="24"/>
                <w:lang w:eastAsia="zh-CN"/>
              </w:rPr>
              <w:t>：</w:t>
            </w:r>
          </w:p>
        </w:tc>
        <w:tc>
          <w:tcPr>
            <w:tcW w:w="3846" w:type="dxa"/>
            <w:shd w:val="clear" w:color="auto" w:fill="FFFFFF"/>
            <w:tcMar>
              <w:top w:w="50" w:type="dxa"/>
              <w:left w:w="70" w:type="dxa"/>
              <w:bottom w:w="50" w:type="dxa"/>
              <w:right w:w="70" w:type="dxa"/>
            </w:tcMar>
            <w:vAlign w:val="center"/>
          </w:tcPr>
          <w:p w14:paraId="3C31F347">
            <w:pPr>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rPr>
              <w:t>2026-09-17</w:t>
            </w:r>
          </w:p>
        </w:tc>
      </w:tr>
    </w:tbl>
    <w:p>
      <w:r>
        <w:br w:type="page"/>
      </w:r>
    </w:p>
    <w:p w14:paraId="7EFF12F3">
      <w:pPr>
        <w:pStyle w:val="19"/>
        <w:widowControl/>
        <w:rPr>
          <w:rFonts w:ascii="Times New Roman" w:hAnsi="Times New Roman" w:eastAsia="宋体" w:cs="Times New Roman"/>
          <w:i w:val="0"/>
          <w:sz w:val="24"/>
          <w:szCs w:val="24"/>
        </w:rPr>
        <w:jc w:val="center"/>
      </w:pPr>
      <w:r>
        <w:rPr>
          <w:rFonts w:ascii="Times New Roman" w:hAnsi="Times New Roman" w:eastAsia="宋体" w:cs="Times New Roman"/>
          <w:b/>
          <w:i w:val="0"/>
          <w:color w:val="1E3A8A"/>
          <w:sz w:val="24"/>
          <w:szCs w:val="24"/>
          <w:b/>
          <w:sz w:val="36"/>
        </w:rPr>
        <w:t>目  录</w:t>
      </w:r>
    </w:p>
    <w:p>
      <w:r>
        <w:fldChar w:fldCharType="begin" w:dirty="true"/>
      </w:r>
      <w:r>
        <w:instrText xml:space="preserve"> TOC \o "1-3" \h \z \u </w:instrText>
      </w:r>
      <w:r>
        <w:fldChar w:fldCharType="separate"/>
      </w:r>
      <w:r>
        <w:t>（目录将在打开文档时自动更新；如未更新请全选后按 F9）</w:t>
      </w:r>
      <w:r>
        <w:fldChar w:fldCharType="end"/>
      </w:r>
    </w:p>
    <w:p w14:paraId="1972F910">
      <w:pPr>
        <w:pStyle w:val="3"/>
        <w:numPr>
          <w:numId w:val="219"/>
          <w:ilvl w:val="0"/>
        </w:numPr>
        <w:ind w:left="0" w:leftChars="0" w:firstLine="0" w:firstLineChars="0"/>
        <w:rPr>
          <w:rFonts w:eastAsia="黑体"/>
          <w:b w:val="0"/>
          <w:bCs w:val="0"/>
          <w:sz w:val="32"/>
          <w:szCs w:val="44"/>
        </w:rPr>
        <w:pageBreakBefore/>
      </w:pPr>
      <w:r>
        <w:rPr>
          <w:rFonts w:ascii="Times New Roman" w:hAnsi="Times New Roman" w:eastAsia="黑体" w:cs="Times New Roman"/>
          <w:b w:val="0"/>
          <w:bCs w:val="0"/>
          <w:sz w:val="32"/>
          <w:szCs w:val="44"/>
        </w:rPr>
        <w:t>手册说明</w:t>
      </w:r>
    </w:p>
    <w:p w14:paraId="0EEEF575">
      <w:pPr>
        <w:pStyle w:val="4"/>
        <w:numPr>
          <w:numId w:val="220"/>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编制目的与适用范围</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手册是特变电工能碳数字化双中心（零碳园区集控中心、产品碳足迹集采中心）的配套用户操作手册，面向最终用户与系统管理员，说明各功能页面的用途、入口、操作步骤、界面口径与异常处置方法，与《产品需求规格说明书 PRD v2.2》共同构成交付文档体系。</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本手册覆盖双中心全部 39 个功能模块（集控中心 23 个、集采中心 16 个）、系统管理五项内容与公共异常处置。技术选型、接口契约、验收测试等研发向内容不在本手册范围内，如有需要请查阅 PRD v2.2 对应章节。</w:t>
      </w:r>
    </w:p>
    <w:p w14:paraId="0EEEF575">
      <w:pPr>
        <w:pStyle w:val="4"/>
        <w:numPr>
          <w:numId w:val="220"/>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读者对象与阅读指引</w:t>
      </w:r>
    </w:p>
    <w:tbl>
      <w:tblPr>
        <w:tblW w:w="0" w:type="auto"/>
        <w:tblBorders>
          <w:top w:val="single" w:sz="4" w:space="0" w:color="8FA8C0"/>
          <w:left w:val="single" w:sz="4" w:space="0" w:color="8FA8C0"/>
          <w:bottom w:val="single" w:sz="4" w:space="0" w:color="8FA8C0"/>
          <w:right w:val="single" w:sz="4" w:space="0" w:color="8FA8C0"/>
          <w:insideH w:val="single" w:sz="4" w:space="0" w:color="8FA8C0"/>
          <w:insideV w:val="single" w:sz="4" w:space="0" w:color="8FA8C0"/>
        </w:tblBorders>
      </w:tblPr>
      <w:tr>
        <w:tc>
          <w:p>
            <w:r>
              <w:rPr>
                <w:sz w:val="19"/>
              </w:rPr>
              <w:t>读者角色</w:t>
            </w:r>
            <w:pPr/>
          </w:p>
          <w:tcPr>
            <w:shd w:val="clear" w:color="auto" w:fill="D9E2F3"/>
          </w:tcPr>
        </w:tc>
        <w:tc>
          <w:p>
            <w:r>
              <w:rPr>
                <w:sz w:val="19"/>
              </w:rPr>
              <w:t>必读章节</w:t>
            </w:r>
            <w:pPr/>
          </w:p>
          <w:tcPr>
            <w:shd w:val="clear" w:color="auto" w:fill="D9E2F3"/>
          </w:tcPr>
        </w:tc>
        <w:tc>
          <w:p>
            <w:r>
              <w:rPr>
                <w:sz w:val="19"/>
              </w:rPr>
              <w:t>说明</w:t>
            </w:r>
            <w:pPr/>
          </w:p>
          <w:tcPr>
            <w:shd w:val="clear" w:color="auto" w:fill="D9E2F3"/>
          </w:tcPr>
        </w:tc>
      </w:tr>
      <w:tr>
        <w:tc>
          <w:p>
            <w:r>
              <w:rPr>
                <w:sz w:val="19"/>
              </w:rPr>
              <w:t>集团决策层（P1）</w:t>
            </w:r>
          </w:p>
        </w:tc>
        <w:tc>
          <w:p>
            <w:r>
              <w:rPr>
                <w:sz w:val="19"/>
              </w:rPr>
              <w:t>第2章、3.1</w:t>
            </w:r>
          </w:p>
        </w:tc>
        <w:tc>
          <w:p>
            <w:r>
              <w:rPr>
                <w:sz w:val="19"/>
              </w:rPr>
              <w:t>以大屏展示与战略汇报场景为主</w:t>
            </w:r>
          </w:p>
        </w:tc>
      </w:tr>
      <w:tr>
        <w:tc>
          <w:p>
            <w:r>
              <w:rPr>
                <w:sz w:val="19"/>
              </w:rPr>
              <w:t>园区能源管理员</w:t>
            </w:r>
          </w:p>
        </w:tc>
        <w:tc>
          <w:p>
            <w:r>
              <w:rPr>
                <w:sz w:val="19"/>
              </w:rPr>
              <w:t>第2章、第3章、第6章</w:t>
            </w:r>
          </w:p>
        </w:tc>
        <w:tc>
          <w:p>
            <w:r>
              <w:rPr>
                <w:sz w:val="19"/>
              </w:rPr>
              <w:t>集控中心日常监测、分析与报表</w:t>
            </w:r>
          </w:p>
        </w:tc>
      </w:tr>
      <w:tr>
        <w:tc>
          <w:p>
            <w:r>
              <w:rPr>
                <w:sz w:val="19"/>
              </w:rPr>
              <w:t>企业能碳数据专员</w:t>
            </w:r>
          </w:p>
        </w:tc>
        <w:tc>
          <w:p>
            <w:r>
              <w:rPr>
                <w:sz w:val="19"/>
              </w:rPr>
              <w:t>3.6、第6章</w:t>
            </w:r>
          </w:p>
        </w:tc>
        <w:tc>
          <w:p>
            <w:r>
              <w:rPr>
                <w:sz w:val="19"/>
              </w:rPr>
              <w:t>数据录入与基础参数维护</w:t>
            </w:r>
          </w:p>
        </w:tc>
      </w:tr>
      <w:tr>
        <w:tc>
          <w:p>
            <w:r>
              <w:rPr>
                <w:sz w:val="19"/>
              </w:rPr>
              <w:t>碳资产/CBAM 申报专员</w:t>
            </w:r>
          </w:p>
        </w:tc>
        <w:tc>
          <w:p>
            <w:r>
              <w:rPr>
                <w:sz w:val="19"/>
              </w:rPr>
              <w:t>第4章、6.2</w:t>
            </w:r>
          </w:p>
        </w:tc>
        <w:tc>
          <w:p>
            <w:r>
              <w:rPr>
                <w:sz w:val="19"/>
              </w:rPr>
              <w:t>碳足迹核算、报告与 CBAM 申报模拟</w:t>
            </w:r>
          </w:p>
        </w:tc>
      </w:tr>
      <w:tr>
        <w:tc>
          <w:p>
            <w:r>
              <w:rPr>
                <w:sz w:val="19"/>
              </w:rPr>
              <w:t>系统管理员</w:t>
            </w:r>
          </w:p>
        </w:tc>
        <w:tc>
          <w:p>
            <w:r>
              <w:rPr>
                <w:sz w:val="19"/>
              </w:rPr>
              <w:t>第5章、第6章、附录</w:t>
            </w:r>
          </w:p>
        </w:tc>
        <w:tc>
          <w:p>
            <w:r>
              <w:rPr>
                <w:sz w:val="19"/>
              </w:rPr>
              <w:t>组织权限、告警、仲裁补传与点位配置</w:t>
            </w:r>
          </w:p>
        </w:tc>
      </w:tr>
    </w:tbl>
    <w:p w14:paraId="0EEEF575">
      <w:pPr>
        <w:pStyle w:val="4"/>
        <w:numPr>
          <w:numId w:val="220"/>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术语与缩略语</w:t>
      </w:r>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EEEF575">
      <w:pPr>
        <w:pStyle w:val="4"/>
        <w:numPr>
          <w:numId w:val="220"/>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版本与界面基准声明</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本手册为预发布版 V1.0：系统界面与操作流程以《产品需求规格说明书 PRD v2.2》的原型设计为基准编写，插图直接引用 PRD 原型图。系统正式上线后，将以实机界面截图修订升级为 V2.0 正式版，届时界面若与本书不一致，以实际交付系统为准。</w:t>
      </w:r>
    </w:p>
    <w:p w14:paraId="0EEEF575">
      <w:pPr>
        <w:pStyle w:val="4"/>
        <w:numPr>
          <w:numId w:val="220"/>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保密声明</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本文档属内部绝密工程技术资产，严禁未经授权复制与外传。阅读、复制或传递本文档须经特变电工项目方书面授权。</w:t>
      </w:r>
    </w:p>
    <w:p w14:paraId="1972F910">
      <w:pPr>
        <w:pStyle w:val="3"/>
        <w:numPr>
          <w:numId w:val="219"/>
          <w:ilvl w:val="0"/>
        </w:numPr>
        <w:ind w:left="0" w:leftChars="0" w:firstLine="0" w:firstLineChars="0"/>
        <w:rPr>
          <w:rFonts w:eastAsia="黑体"/>
          <w:b w:val="0"/>
          <w:bCs w:val="0"/>
          <w:sz w:val="32"/>
          <w:szCs w:val="44"/>
        </w:rPr>
        <w:pageBreakBefore/>
      </w:pPr>
      <w:r>
        <w:rPr>
          <w:rFonts w:ascii="Times New Roman" w:hAnsi="Times New Roman" w:eastAsia="黑体" w:cs="Times New Roman"/>
          <w:b w:val="0"/>
          <w:bCs w:val="0"/>
          <w:sz w:val="32"/>
          <w:szCs w:val="44"/>
        </w:rPr>
        <w:t>系统概述与快速上手</w:t>
      </w:r>
    </w:p>
    <w:p w14:paraId="0EEEF575">
      <w:pPr>
        <w:pStyle w:val="4"/>
        <w:numPr>
          <w:numId w:val="221"/>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双中心定位与总体架构</w:t>
      </w:r>
    </w:p>
    <w:p w14:paraId="7EB70714">
      <w:pPr>
        <w:jc w:val="center"/>
        <w:rPr>
          <w:rFonts w:hint="eastAsia" w:eastAsia="黑体"/>
          <w:lang w:eastAsia="zh-CN"/>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2"/>
                    <a:stretch>
                      <a:fillRect/>
                    </a:stretch>
                  </pic:blipFill>
                  <pic:spPr>
                    <a:xfrm>
                      <a:off x="0" y="0"/>
                      <a:ext cx="5588000" cy="3547110"/>
                    </a:xfrm>
                    <a:prstGeom prst="rect">
                      <a:avLst/>
                    </a:prstGeom>
                  </pic:spPr>
                </pic:pic>
              </a:graphicData>
            </a:graphic>
          </wp:inline>
        </w:drawing>
      </w:r>
    </w:p>
    <w:p w14:paraId="04121F5F">
      <w:pPr>
        <w:pStyle w:val="5"/>
        <w:widowControl/>
        <w:numPr>
          <w:numId w:val="222"/>
          <w:ilvl w:val="0"/>
        </w:numPr>
        <w:ind w:left="0" w:leftChars="0" w:firstLine="0" w:firstLineChars="0"/>
        <w:outlineLvl w:val="1"/>
        <w:rPr>
          <w:rFonts w:eastAsia="黑体"/>
          <w:b w:val="0"/>
          <w:bCs w:val="0"/>
          <w:sz w:val="30"/>
          <w:szCs w:val="24"/>
        </w:rPr>
      </w:pPr>
      <w:r>
        <w:t/>
      </w:r>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numId w:val="222"/>
          <w:ilvl w:val="0"/>
        </w:numPr>
        <w:ind w:left="0" w:leftChars="0" w:firstLine="0" w:firstLineChars="0"/>
        <w:outlineLvl w:val="1"/>
        <w:rPr>
          <w:rFonts w:eastAsia="黑体"/>
          <w:b w:val="0"/>
          <w:bCs w:val="0"/>
          <w:sz w:val="30"/>
          <w:szCs w:val="24"/>
        </w:rPr>
      </w:pPr>
      <w:r>
        <w:t/>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0EEEF575">
      <w:pPr>
        <w:pStyle w:val="4"/>
        <w:numPr>
          <w:numId w:val="221"/>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登录与工作台</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（1）打开浏览器，输入平台访问地址【待补充：正式环境 URL】，输入账号与密码登录；首次登录请按管理员下发的开通指引修改初始密码。</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（2）登录后进入工作台首页，可通过顶部导航在「零碳园区集控中心」与「产品碳足迹集采中心」之间切换。</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（3）主题切换：系统提供暗黑与浅色双主题（同构布局），在工作台右上角头像菜单中切换，切换后全站即时生效并记忆用户偏好。</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（4）大屏类页面（3.1 节）在试运行演示阶段右上角显示「演示」标识，生产网联通后自动切换为「LIVE · 实时生产」。</w:t>
      </w:r>
    </w:p>
    <w:p w14:paraId="0EEEF575">
      <w:pPr>
        <w:pStyle w:val="4"/>
        <w:numPr>
          <w:numId w:val="221"/>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角色与权限速查</w:t>
      </w:r>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0A7B55E">
      <w:pPr>
        <w:spacing w:after="60"/>
        <w:rPr>
          <w:rFonts w:hint="eastAsia" w:ascii="宋体" w:hAnsi="宋体" w:eastAsia="宋体" w:cs="宋体"/>
          <w:i w:val="0"/>
          <w:iCs w:val="0"/>
          <w:sz w:val="24"/>
          <w:szCs w:val="24"/>
        </w:rPr>
      </w:pPr>
    </w:p>
    <w:p w14:paraId="4CD44814">
      <w:pPr>
        <w:spacing w:after="60"/>
        <w:rPr>
          <w:rFonts w:hint="eastAsia" w:ascii="宋体" w:hAnsi="宋体" w:eastAsia="宋体" w:cs="宋体"/>
          <w:i w:val="0"/>
          <w:iCs w:val="0"/>
          <w:sz w:val="24"/>
          <w:szCs w:val="24"/>
        </w:rPr>
      </w:pPr>
    </w:p>
    <w:p w14:paraId="13102C39">
      <w:pPr>
        <w:spacing w:after="60"/>
        <w:rPr>
          <w:rFonts w:hint="eastAsia" w:ascii="宋体" w:hAnsi="宋体" w:eastAsia="宋体" w:cs="宋体"/>
          <w:i w:val="0"/>
          <w:iCs w:val="0"/>
          <w:sz w:val="24"/>
          <w:szCs w:val="24"/>
        </w:rPr>
      </w:pPr>
    </w:p>
    <w:p w14:paraId="0E5D0A89">
      <w:pPr>
        <w:spacing w:after="60"/>
        <w:rPr>
          <w:rFonts w:hint="eastAsia" w:ascii="宋体" w:hAnsi="宋体" w:eastAsia="宋体" w:cs="宋体"/>
          <w:i w:val="0"/>
          <w:iCs w:val="0"/>
          <w:sz w:val="24"/>
          <w:szCs w:val="24"/>
        </w:rPr>
      </w:pPr>
    </w:p>
    <w:p w14:paraId="0EEEF575">
      <w:pPr>
        <w:pStyle w:val="4"/>
        <w:numPr>
          <w:numId w:val="221"/>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快速上手三个五分钟任务</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任务一：看懂全景环幕大屏</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进入「集控中心 → 大屏 → 全景环幕」，左侧查看集团综合折标能耗总量与同比降幅、万元产值单耗与 8 大能源介质占比圆环图；中央地图点击任一基地航标查看浮窗数据；右侧查看微电网实时出力与工序能效对标。颜色语义见 6.2 与附录 B。</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任务二：查一笔能耗数据</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进入「集中监管 → 指标管控」，选择经营单位/项目公司，切换指标维度查看整体指标；需要追溯变化原因时进入「数据变化详情」按时间粒度下钻；设备级数据在「重点设备在线监测」按设备检索。</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任务三：生成一份碳足迹报告</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进入「集采中心 → 实景数据库与碳足迹核算 → 碳足迹核算」，确认产品与核算边界后发起核算；核算完成后进入「碳足迹报告」选择模板生成报告并下载。全过程受数据完备性校验约束，缺失项按页面提示补录。</w:t>
      </w:r>
    </w:p>
    <w:p w14:paraId="1972F910">
      <w:pPr>
        <w:pStyle w:val="3"/>
        <w:numPr>
          <w:numId w:val="219"/>
          <w:ilvl w:val="0"/>
        </w:numPr>
        <w:ind w:left="0" w:leftChars="0" w:firstLine="0" w:firstLineChars="0"/>
        <w:rPr>
          <w:rFonts w:eastAsia="黑体"/>
          <w:b w:val="0"/>
          <w:bCs w:val="0"/>
          <w:sz w:val="32"/>
          <w:szCs w:val="44"/>
        </w:rPr>
        <w:pageBreakBefore/>
      </w:pPr>
      <w:r>
        <w:rPr>
          <w:rFonts w:ascii="Times New Roman" w:hAnsi="Times New Roman" w:eastAsia="黑体" w:cs="Times New Roman"/>
          <w:b w:val="0"/>
          <w:bCs w:val="0"/>
          <w:sz w:val="32"/>
          <w:szCs w:val="44"/>
        </w:rPr>
        <w:t>零碳园区集控中心操作指南</w:t>
      </w:r>
    </w:p>
    <w:p w14:paraId="0EEEF575">
      <w:pPr>
        <w:pStyle w:val="4"/>
        <w:numPr>
          <w:numId w:val="22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大屏操作</w:t>
      </w:r>
    </w:p>
    <w:p w14:paraId="6FAAACEE">
      <w:pPr>
        <w:pStyle w:val="5"/>
        <w:numPr>
          <w:numId w:val="22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全景环幕大屏 46:9</w:t>
      </w:r>
    </w:p>
    <w:p w14:paraId="6EBDB885">
      <w:pPr>
        <w:pStyle w:val="6"/>
        <w:numPr>
          <w:numId w:val="22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6EBDB885">
      <w:pPr>
        <w:pStyle w:val="6"/>
        <w:numPr>
          <w:numId w:val="22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集团决策层（主视角）；面向省部级领导、全球大客户参观场景。使用前请确认账号已开通并授予对应菜单权限；涉及数据维护与配置变更的操作需具备相应管理权限。界面与流程以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2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4"/>
                    <a:stretch>
                      <a:fillRect/>
                    </a:stretch>
                  </pic:blipFill>
                  <pic:spPr>
                    <a:xfrm>
                      <a:off x="0" y="0"/>
                      <a:ext cx="6035040" cy="1131570"/>
                    </a:xfrm>
                    <a:prstGeom prst="rect">
                      <a:avLst/>
                    </a:prstGeom>
                  </pic:spPr>
                </pic:pic>
              </a:graphicData>
            </a:graphic>
          </wp:inline>
        </w:drawing>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5"/>
                    <a:stretch>
                      <a:fillRect/>
                    </a:stretch>
                  </pic:blipFill>
                  <pic:spPr>
                    <a:xfrm>
                      <a:off x="0" y="0"/>
                      <a:ext cx="6094730" cy="884555"/>
                    </a:xfrm>
                    <a:prstGeom prst="rect">
                      <a:avLst/>
                    </a:prstGeom>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6EBDB885">
      <w:pPr>
        <w:pStyle w:val="6"/>
        <w:numPr>
          <w:numId w:val="22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6EBDB885">
      <w:pPr>
        <w:pStyle w:val="6"/>
        <w:numPr>
          <w:numId w:val="22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6FAAACEE">
      <w:pPr>
        <w:pStyle w:val="5"/>
        <w:numPr>
          <w:numId w:val="22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综合集控大屏 16:9</w:t>
      </w:r>
    </w:p>
    <w:p w14:paraId="6EBDB885">
      <w:pPr>
        <w:pStyle w:val="6"/>
        <w:numPr>
          <w:numId w:val="22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6EBDB885">
      <w:pPr>
        <w:pStyle w:val="6"/>
        <w:numPr>
          <w:numId w:val="22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园区能碳专员（运行班长、能效运营工程师）。使用前请确认账号已开通并授予对应菜单权限；涉及数据维护与配置变更的操作需具备相应管理权限。界面与流程以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2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6"/>
                    <a:stretch>
                      <a:fillRect/>
                    </a:stretch>
                  </pic:blipFill>
                  <pic:spPr>
                    <a:xfrm>
                      <a:off x="0" y="0"/>
                      <a:ext cx="6210300" cy="3494918"/>
                    </a:xfrm>
                    <a:prstGeom prst="rect">
                      <a:avLst/>
                    </a:prstGeom>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6EBDB885">
      <w:pPr>
        <w:pStyle w:val="6"/>
        <w:numPr>
          <w:numId w:val="22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6EBDB885">
      <w:pPr>
        <w:pStyle w:val="6"/>
        <w:numPr>
          <w:numId w:val="22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0EEEF575">
      <w:pPr>
        <w:pStyle w:val="4"/>
        <w:numPr>
          <w:numId w:val="22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集中监管</w:t>
      </w:r>
    </w:p>
    <w:p w14:paraId="6FAAACEE">
      <w:pPr>
        <w:pStyle w:val="5"/>
        <w:numPr>
          <w:numId w:val="22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指标管控</w:t>
      </w:r>
    </w:p>
    <w:p w14:paraId="6EBDB885">
      <w:pPr>
        <w:pStyle w:val="6"/>
        <w:numPr>
          <w:numId w:val="22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6EBDB885">
      <w:pPr>
        <w:pStyle w:val="6"/>
        <w:numPr>
          <w:numId w:val="22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集团决策层（宏观视角）、P2 园区能碳专员（穿透排查视角）。使用前请确认账号已开通并授予对应菜单权限；涉及数据维护与配置变更的操作需具备相应管理权限。界面与流程以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2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指标聚合口径矩阵（22 项参数 × 4 级节点）：</w:t>
      </w:r>
    </w:p>
    <w:tbl>
      <w:tblPr>
        <w:tblStyle w:val="38"/>
        <w:tblW w:w="9454" w:type="dxa"/>
        <w:jc w:val="center"/>
        <w:tblLayout w:type="autofit"/>
        <w:tblCellMar>
          <w:top w:w="0" w:type="dxa"/>
          <w:left w:w="108" w:type="dxa"/>
          <w:bottom w:w="0" w:type="dxa"/>
          <w:right w:w="108" w:type="dxa"/>
        </w:tblCellMar>
      </w:tblPr>
      <w:tblGrid>
        <w:gridCol w:w="2638"/>
        <w:gridCol w:w="2641"/>
        <w:gridCol w:w="2641"/>
        <w:gridCol w:w="1534"/>
      </w:tblGrid>
      <w:tr w14:paraId="76283B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一级节点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二级节点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三级节点</w:t>
            </w:r>
          </w:p>
        </w:tc>
        <w:tc>
          <w:tcPr>
            <w:tcW w:w="15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四级节点（工厂）</w:t>
            </w:r>
          </w:p>
        </w:tc>
      </w:tr>
      <w:tr w14:paraId="4AE3E17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5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6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5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autofit"/>
        <w:tblCellMar>
          <w:top w:w="0" w:type="dxa"/>
          <w:left w:w="108" w:type="dxa"/>
          <w:bottom w:w="0" w:type="dxa"/>
          <w:right w:w="108" w:type="dxa"/>
        </w:tblCellMar>
      </w:tblPr>
      <w:tblGrid>
        <w:gridCol w:w="882"/>
        <w:gridCol w:w="1585"/>
        <w:gridCol w:w="1234"/>
        <w:gridCol w:w="1863"/>
        <w:gridCol w:w="3966"/>
      </w:tblGrid>
      <w:tr w14:paraId="66A941F9">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5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12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5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12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5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12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8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2E46F005">
      <w:pPr>
        <w:spacing w:after="60"/>
        <w:rPr>
          <w:rFonts w:hint="eastAsia" w:ascii="宋体" w:hAnsi="宋体" w:eastAsia="宋体" w:cs="宋体"/>
          <w:i w:val="0"/>
          <w:iCs w:val="0"/>
          <w:sz w:val="24"/>
          <w:szCs w:val="24"/>
        </w:rPr>
      </w:pPr>
    </w:p>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tblHeade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3A9E3995">
      <w:pPr>
        <w:spacing w:after="60"/>
        <w:rPr>
          <w:rFonts w:hint="eastAsia" w:ascii="宋体" w:hAnsi="宋体" w:eastAsia="宋体" w:cs="宋体"/>
          <w:i w:val="0"/>
          <w:iCs w:val="0"/>
          <w:sz w:val="24"/>
          <w:szCs w:val="24"/>
        </w:rPr>
      </w:pPr>
    </w:p>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03A628F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关键工序指标清单（44 项，节选核心字段）：</w:t>
      </w:r>
    </w:p>
    <w:tbl>
      <w:tblPr>
        <w:tblStyle w:val="38"/>
        <w:tblW w:w="9784" w:type="dxa"/>
        <w:jc w:val="center"/>
        <w:tblLayout w:type="autofit"/>
        <w:tblCellMar>
          <w:top w:w="0" w:type="dxa"/>
          <w:left w:w="108" w:type="dxa"/>
          <w:bottom w:w="0" w:type="dxa"/>
          <w:right w:w="108" w:type="dxa"/>
        </w:tblCellMar>
      </w:tblPr>
      <w:tblGrid>
        <w:gridCol w:w="693"/>
        <w:gridCol w:w="5350"/>
        <w:gridCol w:w="1603"/>
        <w:gridCol w:w="2138"/>
      </w:tblGrid>
      <w:tr w14:paraId="428CDB3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13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吨铜电耗（线缆-拉丝）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M_铜</w:t>
            </w:r>
          </w:p>
        </w:tc>
      </w:tr>
      <w:tr w14:paraId="03463B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吨铝电耗（线缆-拉丝）</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kWh/t</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M_铝</w:t>
            </w:r>
          </w:p>
        </w:tc>
      </w:tr>
      <w:tr w14:paraId="16C2B6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交联电耗（干法）（线缆-中低压-交联）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2504EF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交联电耗（干法）（线缆-高压-交联）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7935CD1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B53E4F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353EF6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5A9406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15E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单位产值电耗（变压器-中低压-干变-固化）</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DBCDE8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28AA6C8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单位产量能耗（变压器-高压-干燥）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6D0C33B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单位产量电耗（变压器-中低压-油变-干燥）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kWh/万kVA</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3CE21DF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单位产值电耗（变压器-试验）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5704B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单位产值电耗（中低压开关柜-钣金喷涂）</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1D2EE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单位产值电耗（套管-干燥）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C17C0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单位产值综合能耗（互感器-干燥）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G</w:t>
            </w:r>
          </w:p>
        </w:tc>
      </w:tr>
      <w:tr w14:paraId="4E3223E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单位产值蒸汽消耗（互感器-干燥）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Q_汽 / G</w:t>
            </w:r>
          </w:p>
        </w:tc>
      </w:tr>
      <w:tr w14:paraId="693E3B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单位产量电耗（电容器-芯子卷绕）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49598B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单位产量电耗（电容器-真空浸渍）</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05B95D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单位产值电耗（干式电抗器-固化）</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AEE7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单位产值电耗（干式电抗器-试验）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6D75FB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单位产值电耗（GIL-螺旋焊管生产）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9C0D6E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单位产值电耗（GIL-绝缘子生产）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kWh/kvar</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AEBD78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单位产值电耗（GIS-抽真空）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0991DE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单位产值电耗（GIS-绝缘件干燥）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2639176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单位产值电耗（GIS-工频耐压试验）</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4DEC85D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单位产值电耗（GIS-空调恒温除湿）</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G</w:t>
            </w:r>
          </w:p>
        </w:tc>
      </w:tr>
      <w:tr w14:paraId="5A931C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单位产量电耗（非晶合金铁心-退火）</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67F3EA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单位产量电耗（硅钢铁心-纵剪）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1327289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单位产量电耗（硅钢铁心-中型叠装）</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r w14:paraId="558D3DED">
        <w:tblPrEx>
          <w:tblCellMar>
            <w:top w:w="0" w:type="dxa"/>
            <w:left w:w="108" w:type="dxa"/>
            <w:bottom w:w="0" w:type="dxa"/>
            <w:right w:w="108" w:type="dxa"/>
          </w:tblCellMar>
        </w:tblPrEx>
        <w:trPr>
          <w:jc w:val="center"/>
        </w:trPr>
        <w:tc>
          <w:tcPr>
            <w:tcW w:w="6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31</w:t>
            </w:r>
          </w:p>
        </w:tc>
        <w:tc>
          <w:tcPr>
            <w:tcW w:w="5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单位产量电耗（硅钢铁心-大型叠装）</w:t>
            </w:r>
          </w:p>
        </w:tc>
        <w:tc>
          <w:tcPr>
            <w:tcW w:w="16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213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Q_电 / M</w:t>
            </w:r>
          </w:p>
        </w:tc>
      </w:tr>
    </w:tbl>
    <w:p w14:paraId="43668F18">
      <w:pPr>
        <w:spacing w:after="60"/>
        <w:rPr>
          <w:rFonts w:hint="eastAsia" w:ascii="宋体" w:hAnsi="宋体" w:eastAsia="宋体" w:cs="宋体"/>
          <w:i w:val="0"/>
          <w:iCs w:val="0"/>
          <w:sz w:val="24"/>
          <w:szCs w:val="24"/>
        </w:rPr>
      </w:pPr>
    </w:p>
    <w:p w14:paraId="6EBDB885">
      <w:pPr>
        <w:pStyle w:val="6"/>
        <w:numPr>
          <w:numId w:val="22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6EBDB885">
      <w:pPr>
        <w:pStyle w:val="6"/>
        <w:numPr>
          <w:numId w:val="22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6FAAACEE">
      <w:pPr>
        <w:pStyle w:val="5"/>
        <w:numPr>
          <w:numId w:val="22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数据变化详情</w:t>
      </w:r>
    </w:p>
    <w:p w14:paraId="6EBDB885">
      <w:pPr>
        <w:pStyle w:val="6"/>
        <w:numPr>
          <w:numId w:val="22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EBDB885">
      <w:pPr>
        <w:pStyle w:val="6"/>
        <w:numPr>
          <w:numId w:val="22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园区能碳专员；P6 外部审计机构（只读）。使用前请确认账号已开通并授予对应菜单权限；涉及数据维护与配置变更的操作需具备相应管理权限。界面与流程以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2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18"/>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6EBDB885">
      <w:pPr>
        <w:pStyle w:val="6"/>
        <w:numPr>
          <w:numId w:val="22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6EBDB885">
      <w:pPr>
        <w:pStyle w:val="6"/>
        <w:numPr>
          <w:numId w:val="22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6FAAACEE">
      <w:pPr>
        <w:pStyle w:val="5"/>
        <w:numPr>
          <w:numId w:val="22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用能在线监测</w:t>
      </w:r>
    </w:p>
    <w:p w14:paraId="6EBDB885">
      <w:pPr>
        <w:pStyle w:val="6"/>
        <w:numPr>
          <w:numId w:val="23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6EBDB885">
      <w:pPr>
        <w:pStyle w:val="6"/>
        <w:numPr>
          <w:numId w:val="23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园区能碳专员（主视角）、P3 车间填报员（数据核对视角）。使用前请确认账号已开通并授予对应菜单权限；涉及数据维护与配置变更的操作需具备相应管理权限。界面与流程以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9"/>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widowControl/>
        <w:numPr>
          <w:ilvl w:val="0"/>
          <w:numId w:val="46"/>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13A9187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6EBDB885">
      <w:pPr>
        <w:pStyle w:val="6"/>
        <w:numPr>
          <w:numId w:val="23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6EBDB885">
      <w:pPr>
        <w:pStyle w:val="6"/>
        <w:numPr>
          <w:numId w:val="23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6FAAACEE">
      <w:pPr>
        <w:pStyle w:val="5"/>
        <w:numPr>
          <w:numId w:val="22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重点设备在线监测</w:t>
      </w:r>
    </w:p>
    <w:p w14:paraId="6EBDB885">
      <w:pPr>
        <w:pStyle w:val="6"/>
        <w:numPr>
          <w:numId w:val="23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6EBDB885">
      <w:pPr>
        <w:pStyle w:val="6"/>
        <w:numPr>
          <w:numId w:val="23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本功能主要面向：设备保全工程师、P2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0"/>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rPr>
          <w:rFonts w:ascii="Times New Roman" w:hAnsi="Times New Roman" w:eastAsia="宋体" w:cs="Times New Roman"/>
          <w:i w:val="0"/>
          <w:color w:val="1F2937"/>
          <w:sz w:val="24"/>
          <w:szCs w:val="24"/>
        </w:rPr>
      </w:pPr>
    </w:p>
    <w:p w14:paraId="6EBDB885">
      <w:pPr>
        <w:pStyle w:val="6"/>
        <w:numPr>
          <w:numId w:val="23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6EBDB885">
      <w:pPr>
        <w:pStyle w:val="6"/>
        <w:numPr>
          <w:numId w:val="23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6FAAACEE">
      <w:pPr>
        <w:pStyle w:val="5"/>
        <w:numPr>
          <w:numId w:val="22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工业微电网监测</w:t>
      </w:r>
    </w:p>
    <w:p w14:paraId="6EBDB885">
      <w:pPr>
        <w:pStyle w:val="6"/>
        <w:numPr>
          <w:numId w:val="23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EBDB885">
      <w:pPr>
        <w:pStyle w:val="6"/>
        <w:numPr>
          <w:numId w:val="23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园区能碳专员（微电网调度视角）、设备保全工程师。使用前请确认账号已开通并授予对应菜单权限；涉及数据维护与配置变更的操作需具备相应管理权限。界面与流程以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0"/>
                    <pic:cNvPicPr>
                      <a:picLocks noChangeAspect="1"/>
                    </pic:cNvPicPr>
                  </pic:nvPicPr>
                  <pic:blipFill>
                    <a:blip r:embed="rId21"/>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6EBDB885">
      <w:pPr>
        <w:pStyle w:val="6"/>
        <w:numPr>
          <w:numId w:val="23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6EBDB885">
      <w:pPr>
        <w:pStyle w:val="6"/>
        <w:numPr>
          <w:numId w:val="23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6FAAACEE">
      <w:pPr>
        <w:pStyle w:val="5"/>
        <w:numPr>
          <w:numId w:val="22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能源碳排放监测</w:t>
      </w:r>
    </w:p>
    <w:p w14:paraId="6EBDB885">
      <w:pPr>
        <w:pStyle w:val="6"/>
        <w:numPr>
          <w:numId w:val="23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6EBDB885">
      <w:pPr>
        <w:pStyle w:val="6"/>
        <w:numPr>
          <w:numId w:val="23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本功能主要面向：园区碳资产核算员 (P4)、P2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22"/>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6EBDB885">
      <w:pPr>
        <w:pStyle w:val="6"/>
        <w:numPr>
          <w:numId w:val="23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6EBDB885">
      <w:pPr>
        <w:pStyle w:val="6"/>
        <w:numPr>
          <w:numId w:val="23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0EEEF575">
      <w:pPr>
        <w:pStyle w:val="4"/>
        <w:numPr>
          <w:numId w:val="22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能耗能效分析</w:t>
      </w:r>
    </w:p>
    <w:p w14:paraId="6FAAACEE">
      <w:pPr>
        <w:pStyle w:val="5"/>
        <w:numPr>
          <w:numId w:val="23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用能结构分析</w:t>
      </w:r>
    </w:p>
    <w:p w14:paraId="6EBDB885">
      <w:pPr>
        <w:pStyle w:val="6"/>
        <w:numPr>
          <w:numId w:val="23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7968715">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3A0C89E">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6EBDB885">
      <w:pPr>
        <w:pStyle w:val="6"/>
        <w:numPr>
          <w:numId w:val="23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园区能碳专员、能耗分析专家。使用前请确认账号已开通并授予对应菜单权限；涉及数据维护与配置变更的操作需具备相应管理权限。界面与流程以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3"/>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F298B5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6EBDB885">
      <w:pPr>
        <w:pStyle w:val="6"/>
        <w:numPr>
          <w:numId w:val="23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B8F184D">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6EBDB885">
      <w:pPr>
        <w:pStyle w:val="6"/>
        <w:numPr>
          <w:numId w:val="23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6FAAACEE">
      <w:pPr>
        <w:pStyle w:val="5"/>
        <w:numPr>
          <w:numId w:val="23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能源成本分析</w:t>
      </w:r>
    </w:p>
    <w:p w14:paraId="6EBDB885">
      <w:pPr>
        <w:pStyle w:val="6"/>
        <w:numPr>
          <w:numId w:val="23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0981E65">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：电度电费、基本电费、力调电费、天然气费、蒸汽采购费的构成分析与移峰填谷效益模拟，支撑用能成本压降。</w:t>
      </w:r>
    </w:p>
    <w:p w14:paraId="1E96082B">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园区能碳专员、园区财务兼能碳核算专员。</w:t>
      </w:r>
    </w:p>
    <w:p w14:paraId="61761A8E">
      <w:pPr>
        <w:pStyle w:val="19"/>
        <w:widowControl/>
        <w:numPr>
          <w:ilvl w:val="0"/>
          <w:numId w:val="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/monitor/analysis/cost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3B02CA37">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：分析电度电费、基本电费、力调电费、天然气费、蒸汽采购费支出，评估分时峰谷价差套利成效与移峰填谷节约潜力。</w:t>
      </w:r>
    </w:p>
    <w:p w14:paraId="6EBDB885">
      <w:pPr>
        <w:pStyle w:val="6"/>
        <w:numPr>
          <w:numId w:val="23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园区能碳专员、园区财务兼能碳核算专员。使用前请确认账号已开通并授予对应菜单权限；涉及数据维护与配置变更的操作需具备相应管理权限。界面与流程以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50078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rPr>
          <w:rFonts w:hint="eastAsia" w:ascii="宋体" w:hAnsi="宋体" w:eastAsia="宋体" w:cs="宋体"/>
          <w:bCs/>
          <w:kern w:val="2"/>
          <w:sz w:val="28"/>
          <w:szCs w:val="28"/>
          <w:lang w:bidi="ar-SA"/>
        </w:rPr>
        <w:drawing>
          <wp:inline distT="0" distB="0" distL="114300" distR="114300">
            <wp:extent cx="6210300" cy="3079115"/>
            <wp:effectExtent l="0" t="0" r="0" b="698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24"/>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46CEE24">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成本总览卡片</w:t>
      </w:r>
      <w:r>
        <w:rPr>
          <w:rFonts w:ascii="Times New Roman" w:hAnsi="Times New Roman" w:eastAsia="宋体" w:cs="Times New Roman"/>
          <w:i w:val="0"/>
          <w:color w:val="1F2937"/>
          <w:sz w:val="24"/>
          <w:szCs w:val="24"/>
        </w:rPr>
        <w:t>：综合能源总费用 (万元)、度电平均成本 (元/kWh)、尖峰电费占比 (%)</w:t>
      </w:r>
    </w:p>
    <w:p w14:paraId="72D7228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分时费用对比柱状图</w:t>
      </w:r>
      <w:r>
        <w:rPr>
          <w:rFonts w:ascii="Times New Roman" w:hAnsi="Times New Roman" w:eastAsia="宋体" w:cs="Times New Roman"/>
          <w:i w:val="0"/>
          <w:color w:val="1F2937"/>
          <w:sz w:val="24"/>
          <w:szCs w:val="24"/>
        </w:rPr>
        <w:t>：直观展示尖、峰、平、谷各时段费用。</w:t>
      </w:r>
    </w:p>
    <w:p w14:paraId="7F276A25">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移峰填谷效益模拟器</w:t>
      </w:r>
      <w:r>
        <w:rPr>
          <w:rFonts w:ascii="Times New Roman" w:hAnsi="Times New Roman" w:eastAsia="宋体" w:cs="Times New Roman"/>
          <w:i w:val="0"/>
          <w:color w:val="1F2937"/>
          <w:sz w:val="24"/>
          <w:szCs w:val="24"/>
        </w:rPr>
        <w:t>：用户输入预计转移负荷比例，系统自动测算年化电费节约额。</w:t>
      </w:r>
    </w:p>
    <w:p w14:paraId="282E5B2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力调电费预警</w:t>
      </w:r>
      <w:r>
        <w:rPr>
          <w:rFonts w:ascii="Times New Roman" w:hAnsi="Times New Roman" w:eastAsia="宋体" w:cs="Times New Roman"/>
          <w:i w:val="0"/>
          <w:color w:val="1F2937"/>
          <w:sz w:val="24"/>
          <w:szCs w:val="24"/>
        </w:rPr>
        <w:t>：功率因数低于考核值 0.90 时预警提示。</w:t>
      </w:r>
    </w:p>
    <w:p w14:paraId="62E69450">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：页面右上角常驻显示当前生效的能源价格版本与生效日期。</w:t>
      </w:r>
    </w:p>
    <w:p w14:paraId="6EBDB885">
      <w:pPr>
        <w:pStyle w:val="6"/>
        <w:numPr>
          <w:numId w:val="23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B6FBF92">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：所有单价严格取自与业务发生月份相匹配的能源价格生效版本（ effective_from ≤ 业务日期 ≤ effective_to ），严禁使用当前版本倒推历史；跨期价差按「追溯补差调整」机制处理，统一在调整当期新增一条「电费跨期调整项」，严禁倒改历史报表月份。</w:t>
      </w:r>
    </w:p>
    <w:p w14:paraId="09B0B4F7">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基本电费口径</w:t>
      </w:r>
      <w:r>
        <w:rPr>
          <w:rFonts w:ascii="Times New Roman" w:hAnsi="Times New Roman" w:eastAsia="宋体" w:cs="Times New Roman"/>
          <w:i w:val="0"/>
          <w:color w:val="1F2937"/>
          <w:sz w:val="24"/>
          <w:szCs w:val="24"/>
        </w:rPr>
        <w:t>：计费方式（按容量 or 按最大需量）由配置决定，模拟器须沿用同一口径。</w:t>
      </w:r>
    </w:p>
    <w:p w14:paraId="6678D17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：功率因数考核基准为 0.90；高于 0.90 为奖励（负值费用），低于为罚金。</w:t>
      </w:r>
    </w:p>
    <w:p w14:paraId="4774D17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：费用测算结果可下钻查看所用电价版本与时段划分。</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3"/>
        <w:gridCol w:w="1871"/>
        <w:gridCol w:w="1365"/>
        <w:gridCol w:w="1365"/>
        <w:gridCol w:w="4300"/>
      </w:tblGrid>
      <w:tr w14:paraId="3EB985E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093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3FE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C4C1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65A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701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7CDA2DB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5B4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F16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EBD1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8E7D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581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（高电价时段）</w:t>
            </w:r>
          </w:p>
        </w:tc>
      </w:tr>
      <w:tr w14:paraId="4ECE863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97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01D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72FF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B52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7C77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5DB7B2A5">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6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02AE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E63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D0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1F0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2A0C45D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BEF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02E3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F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DB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5F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r>
              <w:rPr>
                <w:rFonts w:hint="eastAsia" w:ascii="宋体" w:hAnsi="宋体" w:eastAsia="宋体" w:cs="宋体"/>
                <w:i w:val="0"/>
                <w:iCs w:val="0"/>
                <w:color w:val="1F2937"/>
                <w:sz w:val="24"/>
                <w:szCs w:val="24"/>
              </w:rPr>
              <w:t>（低电价谷段）</w:t>
            </w:r>
          </w:p>
        </w:tc>
      </w:tr>
      <w:tr w14:paraId="1E27BA3C">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D30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66EB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A5F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9C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58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按变压器容量（元/kVA·月）或最大需量（元/kW·月）</w:t>
            </w:r>
          </w:p>
        </w:tc>
      </w:tr>
      <w:tr w14:paraId="2E6AE608">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CDCB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EFEF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233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175C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DD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依据国家电力力率调整系数表计算奖惩金额</w:t>
            </w:r>
          </w:p>
        </w:tc>
      </w:tr>
      <w:tr w14:paraId="46549F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2C0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E038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536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EB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BD02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分时电费 + 基本电费 ± 力调电费</w:t>
            </w:r>
          </w:p>
        </w:tc>
      </w:tr>
      <w:tr w14:paraId="42FA424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2CE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A1E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8E2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757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89A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087C581">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E5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927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F731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05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584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现行生效单价</w:t>
            </w:r>
          </w:p>
        </w:tc>
      </w:tr>
      <w:tr w14:paraId="169C9BE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EC5A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948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移峰填谷年化节约额</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787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919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3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7222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模拟器按转移比例测算</w:t>
            </w:r>
          </w:p>
        </w:tc>
      </w:tr>
    </w:tbl>
    <w:p w14:paraId="6EBDB885">
      <w:pPr>
        <w:pStyle w:val="6"/>
        <w:numPr>
          <w:numId w:val="23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9F46EB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4D540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电价为 0 或未配置：禁止测算，页面提示"待配置当期能源价格"，不输出 0 元结果。</w:t>
            </w:r>
          </w:p>
          <w:p w14:paraId="26F0262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分时电量与总电量不匹配：按总电量为准，分时按比例归一并标注"分时数据待核对"。</w:t>
            </w:r>
          </w:p>
          <w:p w14:paraId="2CA26A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ABB627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模拟器输入非法：转移比例超出 0~100% 时输入框即时拦截并阻断测算。</w:t>
            </w:r>
          </w:p>
        </w:tc>
      </w:tr>
    </w:tbl>
    <w:p w14:paraId="47DECFFE">
      <w:pPr>
        <w:spacing w:after="40"/>
        <w:rPr>
          <w:rFonts w:hint="eastAsia" w:ascii="宋体" w:hAnsi="宋体" w:eastAsia="宋体" w:cs="宋体"/>
          <w:i w:val="0"/>
          <w:iCs w:val="0"/>
          <w:sz w:val="24"/>
          <w:szCs w:val="24"/>
        </w:rPr>
      </w:pPr>
    </w:p>
    <w:p w14:paraId="6FAAACEE">
      <w:pPr>
        <w:pStyle w:val="5"/>
        <w:numPr>
          <w:numId w:val="23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单位产品能耗</w:t>
      </w:r>
    </w:p>
    <w:p w14:paraId="6EBDB885">
      <w:pPr>
        <w:pStyle w:val="6"/>
        <w:numPr>
          <w:numId w:val="23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472AA69">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28DE765A">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EBDB885">
      <w:pPr>
        <w:pStyle w:val="6"/>
        <w:numPr>
          <w:numId w:val="23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本功能主要面向：制造车间主任、P2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5"/>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6EBDB885">
      <w:pPr>
        <w:pStyle w:val="6"/>
        <w:numPr>
          <w:numId w:val="23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170F12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6EBDB885">
      <w:pPr>
        <w:pStyle w:val="6"/>
        <w:numPr>
          <w:numId w:val="23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FAAACEE">
      <w:pPr>
        <w:pStyle w:val="5"/>
        <w:numPr>
          <w:numId w:val="23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单位产值能耗</w:t>
      </w:r>
    </w:p>
    <w:p w14:paraId="6EBDB885">
      <w:pPr>
        <w:pStyle w:val="6"/>
        <w:numPr>
          <w:numId w:val="23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23ACFF7">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738D01E6">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6EBDB885">
      <w:pPr>
        <w:pStyle w:val="6"/>
        <w:numPr>
          <w:numId w:val="23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本功能主要面向：集团能碳战略规划员、P2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6"/>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39CBB3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widowControl/>
        <w:numPr>
          <w:ilvl w:val="0"/>
          <w:numId w:val="83"/>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6EBDB885">
      <w:pPr>
        <w:pStyle w:val="6"/>
        <w:numPr>
          <w:numId w:val="23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5569D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6EBDB885">
      <w:pPr>
        <w:pStyle w:val="6"/>
        <w:numPr>
          <w:numId w:val="23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AAACEE">
      <w:pPr>
        <w:pStyle w:val="5"/>
        <w:numPr>
          <w:numId w:val="23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对标管理</w:t>
      </w:r>
    </w:p>
    <w:p w14:paraId="6EBDB885">
      <w:pPr>
        <w:pStyle w:val="6"/>
        <w:numPr>
          <w:numId w:val="23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2980834">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5CB34F49">
      <w:pPr>
        <w:pStyle w:val="19"/>
        <w:widowControl/>
        <w:numPr>
          <w:ilvl w:val="0"/>
          <w:numId w:val="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6EBDB885">
      <w:pPr>
        <w:pStyle w:val="6"/>
        <w:numPr>
          <w:numId w:val="23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3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7"/>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p>
    <w:p w14:paraId="6EBDB885">
      <w:pPr>
        <w:pStyle w:val="6"/>
        <w:numPr>
          <w:numId w:val="23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21D9D02">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6EBDB885">
      <w:pPr>
        <w:pStyle w:val="6"/>
        <w:numPr>
          <w:numId w:val="23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6FAAACEE">
      <w:pPr>
        <w:pStyle w:val="5"/>
        <w:numPr>
          <w:numId w:val="23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综合能耗平衡与能效自评估</w:t>
      </w:r>
    </w:p>
    <w:p w14:paraId="6EBDB885">
      <w:pPr>
        <w:pStyle w:val="6"/>
        <w:numPr>
          <w:numId w:val="24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F859654">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：以能量平衡表形式校核全厂购入、转换、输送、终端消费各环节能耗守恒关系，识别输配损耗，并输出能效自评估结论。</w:t>
      </w:r>
    </w:p>
    <w:p w14:paraId="77A0D056">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园区能碳专员、能源管理体系内审员。</w:t>
      </w:r>
    </w:p>
    <w:p w14:paraId="0CFDEB0E">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/monitor/analysis/balance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3B457389">
      <w:pPr>
        <w:pStyle w:val="19"/>
        <w:widowControl/>
        <w:numPr>
          <w:ilvl w:val="0"/>
          <w:numId w:val="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：园区年度能源管理体系内审与节能诊断场景，需验证全厂能量平衡表是否闭合，并定位蒸汽管网与配电线路的输配损耗异常。</w:t>
      </w:r>
    </w:p>
    <w:p w14:paraId="6EBDB885">
      <w:pPr>
        <w:pStyle w:val="6"/>
        <w:numPr>
          <w:numId w:val="24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园区能碳专员、能源管理体系内审员。使用前请确认账号已开通并授予对应菜单权限；涉及数据维护与配置变更的操作需具备相应管理权限。界面与流程以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9BDB3F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28"/>
                    <a:stretch>
                      <a:fillRect/>
                    </a:stretch>
                  </pic:blipFill>
                  <pic:spPr>
                    <a:xfrm>
                      <a:off x="0" y="0"/>
                      <a:ext cx="6210300" cy="3079165"/>
                    </a:xfrm>
                    <a:prstGeom prst="rect">
                      <a:avLst/>
                    </a:prstGeom>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6699A50">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能量平衡表</w:t>
      </w:r>
      <w:r>
        <w:rPr>
          <w:rFonts w:ascii="Times New Roman" w:hAnsi="Times New Roman" w:eastAsia="宋体" w:cs="Times New Roman"/>
          <w:i w:val="0"/>
          <w:color w:val="1F2937"/>
          <w:sz w:val="24"/>
          <w:szCs w:val="24"/>
        </w:rPr>
        <w:t>：按行呈现购入、转换、输送、终端消费各环节的实物量与折标煤量，按列呈现电力、蒸汽、天然气、水等介质，交叉单元格自动计算，末行/末列封闭校验。</w:t>
      </w:r>
    </w:p>
    <w:p w14:paraId="58F7FD45">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损耗分解桑基图</w:t>
      </w:r>
      <w:r>
        <w:rPr>
          <w:rFonts w:ascii="Times New Roman" w:hAnsi="Times New Roman" w:eastAsia="宋体" w:cs="Times New Roman"/>
          <w:i w:val="0"/>
          <w:color w:val="1F2937"/>
          <w:sz w:val="24"/>
          <w:szCs w:val="24"/>
        </w:rPr>
        <w:t>：展示电能在变配电环节、蒸汽在管网输送环节的损耗流向与占比。</w:t>
      </w:r>
    </w:p>
    <w:p w14:paraId="211CAB2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平衡偏差自检</w:t>
      </w:r>
      <w:r>
        <w:rPr>
          <w:rFonts w:ascii="Times New Roman" w:hAnsi="Times New Roman" w:eastAsia="宋体" w:cs="Times New Roman"/>
          <w:i w:val="0"/>
          <w:color w:val="1F2937"/>
          <w:sz w:val="24"/>
          <w:szCs w:val="24"/>
        </w:rPr>
        <w:t>：输入侧折标总量与输出侧折标总量偏差超过 ±2% 时页面自动标注"平衡偏差待核查"并列出偏差最大介质。</w:t>
      </w:r>
    </w:p>
    <w:p w14:paraId="1D8CCDB9">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能效自评估结论区</w:t>
      </w:r>
      <w:r>
        <w:rPr>
          <w:rFonts w:ascii="Times New Roman" w:hAnsi="Times New Roman" w:eastAsia="宋体" w:cs="Times New Roman"/>
          <w:i w:val="0"/>
          <w:color w:val="1F2937"/>
          <w:sz w:val="24"/>
          <w:szCs w:val="24"/>
        </w:rPr>
        <w:t>：按 ISO 50001 体系要求输出能效基线、主要用能设备能效等级分布与改进建议清单。</w:t>
      </w:r>
    </w:p>
    <w:p w14:paraId="6EBDB885">
      <w:pPr>
        <w:pStyle w:val="6"/>
        <w:numPr>
          <w:numId w:val="24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DDDA217">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量纲口径</w:t>
      </w:r>
      <w:r>
        <w:rPr>
          <w:rFonts w:ascii="Times New Roman" w:hAnsi="Times New Roman" w:eastAsia="宋体" w:cs="Times New Roman"/>
          <w:i w:val="0"/>
          <w:color w:val="1F2937"/>
          <w:sz w:val="24"/>
          <w:szCs w:val="24"/>
        </w:rPr>
        <w:t>：平衡表内部统一折算为 tce，实物量作为辅助列呈现。</w:t>
      </w:r>
    </w:p>
    <w:p w14:paraId="433B134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损耗口径</w:t>
      </w:r>
      <w:r>
        <w:rPr>
          <w:rFonts w:ascii="Times New Roman" w:hAnsi="Times New Roman" w:eastAsia="宋体" w:cs="Times New Roman"/>
          <w:i w:val="0"/>
          <w:color w:val="1F2937"/>
          <w:sz w:val="24"/>
          <w:szCs w:val="24"/>
        </w:rPr>
        <w:t>：输配损耗仅统计计量点之间的差额，不包含未计量区域的估算量。</w:t>
      </w:r>
    </w:p>
    <w:p w14:paraId="786FA39D">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能效等级口径</w:t>
      </w:r>
      <w:r>
        <w:rPr>
          <w:rFonts w:ascii="Times New Roman" w:hAnsi="Times New Roman" w:eastAsia="宋体" w:cs="Times New Roman"/>
          <w:i w:val="0"/>
          <w:color w:val="1F2937"/>
          <w:sz w:val="24"/>
          <w:szCs w:val="24"/>
        </w:rPr>
        <w:t>：主要用能设备能效等级依据现行能效国家标准判定，节能装备应用占比的分子口径与之保持一致。</w:t>
      </w:r>
    </w:p>
    <w:p w14:paraId="7C56B45E">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：偏差率绝对值 ≤2% 判定平衡，2%~5% 标注待核查，&gt;5% 强制进入核查流程。</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0"/>
        <w:gridCol w:w="2044"/>
        <w:gridCol w:w="1372"/>
        <w:gridCol w:w="1637"/>
        <w:gridCol w:w="3841"/>
      </w:tblGrid>
      <w:tr w14:paraId="0119AC48">
        <w:tblPrEx>
          <w:tblCellMar>
            <w:top w:w="0" w:type="dxa"/>
            <w:left w:w="108" w:type="dxa"/>
            <w:bottom w:w="0" w:type="dxa"/>
            <w:right w:w="108" w:type="dxa"/>
          </w:tblCellMar>
        </w:tblPrEx>
        <w:trPr>
          <w:tblHeade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03B3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1AC9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A5F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F625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A193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1456C53B">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C226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57F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购入侧能耗量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4F9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197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71C1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外购电、外购蒸汽、天然气等折标合计</w:t>
            </w:r>
          </w:p>
        </w:tc>
      </w:tr>
      <w:tr w14:paraId="19A7DAA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DE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8A4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转换环节能耗量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A4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93E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593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锅炉、空压机等转换设备投入与产出差</w:t>
            </w:r>
          </w:p>
        </w:tc>
      </w:tr>
      <w:tr w14:paraId="5C852B7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377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E0BC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493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59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E31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管网与线路损失，≥ 0</w:t>
            </w:r>
          </w:p>
        </w:tc>
      </w:tr>
      <w:tr w14:paraId="26C3D5CE">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88B8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FA7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终端消费量</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B4B3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5EE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A95D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各车间与公辅设施实耗合计</w:t>
            </w:r>
          </w:p>
        </w:tc>
      </w:tr>
      <w:tr w14:paraId="6DD49A12">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1B3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B4A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平衡偏差率</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F19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CF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7F5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 − 转换 − 输送 − 终端) / 购入 × 100%</w:t>
            </w:r>
          </w:p>
        </w:tc>
      </w:tr>
      <w:tr w14:paraId="45C4E35F">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982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A07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输配损耗占比</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8EF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61C6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E068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输送环节损耗量 / 购入侧能耗量 × 100%</w:t>
            </w:r>
          </w:p>
        </w:tc>
      </w:tr>
      <w:tr w14:paraId="1C0F4EE3">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59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EA9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主要用能设备能效等级</w:t>
            </w:r>
          </w:p>
        </w:tc>
        <w:tc>
          <w:tcPr>
            <w:tcW w:w="13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187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B6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1级/2级/3级/达标</w:t>
            </w:r>
          </w:p>
        </w:tc>
        <w:tc>
          <w:tcPr>
            <w:tcW w:w="3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B4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依据能效国标判定</w:t>
            </w:r>
          </w:p>
        </w:tc>
      </w:tr>
      <w:tr w14:paraId="634C958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3350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213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自评估结论</w:t>
            </w:r>
          </w:p>
        </w:tc>
        <w:tc>
          <w:tcPr>
            <w:tcW w:w="13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736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14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949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非空，须给出改进建议清单</w:t>
            </w:r>
          </w:p>
        </w:tc>
      </w:tr>
    </w:tbl>
    <w:p w14:paraId="6EBDB885">
      <w:pPr>
        <w:pStyle w:val="6"/>
        <w:numPr>
          <w:numId w:val="24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03B4119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4B74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平衡偏差率超 ±2%：页面自动标注"平衡偏差待核查"并列出偏差最大介质，不抛出技术错误。</w:t>
            </w:r>
          </w:p>
          <w:p w14:paraId="027ADE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某计量点缺失：平衡表该单元格留空并整体标注数据不全，不以 0 代替。</w:t>
            </w:r>
          </w:p>
          <w:p w14:paraId="6E41972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除零兜底：购入侧能耗量为 0 时偏差率与损耗占比显示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10D03D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自评估结论区为空：禁止提交内审，强制填写改进建议清单。</w:t>
            </w:r>
          </w:p>
        </w:tc>
      </w:tr>
    </w:tbl>
    <w:p w14:paraId="2F9A3C9C">
      <w:pPr>
        <w:spacing w:after="40"/>
        <w:rPr>
          <w:rFonts w:hint="eastAsia" w:ascii="宋体" w:hAnsi="宋体" w:eastAsia="宋体" w:cs="宋体"/>
          <w:i w:val="0"/>
          <w:iCs w:val="0"/>
          <w:sz w:val="24"/>
          <w:szCs w:val="24"/>
        </w:rPr>
      </w:pPr>
    </w:p>
    <w:p w14:paraId="0EEEF575">
      <w:pPr>
        <w:pStyle w:val="4"/>
        <w:numPr>
          <w:numId w:val="22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零碳项目评估</w:t>
      </w:r>
    </w:p>
    <w:p w14:paraId="6FAAACEE">
      <w:pPr>
        <w:pStyle w:val="5"/>
        <w:numPr>
          <w:numId w:val="24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项目档案管理</w:t>
      </w:r>
    </w:p>
    <w:p w14:paraId="6EBDB885">
      <w:pPr>
        <w:pStyle w:val="6"/>
        <w:numPr>
          <w:numId w:val="24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5BDBF18">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0F5B0059">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6EBDB885">
      <w:pPr>
        <w:pStyle w:val="6"/>
        <w:numPr>
          <w:numId w:val="24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本功能主要面向：技改项目经理、P2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9"/>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647A70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6EBDB885">
      <w:pPr>
        <w:pStyle w:val="6"/>
        <w:numPr>
          <w:numId w:val="24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667410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6EBDB885">
      <w:pPr>
        <w:pStyle w:val="6"/>
        <w:numPr>
          <w:numId w:val="24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AAACEE">
      <w:pPr>
        <w:pStyle w:val="5"/>
        <w:numPr>
          <w:numId w:val="24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实时监控</w:t>
      </w:r>
    </w:p>
    <w:p w14:paraId="6EBDB885">
      <w:pPr>
        <w:pStyle w:val="6"/>
        <w:numPr>
          <w:numId w:val="24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7274BCB">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10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4B220A0B">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EBDB885">
      <w:pPr>
        <w:pStyle w:val="6"/>
        <w:numPr>
          <w:numId w:val="24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本功能主要面向：现场值班工程师、P2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0"/>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350444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6EBDB885">
      <w:pPr>
        <w:pStyle w:val="6"/>
        <w:numPr>
          <w:numId w:val="24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3370E8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EBDB885">
      <w:pPr>
        <w:pStyle w:val="6"/>
        <w:numPr>
          <w:numId w:val="24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6FAAACEE">
      <w:pPr>
        <w:pStyle w:val="5"/>
        <w:numPr>
          <w:numId w:val="24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项目运行评估</w:t>
      </w:r>
    </w:p>
    <w:p w14:paraId="6EBDB885">
      <w:pPr>
        <w:pStyle w:val="6"/>
        <w:numPr>
          <w:numId w:val="24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B0A2E10">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1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4A268C99">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6EBDB885">
      <w:pPr>
        <w:pStyle w:val="6"/>
        <w:numPr>
          <w:numId w:val="24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本功能主要面向：技改项目经理、P2 园区能碳专员、P6 外部审计机构（只读核验）。使用前请确认账号已开通并授予对应菜单权限；涉及数据维护与配置变更的操作需具备相应管理权限。界面与流程以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1"/>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9DF12C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6EBDB885">
      <w:pPr>
        <w:pStyle w:val="6"/>
        <w:numPr>
          <w:numId w:val="24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E66CC89">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6EBDB885">
      <w:pPr>
        <w:pStyle w:val="6"/>
        <w:numPr>
          <w:numId w:val="24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6FAAACEE">
      <w:pPr>
        <w:pStyle w:val="5"/>
        <w:numPr>
          <w:numId w:val="24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零碳工厂自评估</w:t>
      </w:r>
    </w:p>
    <w:p w14:paraId="6EBDB885">
      <w:pPr>
        <w:pStyle w:val="6"/>
        <w:numPr>
          <w:numId w:val="24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782EF41">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1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437FEDB6">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6EBDB885">
      <w:pPr>
        <w:pStyle w:val="6"/>
        <w:numPr>
          <w:numId w:val="24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园区能碳专员（填报）、二级公司（复核）、P1 集团决策层（审批）。使用前请确认账号已开通并授予对应菜单权限；涉及数据维护与配置变更的操作需具备相应管理权限。界面与流程以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2"/>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EBDB885">
      <w:pPr>
        <w:pStyle w:val="6"/>
        <w:numPr>
          <w:numId w:val="24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5DB96DB">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EBDB885">
      <w:pPr>
        <w:pStyle w:val="6"/>
        <w:numPr>
          <w:numId w:val="24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0EEEF575">
      <w:pPr>
        <w:pStyle w:val="4"/>
        <w:numPr>
          <w:numId w:val="22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统计报表</w:t>
      </w:r>
    </w:p>
    <w:p w14:paraId="6FAAACEE">
      <w:pPr>
        <w:pStyle w:val="5"/>
        <w:numPr>
          <w:numId w:val="246"/>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用能报表</w:t>
      </w:r>
    </w:p>
    <w:p w14:paraId="6EBDB885">
      <w:pPr>
        <w:pStyle w:val="6"/>
        <w:numPr>
          <w:numId w:val="24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147851F">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1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00AD9A57">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6EBDB885">
      <w:pPr>
        <w:pStyle w:val="6"/>
        <w:numPr>
          <w:numId w:val="24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园区能碳专员（生成）、P3 车间填报员（数据核对）。使用前请确认账号已开通并授予对应菜单权限；涉及数据维护与配置变更的操作需具备相应管理权限。界面与流程以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3"/>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06FD2F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EBDB885">
      <w:pPr>
        <w:pStyle w:val="6"/>
        <w:numPr>
          <w:numId w:val="24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812B2AD">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6EBDB885">
      <w:pPr>
        <w:pStyle w:val="6"/>
        <w:numPr>
          <w:numId w:val="24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CC1BE62">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6FAAACEE">
      <w:pPr>
        <w:pStyle w:val="5"/>
        <w:numPr>
          <w:numId w:val="246"/>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成本报表</w:t>
      </w:r>
    </w:p>
    <w:p w14:paraId="6EBDB885">
      <w:pPr>
        <w:pStyle w:val="6"/>
        <w:numPr>
          <w:numId w:val="24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28C2F2E">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2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572009D">
      <w:pPr>
        <w:pStyle w:val="19"/>
        <w:widowControl/>
        <w:numPr>
          <w:ilvl w:val="0"/>
          <w:numId w:val="1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6EBDB885">
      <w:pPr>
        <w:pStyle w:val="6"/>
        <w:numPr>
          <w:numId w:val="24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本功能主要面向：园区财务兼能碳核算专员、P2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4"/>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6EBDB885">
      <w:pPr>
        <w:pStyle w:val="6"/>
        <w:numPr>
          <w:numId w:val="24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1EEA82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6EBDB885">
      <w:pPr>
        <w:pStyle w:val="6"/>
        <w:numPr>
          <w:numId w:val="24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6FAAACEE">
      <w:pPr>
        <w:pStyle w:val="5"/>
        <w:numPr>
          <w:numId w:val="246"/>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单耗报表</w:t>
      </w:r>
    </w:p>
    <w:p w14:paraId="6EBDB885">
      <w:pPr>
        <w:pStyle w:val="6"/>
        <w:numPr>
          <w:numId w:val="24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B077449">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2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72C6FA7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6EBDB885">
      <w:pPr>
        <w:pStyle w:val="6"/>
        <w:numPr>
          <w:numId w:val="24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园区能碳专员、制造车间主任。使用前请确认账号已开通并授予对应菜单权限；涉及数据维护与配置变更的操作需具备相应管理权限。界面与流程以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4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5"/>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6EBDB885">
      <w:pPr>
        <w:pStyle w:val="6"/>
        <w:numPr>
          <w:numId w:val="24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3F4F0D5">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6EBDB885">
      <w:pPr>
        <w:pStyle w:val="6"/>
        <w:numPr>
          <w:numId w:val="24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0EEEF575">
      <w:pPr>
        <w:pStyle w:val="4"/>
        <w:numPr>
          <w:numId w:val="22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基础管理</w:t>
      </w:r>
    </w:p>
    <w:p w14:paraId="6FAAACEE">
      <w:pPr>
        <w:pStyle w:val="5"/>
        <w:numPr>
          <w:numId w:val="250"/>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数据录入</w:t>
      </w:r>
    </w:p>
    <w:p w14:paraId="6EBDB885">
      <w:pPr>
        <w:pStyle w:val="6"/>
        <w:numPr>
          <w:numId w:val="25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58A0810">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3534C579">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6EBDB885">
      <w:pPr>
        <w:pStyle w:val="6"/>
        <w:numPr>
          <w:numId w:val="25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本功能主要面向：P3 车间填报员。使用前请确认账号已开通并授予对应菜单权限；涉及数据维护与配置变更的操作需具备相应管理权限。界面与流程以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5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6"/>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3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35"/>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6EBDB885">
      <w:pPr>
        <w:pStyle w:val="6"/>
        <w:numPr>
          <w:numId w:val="25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C518CDB">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6EBDB885">
      <w:pPr>
        <w:pStyle w:val="6"/>
        <w:numPr>
          <w:numId w:val="25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6FAAACEE">
      <w:pPr>
        <w:pStyle w:val="5"/>
        <w:numPr>
          <w:numId w:val="250"/>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基础参数配置</w:t>
      </w:r>
    </w:p>
    <w:p w14:paraId="6EBDB885">
      <w:pPr>
        <w:pStyle w:val="6"/>
        <w:numPr>
          <w:numId w:val="25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12CBD0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190741D8">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6EBDB885">
      <w:pPr>
        <w:pStyle w:val="6"/>
        <w:numPr>
          <w:numId w:val="25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园区能碳专员（维护）、PM（审批）。使用前请确认账号已开通并授予对应菜单权限；涉及数据维护与配置变更的操作需具备相应管理权限。界面与流程以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5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079115"/>
            <wp:effectExtent l="0" t="0" r="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37"/>
                    <a:stretch>
                      <a:fillRect/>
                    </a:stretch>
                  </pic:blipFill>
                  <pic:spPr>
                    <a:xfrm>
                      <a:off x="0" y="0"/>
                      <a:ext cx="6210300" cy="3079165"/>
                    </a:xfrm>
                    <a:prstGeom prst="rect">
                      <a:avLst/>
                    </a:prstGeom>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6EBDB885">
      <w:pPr>
        <w:pStyle w:val="6"/>
        <w:numPr>
          <w:numId w:val="25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147DE67">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4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6EBDB885">
      <w:pPr>
        <w:pStyle w:val="6"/>
        <w:numPr>
          <w:numId w:val="25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1972F910">
      <w:pPr>
        <w:pStyle w:val="3"/>
        <w:numPr>
          <w:numId w:val="219"/>
          <w:ilvl w:val="0"/>
        </w:numPr>
        <w:ind w:left="0" w:leftChars="0" w:firstLine="0" w:firstLineChars="0"/>
        <w:rPr>
          <w:rFonts w:eastAsia="黑体"/>
          <w:b w:val="0"/>
          <w:bCs w:val="0"/>
          <w:sz w:val="32"/>
          <w:szCs w:val="44"/>
        </w:rPr>
        <w:pageBreakBefore/>
      </w:pPr>
      <w:r>
        <w:rPr>
          <w:rFonts w:ascii="Times New Roman" w:hAnsi="Times New Roman" w:eastAsia="黑体" w:cs="Times New Roman"/>
          <w:b w:val="0"/>
          <w:bCs w:val="0"/>
          <w:sz w:val="32"/>
          <w:szCs w:val="44"/>
        </w:rPr>
        <w:t>产品碳足迹集采中心操作指南</w:t>
      </w:r>
    </w:p>
    <w:p w14:paraId="0EEEF575">
      <w:pPr>
        <w:pStyle w:val="4"/>
        <w:numPr>
          <w:numId w:val="25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对外示范窗口</w:t>
      </w:r>
    </w:p>
    <w:p w14:paraId="6FAAACEE">
      <w:pPr>
        <w:pStyle w:val="5"/>
        <w:numPr>
          <w:numId w:val="254"/>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碳足迹总览驾驶舱</w:t>
      </w:r>
    </w:p>
    <w:p w14:paraId="6EBDB885">
      <w:pPr>
        <w:pStyle w:val="6"/>
        <w:numPr>
          <w:numId w:val="25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645DB96">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1B46A406">
      <w:pPr>
        <w:pStyle w:val="19"/>
        <w:widowControl/>
        <w:numPr>
          <w:ilvl w:val="0"/>
          <w:numId w:val="1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EBDB885">
      <w:pPr>
        <w:pStyle w:val="6"/>
        <w:numPr>
          <w:numId w:val="25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碳核算工程师（运维）、P5 报关与关税专家（讲解）、P6 外部独立审计机构（核验）。使用前请确认账号已开通并授予对应菜单权限；涉及数据维护与配置变更的操作需具备相应管理权限。界面与流程以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5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8"/>
                    <a:stretch>
                      <a:fillRect/>
                    </a:stretch>
                  </pic:blipFill>
                  <pic:spPr>
                    <a:xfrm>
                      <a:off x="0" y="0"/>
                      <a:ext cx="5900420" cy="292544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6EBDB885">
      <w:pPr>
        <w:pStyle w:val="6"/>
        <w:numPr>
          <w:numId w:val="25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3ACC2F9F">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6EBDB885">
      <w:pPr>
        <w:pStyle w:val="6"/>
        <w:numPr>
          <w:numId w:val="25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0EEEF575">
      <w:pPr>
        <w:pStyle w:val="4"/>
        <w:numPr>
          <w:numId w:val="25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多维分析</w:t>
      </w:r>
    </w:p>
    <w:p w14:paraId="6FAAACEE">
      <w:pPr>
        <w:pStyle w:val="5"/>
        <w:numPr>
          <w:numId w:val="256"/>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横向对比</w:t>
      </w:r>
    </w:p>
    <w:p w14:paraId="6EBDB885">
      <w:pPr>
        <w:pStyle w:val="6"/>
        <w:numPr>
          <w:numId w:val="25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46A75C2">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42F84533">
      <w:pPr>
        <w:pStyle w:val="19"/>
        <w:widowControl/>
        <w:numPr>
          <w:ilvl w:val="0"/>
          <w:numId w:val="15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6EBDB885">
      <w:pPr>
        <w:pStyle w:val="6"/>
        <w:numPr>
          <w:numId w:val="25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碳核算工程师、P2 园区能碳专员。使用前请确认账号已开通并授予对应菜单权限；涉及数据维护与配置变更的操作需具备相应管理权限。界面与流程以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5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9"/>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1F1E431">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6EBDB885">
      <w:pPr>
        <w:pStyle w:val="6"/>
        <w:numPr>
          <w:numId w:val="25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9BDCDBA">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5D5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57A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0035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24A3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C90B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7BD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88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01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782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5A4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76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C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2B3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95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F1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6EBDB885">
      <w:pPr>
        <w:pStyle w:val="6"/>
        <w:numPr>
          <w:numId w:val="257"/>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6FAAACEE">
      <w:pPr>
        <w:pStyle w:val="5"/>
        <w:numPr>
          <w:numId w:val="256"/>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纵向对比</w:t>
      </w:r>
    </w:p>
    <w:p w14:paraId="6EBDB885">
      <w:pPr>
        <w:pStyle w:val="6"/>
        <w:numPr>
          <w:numId w:val="25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D1A5ACF">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740E3985">
      <w:pPr>
        <w:pStyle w:val="19"/>
        <w:widowControl/>
        <w:numPr>
          <w:ilvl w:val="0"/>
          <w:numId w:val="15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EBDB885">
      <w:pPr>
        <w:pStyle w:val="6"/>
        <w:numPr>
          <w:numId w:val="25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碳核算工程师、技改项目经理。使用前请确认账号已开通并授予对应菜单权限；涉及数据维护与配置变更的操作需具备相应管理权限。界面与流程以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5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40"/>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B63DF2B">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6EBDB885">
      <w:pPr>
        <w:pStyle w:val="6"/>
        <w:numPr>
          <w:numId w:val="25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B7004D8">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BDE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5F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0F50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9CB7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475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96C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2E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60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CCA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2F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0F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8E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BF5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FCF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6EBDB885">
      <w:pPr>
        <w:pStyle w:val="6"/>
        <w:numPr>
          <w:numId w:val="25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0EEEF575">
      <w:pPr>
        <w:pStyle w:val="4"/>
        <w:numPr>
          <w:numId w:val="25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实景数据库与碳足迹核算</w:t>
      </w:r>
    </w:p>
    <w:p w14:paraId="6FAAACEE">
      <w:pPr>
        <w:pStyle w:val="5"/>
        <w:numPr>
          <w:numId w:val="259"/>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实景数据库</w:t>
      </w:r>
    </w:p>
    <w:p w14:paraId="6EBDB885">
      <w:pPr>
        <w:pStyle w:val="6"/>
        <w:numPr>
          <w:numId w:val="26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756D9C1">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6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190CF7EC">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6EBDB885">
      <w:pPr>
        <w:pStyle w:val="6"/>
        <w:numPr>
          <w:numId w:val="26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碳核算工程师（主维护）、P6 外部独立审计机构（只读核验）。使用前请确认账号已开通并授予对应菜单权限；涉及数据维护与配置变更的操作需具备相应管理权限。界面与流程以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41"/>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FC5D3D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6EBDB885">
      <w:pPr>
        <w:pStyle w:val="6"/>
        <w:numPr>
          <w:numId w:val="26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0BD4C62">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8E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AFF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897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203B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B0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85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A9E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58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68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8B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8EA2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6F7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43A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447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5F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DC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B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6EBDB885">
      <w:pPr>
        <w:pStyle w:val="6"/>
        <w:numPr>
          <w:numId w:val="26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6FAAACEE">
      <w:pPr>
        <w:pStyle w:val="5"/>
        <w:numPr>
          <w:numId w:val="259"/>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碳足迹核算</w:t>
      </w:r>
    </w:p>
    <w:p w14:paraId="6EBDB885">
      <w:pPr>
        <w:pStyle w:val="6"/>
        <w:numPr>
          <w:numId w:val="26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541B5BDC">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1B7A0962">
      <w:pPr>
        <w:pStyle w:val="19"/>
        <w:widowControl/>
        <w:numPr>
          <w:ilvl w:val="0"/>
          <w:numId w:val="1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6EBDB885">
      <w:pPr>
        <w:pStyle w:val="6"/>
        <w:numPr>
          <w:numId w:val="26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碳核算工程师（主操作）、P6 外部独立审计机构（核验）。使用前请确认账号已开通并授予对应菜单权限；涉及数据维护与配置变更的操作需具备相应管理权限。界面与流程以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42"/>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71"/>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报告导出：强制水印 + 操作员工号 + 时间戳嵌入导出 PDF。</w:t>
      </w:r>
    </w:p>
    <w:p w14:paraId="7A4A609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6EBDB885">
      <w:pPr>
        <w:pStyle w:val="6"/>
        <w:numPr>
          <w:numId w:val="26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0E46A8E">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5EC9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D5F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85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850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59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B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A7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8B8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98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5EA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0F8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39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B6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9B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7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0A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37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6EBDB885">
      <w:pPr>
        <w:pStyle w:val="6"/>
        <w:numPr>
          <w:numId w:val="261"/>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FAAACEE">
      <w:pPr>
        <w:pStyle w:val="5"/>
        <w:numPr>
          <w:numId w:val="259"/>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碳足迹报告</w:t>
      </w:r>
    </w:p>
    <w:p w14:paraId="6EBDB885">
      <w:pPr>
        <w:pStyle w:val="6"/>
        <w:numPr>
          <w:numId w:val="26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9970951">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09EC7AAF">
      <w:pPr>
        <w:pStyle w:val="19"/>
        <w:widowControl/>
        <w:numPr>
          <w:ilvl w:val="0"/>
          <w:numId w:val="1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6EBDB885">
      <w:pPr>
        <w:pStyle w:val="6"/>
        <w:numPr>
          <w:numId w:val="26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碳核算工程师、P6 外部独立审计机构（扫码核验）。使用前请确认账号已开通并授予对应菜单权限；涉及数据维护与配置变更的操作需具备相应管理权限。界面与流程以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43"/>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72CDD41">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7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6EBDB885">
      <w:pPr>
        <w:pStyle w:val="6"/>
        <w:numPr>
          <w:numId w:val="26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2942165">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6EBDB885">
      <w:pPr>
        <w:pStyle w:val="6"/>
        <w:numPr>
          <w:numId w:val="26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0EEEF575">
      <w:pPr>
        <w:pStyle w:val="4"/>
        <w:numPr>
          <w:numId w:val="25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CBAM 管理</w:t>
      </w:r>
    </w:p>
    <w:p w14:paraId="6FAAACEE">
      <w:pPr>
        <w:pStyle w:val="5"/>
        <w:numPr>
          <w:numId w:val="263"/>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合规管理</w:t>
      </w:r>
    </w:p>
    <w:p w14:paraId="6EBDB885">
      <w:pPr>
        <w:pStyle w:val="6"/>
        <w:numPr>
          <w:numId w:val="26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7ADE23B5">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5FA845EA">
      <w:pPr>
        <w:pStyle w:val="19"/>
        <w:widowControl/>
        <w:numPr>
          <w:ilvl w:val="0"/>
          <w:numId w:val="18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6EBDB885">
      <w:pPr>
        <w:pStyle w:val="6"/>
        <w:numPr>
          <w:numId w:val="26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本功能主要面向：P5 报关与关税专家（主操作）、P1 集团决策层（终审双签）。使用前请确认账号已开通并授予对应菜单权限；涉及数据维护与配置变更的操作需具备相应管理权限。界面与流程以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44"/>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DD3D4F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6EBDB885">
      <w:pPr>
        <w:pStyle w:val="6"/>
        <w:numPr>
          <w:numId w:val="26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C8609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1862"/>
        <w:gridCol w:w="1079"/>
        <w:gridCol w:w="855"/>
        <w:gridCol w:w="5090"/>
      </w:tblGrid>
      <w:tr w14:paraId="66CF0EB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4A3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80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0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8F2C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8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DCD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50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EFB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1DC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136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FEC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D7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47B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E36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46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C8B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80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6EBDB885">
      <w:pPr>
        <w:pStyle w:val="6"/>
        <w:numPr>
          <w:numId w:val="26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6FAAACEE">
      <w:pPr>
        <w:pStyle w:val="5"/>
        <w:numPr>
          <w:numId w:val="263"/>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申报模拟</w:t>
      </w:r>
    </w:p>
    <w:p w14:paraId="6EBDB885">
      <w:pPr>
        <w:pStyle w:val="6"/>
        <w:numPr>
          <w:numId w:val="26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489A1858">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76D691CE">
      <w:pPr>
        <w:pStyle w:val="19"/>
        <w:widowControl/>
        <w:numPr>
          <w:ilvl w:val="0"/>
          <w:numId w:val="18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BDB885">
      <w:pPr>
        <w:pStyle w:val="6"/>
        <w:numPr>
          <w:numId w:val="26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本功能主要面向：P5 报关与关税专家。使用前请确认账号已开通并授予对应菜单权限；涉及数据维护与配置变更的操作需具备相应管理权限。界面与流程以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5"/>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动态对接欧洲能源交易所（EEX）碳配额拍卖结算均价，刷新频率固定为小时级（每小时第 5 分钟拉取，失败重试 3 次后标注「碳价滞后」）。</w:t>
      </w:r>
    </w:p>
    <w:p w14:paraId="388F9C1D">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申报数据跨境传输路径与审批已明确，全部出境流量须经信安合规前置网关并执行严格字段白名单，详见第十章「CBAM 数据出境安全合规前置方案」。</w:t>
      </w:r>
    </w:p>
    <w:p w14:paraId="470F023A">
      <w:pPr>
        <w:pStyle w:val="19"/>
        <w:widowControl/>
        <w:numPr>
          <w:ilvl w:val="0"/>
          <w:numId w:val="18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88"/>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6EBDB885">
      <w:pPr>
        <w:pStyle w:val="6"/>
        <w:numPr>
          <w:numId w:val="26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246638A8">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DDB2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E2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A30A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C76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DC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88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46C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A99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30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F17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53E2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321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B27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311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3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A8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6EBDB885">
      <w:pPr>
        <w:pStyle w:val="6"/>
        <w:numPr>
          <w:numId w:val="26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6FAAACEE">
      <w:pPr>
        <w:pStyle w:val="5"/>
        <w:numPr>
          <w:numId w:val="263"/>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知识库</w:t>
      </w:r>
    </w:p>
    <w:p w14:paraId="6EBDB885">
      <w:pPr>
        <w:pStyle w:val="6"/>
        <w:numPr>
          <w:numId w:val="26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95E1F79">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3C73F198">
      <w:pPr>
        <w:pStyle w:val="19"/>
        <w:widowControl/>
        <w:numPr>
          <w:ilvl w:val="0"/>
          <w:numId w:val="19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6EBDB885">
      <w:pPr>
        <w:pStyle w:val="6"/>
        <w:numPr>
          <w:numId w:val="26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本功能主要面向：P5 报关与关税专家、P4 碳核算工程师。使用前请确认账号已开通并授予对应菜单权限；涉及数据维护与配置变更的操作需具备相应管理权限。界面与流程以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46"/>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更新订阅机制</w:t>
      </w:r>
      <w:r>
        <w:rPr>
          <w:rFonts w:ascii="Times New Roman" w:hAnsi="Times New Roman" w:eastAsia="宋体" w:cs="Times New Roman"/>
          <w:i w:val="0"/>
          <w:color w:val="1F2937"/>
          <w:sz w:val="24"/>
          <w:szCs w:val="24"/>
        </w:rPr>
        <w:t>：对接官方发布源（国家发展改革委、生态环境部、欧盟 CBAM 门户、ISO 标准发布页）按周轮询比对新版本，命中更新时自动生成因子库「待审」版本并推送 P4 复核，同步频率为每 7 日一次。</w:t>
      </w:r>
    </w:p>
    <w:p w14:paraId="073A8082">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6EBDB885">
      <w:pPr>
        <w:pStyle w:val="6"/>
        <w:numPr>
          <w:numId w:val="26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4D64BC9D">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B4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40F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802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D477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B4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A0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125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DA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50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26C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8B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C9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1D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ADF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1D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6EBDB885">
      <w:pPr>
        <w:pStyle w:val="6"/>
        <w:numPr>
          <w:numId w:val="266"/>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0EEEF575">
      <w:pPr>
        <w:pStyle w:val="4"/>
        <w:numPr>
          <w:numId w:val="25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第三方认证管理</w:t>
      </w:r>
    </w:p>
    <w:p w14:paraId="6FAAACEE">
      <w:pPr>
        <w:pStyle w:val="5"/>
        <w:numPr>
          <w:numId w:val="26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认证资料维护</w:t>
      </w:r>
    </w:p>
    <w:p w14:paraId="6EBDB885">
      <w:pPr>
        <w:pStyle w:val="6"/>
        <w:numPr>
          <w:numId w:val="26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A9247AE">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D96C196">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EBDB885">
      <w:pPr>
        <w:pStyle w:val="6"/>
        <w:numPr>
          <w:numId w:val="26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碳核算与认证工程师（资料包组装与锁定）、P3 基层填报员（原始凭证上传）、P6 外部独立审计机构（只读核验）。使用前请确认账号已开通并授予对应菜单权限；涉及数据维护与配置变更的操作需具备相应管理权限。界面与流程以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rPr>
          <w:rFonts w:hint="eastAsia" w:ascii="宋体" w:hAnsi="宋体" w:eastAsia="宋体" w:cs="宋体"/>
          <w:bCs/>
          <w:i w:val="0"/>
          <w:iCs w:val="0"/>
          <w:kern w:val="2"/>
          <w:sz w:val="28"/>
          <w:szCs w:val="28"/>
          <w:lang w:bidi="ar-SA"/>
        </w:rPr>
        <w:drawing>
          <wp:inline distT="0" distB="0" distL="114300" distR="114300">
            <wp:extent cx="6210300" cy="3079115"/>
            <wp:effectExtent l="0" t="0" r="0" b="6985"/>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47"/>
                    <a:stretch>
                      <a:fillRect/>
                    </a:stretch>
                  </pic:blipFill>
                  <pic:spPr>
                    <a:xfrm>
                      <a:off x="0" y="0"/>
                      <a:ext cx="6210300" cy="3079115"/>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6EBDB885">
      <w:pPr>
        <w:pStyle w:val="6"/>
        <w:numPr>
          <w:numId w:val="26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E0A0F22">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粒度口径</w:t>
      </w:r>
      <w:r>
        <w:rPr>
          <w:rFonts w:ascii="Times New Roman" w:hAnsi="Times New Roman" w:eastAsia="宋体" w:cs="Times New Roman"/>
          <w:i w:val="0"/>
          <w:color w:val="1F2937"/>
          <w:sz w:val="24"/>
          <w:szCs w:val="24"/>
        </w:rPr>
        <w:t>：认证资料包按「产品型号 × 认证标准」唯一，同一产品不同标准各自独立成包，禁止跨标准复用资料包。</w:t>
      </w:r>
    </w:p>
    <w:p w14:paraId="7E7C584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覆盖率口径</w:t>
      </w:r>
      <w:r>
        <w:rPr>
          <w:rFonts w:ascii="Times New Roman" w:hAnsi="Times New Roman" w:eastAsia="宋体" w:cs="Times New Roman"/>
          <w:i w:val="0"/>
          <w:color w:val="1F2937"/>
          <w:sz w:val="24"/>
          <w:szCs w:val="24"/>
        </w:rPr>
        <w:t>：BOM 物料凭证覆盖率按金额加权计算，其分子分母口径与碳足迹核算模块的物料金额口径保持绝对一致。</w:t>
      </w:r>
    </w:p>
    <w:p w14:paraId="7041AD1A">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锁定口径</w:t>
      </w:r>
      <w:r>
        <w:rPr>
          <w:rFonts w:ascii="Times New Roman" w:hAnsi="Times New Roman" w:eastAsia="宋体" w:cs="Times New Roman"/>
          <w:i w:val="0"/>
          <w:color w:val="1F2937"/>
          <w:sz w:val="24"/>
          <w:szCs w:val="24"/>
        </w:rPr>
        <w:t>：锁定后的资料包为认证申请的唯一输入版本；历史解锁版本仅存档留痕，不得被认证申请引用。</w:t>
      </w:r>
    </w:p>
    <w:p w14:paraId="17D8A242">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除零口径</w:t>
      </w:r>
      <w:r>
        <w:rPr>
          <w:rFonts w:ascii="Times New Roman" w:hAnsi="Times New Roman" w:eastAsia="宋体" w:cs="Times New Roman"/>
          <w:i w:val="0"/>
          <w:color w:val="1F2937"/>
          <w:sz w:val="24"/>
          <w:szCs w:val="24"/>
        </w:rPr>
        <w:t>：齐备率与覆盖率的分母为 0 时统一输出  -- ，禁止输出 NaN / Infinity 或空白单元格。</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05BB200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733D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95A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FBB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9822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29E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763873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CA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1A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F7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49E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1E3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PKG-&lt;年&gt;-&lt;序号&gt;</w:t>
            </w:r>
          </w:p>
        </w:tc>
      </w:tr>
      <w:tr w14:paraId="0CDF0EA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7D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2AE6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关联合算报告ID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29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8FC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A6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必须为已内审通过的 LCA 报告编号，非内审状态禁止关联</w:t>
            </w:r>
          </w:p>
        </w:tc>
      </w:tr>
      <w:tr w14:paraId="69FA84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E56C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765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4A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22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11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080F191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8D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EE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BOM物料凭证覆盖率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4A6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571B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D2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0.00~100.00，按金额加权；&lt; 100.00 时禁止锁定</w:t>
            </w:r>
          </w:p>
        </w:tc>
      </w:tr>
      <w:tr w14:paraId="17F6E4D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CADC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656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绿电发票凭证核验状态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E5B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DC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3EB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未核验 / 核验中 / 已核验 / 核验不通过</w:t>
            </w:r>
          </w:p>
        </w:tc>
      </w:tr>
      <w:tr w14:paraId="7366069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4F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E49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必传资料齐备率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F6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4D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BDB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0.00~100.00，达 100.00 方可提交锁定</w:t>
            </w:r>
          </w:p>
        </w:tc>
      </w:tr>
      <w:tr w14:paraId="07AB21B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A3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45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缺失资料清单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06F9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FC5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7A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校验不通过时非空，逐项含责任角色与来源模块</w:t>
            </w:r>
          </w:p>
        </w:tc>
      </w:tr>
      <w:tr w14:paraId="25FF5E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E2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84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凭证清单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81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1A2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B2A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每项含凭证类型、文件名、SHA-256、上传人、上传时间</w:t>
            </w:r>
          </w:p>
        </w:tc>
      </w:tr>
      <w:tr w14:paraId="500BDB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1E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EB4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资料包锁定状态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EC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8C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9B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待锁定校验 / 已锁定 / 已解锁留痕</w:t>
            </w:r>
          </w:p>
        </w:tc>
      </w:tr>
      <w:tr w14:paraId="6716458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0AA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4F8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资料包封装时间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FDF8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21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47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锁定动作触发时写入，写入后不可修改</w:t>
            </w:r>
          </w:p>
        </w:tc>
      </w:tr>
      <w:tr w14:paraId="752559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8F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CA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解锁审批流水号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5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439F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256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解锁时必填，关联统一工作流引擎实例号</w:t>
            </w:r>
          </w:p>
        </w:tc>
      </w:tr>
    </w:tbl>
    <w:p w14:paraId="6EBDB885">
      <w:pPr>
        <w:pStyle w:val="6"/>
        <w:numPr>
          <w:numId w:val="268"/>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6FAAACEE">
      <w:pPr>
        <w:pStyle w:val="5"/>
        <w:numPr>
          <w:numId w:val="26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认证申请</w:t>
      </w:r>
    </w:p>
    <w:p w14:paraId="6EBDB885">
      <w:pPr>
        <w:pStyle w:val="6"/>
        <w:numPr>
          <w:numId w:val="26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6EE5C119">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2F6660D1">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6EBDB885">
      <w:pPr>
        <w:pStyle w:val="6"/>
        <w:numPr>
          <w:numId w:val="26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碳核算与认证工程师（发起申请与补正答复）、PM（商务审批与流程管理）、P6 外部独立审计机构（排期与意见反馈）。使用前请确认账号已开通并授予对应菜单权限；涉及数据维护与配置变更的操作需具备相应管理权限。界面与流程以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6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48"/>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6EBDB885">
      <w:pPr>
        <w:pStyle w:val="6"/>
        <w:numPr>
          <w:numId w:val="26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55165C81">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：审核状态以机构回传的正式文书为准，人工不得直接跳转状态；状态回退必须填写回退原因并留痕。</w:t>
      </w:r>
    </w:p>
    <w:p w14:paraId="46A4CB7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里程碑口径</w:t>
      </w:r>
      <w:r>
        <w:rPr>
          <w:rFonts w:ascii="Times New Roman" w:hAnsi="Times New Roman" w:eastAsia="宋体" w:cs="Times New Roman"/>
          <w:i w:val="0"/>
          <w:color w:val="1F2937"/>
          <w:sz w:val="24"/>
          <w:szCs w:val="24"/>
        </w:rPr>
        <w:t>：进度百分比按里程碑数量等权计算，不按停留时长加权，避免长停留环节放大进度。</w:t>
      </w:r>
    </w:p>
    <w:p w14:paraId="676E3376">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：机构退回须逐条结构化登记并指派补正责任人，未指派时退回动作不生效；同一资料包重新提交生成新流水号。</w:t>
      </w:r>
    </w:p>
    <w:p w14:paraId="722D3AF5">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时长口径</w:t>
      </w:r>
      <w:r>
        <w:rPr>
          <w:rFonts w:ascii="Times New Roman" w:hAnsi="Times New Roman" w:eastAsia="宋体" w:cs="Times New Roman"/>
          <w:i w:val="0"/>
          <w:color w:val="1F2937"/>
          <w:sz w:val="24"/>
          <w:szCs w:val="24"/>
        </w:rPr>
        <w:t>：认证处理时长统一以自然日计，自受理时间起算至签发时间止，不含资料包组装阶段的耗时。</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49E527A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4AF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ED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02B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237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5AE8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DBD37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70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9F53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502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B2D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30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APPLY-&lt;年&gt;-&lt;序号&gt;</w:t>
            </w:r>
          </w:p>
        </w:tc>
      </w:tr>
      <w:tr w14:paraId="0AC725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E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15D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委托机构编码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68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62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BC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取自认证机构白名单，格式  ORG-&lt;3位流水&gt; ；机构资质过期不可选</w:t>
            </w:r>
          </w:p>
        </w:tc>
      </w:tr>
      <w:tr w14:paraId="5772DB4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23E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FF2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C45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438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3ED95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8D0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03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358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2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F154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必须为「已锁定」状态的资料包编号，一包一申请</w:t>
            </w:r>
          </w:p>
        </w:tc>
      </w:tr>
      <w:tr w14:paraId="38C24DE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F70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A1B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预计发证周期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ED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A59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自然日</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5A8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0；默认取机构历史均值，允许 ±20% 人工修正并留痕</w:t>
            </w:r>
          </w:p>
        </w:tc>
      </w:tr>
      <w:tr w14:paraId="1202179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1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A63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合同金额</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CE8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AF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 / € / $</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37E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 2 位小数，&gt; 0；币种须与合同一致</w:t>
            </w:r>
          </w:p>
        </w:tc>
      </w:tr>
      <w:tr w14:paraId="1AC7BE2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48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3A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B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15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2B0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待受理 / 排期中 / 现场核查 / 整改中 / 待签发 / 已签发 / 已终止</w:t>
            </w:r>
          </w:p>
        </w:tc>
      </w:tr>
      <w:tr w14:paraId="5904AAE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0C3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38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审核方式</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6ADD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7C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777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现场审核 / 远程审核</w:t>
            </w:r>
          </w:p>
        </w:tc>
      </w:tr>
      <w:tr w14:paraId="237091E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C6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6EA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排期日期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8A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34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7B9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非空，必须晚于申请提交日期</w:t>
            </w:r>
          </w:p>
        </w:tc>
      </w:tr>
      <w:tr w14:paraId="1F7A8C0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85C9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0E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报价偏差率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478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050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4DB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ABS( 报价 − 基准报价 ) ÷ 基准报价 × 100%；&gt; 10.00 强制 PM 复核</w:t>
            </w:r>
          </w:p>
        </w:tc>
      </w:tr>
      <w:tr w14:paraId="345D715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3DC8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A6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机构补正意见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05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BFBD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4640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审核状态为「整改中」时必填，按意见条目结构化登记</w:t>
            </w:r>
          </w:p>
        </w:tc>
      </w:tr>
      <w:tr w14:paraId="55F2032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C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3C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补正责任人与完成时间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04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F9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86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退回动作生效时责任人必填；整改闭环时写入完成时间</w:t>
            </w:r>
          </w:p>
        </w:tc>
      </w:tr>
      <w:tr w14:paraId="61599F4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B26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F0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里程碑时间戳</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42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C50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C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记录各状态进入时间与操作人，写入后不可修改</w:t>
            </w:r>
          </w:p>
        </w:tc>
      </w:tr>
    </w:tbl>
    <w:p w14:paraId="6EBDB885">
      <w:pPr>
        <w:pStyle w:val="6"/>
        <w:numPr>
          <w:numId w:val="269"/>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6FAAACEE">
      <w:pPr>
        <w:pStyle w:val="5"/>
        <w:numPr>
          <w:numId w:val="267"/>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认证结果管理</w:t>
      </w:r>
    </w:p>
    <w:p w14:paraId="6EBDB885">
      <w:pPr>
        <w:pStyle w:val="6"/>
        <w:numPr>
          <w:numId w:val="27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389235DC">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5D394E0F">
      <w:pPr>
        <w:pStyle w:val="19"/>
        <w:widowControl/>
        <w:numPr>
          <w:ilvl w:val="0"/>
          <w:numId w:val="19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6EBDB885">
      <w:pPr>
        <w:pStyle w:val="6"/>
        <w:numPr>
          <w:numId w:val="27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本功能主要面向：P4 碳核算与认证工程师（证书登记与续期）、PM（对外公示授权审批）、P6 外部独立审计机构（只读验真）；外部对象为欧盟客户与审查专员（仅可见脱敏结果）。使用前请确认账号已开通并授予对应菜单权限；涉及数据维护与配置变更的操作需具备相应管理权限。界面与流程以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7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9"/>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6EBDB885">
      <w:pPr>
        <w:pStyle w:val="6"/>
        <w:numPr>
          <w:numId w:val="27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66F01D81">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 / 30 / 7 天三级预警阈值为固定铁律，预警只触发提醒不改变证书状态；证书状态仅由剩余有效天数与吊销标记决定。</w:t>
      </w:r>
    </w:p>
    <w:p w14:paraId="0EF461F9">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熔断口径</w:t>
      </w:r>
      <w:r>
        <w:rPr>
          <w:rFonts w:ascii="Times New Roman" w:hAnsi="Times New Roman" w:eastAsia="宋体" w:cs="Times New Roman"/>
          <w:i w:val="0"/>
          <w:color w:val="1F2937"/>
          <w:sz w:val="24"/>
          <w:szCs w:val="24"/>
        </w:rPr>
        <w:t>：证书失效或吊销即自动熔断，下架动作与状态变更在同一事务内完成，不允许出现「状态已失效但标签仍可发布」的中间态。</w:t>
      </w:r>
    </w:p>
    <w:p w14:paraId="0154CA0F">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验真口径</w:t>
      </w:r>
      <w:r>
        <w:rPr>
          <w:rFonts w:ascii="Times New Roman" w:hAnsi="Times New Roman" w:eastAsia="宋体" w:cs="Times New Roman"/>
          <w:i w:val="0"/>
          <w:color w:val="1F2937"/>
          <w:sz w:val="24"/>
          <w:szCs w:val="24"/>
        </w:rPr>
        <w:t>：验真须同时通过 PDF 哈希比对与签发机构签名校验，仅通过其一判定为验真失败。</w:t>
      </w:r>
    </w:p>
    <w:p w14:paraId="4DDCF879">
      <w:pPr>
        <w:pStyle w:val="19"/>
        <w:widowControl/>
        <w:numPr>
          <w:ilvl w:val="0"/>
          <w:numId w:val="1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公示口径</w:t>
      </w:r>
      <w:r>
        <w:rPr>
          <w:rFonts w:ascii="Times New Roman" w:hAnsi="Times New Roman" w:eastAsia="宋体" w:cs="Times New Roman"/>
          <w:i w:val="0"/>
          <w:color w:val="1F2937"/>
          <w:sz w:val="24"/>
          <w:szCs w:val="24"/>
        </w:rPr>
        <w:t>：对外公示一律走白名单授权，白名单外对象返回「未授权公示」占位；公示内容不含工艺配方、采购单价与人员信息。</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7DF2DBD">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C9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9010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B91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45E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681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22BCD1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22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0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证书全局编号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A7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704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33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CERT-GLB-&lt;机构码&gt;-&lt;序号&gt;</w:t>
            </w:r>
          </w:p>
        </w:tc>
      </w:tr>
      <w:tr w14:paraId="5E8DB23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0DF3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9F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签发机构公钥证书ID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67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7CB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5A6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非空，用于证书签名验真；公钥过期时验真结果判定为失败</w:t>
            </w:r>
          </w:p>
        </w:tc>
      </w:tr>
      <w:tr w14:paraId="04CBD5F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A2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63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BE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C9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C06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67DDB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D3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9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1D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FD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76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3A9894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60C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D9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78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88A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1F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非空，必须晚于生效日期</w:t>
            </w:r>
          </w:p>
        </w:tc>
      </w:tr>
      <w:tr w14:paraId="2C331E0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99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353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覆盖产品型号白名单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7B21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1E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B50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非空，逐条校验型号存在于产品主数据</w:t>
            </w:r>
          </w:p>
        </w:tc>
      </w:tr>
      <w:tr w14:paraId="2B6DBC4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F7C6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4ED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数字碳标签关联授权码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0F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163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F0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全局唯一，格式  LBL-&lt;32位随机串&gt; ；一证多码须同源</w:t>
            </w:r>
          </w:p>
        </w:tc>
      </w:tr>
      <w:tr w14:paraId="56A157E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1B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AF5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证书存续状态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2D77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34F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A8C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 / 临期 / 失效 / 吊销</w:t>
            </w:r>
          </w:p>
        </w:tc>
      </w:tr>
      <w:tr w14:paraId="3CCFA43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00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DC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剩余有效天数</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B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42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648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 − 当前日期，允许为负值（表示已过期天数）</w:t>
            </w:r>
          </w:p>
        </w:tc>
      </w:tr>
      <w:tr w14:paraId="28A42F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264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A2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B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10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DB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791DC26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3C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54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证书验真结果</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42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4899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DA3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未验真 / 通过 / 失败</w:t>
            </w:r>
          </w:p>
        </w:tc>
      </w:tr>
      <w:tr w14:paraId="6534F3B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900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6D3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对外公示授权范围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E60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3A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38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不公示 / 内部可见 / 客户可见 / 公开</w:t>
            </w:r>
          </w:p>
        </w:tc>
      </w:tr>
      <w:tr w14:paraId="3D0AF11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C0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A2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熔断触发时间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06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D7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FD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证书失效或吊销动作触发时写入，不可修改</w:t>
            </w:r>
          </w:p>
        </w:tc>
      </w:tr>
    </w:tbl>
    <w:p w14:paraId="6EBDB885">
      <w:pPr>
        <w:pStyle w:val="6"/>
        <w:numPr>
          <w:numId w:val="270"/>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tc>
      </w:tr>
    </w:tbl>
    <w:p w14:paraId="419BF54E">
      <w:pPr>
        <w:spacing w:after="40"/>
        <w:rPr>
          <w:rFonts w:hint="eastAsia" w:ascii="宋体" w:hAnsi="宋体" w:eastAsia="宋体" w:cs="宋体"/>
          <w:i w:val="0"/>
          <w:iCs w:val="0"/>
          <w:sz w:val="24"/>
          <w:szCs w:val="24"/>
        </w:rPr>
      </w:pPr>
    </w:p>
    <w:p w14:paraId="0EEEF575">
      <w:pPr>
        <w:pStyle w:val="4"/>
        <w:numPr>
          <w:numId w:val="253"/>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因子库管理</w:t>
      </w:r>
    </w:p>
    <w:p w14:paraId="6FAAACEE">
      <w:pPr>
        <w:pStyle w:val="5"/>
        <w:numPr>
          <w:numId w:val="27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原材料碳排因子</w:t>
      </w:r>
    </w:p>
    <w:p w14:paraId="6EBDB885">
      <w:pPr>
        <w:pStyle w:val="6"/>
        <w:numPr>
          <w:numId w:val="27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入口路径：产品碳足迹集采中心 → 原材料碳排因子（后经络由【待补充，待实机/原型确认】）。</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6EBDB885">
      <w:pPr>
        <w:pStyle w:val="6"/>
        <w:numPr>
          <w:numId w:val="27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本功能主要面向：负责因子录入与核定的能碳数据专员、碳核算工程师（具体角色与权限以 2.3 角色与权限速查为准）。使用前请确认账号已开通并授予对应菜单权限；涉及数据维护与配置变更的操作需具备相应管理权限。界面与流程以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7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0"/>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设【产品套系联动切片器】：选中产品后自动关联对应物料；</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6EBDB885">
      <w:pPr>
        <w:pStyle w:val="6"/>
        <w:numPr>
          <w:numId w:val="27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6EBDB885">
      <w:pPr>
        <w:pStyle w:val="6"/>
        <w:numPr>
          <w:numId w:val="272"/>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6FAAACEE">
      <w:pPr>
        <w:pStyle w:val="5"/>
        <w:numPr>
          <w:numId w:val="27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电力碳排因子</w:t>
      </w:r>
    </w:p>
    <w:p w14:paraId="6EBDB885">
      <w:pPr>
        <w:pStyle w:val="6"/>
        <w:numPr>
          <w:numId w:val="27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入口路径：产品碳足迹集采中心 → 电力碳排因子（后经络由【待补充，待实机/原型确认】）。</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6EBDB885">
      <w:pPr>
        <w:pStyle w:val="6"/>
        <w:numPr>
          <w:numId w:val="27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集团决策层（只读查验全网平均因子）、P2 园区能碳专员（属地电网因子匹配）、P4 碳核算工程师（绿电消纳核准与证书冲抵）。使用前请确认账号已开通并授予对应菜单权限；涉及数据维护与配置变更的操作需具备相应管理权限。界面与流程以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7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51"/>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kgCO2e/kWh，标注实心绿底Zero-Emission徽章；</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6EBDB885">
      <w:pPr>
        <w:pStyle w:val="6"/>
        <w:numPr>
          <w:numId w:val="27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fixed"/>
        <w:tblCellMar>
          <w:top w:w="0" w:type="dxa"/>
          <w:left w:w="108" w:type="dxa"/>
          <w:bottom w:w="0" w:type="dxa"/>
          <w:right w:w="108" w:type="dxa"/>
        </w:tblCellMar>
      </w:tblPr>
      <w:tblGrid>
        <w:gridCol w:w="734"/>
        <w:gridCol w:w="1573"/>
        <w:gridCol w:w="1112"/>
        <w:gridCol w:w="1560"/>
        <w:gridCol w:w="4805"/>
      </w:tblGrid>
      <w:tr w14:paraId="5211FFE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7E9C42">
            <w:pPr>
              <w:pStyle w:val="19"/>
              <w:bidi w:val="0"/>
              <w:spacing w:line="240" w:lineRule="auto"/>
              <w:ind w:left="0" w:leftChars="0" w:right="0" w:rightChars="0" w:firstLine="0" w:firstLineChars="0"/>
              <w:jc w:val="both"/>
            </w:pPr>
            <w:r>
              <w:t>序号</w:t>
            </w:r>
          </w:p>
        </w:tc>
        <w:tc>
          <w:tcPr>
            <w:tcW w:w="15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91D21F">
            <w:pPr>
              <w:pStyle w:val="19"/>
              <w:bidi w:val="0"/>
              <w:spacing w:line="240" w:lineRule="auto"/>
              <w:ind w:left="0" w:leftChars="0" w:right="0" w:rightChars="0" w:firstLine="0" w:firstLineChars="0"/>
              <w:jc w:val="both"/>
            </w:pPr>
            <w:r>
              <w:t>字段中文名称</w:t>
            </w:r>
          </w:p>
        </w:tc>
        <w:tc>
          <w:tcPr>
            <w:tcW w:w="11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FA9A4A">
            <w:pPr>
              <w:pStyle w:val="19"/>
              <w:bidi w:val="0"/>
              <w:spacing w:line="240" w:lineRule="auto"/>
              <w:ind w:left="0" w:leftChars="0" w:right="0" w:rightChars="0" w:firstLine="0" w:firstLineChars="0"/>
              <w:jc w:val="both"/>
            </w:pPr>
            <w:r>
              <w:t>数据类型</w:t>
            </w:r>
          </w:p>
        </w:tc>
        <w:tc>
          <w:tcPr>
            <w:tcW w:w="1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C4E86D">
            <w:pPr>
              <w:pStyle w:val="19"/>
              <w:bidi w:val="0"/>
              <w:spacing w:line="240" w:lineRule="auto"/>
              <w:ind w:left="0" w:leftChars="0" w:right="0" w:rightChars="0" w:firstLine="0" w:firstLineChars="0"/>
              <w:jc w:val="both"/>
            </w:pPr>
            <w:r>
              <w:t>工程单位</w:t>
            </w:r>
          </w:p>
        </w:tc>
        <w:tc>
          <w:tcPr>
            <w:tcW w:w="4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5F9AFF">
            <w:pPr>
              <w:pStyle w:val="19"/>
              <w:bidi w:val="0"/>
              <w:spacing w:line="240" w:lineRule="auto"/>
              <w:ind w:left="0" w:leftChars="0" w:right="0" w:rightChars="0" w:firstLine="0" w:firstLineChars="0"/>
              <w:jc w:val="both"/>
            </w:pPr>
            <w:r>
              <w:t>校验与约束规则</w:t>
            </w:r>
          </w:p>
        </w:tc>
      </w:tr>
      <w:tr w14:paraId="3B3A8DA9">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EB5CDA">
            <w:pPr>
              <w:pStyle w:val="19"/>
              <w:bidi w:val="0"/>
              <w:spacing w:line="240" w:lineRule="auto"/>
              <w:ind w:left="0" w:leftChars="0" w:right="0" w:rightChars="0" w:firstLine="0" w:firstLineChars="0"/>
              <w:jc w:val="both"/>
            </w:pPr>
            <w:r>
              <w:t>1</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42A3">
            <w:pPr>
              <w:pStyle w:val="19"/>
              <w:bidi w:val="0"/>
              <w:spacing w:line="240" w:lineRule="auto"/>
              <w:ind w:left="0" w:leftChars="0" w:right="0" w:rightChars="0" w:firstLine="0" w:firstLineChars="0"/>
              <w:jc w:val="both"/>
            </w:pPr>
            <w:r>
              <w:t>电力因子唯一编码</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D4827">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3CAC7">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A7E6D">
            <w:pPr>
              <w:pStyle w:val="19"/>
              <w:bidi w:val="0"/>
              <w:spacing w:line="240" w:lineRule="auto"/>
              <w:ind w:left="0" w:leftChars="0" w:right="0" w:rightChars="0" w:firstLine="0" w:firstLineChars="0"/>
              <w:jc w:val="both"/>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C93A">
            <w:pPr>
              <w:pStyle w:val="19"/>
              <w:bidi w:val="0"/>
              <w:spacing w:line="240" w:lineRule="auto"/>
              <w:ind w:left="0" w:leftChars="0" w:right="0" w:rightChars="0" w:firstLine="0" w:firstLineChars="0"/>
              <w:jc w:val="both"/>
            </w:pPr>
            <w:r>
              <w:t>2</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CB5F4">
            <w:pPr>
              <w:pStyle w:val="19"/>
              <w:bidi w:val="0"/>
              <w:spacing w:line="240" w:lineRule="auto"/>
              <w:ind w:left="0" w:leftChars="0" w:right="0" w:rightChars="0" w:firstLine="0" w:firstLineChars="0"/>
              <w:jc w:val="both"/>
            </w:pPr>
            <w:r>
              <w:t>所属行政省份</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3A023A">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672D">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A312F">
            <w:pPr>
              <w:pStyle w:val="19"/>
              <w:bidi w:val="0"/>
              <w:spacing w:line="240" w:lineRule="auto"/>
              <w:ind w:left="0" w:leftChars="0" w:right="0" w:rightChars="0" w:firstLine="0" w:firstLineChars="0"/>
              <w:jc w:val="both"/>
            </w:pPr>
            <w:r>
              <w:t>涵盖集团各厂区属地，如  新疆 、 湖南 、 辽宁  等</w:t>
            </w:r>
          </w:p>
        </w:tc>
      </w:tr>
      <w:tr w14:paraId="4280D65F">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51720A">
            <w:pPr>
              <w:pStyle w:val="19"/>
              <w:bidi w:val="0"/>
              <w:spacing w:line="240" w:lineRule="auto"/>
              <w:ind w:left="0" w:leftChars="0" w:right="0" w:rightChars="0" w:firstLine="0" w:firstLineChars="0"/>
              <w:jc w:val="both"/>
            </w:pPr>
            <w:r>
              <w:t>3</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50DA24">
            <w:pPr>
              <w:pStyle w:val="19"/>
              <w:bidi w:val="0"/>
              <w:spacing w:line="240" w:lineRule="auto"/>
              <w:ind w:left="0" w:leftChars="0" w:right="0" w:rightChars="0" w:firstLine="0" w:firstLineChars="0"/>
              <w:jc w:val="both"/>
            </w:pPr>
            <w:r>
              <w:t>所属区域电网</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9C3AD">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F29A4">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AE13B">
            <w:pPr>
              <w:pStyle w:val="19"/>
              <w:bidi w:val="0"/>
              <w:spacing w:line="240" w:lineRule="auto"/>
              <w:ind w:left="0" w:leftChars="0" w:right="0" w:rightChars="0" w:firstLine="0" w:firstLineChars="0"/>
              <w:jc w:val="both"/>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5D24CC">
            <w:pPr>
              <w:pStyle w:val="19"/>
              <w:bidi w:val="0"/>
              <w:spacing w:line="240" w:lineRule="auto"/>
              <w:ind w:left="0" w:leftChars="0" w:right="0" w:rightChars="0" w:firstLine="0" w:firstLineChars="0"/>
              <w:jc w:val="both"/>
            </w:pPr>
            <w:r>
              <w:t>4</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5E087">
            <w:pPr>
              <w:pStyle w:val="19"/>
              <w:bidi w:val="0"/>
              <w:spacing w:line="240" w:lineRule="auto"/>
              <w:ind w:left="0" w:leftChars="0" w:right="0" w:rightChars="0" w:firstLine="0" w:firstLineChars="0"/>
              <w:jc w:val="both"/>
            </w:pPr>
            <w:r>
              <w:t>电力来源类别</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62CF67">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FDE09">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EF3521">
            <w:pPr>
              <w:pStyle w:val="19"/>
              <w:bidi w:val="0"/>
              <w:spacing w:line="240" w:lineRule="auto"/>
              <w:ind w:left="0" w:leftChars="0" w:right="0" w:rightChars="0" w:firstLine="0" w:firstLineChars="0"/>
              <w:jc w:val="both"/>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4AB0EF">
            <w:pPr>
              <w:pStyle w:val="19"/>
              <w:bidi w:val="0"/>
              <w:spacing w:line="240" w:lineRule="auto"/>
              <w:ind w:left="0" w:leftChars="0" w:right="0" w:rightChars="0" w:firstLine="0" w:firstLineChars="0"/>
              <w:jc w:val="both"/>
            </w:pPr>
            <w:r>
              <w:t>5</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61DAA">
            <w:pPr>
              <w:pStyle w:val="19"/>
              <w:bidi w:val="0"/>
              <w:spacing w:line="240" w:lineRule="auto"/>
              <w:ind w:left="0" w:leftChars="0" w:right="0" w:rightChars="0" w:firstLine="0" w:firstLineChars="0"/>
              <w:jc w:val="both"/>
            </w:pPr>
            <w:r>
              <w:t>当前生效因子值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641332">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1727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F2F89">
            <w:pPr>
              <w:pStyle w:val="19"/>
              <w:bidi w:val="0"/>
              <w:spacing w:line="240" w:lineRule="auto"/>
              <w:ind w:left="0" w:leftChars="0" w:right="0" w:rightChars="0" w:firstLine="0" w:firstLineChars="0"/>
              <w:jc w:val="both"/>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67C25">
            <w:pPr>
              <w:pStyle w:val="19"/>
              <w:bidi w:val="0"/>
              <w:spacing w:line="240" w:lineRule="auto"/>
              <w:ind w:left="0" w:leftChars="0" w:right="0" w:rightChars="0" w:firstLine="0" w:firstLineChars="0"/>
              <w:jc w:val="both"/>
            </w:pPr>
            <w:r>
              <w:t>6</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B9047A">
            <w:pPr>
              <w:pStyle w:val="19"/>
              <w:bidi w:val="0"/>
              <w:spacing w:line="240" w:lineRule="auto"/>
              <w:ind w:left="0" w:leftChars="0" w:right="0" w:rightChars="0" w:firstLine="0" w:firstLineChars="0"/>
              <w:jc w:val="both"/>
            </w:pPr>
            <w:r>
              <w:t>默认/基准因子值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9434B">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2E83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EDB7E">
            <w:pPr>
              <w:pStyle w:val="19"/>
              <w:bidi w:val="0"/>
              <w:spacing w:line="240" w:lineRule="auto"/>
              <w:ind w:left="0" w:leftChars="0" w:right="0" w:rightChars="0" w:firstLine="0" w:firstLineChars="0"/>
              <w:jc w:val="both"/>
            </w:pPr>
            <w:r>
              <w:t>取上一年度生态环境部发布的官方基准因子值</w:t>
            </w:r>
          </w:p>
        </w:tc>
      </w:tr>
      <w:tr w14:paraId="3B71273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F34DD">
            <w:pPr>
              <w:pStyle w:val="19"/>
              <w:bidi w:val="0"/>
              <w:spacing w:line="240" w:lineRule="auto"/>
              <w:ind w:left="0" w:leftChars="0" w:right="0" w:rightChars="0" w:firstLine="0" w:firstLineChars="0"/>
              <w:jc w:val="both"/>
            </w:pPr>
            <w:r>
              <w:t>7</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CD242">
            <w:pPr>
              <w:pStyle w:val="19"/>
              <w:bidi w:val="0"/>
              <w:spacing w:line="240" w:lineRule="auto"/>
              <w:ind w:left="0" w:leftChars="0" w:right="0" w:rightChars="0" w:firstLine="0" w:firstLineChars="0"/>
              <w:jc w:val="both"/>
            </w:pPr>
            <w:r>
              <w:t>法定量纲单位</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30B3D6">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1ABA7">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0E267A">
            <w:pPr>
              <w:pStyle w:val="19"/>
              <w:bidi w:val="0"/>
              <w:spacing w:line="240" w:lineRule="auto"/>
              <w:ind w:left="0" w:leftChars="0" w:right="0" w:rightChars="0" w:firstLine="0" w:firstLineChars="0"/>
              <w:jc w:val="both"/>
            </w:pPr>
            <w:r>
              <w:t>统一为  kgCO2e/kWh ，禁止混入 MWh 或度</w:t>
            </w:r>
          </w:p>
        </w:tc>
      </w:tr>
      <w:tr w14:paraId="24FE121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3D04C">
            <w:pPr>
              <w:pStyle w:val="19"/>
              <w:bidi w:val="0"/>
              <w:spacing w:line="240" w:lineRule="auto"/>
              <w:ind w:left="0" w:leftChars="0" w:right="0" w:rightChars="0" w:firstLine="0" w:firstLineChars="0"/>
              <w:jc w:val="both"/>
            </w:pPr>
            <w:r>
              <w:t>8</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353ED">
            <w:pPr>
              <w:pStyle w:val="19"/>
              <w:bidi w:val="0"/>
              <w:spacing w:line="240" w:lineRule="auto"/>
              <w:ind w:left="0" w:leftChars="0" w:right="0" w:rightChars="0" w:firstLine="0" w:firstLineChars="0"/>
              <w:jc w:val="both"/>
            </w:pPr>
            <w:r>
              <w:t>来源发布机构</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0D67A8">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011E6">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F4E16">
            <w:pPr>
              <w:pStyle w:val="19"/>
              <w:bidi w:val="0"/>
              <w:spacing w:line="240" w:lineRule="auto"/>
              <w:ind w:left="0" w:leftChars="0" w:right="0" w:rightChars="0" w:firstLine="0" w:firstLineChars="0"/>
              <w:jc w:val="both"/>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6A975">
            <w:pPr>
              <w:pStyle w:val="19"/>
              <w:bidi w:val="0"/>
              <w:spacing w:line="240" w:lineRule="auto"/>
              <w:ind w:left="0" w:leftChars="0" w:right="0" w:rightChars="0" w:firstLine="0" w:firstLineChars="0"/>
              <w:jc w:val="both"/>
            </w:pPr>
            <w:r>
              <w:t>9</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E52F8">
            <w:pPr>
              <w:pStyle w:val="19"/>
              <w:bidi w:val="0"/>
              <w:spacing w:line="240" w:lineRule="auto"/>
              <w:ind w:left="0" w:leftChars="0" w:right="0" w:rightChars="0" w:firstLine="0" w:firstLineChars="0"/>
              <w:jc w:val="both"/>
            </w:pPr>
            <w:r>
              <w:t>适用发布年度版本</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8DAAB">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17B8AE">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ADB1">
            <w:pPr>
              <w:pStyle w:val="19"/>
              <w:bidi w:val="0"/>
              <w:spacing w:line="240" w:lineRule="auto"/>
              <w:ind w:left="0" w:leftChars="0" w:right="0" w:rightChars="0" w:firstLine="0" w:firstLineChars="0"/>
              <w:jc w:val="both"/>
            </w:pPr>
            <w:r>
              <w:t>格式  v&lt;年&gt;.&lt;版本&gt; （如  v2024.1 ）</w:t>
            </w:r>
          </w:p>
        </w:tc>
      </w:tr>
      <w:tr w14:paraId="65B059F3">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095715">
            <w:pPr>
              <w:pStyle w:val="19"/>
              <w:bidi w:val="0"/>
              <w:spacing w:line="240" w:lineRule="auto"/>
              <w:ind w:left="0" w:leftChars="0" w:right="0" w:rightChars="0" w:firstLine="0" w:firstLineChars="0"/>
              <w:jc w:val="both"/>
            </w:pPr>
            <w:r>
              <w:t>10</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71BC9">
            <w:pPr>
              <w:pStyle w:val="19"/>
              <w:bidi w:val="0"/>
              <w:spacing w:line="240" w:lineRule="auto"/>
              <w:ind w:left="0" w:leftChars="0" w:right="0" w:rightChars="0" w:firstLine="0" w:firstLineChars="0"/>
              <w:jc w:val="both"/>
            </w:pPr>
            <w:r>
              <w:t>是否属于零碳绿电</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5C8C4">
            <w:pPr>
              <w:pStyle w:val="19"/>
              <w:bidi w:val="0"/>
              <w:spacing w:line="240" w:lineRule="auto"/>
              <w:ind w:left="0" w:leftChars="0" w:right="0" w:rightChars="0" w:firstLine="0" w:firstLineChars="0"/>
              <w:jc w:val="both"/>
            </w:pPr>
            <w:r>
              <w:t>Boolean</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04B65">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87770A">
            <w:pPr>
              <w:pStyle w:val="19"/>
              <w:bidi w:val="0"/>
              <w:spacing w:line="240" w:lineRule="auto"/>
              <w:ind w:left="0" w:leftChars="0" w:right="0" w:rightChars="0" w:firstLine="0" w:firstLineChars="0"/>
              <w:jc w:val="both"/>
            </w:pPr>
            <w:r>
              <w:t>true  为可再生能源/市场化核销绿电， false  为化石市电</w:t>
            </w:r>
          </w:p>
        </w:tc>
      </w:tr>
    </w:tbl>
    <w:p w14:paraId="6EBDB885">
      <w:pPr>
        <w:pStyle w:val="6"/>
        <w:numPr>
          <w:numId w:val="273"/>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6FAAACEE">
      <w:pPr>
        <w:pStyle w:val="5"/>
        <w:numPr>
          <w:numId w:val="27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能源活动碳排因子</w:t>
      </w:r>
    </w:p>
    <w:p w14:paraId="6EBDB885">
      <w:pPr>
        <w:pStyle w:val="6"/>
        <w:numPr>
          <w:numId w:val="27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入口路径：产品碳足迹集采中心 → 能源活动碳排因子（后经络由【待补充，待实机/原型确认】）。</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6EBDB885">
      <w:pPr>
        <w:pStyle w:val="6"/>
        <w:numPr>
          <w:numId w:val="27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本功能主要面向：P2 园区能碳专员（燃料消耗录入与检验单上传）、P4 碳核算工程师（因子基线核准与低位发热量实测修正）。使用前请确认账号已开通并授予对应菜单权限；涉及数据维护与配置变更的操作需具备相应管理权限。界面与流程以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7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52"/>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6EBDB885">
      <w:pPr>
        <w:pStyle w:val="6"/>
        <w:numPr>
          <w:numId w:val="27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08F811">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0E7132">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500BE5">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F23A2B">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F9AED">
            <w:pPr>
              <w:pStyle w:val="19"/>
              <w:bidi w:val="0"/>
              <w:spacing w:line="240" w:lineRule="auto"/>
              <w:ind w:left="0" w:leftChars="0" w:right="0" w:rightChars="0" w:firstLine="0" w:firstLineChars="0"/>
              <w:jc w:val="both"/>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4EA63">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64698">
            <w:pPr>
              <w:pStyle w:val="19"/>
              <w:bidi w:val="0"/>
              <w:spacing w:line="240" w:lineRule="auto"/>
              <w:ind w:left="0" w:leftChars="0" w:right="0" w:rightChars="0" w:firstLine="0" w:firstLineChars="0"/>
              <w:jc w:val="both"/>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C35CD3">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BE686F">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EE1DB7">
            <w:pPr>
              <w:pStyle w:val="19"/>
              <w:bidi w:val="0"/>
              <w:spacing w:line="240" w:lineRule="auto"/>
              <w:ind w:left="0" w:leftChars="0" w:right="0" w:rightChars="0" w:firstLine="0" w:firstLineChars="0"/>
              <w:jc w:val="both"/>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12459">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108B8">
            <w:pPr>
              <w:pStyle w:val="19"/>
              <w:bidi w:val="0"/>
              <w:spacing w:line="240" w:lineRule="auto"/>
              <w:ind w:left="0" w:leftChars="0" w:right="0" w:rightChars="0" w:firstLine="0" w:firstLineChars="0"/>
              <w:jc w:val="both"/>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56B3B">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11F49D">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95559">
            <w:pPr>
              <w:pStyle w:val="19"/>
              <w:bidi w:val="0"/>
              <w:spacing w:line="240" w:lineRule="auto"/>
              <w:ind w:left="0" w:leftChars="0" w:right="0" w:rightChars="0" w:firstLine="0" w:firstLineChars="0"/>
              <w:jc w:val="both"/>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EC4C5">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E8CAA">
            <w:pPr>
              <w:pStyle w:val="19"/>
              <w:bidi w:val="0"/>
              <w:spacing w:line="240" w:lineRule="auto"/>
              <w:ind w:left="0" w:leftChars="0" w:right="0" w:rightChars="0" w:firstLine="0" w:firstLineChars="0"/>
              <w:jc w:val="both"/>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FB677">
            <w:pPr>
              <w:pStyle w:val="19"/>
              <w:bidi w:val="0"/>
              <w:spacing w:line="240" w:lineRule="auto"/>
              <w:ind w:left="0" w:leftChars="0" w:right="0" w:rightChars="0" w:firstLine="0" w:firstLineChars="0"/>
              <w:jc w:val="both"/>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1D0D7">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3369C8">
            <w:pPr>
              <w:pStyle w:val="19"/>
              <w:bidi w:val="0"/>
              <w:spacing w:line="240" w:lineRule="auto"/>
              <w:ind w:left="0" w:leftChars="0" w:right="0" w:rightChars="0" w:firstLine="0" w:firstLineChars="0"/>
              <w:jc w:val="both"/>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3FCD0">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F11A45">
            <w:pPr>
              <w:pStyle w:val="19"/>
              <w:bidi w:val="0"/>
              <w:spacing w:line="240" w:lineRule="auto"/>
              <w:ind w:left="0" w:leftChars="0" w:right="0" w:rightChars="0" w:firstLine="0" w:firstLineChars="0"/>
              <w:jc w:val="both"/>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3B14D7">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201BC">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7D09">
            <w:pPr>
              <w:pStyle w:val="19"/>
              <w:bidi w:val="0"/>
              <w:spacing w:line="240" w:lineRule="auto"/>
              <w:ind w:left="0" w:leftChars="0" w:right="0" w:rightChars="0" w:firstLine="0" w:firstLineChars="0"/>
              <w:jc w:val="both"/>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3DEB2">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AB268">
            <w:pPr>
              <w:pStyle w:val="19"/>
              <w:bidi w:val="0"/>
              <w:spacing w:line="240" w:lineRule="auto"/>
              <w:ind w:left="0" w:leftChars="0" w:right="0" w:rightChars="0" w:firstLine="0" w:firstLineChars="0"/>
              <w:jc w:val="both"/>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9E21AB">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084F62">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37572">
            <w:pPr>
              <w:pStyle w:val="19"/>
              <w:bidi w:val="0"/>
              <w:spacing w:line="240" w:lineRule="auto"/>
              <w:ind w:left="0" w:leftChars="0" w:right="0" w:rightChars="0" w:firstLine="0" w:firstLineChars="0"/>
              <w:jc w:val="both"/>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05124">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2E35">
            <w:pPr>
              <w:pStyle w:val="19"/>
              <w:bidi w:val="0"/>
              <w:spacing w:line="240" w:lineRule="auto"/>
              <w:ind w:left="0" w:leftChars="0" w:right="0" w:rightChars="0" w:firstLine="0" w:firstLineChars="0"/>
              <w:jc w:val="both"/>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2F145">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3418F">
            <w:pPr>
              <w:pStyle w:val="19"/>
              <w:bidi w:val="0"/>
              <w:spacing w:line="240" w:lineRule="auto"/>
              <w:ind w:left="0" w:leftChars="0" w:right="0" w:rightChars="0" w:firstLine="0" w:firstLineChars="0"/>
              <w:jc w:val="both"/>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C68FD1">
            <w:pPr>
              <w:pStyle w:val="19"/>
              <w:bidi w:val="0"/>
              <w:spacing w:line="240" w:lineRule="auto"/>
              <w:ind w:left="0" w:leftChars="0" w:right="0" w:rightChars="0" w:firstLine="0" w:firstLineChars="0"/>
              <w:jc w:val="both"/>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B84723">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46967">
            <w:pPr>
              <w:pStyle w:val="19"/>
              <w:bidi w:val="0"/>
              <w:spacing w:line="240" w:lineRule="auto"/>
              <w:ind w:left="0" w:leftChars="0" w:right="0" w:rightChars="0" w:firstLine="0" w:firstLineChars="0"/>
              <w:jc w:val="both"/>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CDD18">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96592D">
            <w:pPr>
              <w:pStyle w:val="19"/>
              <w:bidi w:val="0"/>
              <w:spacing w:line="240" w:lineRule="auto"/>
              <w:ind w:left="0" w:leftChars="0" w:right="0" w:rightChars="0" w:firstLine="0" w:firstLineChars="0"/>
              <w:jc w:val="both"/>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441F8">
            <w:pPr>
              <w:pStyle w:val="19"/>
              <w:bidi w:val="0"/>
              <w:spacing w:line="240" w:lineRule="auto"/>
              <w:ind w:left="0" w:leftChars="0" w:right="0" w:rightChars="0" w:firstLine="0" w:firstLineChars="0"/>
              <w:jc w:val="both"/>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BB3BF">
            <w:pPr>
              <w:pStyle w:val="19"/>
              <w:bidi w:val="0"/>
              <w:spacing w:line="240" w:lineRule="auto"/>
              <w:ind w:left="0" w:leftChars="0" w:right="0" w:rightChars="0" w:firstLine="0" w:firstLineChars="0"/>
              <w:jc w:val="both"/>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9F43FE">
            <w:pPr>
              <w:pStyle w:val="19"/>
              <w:bidi w:val="0"/>
              <w:spacing w:line="240" w:lineRule="auto"/>
              <w:ind w:left="0" w:leftChars="0" w:right="0" w:rightChars="0" w:firstLine="0" w:firstLineChars="0"/>
              <w:jc w:val="both"/>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BDF92">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1E596">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D94CAE">
            <w:pPr>
              <w:pStyle w:val="19"/>
              <w:bidi w:val="0"/>
              <w:spacing w:line="240" w:lineRule="auto"/>
              <w:ind w:left="0" w:leftChars="0" w:right="0" w:rightChars="0" w:firstLine="0" w:firstLineChars="0"/>
              <w:jc w:val="both"/>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933852">
            <w:pPr>
              <w:pStyle w:val="19"/>
              <w:bidi w:val="0"/>
              <w:spacing w:line="240" w:lineRule="auto"/>
              <w:ind w:left="0" w:leftChars="0" w:right="0" w:rightChars="0" w:firstLine="0" w:firstLineChars="0"/>
              <w:jc w:val="both"/>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CE308">
            <w:pPr>
              <w:pStyle w:val="19"/>
              <w:bidi w:val="0"/>
              <w:spacing w:line="240" w:lineRule="auto"/>
              <w:ind w:left="0" w:leftChars="0" w:right="0" w:rightChars="0" w:firstLine="0" w:firstLineChars="0"/>
              <w:jc w:val="both"/>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4375">
            <w:pPr>
              <w:pStyle w:val="19"/>
              <w:bidi w:val="0"/>
              <w:spacing w:line="240" w:lineRule="auto"/>
              <w:ind w:left="0" w:leftChars="0" w:right="0" w:rightChars="0" w:firstLine="0" w:firstLineChars="0"/>
              <w:jc w:val="both"/>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3268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8475CB">
            <w:pPr>
              <w:pStyle w:val="19"/>
              <w:bidi w:val="0"/>
              <w:spacing w:line="240" w:lineRule="auto"/>
              <w:ind w:left="0" w:leftChars="0" w:right="0" w:rightChars="0" w:firstLine="0" w:firstLineChars="0"/>
              <w:jc w:val="both"/>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AF595">
            <w:pPr>
              <w:pStyle w:val="19"/>
              <w:bidi w:val="0"/>
              <w:spacing w:line="240" w:lineRule="auto"/>
              <w:ind w:left="0" w:leftChars="0" w:right="0" w:rightChars="0" w:firstLine="0" w:firstLineChars="0"/>
              <w:jc w:val="both"/>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F24A3">
            <w:pPr>
              <w:pStyle w:val="19"/>
              <w:bidi w:val="0"/>
              <w:spacing w:line="240" w:lineRule="auto"/>
              <w:ind w:left="0" w:leftChars="0" w:right="0" w:rightChars="0" w:firstLine="0" w:firstLineChars="0"/>
              <w:jc w:val="both"/>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FBF430">
            <w:pPr>
              <w:pStyle w:val="19"/>
              <w:bidi w:val="0"/>
              <w:spacing w:line="240" w:lineRule="auto"/>
              <w:ind w:left="0" w:leftChars="0" w:right="0" w:rightChars="0" w:firstLine="0" w:firstLineChars="0"/>
              <w:jc w:val="both"/>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9AEEA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FC193F">
            <w:pPr>
              <w:pStyle w:val="19"/>
              <w:bidi w:val="0"/>
              <w:spacing w:line="240" w:lineRule="auto"/>
              <w:ind w:left="0" w:leftChars="0" w:right="0" w:rightChars="0" w:firstLine="0" w:firstLineChars="0"/>
              <w:jc w:val="both"/>
            </w:pPr>
            <w:r>
              <w:t>格式  v&lt;年份&gt;.&lt;流水&gt; （如  v2023.2 ）</w:t>
            </w:r>
          </w:p>
        </w:tc>
      </w:tr>
    </w:tbl>
    <w:p w14:paraId="6EBDB885">
      <w:pPr>
        <w:pStyle w:val="6"/>
        <w:numPr>
          <w:numId w:val="274"/>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6FAAACEE">
      <w:pPr>
        <w:pStyle w:val="5"/>
        <w:numPr>
          <w:numId w:val="271"/>
          <w:ilvl w:val="0"/>
        </w:numPr>
        <w:ind w:left="0" w:leftChars="0" w:firstLine="0" w:firstLineChars="0"/>
        <w:outlineLvl w:val="1"/>
        <w:rPr>
          <w:rFonts w:eastAsia="黑体"/>
          <w:b w:val="0"/>
          <w:bCs w:val="0"/>
          <w:sz w:val="30"/>
          <w:szCs w:val="24"/>
        </w:rPr>
      </w:pPr>
      <w:r>
        <w:rPr>
          <w:rFonts w:ascii="Times New Roman" w:hAnsi="Times New Roman" w:eastAsia="黑体" w:cs="Times New Roman"/>
          <w:b w:val="0"/>
          <w:bCs w:val="0"/>
          <w:sz w:val="30"/>
          <w:szCs w:val="24"/>
        </w:rPr>
        <w:t>折标煤系数库</w:t>
      </w:r>
    </w:p>
    <w:p w14:paraId="6EBDB885">
      <w:pPr>
        <w:pStyle w:val="6"/>
        <w:numPr>
          <w:numId w:val="27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功能用途与入口</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入口路径：产品碳足迹集采中心 → 折标煤系数库（后经络由【待补充，待实机/原型确认】）。</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典型使用场景：</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EBDB885">
      <w:pPr>
        <w:pStyle w:val="6"/>
        <w:numPr>
          <w:numId w:val="27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前置条件与权限</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本功能主要面向：P1 集团决策层（集团综合能效核准）、P2 园区能碳专员（车间折标能耗统计）、PM 业务总监（指标考核基准锁定）。使用前请确认账号已开通并授予对应菜单权限；涉及数据维护与配置变更的操作需具备相应管理权限。界面与流程以 PRD v2.2 原型设计为基准，正式版以系统实际交付界面为准。</w:t>
      </w:r>
    </w:p>
    <w:p w14:paraId="6EBDB885">
      <w:pPr>
        <w:pStyle w:val="6"/>
        <w:numPr>
          <w:numId w:val="27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操作步骤</w:t>
      </w:r>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rPr>
          <w:rFonts w:ascii="Times New Roman" w:hAnsi="Times New Roman" w:eastAsia="黑体" w:cs="Times New Roman"/>
          <w:bCs/>
          <w:kern w:val="2"/>
          <w:sz w:val="28"/>
          <w:szCs w:val="28"/>
          <w:lang w:bidi="ar-SA"/>
        </w:rPr>
        <w:drawing>
          <wp:inline distT="0" distB="0" distL="114300" distR="114300">
            <wp:extent cx="6118860" cy="3034030"/>
            <wp:effectExtent l="0" t="0" r="15240" b="1397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53"/>
                    <a:stretch>
                      <a:fillRect/>
                    </a:stretch>
                  </pic:blipFill>
                  <pic:spPr>
                    <a:xfrm>
                      <a:off x="0" y="0"/>
                      <a:ext cx="6118860" cy="3034030"/>
                    </a:xfrm>
                    <a:prstGeom prst="rect">
                      <a:avLst/>
                    </a:prstGeom>
                    <a:noFill/>
                    <a:ln>
                      <a:noFill/>
                    </a:ln>
                  </pic:spPr>
                </pic:pic>
              </a:graphicData>
            </a:graphic>
          </wp:inline>
        </w:drawing>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操作路径与交互要点（原型基准，正式版以系统实际界面为准）：</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EBDB885">
      <w:pPr>
        <w:pStyle w:val="6"/>
        <w:numPr>
          <w:numId w:val="27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界面与口径说明</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b/>
        </w:rPr>
        <w:t>页面字段与录入说明：</w:t>
      </w:r>
    </w:p>
    <w:tbl>
      <w:tblPr>
        <w:tblStyle w:val="38"/>
        <w:tblW w:w="9530" w:type="dxa"/>
        <w:jc w:val="center"/>
        <w:tblLayout w:type="autofit"/>
        <w:tblCellMar>
          <w:top w:w="0" w:type="dxa"/>
          <w:left w:w="108" w:type="dxa"/>
          <w:bottom w:w="0" w:type="dxa"/>
          <w:right w:w="108" w:type="dxa"/>
        </w:tblCellMar>
      </w:tblPr>
      <w:tblGrid>
        <w:gridCol w:w="885"/>
        <w:gridCol w:w="1724"/>
        <w:gridCol w:w="1475"/>
        <w:gridCol w:w="1309"/>
        <w:gridCol w:w="4137"/>
      </w:tblGrid>
      <w:tr w14:paraId="36787D9D">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A3B0E">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939CDD">
            <w:pPr>
              <w:pStyle w:val="19"/>
              <w:bidi w:val="0"/>
              <w:spacing w:line="240" w:lineRule="auto"/>
              <w:ind w:left="0" w:leftChars="0" w:right="0" w:rightChars="0" w:firstLine="0" w:firstLineChars="0"/>
              <w:jc w:val="both"/>
            </w:pPr>
            <w:r>
              <w:t>字段中文名称</w:t>
            </w:r>
          </w:p>
        </w:tc>
        <w:tc>
          <w:tcPr>
            <w:tcW w:w="14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CBE7A1">
            <w:pPr>
              <w:pStyle w:val="19"/>
              <w:bidi w:val="0"/>
              <w:spacing w:line="240" w:lineRule="auto"/>
              <w:ind w:left="0" w:leftChars="0" w:right="0" w:rightChars="0" w:firstLine="0" w:firstLineChars="0"/>
              <w:jc w:val="both"/>
            </w:pPr>
            <w:r>
              <w:t>数据类型</w:t>
            </w:r>
          </w:p>
        </w:tc>
        <w:tc>
          <w:tcPr>
            <w:tcW w:w="13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3A9E7">
            <w:pPr>
              <w:pStyle w:val="19"/>
              <w:bidi w:val="0"/>
              <w:spacing w:line="240" w:lineRule="auto"/>
              <w:ind w:left="0" w:leftChars="0" w:right="0" w:rightChars="0" w:firstLine="0" w:firstLineChars="0"/>
              <w:jc w:val="both"/>
            </w:pPr>
            <w:r>
              <w:t>工程单位</w:t>
            </w:r>
          </w:p>
        </w:tc>
        <w:tc>
          <w:tcPr>
            <w:tcW w:w="41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80B62">
            <w:pPr>
              <w:pStyle w:val="19"/>
              <w:bidi w:val="0"/>
              <w:spacing w:line="240" w:lineRule="auto"/>
              <w:ind w:left="0" w:leftChars="0" w:right="0" w:rightChars="0" w:firstLine="0" w:firstLineChars="0"/>
              <w:jc w:val="both"/>
            </w:pPr>
            <w:r>
              <w:t>校验与约束规则</w:t>
            </w:r>
          </w:p>
        </w:tc>
      </w:tr>
      <w:tr w14:paraId="04F5C126">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F2E407">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D89827">
            <w:pPr>
              <w:pStyle w:val="19"/>
              <w:bidi w:val="0"/>
              <w:spacing w:line="240" w:lineRule="auto"/>
              <w:ind w:left="0" w:leftChars="0" w:right="0" w:rightChars="0" w:firstLine="0" w:firstLineChars="0"/>
              <w:jc w:val="both"/>
            </w:pPr>
            <w:r>
              <w:t>折标系数唯一编码</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7190D">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CF53F">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356CF">
            <w:pPr>
              <w:pStyle w:val="19"/>
              <w:bidi w:val="0"/>
              <w:spacing w:line="240" w:lineRule="auto"/>
              <w:ind w:left="0" w:leftChars="0" w:right="0" w:rightChars="0" w:firstLine="0" w:firstLineChars="0"/>
              <w:jc w:val="both"/>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490C4">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B5A50">
            <w:pPr>
              <w:pStyle w:val="19"/>
              <w:bidi w:val="0"/>
              <w:spacing w:line="240" w:lineRule="auto"/>
              <w:ind w:left="0" w:leftChars="0" w:right="0" w:rightChars="0" w:firstLine="0" w:firstLineChars="0"/>
              <w:jc w:val="both"/>
            </w:pPr>
            <w:r>
              <w:t>能源品种/工质名称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7FBBF8">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91CB3B">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772BEB">
            <w:pPr>
              <w:pStyle w:val="19"/>
              <w:bidi w:val="0"/>
              <w:spacing w:line="240" w:lineRule="auto"/>
              <w:ind w:left="0" w:leftChars="0" w:right="0" w:rightChars="0" w:firstLine="0" w:firstLineChars="0"/>
              <w:jc w:val="both"/>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5F4FF">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0EC4B8">
            <w:pPr>
              <w:pStyle w:val="19"/>
              <w:bidi w:val="0"/>
              <w:spacing w:line="240" w:lineRule="auto"/>
              <w:ind w:left="0" w:leftChars="0" w:right="0" w:rightChars="0" w:firstLine="0" w:firstLineChars="0"/>
              <w:jc w:val="both"/>
            </w:pPr>
            <w:r>
              <w:t>当量折标煤系数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018FB6">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3E7CCC">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0BEC80">
            <w:pPr>
              <w:pStyle w:val="19"/>
              <w:bidi w:val="0"/>
              <w:spacing w:line="240" w:lineRule="auto"/>
              <w:ind w:left="0" w:leftChars="0" w:right="0" w:rightChars="0" w:firstLine="0" w:firstLineChars="0"/>
              <w:jc w:val="both"/>
            </w:pPr>
            <w:r>
              <w:t>严格依据 GB/T 2589-2020；电力为 0.1229，天然气为 1.2143</w:t>
            </w:r>
          </w:p>
        </w:tc>
      </w:tr>
      <w:tr w14:paraId="39991EF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70B3B">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30617">
            <w:pPr>
              <w:pStyle w:val="19"/>
              <w:bidi w:val="0"/>
              <w:spacing w:line="240" w:lineRule="auto"/>
              <w:ind w:left="0" w:leftChars="0" w:right="0" w:rightChars="0" w:firstLine="0" w:firstLineChars="0"/>
              <w:jc w:val="both"/>
            </w:pPr>
            <w:r>
              <w:t>等价折标煤系数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39A5A3">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1A3BA">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63D3F">
            <w:pPr>
              <w:pStyle w:val="19"/>
              <w:bidi w:val="0"/>
              <w:spacing w:line="240" w:lineRule="auto"/>
              <w:ind w:left="0" w:leftChars="0" w:right="0" w:rightChars="0" w:firstLine="0" w:firstLineChars="0"/>
              <w:jc w:val="both"/>
            </w:pPr>
            <w:r>
              <w:t>供电煤耗等价值，按年度发布</w:t>
            </w:r>
          </w:p>
        </w:tc>
      </w:tr>
      <w:tr w14:paraId="6B11A0DC">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DF03E4">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78801">
            <w:pPr>
              <w:pStyle w:val="19"/>
              <w:bidi w:val="0"/>
              <w:spacing w:line="240" w:lineRule="auto"/>
              <w:ind w:left="0" w:leftChars="0" w:right="0" w:rightChars="0" w:firstLine="0" w:firstLineChars="0"/>
              <w:jc w:val="both"/>
            </w:pPr>
            <w:r>
              <w:t>基准低位发热量</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054D94">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42B2D">
            <w:pPr>
              <w:pStyle w:val="19"/>
              <w:bidi w:val="0"/>
              <w:spacing w:line="240" w:lineRule="auto"/>
              <w:ind w:left="0" w:leftChars="0" w:right="0" w:rightChars="0" w:firstLine="0" w:firstLineChars="0"/>
              <w:jc w:val="both"/>
            </w:pPr>
            <w:r>
              <w:t>MJ/实物单位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E788F3">
            <w:pPr>
              <w:pStyle w:val="19"/>
              <w:bidi w:val="0"/>
              <w:spacing w:line="240" w:lineRule="auto"/>
              <w:ind w:left="0" w:leftChars="0" w:right="0" w:rightChars="0" w:firstLine="0" w:firstLineChars="0"/>
              <w:jc w:val="both"/>
            </w:pPr>
            <w:r>
              <w:t>天然气标况 35.588，标准煤理论 29.3076</w:t>
            </w:r>
          </w:p>
        </w:tc>
      </w:tr>
      <w:tr w14:paraId="47B100A8">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82BC9">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25A63">
            <w:pPr>
              <w:pStyle w:val="19"/>
              <w:bidi w:val="0"/>
              <w:spacing w:line="240" w:lineRule="auto"/>
              <w:ind w:left="0" w:leftChars="0" w:right="0" w:rightChars="0" w:firstLine="0" w:firstLineChars="0"/>
              <w:jc w:val="both"/>
            </w:pPr>
            <w:r>
              <w:t>引用国标标准代号</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E997A">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643594">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C1D19">
            <w:pPr>
              <w:pStyle w:val="19"/>
              <w:bidi w:val="0"/>
              <w:spacing w:line="240" w:lineRule="auto"/>
              <w:ind w:left="0" w:leftChars="0" w:right="0" w:rightChars="0" w:firstLine="0" w:firstLineChars="0"/>
              <w:jc w:val="both"/>
            </w:pPr>
            <w:r>
              <w:t xml:space="preserve">固定为  GB/T 2589-2020 </w:t>
            </w:r>
          </w:p>
        </w:tc>
      </w:tr>
      <w:tr w14:paraId="291311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FE466B">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0722E">
            <w:pPr>
              <w:pStyle w:val="19"/>
              <w:bidi w:val="0"/>
              <w:spacing w:line="240" w:lineRule="auto"/>
              <w:ind w:left="0" w:leftChars="0" w:right="0" w:rightChars="0" w:firstLine="0" w:firstLineChars="0"/>
              <w:jc w:val="both"/>
            </w:pPr>
            <w:r>
              <w:t>是否为法定耗能工质</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B7B9F">
            <w:pPr>
              <w:pStyle w:val="19"/>
              <w:bidi w:val="0"/>
              <w:spacing w:line="240" w:lineRule="auto"/>
              <w:ind w:left="0" w:leftChars="0" w:right="0" w:rightChars="0" w:firstLine="0" w:firstLineChars="0"/>
              <w:jc w:val="both"/>
            </w:pPr>
            <w:r>
              <w:t>Boolean</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3EE97">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81F38F">
            <w:pPr>
              <w:pStyle w:val="19"/>
              <w:bidi w:val="0"/>
              <w:spacing w:line="240" w:lineRule="auto"/>
              <w:ind w:left="0" w:leftChars="0" w:right="0" w:rightChars="0" w:firstLine="0" w:firstLineChars="0"/>
              <w:jc w:val="both"/>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3FE4">
            <w:pPr>
              <w:pStyle w:val="19"/>
              <w:bidi w:val="0"/>
              <w:spacing w:line="240" w:lineRule="auto"/>
              <w:ind w:left="0" w:leftChars="0" w:right="0" w:rightChars="0" w:firstLine="0" w:firstLineChars="0"/>
              <w:jc w:val="both"/>
            </w:pPr>
            <w:r>
              <w:t>8</w:t>
            </w:r>
          </w:p>
        </w:tc>
        <w:tc>
          <w:tcPr>
            <w:tcW w:w="17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AF0F8">
            <w:pPr>
              <w:pStyle w:val="19"/>
              <w:bidi w:val="0"/>
              <w:spacing w:line="240" w:lineRule="auto"/>
              <w:ind w:left="0" w:leftChars="0" w:right="0" w:rightChars="0" w:firstLine="0" w:firstLineChars="0"/>
              <w:jc w:val="both"/>
            </w:pPr>
            <w:r>
              <w:t>当前启用状态</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DC0EF">
            <w:pPr>
              <w:pStyle w:val="19"/>
              <w:bidi w:val="0"/>
              <w:spacing w:line="240" w:lineRule="auto"/>
              <w:ind w:left="0" w:leftChars="0" w:right="0" w:rightChars="0" w:firstLine="0" w:firstLineChars="0"/>
              <w:jc w:val="both"/>
            </w:pPr>
            <w:r>
              <w:t>Enum</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B359D">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1E643">
            <w:pPr>
              <w:pStyle w:val="19"/>
              <w:bidi w:val="0"/>
              <w:spacing w:line="240" w:lineRule="auto"/>
              <w:ind w:left="0" w:leftChars="0" w:right="0" w:rightChars="0" w:firstLine="0" w:firstLineChars="0"/>
              <w:jc w:val="both"/>
            </w:pPr>
            <w:r>
              <w:t xml:space="preserve">枚举： 启用  /  停用 </w:t>
            </w:r>
          </w:p>
        </w:tc>
      </w:tr>
    </w:tbl>
    <w:p w14:paraId="6EBDB885">
      <w:pPr>
        <w:pStyle w:val="6"/>
        <w:numPr>
          <w:numId w:val="275"/>
          <w:ilvl w:val="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异常与提示</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1972F910">
      <w:pPr>
        <w:pStyle w:val="3"/>
        <w:numPr>
          <w:numId w:val="219"/>
          <w:ilvl w:val="0"/>
        </w:numPr>
        <w:ind w:left="0" w:leftChars="0" w:firstLine="0" w:firstLineChars="0"/>
        <w:rPr>
          <w:rFonts w:eastAsia="黑体"/>
          <w:b w:val="0"/>
          <w:bCs w:val="0"/>
          <w:sz w:val="32"/>
          <w:szCs w:val="44"/>
        </w:rPr>
        <w:pageBreakBefore/>
      </w:pPr>
      <w:r>
        <w:rPr>
          <w:rFonts w:ascii="Times New Roman" w:hAnsi="Times New Roman" w:eastAsia="黑体" w:cs="Times New Roman"/>
          <w:b w:val="0"/>
          <w:bCs w:val="0"/>
          <w:sz w:val="32"/>
          <w:szCs w:val="44"/>
        </w:rPr>
        <w:t>系统管理（管理员指南）</w:t>
      </w:r>
    </w:p>
    <w:p w14:paraId="0EEEF575">
      <w:pPr>
        <w:pStyle w:val="4"/>
        <w:numPr>
          <w:numId w:val="276"/>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组织与用户权限管理</w:t>
      </w:r>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0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0EEEF575">
      <w:pPr>
        <w:pStyle w:val="4"/>
        <w:numPr>
          <w:numId w:val="276"/>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告警中枢分级与响应</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告警是指标越限、通讯异常、哈希校验失败等事件的统一出口。管理员的日常操作分为三步：① 在告警中心按等级（P0/P1/P2/P3）、组织节点、时间区间筛选；② 点开告警详情查看触发条件、受影响点位与关联指标；③ 按等级的响应时限完成处置并回填处理结论（响应时限见下表，超时工单自动升级路径：【待补充】）。</w:t>
      </w:r>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消警与升级规则以本表为准；若某类告警反复触发且无法定位，请按 6.3 报障渠道提交，附上告警编号与触发时间点。</w:t>
      </w:r>
    </w:p>
    <w:p w14:paraId="0EEEF575">
      <w:pPr>
        <w:pStyle w:val="4"/>
        <w:numPr>
          <w:numId w:val="276"/>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数据冲突与补传处理</w:t>
      </w:r>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numId w:val="277"/>
          <w:ilvl w:val="0"/>
        </w:numPr>
        <w:ind w:left="0" w:leftChars="0" w:firstLine="0" w:firstLineChars="0"/>
        <w:outlineLvl w:val="1"/>
        <w:rPr>
          <w:rFonts w:ascii="Times New Roman" w:hAnsi="Times New Roman" w:eastAsia="黑体" w:cs="Times New Roman"/>
          <w:b w:val="0"/>
          <w:bCs w:val="0"/>
          <w:sz w:val="30"/>
          <w:szCs w:val="24"/>
        </w:rPr>
      </w:pPr>
      <w:r>
        <w:t/>
      </w:r>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numId w:val="277"/>
          <w:ilvl w:val="0"/>
        </w:numPr>
        <w:ind w:left="0" w:leftChars="0" w:firstLine="0" w:firstLineChars="0"/>
        <w:outlineLvl w:val="1"/>
        <w:rPr>
          <w:rFonts w:ascii="Times New Roman" w:hAnsi="Times New Roman" w:eastAsia="黑体" w:cs="Times New Roman"/>
          <w:b w:val="0"/>
          <w:bCs w:val="0"/>
          <w:sz w:val="30"/>
          <w:szCs w:val="24"/>
        </w:rPr>
      </w:pPr>
      <w:r>
        <w:t/>
      </w:r>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0EEEF575">
      <w:pPr>
        <w:pStyle w:val="4"/>
        <w:numPr>
          <w:numId w:val="276"/>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外部集成状态查看</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集成列表集中展示各外部系统的对接内容、协议方式、同步频率与异常降级策略。日常巡检建议按以下顺序：① 查看最近一次同步成功时间与下一次计划同步时间；② 出现“异常/降级”标识时，展开该行查看降级策略是否已启用；③ 连续多个周期同步失败时，按 6.3 报障渠道提交，并同步检查 5.5 的采集点位是否在线。</w:t>
      </w:r>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46B03521">
      <w:pPr>
        <w:spacing w:after="60"/>
        <w:rPr>
          <w:rFonts w:hint="eastAsia" w:ascii="宋体" w:hAnsi="宋体" w:eastAsia="宋体" w:cs="宋体"/>
          <w:i w:val="0"/>
          <w:iCs w:val="0"/>
          <w:sz w:val="24"/>
          <w:szCs w:val="24"/>
        </w:rPr>
      </w:pP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上表中的异常降级策略由系统按契约自动执行，管理员无需手工切换；需要人工介入的场景已在“系统动作与留痕”列标注。</w:t>
      </w:r>
    </w:p>
    <w:p w14:paraId="0EEEF575">
      <w:pPr>
        <w:pStyle w:val="4"/>
        <w:numPr>
          <w:numId w:val="276"/>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采集点位配置</w:t>
      </w:r>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74C3A2BE">
      <w:pPr>
        <w:spacing w:after="60"/>
        <w:rPr>
          <w:rFonts w:hint="eastAsia" w:ascii="宋体" w:hAnsi="宋体" w:eastAsia="宋体" w:cs="宋体"/>
          <w:i w:val="0"/>
          <w:iCs w:val="0"/>
          <w:sz w:val="24"/>
          <w:szCs w:val="24"/>
        </w:rPr>
      </w:pPr>
    </w:p>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972F910">
      <w:pPr>
        <w:pStyle w:val="3"/>
        <w:numPr>
          <w:numId w:val="219"/>
          <w:ilvl w:val="0"/>
        </w:numPr>
        <w:ind w:left="0" w:leftChars="0" w:firstLine="0" w:firstLineChars="0"/>
        <w:rPr>
          <w:rFonts w:eastAsia="黑体"/>
          <w:b w:val="0"/>
          <w:bCs w:val="0"/>
          <w:sz w:val="32"/>
          <w:szCs w:val="44"/>
        </w:rPr>
        <w:pageBreakBefore/>
      </w:pPr>
      <w:r>
        <w:rPr>
          <w:rFonts w:ascii="Times New Roman" w:hAnsi="Times New Roman" w:eastAsia="黑体" w:cs="Times New Roman"/>
          <w:b w:val="0"/>
          <w:bCs w:val="0"/>
          <w:sz w:val="32"/>
          <w:szCs w:val="44"/>
        </w:rPr>
        <w:t>异常处理与常见问题</w:t>
      </w:r>
    </w:p>
    <w:p w14:paraId="0EEEF575">
      <w:pPr>
        <w:pStyle w:val="4"/>
        <w:numPr>
          <w:numId w:val="278"/>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错误码速查表</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下表收录用户可见的系统错误码及其分级与处置要点。完整字典（含研发处置细则）见 PRD v2.2 「标准化错误码字典与异常分级」。遇到未列出的错误提示时，请记录提示原文与发生时间后按 6.3 报障。</w:t>
      </w:r>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0EEEF575">
      <w:pPr>
        <w:pStyle w:val="4"/>
        <w:numPr>
          <w:numId w:val="278"/>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常见异常场景</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（1）数值显示“--”：表示该指标因数据缺失、分母为零或跨口径不可计算而兜底显示，系统不做人工估算填补；请检查对应数据录入或采集链路后等待自动重算。</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（2）同比/环比颜色：绿色代表下降（能耗语义下为改善），红色代表上涨，灰色代表持平；判定口径详见附录 B 与各模块“界面与口径说明”。</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（3）大屏显示“演示”标识：表示系统处于试运行演示阶段，数据非实时生产数据；生产网联通后自动切换为“LIVE · 实时生产”。</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（4）大屏轮播暂停：手动操作后自动轮播暂停 60 秒再恢复，属正常设计而非故障。</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（5）报表导出缓慢：10 万行级导出预期 30 秒内完成；超时请缩小导出时间范围后重试。</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（6）断网恢复后数据缺失：边端缓存数据将按补传机制自动回补并消解冲突，无需人工重录；详见 5.3。</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（7）页面无权限或菜单不可见：账号角色未授予对应菜单权限，请联系系统管理员按 5.1 调整。</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（8）数据延迟：云端按 15 分钟等间隔汇聚展示，仅 32 台特种设备高频透传；实时性要求高的场景请使用对应监测页面的实时刷新。</w:t>
      </w:r>
    </w:p>
    <w:p w14:paraId="0EEEF575">
      <w:pPr>
        <w:pStyle w:val="4"/>
        <w:numPr>
          <w:numId w:val="278"/>
          <w:ilvl w:val="0"/>
        </w:numPr>
        <w:topLinePunct w:val="0"/>
        <w:ind w:left="0" w:leftChars="0" w:firstLine="0" w:firstLineChars="0"/>
        <w:outlineLvl w:val="0"/>
        <w:rPr>
          <w:rFonts w:hint="eastAsia" w:eastAsia="黑体"/>
          <w:b w:val="0"/>
          <w:bCs w:val="0"/>
          <w:sz w:val="30"/>
          <w:szCs w:val="32"/>
        </w:rPr>
      </w:pPr>
      <w:r>
        <w:rPr>
          <w:rFonts w:ascii="Times New Roman" w:hAnsi="Times New Roman" w:eastAsia="黑体" w:cs="Times New Roman"/>
          <w:b w:val="0"/>
          <w:bCs w:val="0"/>
          <w:sz w:val="30"/>
          <w:szCs w:val="32"/>
        </w:rPr>
        <w:t>报障渠道与 SLA</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报障电话：【待补充】；工单入口：【待补充】；响应时限（SLA）：【待补充】。报障时请提供：页面名称（或截图）、发生时间、账号角色、错误提示原文/错误码、操作步骤描述。</w:t>
      </w:r>
    </w:p>
    <w:p w14:paraId="7E877AE1">
      <w:pPr>
        <w:pStyle w:val="3"/>
        <w:outlineLvl w:val="9"/>
        <w:rPr>
          <w:rFonts w:ascii="Times New Roman" w:hAnsi="Times New Roman" w:eastAsia="黑体" w:cs="Times New Roman"/>
          <w:b w:val="0"/>
          <w:bCs w:val="0"/>
          <w:sz w:val="32"/>
          <w:szCs w:val="44"/>
        </w:rPr>
        <w:pageBreakBefore/>
      </w:pPr>
      <w:r>
        <w:rPr>
          <w:rFonts w:ascii="Times New Roman" w:hAnsi="Times New Roman" w:eastAsia="黑体" w:cs="Times New Roman"/>
          <w:b w:val="0"/>
          <w:bCs w:val="0"/>
          <w:sz w:val="32"/>
          <w:szCs w:val="44"/>
        </w:rPr>
        <w:t>附录A 字段字典索引</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各功能模块的页面字段字典（字段/类型/单位/校验规则）已随手册对应模块的“④ 界面与口径说明”一节给出，索引如下（章节号对应第 3、4 章）。</w:t>
      </w:r>
    </w:p>
    <w:tbl>
      <w:tblPr>
        <w:tblW w:w="0" w:type="auto"/>
        <w:tblBorders>
          <w:top w:val="single" w:sz="4" w:space="0" w:color="8FA8C0"/>
          <w:left w:val="single" w:sz="4" w:space="0" w:color="8FA8C0"/>
          <w:bottom w:val="single" w:sz="4" w:space="0" w:color="8FA8C0"/>
          <w:right w:val="single" w:sz="4" w:space="0" w:color="8FA8C0"/>
          <w:insideH w:val="single" w:sz="4" w:space="0" w:color="8FA8C0"/>
          <w:insideV w:val="single" w:sz="4" w:space="0" w:color="8FA8C0"/>
        </w:tblBorders>
      </w:tblPr>
      <w:tr>
        <w:tc>
          <w:p>
            <w:r>
              <w:rPr>
                <w:sz w:val="19"/>
              </w:rPr>
              <w:t>模块</w:t>
            </w:r>
            <w:pPr/>
          </w:p>
          <w:tcPr>
            <w:shd w:val="clear" w:color="auto" w:fill="D9E2F3"/>
          </w:tcPr>
        </w:tc>
        <w:tc>
          <w:p>
            <w:r>
              <w:rPr>
                <w:sz w:val="19"/>
              </w:rPr>
              <w:t>所在章节</w:t>
            </w:r>
            <w:pPr/>
          </w:p>
          <w:tcPr>
            <w:shd w:val="clear" w:color="auto" w:fill="D9E2F3"/>
          </w:tcPr>
        </w:tc>
        <w:tc>
          <w:p>
            <w:r>
              <w:rPr>
                <w:sz w:val="19"/>
              </w:rPr>
              <w:t>页面路由</w:t>
            </w:r>
            <w:pPr/>
          </w:p>
          <w:tcPr>
            <w:shd w:val="clear" w:color="auto" w:fill="D9E2F3"/>
          </w:tcPr>
        </w:tc>
      </w:tr>
      <w:tr>
        <w:tc>
          <w:p>
            <w:r>
              <w:rPr>
                <w:sz w:val="19"/>
              </w:rPr>
              <w:t>全景环幕大屏 46:9</w:t>
            </w:r>
          </w:p>
        </w:tc>
        <w:tc>
          <w:p>
            <w:r>
              <w:rPr>
                <w:sz w:val="19"/>
              </w:rPr>
              <w:t>3.1</w:t>
            </w:r>
          </w:p>
        </w:tc>
        <w:tc>
          <w:p>
            <w:r>
              <w:rPr>
                <w:sz w:val="19"/>
              </w:rPr>
              <w:t>/monitor/screen/panoramic</w:t>
            </w:r>
          </w:p>
        </w:tc>
      </w:tr>
      <w:tr>
        <w:tc>
          <w:p>
            <w:r>
              <w:rPr>
                <w:sz w:val="19"/>
              </w:rPr>
              <w:t>综合集控大屏 16:9</w:t>
            </w:r>
          </w:p>
        </w:tc>
        <w:tc>
          <w:p>
            <w:r>
              <w:rPr>
                <w:sz w:val="19"/>
              </w:rPr>
              <w:t>3.1</w:t>
            </w:r>
          </w:p>
        </w:tc>
        <w:tc>
          <w:p>
            <w:r>
              <w:rPr>
                <w:sz w:val="19"/>
              </w:rPr>
              <w:t>/monitor/screen/integrated</w:t>
            </w:r>
          </w:p>
        </w:tc>
      </w:tr>
      <w:tr>
        <w:tc>
          <w:p>
            <w:r>
              <w:rPr>
                <w:sz w:val="19"/>
              </w:rPr>
              <w:t>指标管控</w:t>
            </w:r>
          </w:p>
        </w:tc>
        <w:tc>
          <w:p>
            <w:r>
              <w:rPr>
                <w:sz w:val="19"/>
              </w:rPr>
              <w:t>3.2</w:t>
            </w:r>
          </w:p>
        </w:tc>
        <w:tc>
          <w:p>
            <w:r>
              <w:rPr>
                <w:sz w:val="19"/>
              </w:rPr>
              <w:t>/monitor/indicators</w:t>
            </w:r>
          </w:p>
        </w:tc>
      </w:tr>
      <w:tr>
        <w:tc>
          <w:p>
            <w:r>
              <w:rPr>
                <w:sz w:val="19"/>
              </w:rPr>
              <w:t>数据变化详情</w:t>
            </w:r>
          </w:p>
        </w:tc>
        <w:tc>
          <w:p>
            <w:r>
              <w:rPr>
                <w:sz w:val="19"/>
              </w:rPr>
              <w:t>3.2</w:t>
            </w:r>
          </w:p>
        </w:tc>
        <w:tc>
          <w:p>
            <w:r>
              <w:rPr>
                <w:sz w:val="19"/>
              </w:rPr>
              <w:t>/monitor/indicators/detail/:kpiCode</w:t>
            </w:r>
          </w:p>
        </w:tc>
      </w:tr>
      <w:tr>
        <w:tc>
          <w:p>
            <w:r>
              <w:rPr>
                <w:sz w:val="19"/>
              </w:rPr>
              <w:t>用能在线监测</w:t>
            </w:r>
          </w:p>
        </w:tc>
        <w:tc>
          <w:p>
            <w:r>
              <w:rPr>
                <w:sz w:val="19"/>
              </w:rPr>
              <w:t>3.2</w:t>
            </w:r>
          </w:p>
        </w:tc>
        <w:tc>
          <w:p>
            <w:r>
              <w:rPr>
                <w:sz w:val="19"/>
              </w:rPr>
              <w:t>/monitor/energy/online</w:t>
            </w:r>
          </w:p>
        </w:tc>
      </w:tr>
      <w:tr>
        <w:tc>
          <w:p>
            <w:r>
              <w:rPr>
                <w:sz w:val="19"/>
              </w:rPr>
              <w:t>重点设备在线监测</w:t>
            </w:r>
          </w:p>
        </w:tc>
        <w:tc>
          <w:p>
            <w:r>
              <w:rPr>
                <w:sz w:val="19"/>
              </w:rPr>
              <w:t>3.2</w:t>
            </w:r>
          </w:p>
        </w:tc>
        <w:tc>
          <w:p>
            <w:r>
              <w:rPr>
                <w:sz w:val="19"/>
              </w:rPr>
              <w:t>/monitor/energy/devices</w:t>
            </w:r>
          </w:p>
        </w:tc>
      </w:tr>
      <w:tr>
        <w:tc>
          <w:p>
            <w:r>
              <w:rPr>
                <w:sz w:val="19"/>
              </w:rPr>
              <w:t>工业微电网监测</w:t>
            </w:r>
          </w:p>
        </w:tc>
        <w:tc>
          <w:p>
            <w:r>
              <w:rPr>
                <w:sz w:val="19"/>
              </w:rPr>
              <w:t>3.2</w:t>
            </w:r>
          </w:p>
        </w:tc>
        <w:tc>
          <w:p>
            <w:r>
              <w:rPr>
                <w:sz w:val="19"/>
              </w:rPr>
              <w:t>/monitor/energy/microgrid</w:t>
            </w:r>
          </w:p>
        </w:tc>
      </w:tr>
      <w:tr>
        <w:tc>
          <w:p>
            <w:r>
              <w:rPr>
                <w:sz w:val="19"/>
              </w:rPr>
              <w:t>能源碳排放监测</w:t>
            </w:r>
          </w:p>
        </w:tc>
        <w:tc>
          <w:p>
            <w:r>
              <w:rPr>
                <w:sz w:val="19"/>
              </w:rPr>
              <w:t>3.2</w:t>
            </w:r>
          </w:p>
        </w:tc>
        <w:tc>
          <w:p>
            <w:r>
              <w:rPr>
                <w:sz w:val="19"/>
              </w:rPr>
              <w:t>/monitor/carbon/emission</w:t>
            </w:r>
          </w:p>
        </w:tc>
      </w:tr>
      <w:tr>
        <w:tc>
          <w:p>
            <w:r>
              <w:rPr>
                <w:sz w:val="19"/>
              </w:rPr>
              <w:t>用能结构分析</w:t>
            </w:r>
          </w:p>
        </w:tc>
        <w:tc>
          <w:p>
            <w:r>
              <w:rPr>
                <w:sz w:val="19"/>
              </w:rPr>
              <w:t>3.3</w:t>
            </w:r>
          </w:p>
        </w:tc>
        <w:tc>
          <w:p>
            <w:r>
              <w:rPr>
                <w:sz w:val="19"/>
              </w:rPr>
              <w:t>/monitor/analysis/structure</w:t>
            </w:r>
          </w:p>
        </w:tc>
      </w:tr>
      <w:tr>
        <w:tc>
          <w:p>
            <w:r>
              <w:rPr>
                <w:sz w:val="19"/>
              </w:rPr>
              <w:t>能源成本分析</w:t>
            </w:r>
          </w:p>
        </w:tc>
        <w:tc>
          <w:p>
            <w:r>
              <w:rPr>
                <w:sz w:val="19"/>
              </w:rPr>
              <w:t>3.3</w:t>
            </w:r>
          </w:p>
        </w:tc>
        <w:tc>
          <w:p>
            <w:r>
              <w:rPr>
                <w:sz w:val="19"/>
              </w:rPr>
              <w:t>/monitor/analysis/cost</w:t>
            </w:r>
          </w:p>
        </w:tc>
      </w:tr>
      <w:tr>
        <w:tc>
          <w:p>
            <w:r>
              <w:rPr>
                <w:sz w:val="19"/>
              </w:rPr>
              <w:t>单位产品能耗</w:t>
            </w:r>
          </w:p>
        </w:tc>
        <w:tc>
          <w:p>
            <w:r>
              <w:rPr>
                <w:sz w:val="19"/>
              </w:rPr>
              <w:t>3.3</w:t>
            </w:r>
          </w:p>
        </w:tc>
        <w:tc>
          <w:p>
            <w:r>
              <w:rPr>
                <w:sz w:val="19"/>
              </w:rPr>
              <w:t>/monitor/analysis/unit-product</w:t>
            </w:r>
          </w:p>
        </w:tc>
      </w:tr>
      <w:tr>
        <w:tc>
          <w:p>
            <w:r>
              <w:rPr>
                <w:sz w:val="19"/>
              </w:rPr>
              <w:t>单位产值能耗</w:t>
            </w:r>
          </w:p>
        </w:tc>
        <w:tc>
          <w:p>
            <w:r>
              <w:rPr>
                <w:sz w:val="19"/>
              </w:rPr>
              <w:t>3.3</w:t>
            </w:r>
          </w:p>
        </w:tc>
        <w:tc>
          <w:p>
            <w:r>
              <w:rPr>
                <w:sz w:val="19"/>
              </w:rPr>
              <w:t>/monitor/analysis/unit-output</w:t>
            </w:r>
          </w:p>
        </w:tc>
      </w:tr>
      <w:tr>
        <w:tc>
          <w:p>
            <w:r>
              <w:rPr>
                <w:sz w:val="19"/>
              </w:rPr>
              <w:t>对标管理</w:t>
            </w:r>
          </w:p>
        </w:tc>
        <w:tc>
          <w:p>
            <w:r>
              <w:rPr>
                <w:sz w:val="19"/>
              </w:rPr>
              <w:t>3.3</w:t>
            </w:r>
          </w:p>
        </w:tc>
        <w:tc>
          <w:p>
            <w:r>
              <w:rPr>
                <w:sz w:val="19"/>
              </w:rPr>
              <w:t>/monitor/analysis/benchmark</w:t>
            </w:r>
          </w:p>
        </w:tc>
      </w:tr>
      <w:tr>
        <w:tc>
          <w:p>
            <w:r>
              <w:rPr>
                <w:sz w:val="19"/>
              </w:rPr>
              <w:t>综合能耗平衡与能效自评估</w:t>
            </w:r>
          </w:p>
        </w:tc>
        <w:tc>
          <w:p>
            <w:r>
              <w:rPr>
                <w:sz w:val="19"/>
              </w:rPr>
              <w:t>3.3</w:t>
            </w:r>
          </w:p>
        </w:tc>
        <w:tc>
          <w:p>
            <w:r>
              <w:rPr>
                <w:sz w:val="19"/>
              </w:rPr>
              <w:t>/monitor/analysis/balance</w:t>
            </w:r>
          </w:p>
        </w:tc>
      </w:tr>
      <w:tr>
        <w:tc>
          <w:p>
            <w:r>
              <w:rPr>
                <w:sz w:val="19"/>
              </w:rPr>
              <w:t>项目档案管理</w:t>
            </w:r>
          </w:p>
        </w:tc>
        <w:tc>
          <w:p>
            <w:r>
              <w:rPr>
                <w:sz w:val="19"/>
              </w:rPr>
              <w:t>3.4</w:t>
            </w:r>
          </w:p>
        </w:tc>
        <w:tc>
          <w:p>
            <w:r>
              <w:rPr>
                <w:sz w:val="19"/>
              </w:rPr>
              <w:t>/monitor/project/archive</w:t>
            </w:r>
          </w:p>
        </w:tc>
      </w:tr>
      <w:tr>
        <w:tc>
          <w:p>
            <w:r>
              <w:rPr>
                <w:sz w:val="19"/>
              </w:rPr>
              <w:t>实时监控</w:t>
            </w:r>
          </w:p>
        </w:tc>
        <w:tc>
          <w:p>
            <w:r>
              <w:rPr>
                <w:sz w:val="19"/>
              </w:rPr>
              <w:t>3.4</w:t>
            </w:r>
          </w:p>
        </w:tc>
        <w:tc>
          <w:p>
            <w:r>
              <w:rPr>
                <w:sz w:val="19"/>
              </w:rPr>
              <w:t>/monitor/project/realtime</w:t>
            </w:r>
          </w:p>
        </w:tc>
      </w:tr>
      <w:tr>
        <w:tc>
          <w:p>
            <w:r>
              <w:rPr>
                <w:sz w:val="19"/>
              </w:rPr>
              <w:t>项目运行评估</w:t>
            </w:r>
          </w:p>
        </w:tc>
        <w:tc>
          <w:p>
            <w:r>
              <w:rPr>
                <w:sz w:val="19"/>
              </w:rPr>
              <w:t>3.4</w:t>
            </w:r>
          </w:p>
        </w:tc>
        <w:tc>
          <w:p>
            <w:r>
              <w:rPr>
                <w:sz w:val="19"/>
              </w:rPr>
              <w:t>/monitor/project/evaluation</w:t>
            </w:r>
          </w:p>
        </w:tc>
      </w:tr>
      <w:tr>
        <w:tc>
          <w:p>
            <w:r>
              <w:rPr>
                <w:sz w:val="19"/>
              </w:rPr>
              <w:t>零碳工厂自评估</w:t>
            </w:r>
          </w:p>
        </w:tc>
        <w:tc>
          <w:p>
            <w:r>
              <w:rPr>
                <w:sz w:val="19"/>
              </w:rPr>
              <w:t>3.4</w:t>
            </w:r>
          </w:p>
        </w:tc>
        <w:tc>
          <w:p>
            <w:r>
              <w:rPr>
                <w:sz w:val="19"/>
              </w:rPr>
              <w:t>/monitor/project/self-assessment</w:t>
            </w:r>
          </w:p>
        </w:tc>
      </w:tr>
      <w:tr>
        <w:tc>
          <w:p>
            <w:r>
              <w:rPr>
                <w:sz w:val="19"/>
              </w:rPr>
              <w:t>用能报表</w:t>
            </w:r>
          </w:p>
        </w:tc>
        <w:tc>
          <w:p>
            <w:r>
              <w:rPr>
                <w:sz w:val="19"/>
              </w:rPr>
              <w:t>3.5</w:t>
            </w:r>
          </w:p>
        </w:tc>
        <w:tc>
          <w:p>
            <w:r>
              <w:rPr>
                <w:sz w:val="19"/>
              </w:rPr>
              <w:t>/monitor/report/energy</w:t>
            </w:r>
          </w:p>
        </w:tc>
      </w:tr>
      <w:tr>
        <w:tc>
          <w:p>
            <w:r>
              <w:rPr>
                <w:sz w:val="19"/>
              </w:rPr>
              <w:t>成本报表</w:t>
            </w:r>
          </w:p>
        </w:tc>
        <w:tc>
          <w:p>
            <w:r>
              <w:rPr>
                <w:sz w:val="19"/>
              </w:rPr>
              <w:t>3.5</w:t>
            </w:r>
          </w:p>
        </w:tc>
        <w:tc>
          <w:p>
            <w:r>
              <w:rPr>
                <w:sz w:val="19"/>
              </w:rPr>
              <w:t>/monitor/report/cost</w:t>
            </w:r>
          </w:p>
        </w:tc>
      </w:tr>
      <w:tr>
        <w:tc>
          <w:p>
            <w:r>
              <w:rPr>
                <w:sz w:val="19"/>
              </w:rPr>
              <w:t>单耗报表</w:t>
            </w:r>
          </w:p>
        </w:tc>
        <w:tc>
          <w:p>
            <w:r>
              <w:rPr>
                <w:sz w:val="19"/>
              </w:rPr>
              <w:t>3.5</w:t>
            </w:r>
          </w:p>
        </w:tc>
        <w:tc>
          <w:p>
            <w:r>
              <w:rPr>
                <w:sz w:val="19"/>
              </w:rPr>
              <w:t>/monitor/report/unit-consumption</w:t>
            </w:r>
          </w:p>
        </w:tc>
      </w:tr>
      <w:tr>
        <w:tc>
          <w:p>
            <w:r>
              <w:rPr>
                <w:sz w:val="19"/>
              </w:rPr>
              <w:t>数据录入</w:t>
            </w:r>
          </w:p>
        </w:tc>
        <w:tc>
          <w:p>
            <w:r>
              <w:rPr>
                <w:sz w:val="19"/>
              </w:rPr>
              <w:t>3.6</w:t>
            </w:r>
          </w:p>
        </w:tc>
        <w:tc>
          <w:p>
            <w:r>
              <w:rPr>
                <w:sz w:val="19"/>
              </w:rPr>
              <w:t>/monitor/basic/data-entry</w:t>
            </w:r>
          </w:p>
        </w:tc>
      </w:tr>
      <w:tr>
        <w:tc>
          <w:p>
            <w:r>
              <w:rPr>
                <w:sz w:val="19"/>
              </w:rPr>
              <w:t>基础参数配置</w:t>
            </w:r>
          </w:p>
        </w:tc>
        <w:tc>
          <w:p>
            <w:r>
              <w:rPr>
                <w:sz w:val="19"/>
              </w:rPr>
              <w:t>3.6</w:t>
            </w:r>
          </w:p>
        </w:tc>
        <w:tc>
          <w:p>
            <w:r>
              <w:rPr>
                <w:sz w:val="19"/>
              </w:rPr>
              <w:t>/monitor/basic/config</w:t>
            </w:r>
          </w:p>
        </w:tc>
      </w:tr>
      <w:tr>
        <w:tc>
          <w:p>
            <w:r>
              <w:rPr>
                <w:sz w:val="19"/>
              </w:rPr>
              <w:t>碳足迹总览驾驶舱</w:t>
            </w:r>
          </w:p>
        </w:tc>
        <w:tc>
          <w:p>
            <w:r>
              <w:rPr>
                <w:sz w:val="19"/>
              </w:rPr>
              <w:t>4.1</w:t>
            </w:r>
          </w:p>
        </w:tc>
        <w:tc>
          <w:p>
            <w:r>
              <w:rPr>
                <w:sz w:val="19"/>
              </w:rPr>
              <w:t>/carbon-footprint/demo</w:t>
            </w:r>
          </w:p>
        </w:tc>
      </w:tr>
      <w:tr>
        <w:tc>
          <w:p>
            <w:r>
              <w:rPr>
                <w:sz w:val="19"/>
              </w:rPr>
              <w:t>横向对比</w:t>
            </w:r>
          </w:p>
        </w:tc>
        <w:tc>
          <w:p>
            <w:r>
              <w:rPr>
                <w:sz w:val="19"/>
              </w:rPr>
              <w:t>4.2</w:t>
            </w:r>
          </w:p>
        </w:tc>
        <w:tc>
          <w:p>
            <w:r>
              <w:rPr>
                <w:sz w:val="19"/>
              </w:rPr>
              <w:t>/carbon-footprint/analysis/compare</w:t>
            </w:r>
          </w:p>
        </w:tc>
      </w:tr>
      <w:tr>
        <w:tc>
          <w:p>
            <w:r>
              <w:rPr>
                <w:sz w:val="19"/>
              </w:rPr>
              <w:t>纵向对比</w:t>
            </w:r>
          </w:p>
        </w:tc>
        <w:tc>
          <w:p>
            <w:r>
              <w:rPr>
                <w:sz w:val="19"/>
              </w:rPr>
              <w:t>4.2</w:t>
            </w:r>
          </w:p>
        </w:tc>
        <w:tc>
          <w:p>
            <w:r>
              <w:rPr>
                <w:sz w:val="19"/>
              </w:rPr>
              <w:t>/carbon-footprint/analysis/ranking</w:t>
            </w:r>
          </w:p>
        </w:tc>
      </w:tr>
      <w:tr>
        <w:tc>
          <w:p>
            <w:r>
              <w:rPr>
                <w:sz w:val="19"/>
              </w:rPr>
              <w:t>实景数据库</w:t>
            </w:r>
          </w:p>
        </w:tc>
        <w:tc>
          <w:p>
            <w:r>
              <w:rPr>
                <w:sz w:val="19"/>
              </w:rPr>
              <w:t>4.3</w:t>
            </w:r>
          </w:p>
        </w:tc>
        <w:tc>
          <w:p>
            <w:r>
              <w:rPr>
                <w:sz w:val="19"/>
              </w:rPr>
              <w:t>/carbon-footprint/database/realscene</w:t>
            </w:r>
          </w:p>
        </w:tc>
      </w:tr>
      <w:tr>
        <w:tc>
          <w:p>
            <w:r>
              <w:rPr>
                <w:sz w:val="19"/>
              </w:rPr>
              <w:t>碳足迹核算</w:t>
            </w:r>
          </w:p>
        </w:tc>
        <w:tc>
          <w:p>
            <w:r>
              <w:rPr>
                <w:sz w:val="19"/>
              </w:rPr>
              <w:t>4.3</w:t>
            </w:r>
          </w:p>
        </w:tc>
        <w:tc>
          <w:p>
            <w:r>
              <w:rPr>
                <w:sz w:val="19"/>
              </w:rPr>
              <w:t>/carbon-footprint/database/accounting</w:t>
            </w:r>
          </w:p>
        </w:tc>
      </w:tr>
      <w:tr>
        <w:tc>
          <w:p>
            <w:r>
              <w:rPr>
                <w:sz w:val="19"/>
              </w:rPr>
              <w:t>碳足迹报告</w:t>
            </w:r>
          </w:p>
        </w:tc>
        <w:tc>
          <w:p>
            <w:r>
              <w:rPr>
                <w:sz w:val="19"/>
              </w:rPr>
              <w:t>4.3</w:t>
            </w:r>
          </w:p>
        </w:tc>
        <w:tc>
          <w:p>
            <w:r>
              <w:rPr>
                <w:sz w:val="19"/>
              </w:rPr>
              <w:t>/carbon-footprint/database/report</w:t>
            </w:r>
          </w:p>
        </w:tc>
      </w:tr>
      <w:tr>
        <w:tc>
          <w:p>
            <w:r>
              <w:rPr>
                <w:sz w:val="19"/>
              </w:rPr>
              <w:t>合规管理</w:t>
            </w:r>
          </w:p>
        </w:tc>
        <w:tc>
          <w:p>
            <w:r>
              <w:rPr>
                <w:sz w:val="19"/>
              </w:rPr>
              <w:t>4.4</w:t>
            </w:r>
          </w:p>
        </w:tc>
        <w:tc>
          <w:p>
            <w:r>
              <w:rPr>
                <w:sz w:val="19"/>
              </w:rPr>
              <w:t>/carbon-footprint/cbam/compliance</w:t>
            </w:r>
          </w:p>
        </w:tc>
      </w:tr>
      <w:tr>
        <w:tc>
          <w:p>
            <w:r>
              <w:rPr>
                <w:sz w:val="19"/>
              </w:rPr>
              <w:t>申报模拟</w:t>
            </w:r>
          </w:p>
        </w:tc>
        <w:tc>
          <w:p>
            <w:r>
              <w:rPr>
                <w:sz w:val="19"/>
              </w:rPr>
              <w:t>4.4</w:t>
            </w:r>
          </w:p>
        </w:tc>
        <w:tc>
          <w:p>
            <w:r>
              <w:rPr>
                <w:sz w:val="19"/>
              </w:rPr>
              <w:t>/carbon-footprint/cbam/declaration</w:t>
            </w:r>
          </w:p>
        </w:tc>
      </w:tr>
      <w:tr>
        <w:tc>
          <w:p>
            <w:r>
              <w:rPr>
                <w:sz w:val="19"/>
              </w:rPr>
              <w:t>知识库</w:t>
            </w:r>
          </w:p>
        </w:tc>
        <w:tc>
          <w:p>
            <w:r>
              <w:rPr>
                <w:sz w:val="19"/>
              </w:rPr>
              <w:t>4.4</w:t>
            </w:r>
          </w:p>
        </w:tc>
        <w:tc>
          <w:p>
            <w:r>
              <w:rPr>
                <w:sz w:val="19"/>
              </w:rPr>
              <w:t>/carbon-footprint/cbam/knowledge</w:t>
            </w:r>
          </w:p>
        </w:tc>
      </w:tr>
      <w:tr>
        <w:tc>
          <w:p>
            <w:r>
              <w:rPr>
                <w:sz w:val="19"/>
              </w:rPr>
              <w:t>认证资料维护</w:t>
            </w:r>
          </w:p>
        </w:tc>
        <w:tc>
          <w:p>
            <w:r>
              <w:rPr>
                <w:sz w:val="19"/>
              </w:rPr>
              <w:t>4.5</w:t>
            </w:r>
          </w:p>
        </w:tc>
        <w:tc>
          <w:p>
            <w:r>
              <w:rPr>
                <w:sz w:val="19"/>
              </w:rPr>
              <w:t>/carbon-footprint/certification/material</w:t>
            </w:r>
          </w:p>
        </w:tc>
      </w:tr>
      <w:tr>
        <w:tc>
          <w:p>
            <w:r>
              <w:rPr>
                <w:sz w:val="19"/>
              </w:rPr>
              <w:t>认证申请</w:t>
            </w:r>
          </w:p>
        </w:tc>
        <w:tc>
          <w:p>
            <w:r>
              <w:rPr>
                <w:sz w:val="19"/>
              </w:rPr>
              <w:t>4.5</w:t>
            </w:r>
          </w:p>
        </w:tc>
        <w:tc>
          <w:p>
            <w:r>
              <w:rPr>
                <w:sz w:val="19"/>
              </w:rPr>
              <w:t>/carbon-footprint/certification/apply</w:t>
            </w:r>
          </w:p>
        </w:tc>
      </w:tr>
      <w:tr>
        <w:tc>
          <w:p>
            <w:r>
              <w:rPr>
                <w:sz w:val="19"/>
              </w:rPr>
              <w:t>认证结果管理</w:t>
            </w:r>
          </w:p>
        </w:tc>
        <w:tc>
          <w:p>
            <w:r>
              <w:rPr>
                <w:sz w:val="19"/>
              </w:rPr>
              <w:t>4.5</w:t>
            </w:r>
          </w:p>
        </w:tc>
        <w:tc>
          <w:p>
            <w:r>
              <w:rPr>
                <w:sz w:val="19"/>
              </w:rPr>
              <w:t>/carbon-footprint/certification/result</w:t>
            </w:r>
          </w:p>
        </w:tc>
      </w:tr>
      <w:tr>
        <w:tc>
          <w:p>
            <w:r>
              <w:rPr>
                <w:sz w:val="19"/>
              </w:rPr>
              <w:t>原材料碳排因子</w:t>
            </w:r>
          </w:p>
        </w:tc>
        <w:tc>
          <w:p>
            <w:r>
              <w:rPr>
                <w:sz w:val="19"/>
              </w:rPr>
              <w:t>4.6</w:t>
            </w:r>
          </w:p>
        </w:tc>
        <w:tc>
          <w:p>
            <w:r>
              <w:rPr>
                <w:sz w:val="19"/>
              </w:rPr>
              <w:t>—</w:t>
            </w:r>
          </w:p>
        </w:tc>
      </w:tr>
      <w:tr>
        <w:tc>
          <w:p>
            <w:r>
              <w:rPr>
                <w:sz w:val="19"/>
              </w:rPr>
              <w:t>电力碳排因子</w:t>
            </w:r>
          </w:p>
        </w:tc>
        <w:tc>
          <w:p>
            <w:r>
              <w:rPr>
                <w:sz w:val="19"/>
              </w:rPr>
              <w:t>4.6</w:t>
            </w:r>
          </w:p>
        </w:tc>
        <w:tc>
          <w:p>
            <w:r>
              <w:rPr>
                <w:sz w:val="19"/>
              </w:rPr>
              <w:t>—</w:t>
            </w:r>
          </w:p>
        </w:tc>
      </w:tr>
      <w:tr>
        <w:tc>
          <w:p>
            <w:r>
              <w:rPr>
                <w:sz w:val="19"/>
              </w:rPr>
              <w:t>能源活动碳排因子</w:t>
            </w:r>
          </w:p>
        </w:tc>
        <w:tc>
          <w:p>
            <w:r>
              <w:rPr>
                <w:sz w:val="19"/>
              </w:rPr>
              <w:t>4.6</w:t>
            </w:r>
          </w:p>
        </w:tc>
        <w:tc>
          <w:p>
            <w:r>
              <w:rPr>
                <w:sz w:val="19"/>
              </w:rPr>
              <w:t>—</w:t>
            </w:r>
          </w:p>
        </w:tc>
      </w:tr>
      <w:tr>
        <w:tc>
          <w:p>
            <w:r>
              <w:rPr>
                <w:sz w:val="19"/>
              </w:rPr>
              <w:t>折标煤系数库</w:t>
            </w:r>
          </w:p>
        </w:tc>
        <w:tc>
          <w:p>
            <w:r>
              <w:rPr>
                <w:sz w:val="19"/>
              </w:rPr>
              <w:t>4.6</w:t>
            </w:r>
          </w:p>
        </w:tc>
        <w:tc>
          <w:p>
            <w:r>
              <w:rPr>
                <w:sz w:val="19"/>
              </w:rPr>
              <w:t>—</w:t>
            </w:r>
          </w:p>
        </w:tc>
      </w:tr>
    </w:tbl>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附录B 三色阈值判定标准总表</w:t>
      </w:r>
    </w:p>
    <w:tbl>
      <w:tblPr>
        <w:tblW w:w="0" w:type="auto"/>
        <w:tblBorders>
          <w:top w:val="single" w:sz="4" w:space="0" w:color="8FA8C0"/>
          <w:left w:val="single" w:sz="4" w:space="0" w:color="8FA8C0"/>
          <w:bottom w:val="single" w:sz="4" w:space="0" w:color="8FA8C0"/>
          <w:right w:val="single" w:sz="4" w:space="0" w:color="8FA8C0"/>
          <w:insideH w:val="single" w:sz="4" w:space="0" w:color="8FA8C0"/>
          <w:insideV w:val="single" w:sz="4" w:space="0" w:color="8FA8C0"/>
        </w:tblBorders>
      </w:tblPr>
      <w:tr>
        <w:tc>
          <w:p>
            <w:r>
              <w:rPr>
                <w:sz w:val="19"/>
              </w:rPr>
              <w:t>语义域</w:t>
            </w:r>
            <w:pPr/>
          </w:p>
          <w:tcPr>
            <w:shd w:val="clear" w:color="auto" w:fill="D9E2F3"/>
          </w:tcPr>
        </w:tc>
        <w:tc>
          <w:p>
            <w:r>
              <w:rPr>
                <w:sz w:val="19"/>
              </w:rPr>
              <w:t>颜色</w:t>
            </w:r>
            <w:pPr/>
          </w:p>
          <w:tcPr>
            <w:shd w:val="clear" w:color="auto" w:fill="D9E2F3"/>
          </w:tcPr>
        </w:tc>
        <w:tc>
          <w:p>
            <w:r>
              <w:rPr>
                <w:sz w:val="19"/>
              </w:rPr>
              <w:t>含义</w:t>
            </w:r>
            <w:pPr/>
          </w:p>
          <w:tcPr>
            <w:shd w:val="clear" w:color="auto" w:fill="D9E2F3"/>
          </w:tcPr>
        </w:tc>
        <w:tc>
          <w:p>
            <w:r>
              <w:rPr>
                <w:sz w:val="19"/>
              </w:rPr>
              <w:t>示例</w:t>
            </w:r>
            <w:pPr/>
          </w:p>
          <w:tcPr>
            <w:shd w:val="clear" w:color="auto" w:fill="D9E2F3"/>
          </w:tcPr>
        </w:tc>
      </w:tr>
      <w:tr>
        <w:tc>
          <w:p>
            <w:r>
              <w:rPr>
                <w:sz w:val="19"/>
              </w:rPr>
              <w:t>能耗同比/环比（国内工业语义）</w:t>
            </w:r>
          </w:p>
        </w:tc>
        <w:tc>
          <w:p>
            <w:r>
              <w:rPr>
                <w:sz w:val="19"/>
              </w:rPr>
              <w:t>绿色</w:t>
            </w:r>
          </w:p>
        </w:tc>
        <w:tc>
          <w:p>
            <w:r>
              <w:rPr>
                <w:sz w:val="19"/>
              </w:rPr>
              <w:t>下降（能耗降低为改善）</w:t>
            </w:r>
          </w:p>
        </w:tc>
        <w:tc>
          <w:p>
            <w:r>
              <w:rPr>
                <w:sz w:val="19"/>
              </w:rPr>
              <w:t>同比 -2.4% ↓</w:t>
            </w:r>
          </w:p>
        </w:tc>
      </w:tr>
      <w:tr>
        <w:tc>
          <w:p>
            <w:r>
              <w:rPr>
                <w:sz w:val="19"/>
              </w:rPr>
              <w:t>能耗同比/环比（国内工业语义）</w:t>
            </w:r>
          </w:p>
        </w:tc>
        <w:tc>
          <w:p>
            <w:r>
              <w:rPr>
                <w:sz w:val="19"/>
              </w:rPr>
              <w:t>红色</w:t>
            </w:r>
          </w:p>
        </w:tc>
        <w:tc>
          <w:p>
            <w:r>
              <w:rPr>
                <w:sz w:val="19"/>
              </w:rPr>
              <w:t>上涨</w:t>
            </w:r>
          </w:p>
        </w:tc>
        <w:tc>
          <w:p>
            <w:r>
              <w:rPr>
                <w:sz w:val="19"/>
              </w:rPr>
              <w:t>同比 +1.2% ↑</w:t>
            </w:r>
          </w:p>
        </w:tc>
      </w:tr>
      <w:tr>
        <w:tc>
          <w:p>
            <w:r>
              <w:rPr>
                <w:sz w:val="19"/>
              </w:rPr>
              <w:t>能耗同比/环比（国内工业语义）</w:t>
            </w:r>
          </w:p>
        </w:tc>
        <w:tc>
          <w:p>
            <w:r>
              <w:rPr>
                <w:sz w:val="19"/>
              </w:rPr>
              <w:t>灰色</w:t>
            </w:r>
          </w:p>
        </w:tc>
        <w:tc>
          <w:p>
            <w:r>
              <w:rPr>
                <w:sz w:val="19"/>
              </w:rPr>
              <w:t>持平</w:t>
            </w:r>
          </w:p>
        </w:tc>
        <w:tc>
          <w:p>
            <w:r>
              <w:rPr>
                <w:sz w:val="19"/>
              </w:rPr>
              <w:t>同比 0.0%</w:t>
            </w:r>
          </w:p>
        </w:tc>
      </w:tr>
      <w:tr>
        <w:tc>
          <w:p>
            <w:r>
              <w:rPr>
                <w:sz w:val="19"/>
              </w:rPr>
              <w:t>告警与越限</w:t>
            </w:r>
          </w:p>
        </w:tc>
        <w:tc>
          <w:p>
            <w:r>
              <w:rPr>
                <w:sz w:val="19"/>
              </w:rPr>
              <w:t>按分级</w:t>
            </w:r>
          </w:p>
        </w:tc>
        <w:tc>
          <w:p>
            <w:r>
              <w:rPr>
                <w:sz w:val="19"/>
              </w:rPr>
              <w:t>见 5.2 告警中枢分级与响应契约</w:t>
            </w:r>
          </w:p>
        </w:tc>
        <w:tc>
          <w:p>
            <w:r>
              <w:rPr>
                <w:sz w:val="19"/>
              </w:rPr>
              <w:t>—</w:t>
            </w:r>
          </w:p>
        </w:tc>
      </w:tr>
    </w:tbl>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各模块专属三色阈值（如能效对标五档、认证状态色）以该模块“④ 界面与口径说明”一节为准。</w:t>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附录C 页面导航地图</w:t>
      </w:r>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全站页面路由树如下（原型基准），菜单层级以系统实际交付为准。</w:t>
      </w:r>
    </w:p>
    <w:tbl>
      <w:tblPr>
        <w:tblW w:w="0" w:type="auto"/>
        <w:tblBorders>
          <w:top w:val="single" w:sz="4" w:space="0" w:color="8FA8C0"/>
          <w:left w:val="single" w:sz="4" w:space="0" w:color="8FA8C0"/>
          <w:bottom w:val="single" w:sz="4" w:space="0" w:color="8FA8C0"/>
          <w:right w:val="single" w:sz="4" w:space="0" w:color="8FA8C0"/>
          <w:insideH w:val="single" w:sz="4" w:space="0" w:color="8FA8C0"/>
          <w:insideV w:val="single" w:sz="4" w:space="0" w:color="8FA8C0"/>
        </w:tblBorders>
      </w:tblPr>
      <w:tr>
        <w:tc>
          <w:p>
            <w:r>
              <w:rPr>
                <w:sz w:val="19"/>
              </w:rPr>
              <w:t>中心</w:t>
            </w:r>
            <w:pPr/>
          </w:p>
          <w:tcPr>
            <w:shd w:val="clear" w:color="auto" w:fill="D9E2F3"/>
          </w:tcPr>
        </w:tc>
        <w:tc>
          <w:p>
            <w:r>
              <w:rPr>
                <w:sz w:val="19"/>
              </w:rPr>
              <w:t>菜单分组</w:t>
            </w:r>
            <w:pPr/>
          </w:p>
          <w:tcPr>
            <w:shd w:val="clear" w:color="auto" w:fill="D9E2F3"/>
          </w:tcPr>
        </w:tc>
        <w:tc>
          <w:p>
            <w:r>
              <w:rPr>
                <w:sz w:val="19"/>
              </w:rPr>
              <w:t>页面</w:t>
            </w:r>
            <w:pPr/>
          </w:p>
          <w:tcPr>
            <w:shd w:val="clear" w:color="auto" w:fill="D9E2F3"/>
          </w:tcPr>
        </w:tc>
        <w:tc>
          <w:p>
            <w:r>
              <w:rPr>
                <w:sz w:val="19"/>
              </w:rPr>
              <w:t>路由</w:t>
            </w:r>
            <w:pPr/>
          </w:p>
          <w:tcPr>
            <w:shd w:val="clear" w:color="auto" w:fill="D9E2F3"/>
          </w:tcPr>
        </w:tc>
      </w:tr>
      <w:tr>
        <w:tc>
          <w:p>
            <w:r>
              <w:rPr>
                <w:sz w:val="19"/>
              </w:rPr>
              <w:t>零碳园区集控中心</w:t>
            </w:r>
          </w:p>
        </w:tc>
        <w:tc>
          <w:p>
            <w:r>
              <w:rPr>
                <w:sz w:val="19"/>
              </w:rPr>
              <w:t>大屏操作</w:t>
            </w:r>
          </w:p>
        </w:tc>
        <w:tc>
          <w:p>
            <w:r>
              <w:rPr>
                <w:sz w:val="19"/>
              </w:rPr>
              <w:t>全景环幕大屏 46:9</w:t>
            </w:r>
          </w:p>
        </w:tc>
        <w:tc>
          <w:p>
            <w:r>
              <w:rPr>
                <w:sz w:val="19"/>
              </w:rPr>
              <w:t>/monitor/screen/panoramic</w:t>
            </w:r>
          </w:p>
        </w:tc>
      </w:tr>
      <w:tr>
        <w:tc>
          <w:p>
            <w:r>
              <w:rPr>
                <w:sz w:val="19"/>
              </w:rPr>
              <w:t>零碳园区集控中心</w:t>
            </w:r>
          </w:p>
        </w:tc>
        <w:tc>
          <w:p>
            <w:r>
              <w:rPr>
                <w:sz w:val="19"/>
              </w:rPr>
              <w:t>大屏操作</w:t>
            </w:r>
          </w:p>
        </w:tc>
        <w:tc>
          <w:p>
            <w:r>
              <w:rPr>
                <w:sz w:val="19"/>
              </w:rPr>
              <w:t>综合集控大屏 16:9</w:t>
            </w:r>
          </w:p>
        </w:tc>
        <w:tc>
          <w:p>
            <w:r>
              <w:rPr>
                <w:sz w:val="19"/>
              </w:rPr>
              <w:t>/monitor/screen/integrated</w:t>
            </w:r>
          </w:p>
        </w:tc>
      </w:tr>
      <w:tr>
        <w:tc>
          <w:p>
            <w:r>
              <w:rPr>
                <w:sz w:val="19"/>
              </w:rPr>
              <w:t>零碳园区集控中心</w:t>
            </w:r>
          </w:p>
        </w:tc>
        <w:tc>
          <w:p>
            <w:r>
              <w:rPr>
                <w:sz w:val="19"/>
              </w:rPr>
              <w:t>集中监管</w:t>
            </w:r>
          </w:p>
        </w:tc>
        <w:tc>
          <w:p>
            <w:r>
              <w:rPr>
                <w:sz w:val="19"/>
              </w:rPr>
              <w:t>指标管控</w:t>
            </w:r>
          </w:p>
        </w:tc>
        <w:tc>
          <w:p>
            <w:r>
              <w:rPr>
                <w:sz w:val="19"/>
              </w:rPr>
              <w:t>/monitor/indicators</w:t>
            </w:r>
          </w:p>
        </w:tc>
      </w:tr>
      <w:tr>
        <w:tc>
          <w:p>
            <w:r>
              <w:rPr>
                <w:sz w:val="19"/>
              </w:rPr>
              <w:t>零碳园区集控中心</w:t>
            </w:r>
          </w:p>
        </w:tc>
        <w:tc>
          <w:p>
            <w:r>
              <w:rPr>
                <w:sz w:val="19"/>
              </w:rPr>
              <w:t>集中监管</w:t>
            </w:r>
          </w:p>
        </w:tc>
        <w:tc>
          <w:p>
            <w:r>
              <w:rPr>
                <w:sz w:val="19"/>
              </w:rPr>
              <w:t>数据变化详情</w:t>
            </w:r>
          </w:p>
        </w:tc>
        <w:tc>
          <w:p>
            <w:r>
              <w:rPr>
                <w:sz w:val="19"/>
              </w:rPr>
              <w:t>/monitor/indicators/detail/:kpiCode</w:t>
            </w:r>
          </w:p>
        </w:tc>
      </w:tr>
      <w:tr>
        <w:tc>
          <w:p>
            <w:r>
              <w:rPr>
                <w:sz w:val="19"/>
              </w:rPr>
              <w:t>零碳园区集控中心</w:t>
            </w:r>
          </w:p>
        </w:tc>
        <w:tc>
          <w:p>
            <w:r>
              <w:rPr>
                <w:sz w:val="19"/>
              </w:rPr>
              <w:t>集中监管</w:t>
            </w:r>
          </w:p>
        </w:tc>
        <w:tc>
          <w:p>
            <w:r>
              <w:rPr>
                <w:sz w:val="19"/>
              </w:rPr>
              <w:t>用能在线监测</w:t>
            </w:r>
          </w:p>
        </w:tc>
        <w:tc>
          <w:p>
            <w:r>
              <w:rPr>
                <w:sz w:val="19"/>
              </w:rPr>
              <w:t>/monitor/energy/online</w:t>
            </w:r>
          </w:p>
        </w:tc>
      </w:tr>
      <w:tr>
        <w:tc>
          <w:p>
            <w:r>
              <w:rPr>
                <w:sz w:val="19"/>
              </w:rPr>
              <w:t>零碳园区集控中心</w:t>
            </w:r>
          </w:p>
        </w:tc>
        <w:tc>
          <w:p>
            <w:r>
              <w:rPr>
                <w:sz w:val="19"/>
              </w:rPr>
              <w:t>集中监管</w:t>
            </w:r>
          </w:p>
        </w:tc>
        <w:tc>
          <w:p>
            <w:r>
              <w:rPr>
                <w:sz w:val="19"/>
              </w:rPr>
              <w:t>重点设备在线监测</w:t>
            </w:r>
          </w:p>
        </w:tc>
        <w:tc>
          <w:p>
            <w:r>
              <w:rPr>
                <w:sz w:val="19"/>
              </w:rPr>
              <w:t>/monitor/energy/devices</w:t>
            </w:r>
          </w:p>
        </w:tc>
      </w:tr>
      <w:tr>
        <w:tc>
          <w:p>
            <w:r>
              <w:rPr>
                <w:sz w:val="19"/>
              </w:rPr>
              <w:t>零碳园区集控中心</w:t>
            </w:r>
          </w:p>
        </w:tc>
        <w:tc>
          <w:p>
            <w:r>
              <w:rPr>
                <w:sz w:val="19"/>
              </w:rPr>
              <w:t>集中监管</w:t>
            </w:r>
          </w:p>
        </w:tc>
        <w:tc>
          <w:p>
            <w:r>
              <w:rPr>
                <w:sz w:val="19"/>
              </w:rPr>
              <w:t>工业微电网监测</w:t>
            </w:r>
          </w:p>
        </w:tc>
        <w:tc>
          <w:p>
            <w:r>
              <w:rPr>
                <w:sz w:val="19"/>
              </w:rPr>
              <w:t>/monitor/energy/microgrid</w:t>
            </w:r>
          </w:p>
        </w:tc>
      </w:tr>
      <w:tr>
        <w:tc>
          <w:p>
            <w:r>
              <w:rPr>
                <w:sz w:val="19"/>
              </w:rPr>
              <w:t>零碳园区集控中心</w:t>
            </w:r>
          </w:p>
        </w:tc>
        <w:tc>
          <w:p>
            <w:r>
              <w:rPr>
                <w:sz w:val="19"/>
              </w:rPr>
              <w:t>集中监管</w:t>
            </w:r>
          </w:p>
        </w:tc>
        <w:tc>
          <w:p>
            <w:r>
              <w:rPr>
                <w:sz w:val="19"/>
              </w:rPr>
              <w:t>能源碳排放监测</w:t>
            </w:r>
          </w:p>
        </w:tc>
        <w:tc>
          <w:p>
            <w:r>
              <w:rPr>
                <w:sz w:val="19"/>
              </w:rPr>
              <w:t>/monitor/carbon/emission</w:t>
            </w:r>
          </w:p>
        </w:tc>
      </w:tr>
      <w:tr>
        <w:tc>
          <w:p>
            <w:r>
              <w:rPr>
                <w:sz w:val="19"/>
              </w:rPr>
              <w:t>零碳园区集控中心</w:t>
            </w:r>
          </w:p>
        </w:tc>
        <w:tc>
          <w:p>
            <w:r>
              <w:rPr>
                <w:sz w:val="19"/>
              </w:rPr>
              <w:t>能耗能效分析</w:t>
            </w:r>
          </w:p>
        </w:tc>
        <w:tc>
          <w:p>
            <w:r>
              <w:rPr>
                <w:sz w:val="19"/>
              </w:rPr>
              <w:t>用能结构分析</w:t>
            </w:r>
          </w:p>
        </w:tc>
        <w:tc>
          <w:p>
            <w:r>
              <w:rPr>
                <w:sz w:val="19"/>
              </w:rPr>
              <w:t>/monitor/analysis/structure</w:t>
            </w:r>
          </w:p>
        </w:tc>
      </w:tr>
      <w:tr>
        <w:tc>
          <w:p>
            <w:r>
              <w:rPr>
                <w:sz w:val="19"/>
              </w:rPr>
              <w:t>零碳园区集控中心</w:t>
            </w:r>
          </w:p>
        </w:tc>
        <w:tc>
          <w:p>
            <w:r>
              <w:rPr>
                <w:sz w:val="19"/>
              </w:rPr>
              <w:t>能耗能效分析</w:t>
            </w:r>
          </w:p>
        </w:tc>
        <w:tc>
          <w:p>
            <w:r>
              <w:rPr>
                <w:sz w:val="19"/>
              </w:rPr>
              <w:t>能源成本分析</w:t>
            </w:r>
          </w:p>
        </w:tc>
        <w:tc>
          <w:p>
            <w:r>
              <w:rPr>
                <w:sz w:val="19"/>
              </w:rPr>
              <w:t>/monitor/analysis/cost</w:t>
            </w:r>
          </w:p>
        </w:tc>
      </w:tr>
      <w:tr>
        <w:tc>
          <w:p>
            <w:r>
              <w:rPr>
                <w:sz w:val="19"/>
              </w:rPr>
              <w:t>零碳园区集控中心</w:t>
            </w:r>
          </w:p>
        </w:tc>
        <w:tc>
          <w:p>
            <w:r>
              <w:rPr>
                <w:sz w:val="19"/>
              </w:rPr>
              <w:t>能耗能效分析</w:t>
            </w:r>
          </w:p>
        </w:tc>
        <w:tc>
          <w:p>
            <w:r>
              <w:rPr>
                <w:sz w:val="19"/>
              </w:rPr>
              <w:t>单位产品能耗</w:t>
            </w:r>
          </w:p>
        </w:tc>
        <w:tc>
          <w:p>
            <w:r>
              <w:rPr>
                <w:sz w:val="19"/>
              </w:rPr>
              <w:t>/monitor/analysis/unit-product</w:t>
            </w:r>
          </w:p>
        </w:tc>
      </w:tr>
      <w:tr>
        <w:tc>
          <w:p>
            <w:r>
              <w:rPr>
                <w:sz w:val="19"/>
              </w:rPr>
              <w:t>零碳园区集控中心</w:t>
            </w:r>
          </w:p>
        </w:tc>
        <w:tc>
          <w:p>
            <w:r>
              <w:rPr>
                <w:sz w:val="19"/>
              </w:rPr>
              <w:t>能耗能效分析</w:t>
            </w:r>
          </w:p>
        </w:tc>
        <w:tc>
          <w:p>
            <w:r>
              <w:rPr>
                <w:sz w:val="19"/>
              </w:rPr>
              <w:t>单位产值能耗</w:t>
            </w:r>
          </w:p>
        </w:tc>
        <w:tc>
          <w:p>
            <w:r>
              <w:rPr>
                <w:sz w:val="19"/>
              </w:rPr>
              <w:t>/monitor/analysis/unit-output</w:t>
            </w:r>
          </w:p>
        </w:tc>
      </w:tr>
      <w:tr>
        <w:tc>
          <w:p>
            <w:r>
              <w:rPr>
                <w:sz w:val="19"/>
              </w:rPr>
              <w:t>零碳园区集控中心</w:t>
            </w:r>
          </w:p>
        </w:tc>
        <w:tc>
          <w:p>
            <w:r>
              <w:rPr>
                <w:sz w:val="19"/>
              </w:rPr>
              <w:t>能耗能效分析</w:t>
            </w:r>
          </w:p>
        </w:tc>
        <w:tc>
          <w:p>
            <w:r>
              <w:rPr>
                <w:sz w:val="19"/>
              </w:rPr>
              <w:t>对标管理</w:t>
            </w:r>
          </w:p>
        </w:tc>
        <w:tc>
          <w:p>
            <w:r>
              <w:rPr>
                <w:sz w:val="19"/>
              </w:rPr>
              <w:t>/monitor/analysis/benchmark</w:t>
            </w:r>
          </w:p>
        </w:tc>
      </w:tr>
      <w:tr>
        <w:tc>
          <w:p>
            <w:r>
              <w:rPr>
                <w:sz w:val="19"/>
              </w:rPr>
              <w:t>零碳园区集控中心</w:t>
            </w:r>
          </w:p>
        </w:tc>
        <w:tc>
          <w:p>
            <w:r>
              <w:rPr>
                <w:sz w:val="19"/>
              </w:rPr>
              <w:t>能耗能效分析</w:t>
            </w:r>
          </w:p>
        </w:tc>
        <w:tc>
          <w:p>
            <w:r>
              <w:rPr>
                <w:sz w:val="19"/>
              </w:rPr>
              <w:t>综合能耗平衡与能效自评估</w:t>
            </w:r>
          </w:p>
        </w:tc>
        <w:tc>
          <w:p>
            <w:r>
              <w:rPr>
                <w:sz w:val="19"/>
              </w:rPr>
              <w:t>/monitor/analysis/balance</w:t>
            </w:r>
          </w:p>
        </w:tc>
      </w:tr>
      <w:tr>
        <w:tc>
          <w:p>
            <w:r>
              <w:rPr>
                <w:sz w:val="19"/>
              </w:rPr>
              <w:t>零碳园区集控中心</w:t>
            </w:r>
          </w:p>
        </w:tc>
        <w:tc>
          <w:p>
            <w:r>
              <w:rPr>
                <w:sz w:val="19"/>
              </w:rPr>
              <w:t>零碳项目评估</w:t>
            </w:r>
          </w:p>
        </w:tc>
        <w:tc>
          <w:p>
            <w:r>
              <w:rPr>
                <w:sz w:val="19"/>
              </w:rPr>
              <w:t>项目档案管理</w:t>
            </w:r>
          </w:p>
        </w:tc>
        <w:tc>
          <w:p>
            <w:r>
              <w:rPr>
                <w:sz w:val="19"/>
              </w:rPr>
              <w:t>/monitor/project/archive</w:t>
            </w:r>
          </w:p>
        </w:tc>
      </w:tr>
      <w:tr>
        <w:tc>
          <w:p>
            <w:r>
              <w:rPr>
                <w:sz w:val="19"/>
              </w:rPr>
              <w:t>零碳园区集控中心</w:t>
            </w:r>
          </w:p>
        </w:tc>
        <w:tc>
          <w:p>
            <w:r>
              <w:rPr>
                <w:sz w:val="19"/>
              </w:rPr>
              <w:t>零碳项目评估</w:t>
            </w:r>
          </w:p>
        </w:tc>
        <w:tc>
          <w:p>
            <w:r>
              <w:rPr>
                <w:sz w:val="19"/>
              </w:rPr>
              <w:t>实时监控</w:t>
            </w:r>
          </w:p>
        </w:tc>
        <w:tc>
          <w:p>
            <w:r>
              <w:rPr>
                <w:sz w:val="19"/>
              </w:rPr>
              <w:t>/monitor/project/realtime</w:t>
            </w:r>
          </w:p>
        </w:tc>
      </w:tr>
      <w:tr>
        <w:tc>
          <w:p>
            <w:r>
              <w:rPr>
                <w:sz w:val="19"/>
              </w:rPr>
              <w:t>零碳园区集控中心</w:t>
            </w:r>
          </w:p>
        </w:tc>
        <w:tc>
          <w:p>
            <w:r>
              <w:rPr>
                <w:sz w:val="19"/>
              </w:rPr>
              <w:t>零碳项目评估</w:t>
            </w:r>
          </w:p>
        </w:tc>
        <w:tc>
          <w:p>
            <w:r>
              <w:rPr>
                <w:sz w:val="19"/>
              </w:rPr>
              <w:t>项目运行评估</w:t>
            </w:r>
          </w:p>
        </w:tc>
        <w:tc>
          <w:p>
            <w:r>
              <w:rPr>
                <w:sz w:val="19"/>
              </w:rPr>
              <w:t>/monitor/project/evaluation</w:t>
            </w:r>
          </w:p>
        </w:tc>
      </w:tr>
      <w:tr>
        <w:tc>
          <w:p>
            <w:r>
              <w:rPr>
                <w:sz w:val="19"/>
              </w:rPr>
              <w:t>零碳园区集控中心</w:t>
            </w:r>
          </w:p>
        </w:tc>
        <w:tc>
          <w:p>
            <w:r>
              <w:rPr>
                <w:sz w:val="19"/>
              </w:rPr>
              <w:t>零碳项目评估</w:t>
            </w:r>
          </w:p>
        </w:tc>
        <w:tc>
          <w:p>
            <w:r>
              <w:rPr>
                <w:sz w:val="19"/>
              </w:rPr>
              <w:t>零碳工厂自评估</w:t>
            </w:r>
          </w:p>
        </w:tc>
        <w:tc>
          <w:p>
            <w:r>
              <w:rPr>
                <w:sz w:val="19"/>
              </w:rPr>
              <w:t>/monitor/project/self-assessment</w:t>
            </w:r>
          </w:p>
        </w:tc>
      </w:tr>
      <w:tr>
        <w:tc>
          <w:p>
            <w:r>
              <w:rPr>
                <w:sz w:val="19"/>
              </w:rPr>
              <w:t>零碳园区集控中心</w:t>
            </w:r>
          </w:p>
        </w:tc>
        <w:tc>
          <w:p>
            <w:r>
              <w:rPr>
                <w:sz w:val="19"/>
              </w:rPr>
              <w:t>统计报表</w:t>
            </w:r>
          </w:p>
        </w:tc>
        <w:tc>
          <w:p>
            <w:r>
              <w:rPr>
                <w:sz w:val="19"/>
              </w:rPr>
              <w:t>用能报表</w:t>
            </w:r>
          </w:p>
        </w:tc>
        <w:tc>
          <w:p>
            <w:r>
              <w:rPr>
                <w:sz w:val="19"/>
              </w:rPr>
              <w:t>/monitor/report/energy</w:t>
            </w:r>
          </w:p>
        </w:tc>
      </w:tr>
      <w:tr>
        <w:tc>
          <w:p>
            <w:r>
              <w:rPr>
                <w:sz w:val="19"/>
              </w:rPr>
              <w:t>零碳园区集控中心</w:t>
            </w:r>
          </w:p>
        </w:tc>
        <w:tc>
          <w:p>
            <w:r>
              <w:rPr>
                <w:sz w:val="19"/>
              </w:rPr>
              <w:t>统计报表</w:t>
            </w:r>
          </w:p>
        </w:tc>
        <w:tc>
          <w:p>
            <w:r>
              <w:rPr>
                <w:sz w:val="19"/>
              </w:rPr>
              <w:t>成本报表</w:t>
            </w:r>
          </w:p>
        </w:tc>
        <w:tc>
          <w:p>
            <w:r>
              <w:rPr>
                <w:sz w:val="19"/>
              </w:rPr>
              <w:t>/monitor/report/cost</w:t>
            </w:r>
          </w:p>
        </w:tc>
      </w:tr>
      <w:tr>
        <w:tc>
          <w:p>
            <w:r>
              <w:rPr>
                <w:sz w:val="19"/>
              </w:rPr>
              <w:t>零碳园区集控中心</w:t>
            </w:r>
          </w:p>
        </w:tc>
        <w:tc>
          <w:p>
            <w:r>
              <w:rPr>
                <w:sz w:val="19"/>
              </w:rPr>
              <w:t>统计报表</w:t>
            </w:r>
          </w:p>
        </w:tc>
        <w:tc>
          <w:p>
            <w:r>
              <w:rPr>
                <w:sz w:val="19"/>
              </w:rPr>
              <w:t>单耗报表</w:t>
            </w:r>
          </w:p>
        </w:tc>
        <w:tc>
          <w:p>
            <w:r>
              <w:rPr>
                <w:sz w:val="19"/>
              </w:rPr>
              <w:t>/monitor/report/unit-consumption</w:t>
            </w:r>
          </w:p>
        </w:tc>
      </w:tr>
      <w:tr>
        <w:tc>
          <w:p>
            <w:r>
              <w:rPr>
                <w:sz w:val="19"/>
              </w:rPr>
              <w:t>零碳园区集控中心</w:t>
            </w:r>
          </w:p>
        </w:tc>
        <w:tc>
          <w:p>
            <w:r>
              <w:rPr>
                <w:sz w:val="19"/>
              </w:rPr>
              <w:t>基础管理</w:t>
            </w:r>
          </w:p>
        </w:tc>
        <w:tc>
          <w:p>
            <w:r>
              <w:rPr>
                <w:sz w:val="19"/>
              </w:rPr>
              <w:t>数据录入</w:t>
            </w:r>
          </w:p>
        </w:tc>
        <w:tc>
          <w:p>
            <w:r>
              <w:rPr>
                <w:sz w:val="19"/>
              </w:rPr>
              <w:t>/monitor/basic/data-entry</w:t>
            </w:r>
          </w:p>
        </w:tc>
      </w:tr>
      <w:tr>
        <w:tc>
          <w:p>
            <w:r>
              <w:rPr>
                <w:sz w:val="19"/>
              </w:rPr>
              <w:t>零碳园区集控中心</w:t>
            </w:r>
          </w:p>
        </w:tc>
        <w:tc>
          <w:p>
            <w:r>
              <w:rPr>
                <w:sz w:val="19"/>
              </w:rPr>
              <w:t>基础管理</w:t>
            </w:r>
          </w:p>
        </w:tc>
        <w:tc>
          <w:p>
            <w:r>
              <w:rPr>
                <w:sz w:val="19"/>
              </w:rPr>
              <w:t>基础参数配置</w:t>
            </w:r>
          </w:p>
        </w:tc>
        <w:tc>
          <w:p>
            <w:r>
              <w:rPr>
                <w:sz w:val="19"/>
              </w:rPr>
              <w:t>/monitor/basic/config</w:t>
            </w:r>
          </w:p>
        </w:tc>
      </w:tr>
      <w:tr>
        <w:tc>
          <w:p>
            <w:r>
              <w:rPr>
                <w:sz w:val="19"/>
              </w:rPr>
              <w:t>产品碳足迹集采中心</w:t>
            </w:r>
          </w:p>
        </w:tc>
        <w:tc>
          <w:p>
            <w:r>
              <w:rPr>
                <w:sz w:val="19"/>
              </w:rPr>
              <w:t>对外示范窗口</w:t>
            </w:r>
          </w:p>
        </w:tc>
        <w:tc>
          <w:p>
            <w:r>
              <w:rPr>
                <w:sz w:val="19"/>
              </w:rPr>
              <w:t>碳足迹总览驾驶舱</w:t>
            </w:r>
          </w:p>
        </w:tc>
        <w:tc>
          <w:p>
            <w:r>
              <w:rPr>
                <w:sz w:val="19"/>
              </w:rPr>
              <w:t>/carbon-footprint/demo</w:t>
            </w:r>
          </w:p>
        </w:tc>
      </w:tr>
      <w:tr>
        <w:tc>
          <w:p>
            <w:r>
              <w:rPr>
                <w:sz w:val="19"/>
              </w:rPr>
              <w:t>产品碳足迹集采中心</w:t>
            </w:r>
          </w:p>
        </w:tc>
        <w:tc>
          <w:p>
            <w:r>
              <w:rPr>
                <w:sz w:val="19"/>
              </w:rPr>
              <w:t>多维分析</w:t>
            </w:r>
          </w:p>
        </w:tc>
        <w:tc>
          <w:p>
            <w:r>
              <w:rPr>
                <w:sz w:val="19"/>
              </w:rPr>
              <w:t>横向对比</w:t>
            </w:r>
          </w:p>
        </w:tc>
        <w:tc>
          <w:p>
            <w:r>
              <w:rPr>
                <w:sz w:val="19"/>
              </w:rPr>
              <w:t>/carbon-footprint/analysis/compare</w:t>
            </w:r>
          </w:p>
        </w:tc>
      </w:tr>
      <w:tr>
        <w:tc>
          <w:p>
            <w:r>
              <w:rPr>
                <w:sz w:val="19"/>
              </w:rPr>
              <w:t>产品碳足迹集采中心</w:t>
            </w:r>
          </w:p>
        </w:tc>
        <w:tc>
          <w:p>
            <w:r>
              <w:rPr>
                <w:sz w:val="19"/>
              </w:rPr>
              <w:t>多维分析</w:t>
            </w:r>
          </w:p>
        </w:tc>
        <w:tc>
          <w:p>
            <w:r>
              <w:rPr>
                <w:sz w:val="19"/>
              </w:rPr>
              <w:t>纵向对比</w:t>
            </w:r>
          </w:p>
        </w:tc>
        <w:tc>
          <w:p>
            <w:r>
              <w:rPr>
                <w:sz w:val="19"/>
              </w:rPr>
              <w:t>/carbon-footprint/analysis/ranking</w:t>
            </w:r>
          </w:p>
        </w:tc>
      </w:tr>
      <w:tr>
        <w:tc>
          <w:p>
            <w:r>
              <w:rPr>
                <w:sz w:val="19"/>
              </w:rPr>
              <w:t>产品碳足迹集采中心</w:t>
            </w:r>
          </w:p>
        </w:tc>
        <w:tc>
          <w:p>
            <w:r>
              <w:rPr>
                <w:sz w:val="19"/>
              </w:rPr>
              <w:t>实景数据库与碳足迹核算</w:t>
            </w:r>
          </w:p>
        </w:tc>
        <w:tc>
          <w:p>
            <w:r>
              <w:rPr>
                <w:sz w:val="19"/>
              </w:rPr>
              <w:t>实景数据库</w:t>
            </w:r>
          </w:p>
        </w:tc>
        <w:tc>
          <w:p>
            <w:r>
              <w:rPr>
                <w:sz w:val="19"/>
              </w:rPr>
              <w:t>/carbon-footprint/database/realscene</w:t>
            </w:r>
          </w:p>
        </w:tc>
      </w:tr>
      <w:tr>
        <w:tc>
          <w:p>
            <w:r>
              <w:rPr>
                <w:sz w:val="19"/>
              </w:rPr>
              <w:t>产品碳足迹集采中心</w:t>
            </w:r>
          </w:p>
        </w:tc>
        <w:tc>
          <w:p>
            <w:r>
              <w:rPr>
                <w:sz w:val="19"/>
              </w:rPr>
              <w:t>实景数据库与碳足迹核算</w:t>
            </w:r>
          </w:p>
        </w:tc>
        <w:tc>
          <w:p>
            <w:r>
              <w:rPr>
                <w:sz w:val="19"/>
              </w:rPr>
              <w:t>碳足迹核算</w:t>
            </w:r>
          </w:p>
        </w:tc>
        <w:tc>
          <w:p>
            <w:r>
              <w:rPr>
                <w:sz w:val="19"/>
              </w:rPr>
              <w:t>/carbon-footprint/database/accounting</w:t>
            </w:r>
          </w:p>
        </w:tc>
      </w:tr>
      <w:tr>
        <w:tc>
          <w:p>
            <w:r>
              <w:rPr>
                <w:sz w:val="19"/>
              </w:rPr>
              <w:t>产品碳足迹集采中心</w:t>
            </w:r>
          </w:p>
        </w:tc>
        <w:tc>
          <w:p>
            <w:r>
              <w:rPr>
                <w:sz w:val="19"/>
              </w:rPr>
              <w:t>实景数据库与碳足迹核算</w:t>
            </w:r>
          </w:p>
        </w:tc>
        <w:tc>
          <w:p>
            <w:r>
              <w:rPr>
                <w:sz w:val="19"/>
              </w:rPr>
              <w:t>碳足迹报告</w:t>
            </w:r>
          </w:p>
        </w:tc>
        <w:tc>
          <w:p>
            <w:r>
              <w:rPr>
                <w:sz w:val="19"/>
              </w:rPr>
              <w:t>/carbon-footprint/database/report</w:t>
            </w:r>
          </w:p>
        </w:tc>
      </w:tr>
      <w:tr>
        <w:tc>
          <w:p>
            <w:r>
              <w:rPr>
                <w:sz w:val="19"/>
              </w:rPr>
              <w:t>产品碳足迹集采中心</w:t>
            </w:r>
          </w:p>
        </w:tc>
        <w:tc>
          <w:p>
            <w:r>
              <w:rPr>
                <w:sz w:val="19"/>
              </w:rPr>
              <w:t>CBAM 管理</w:t>
            </w:r>
          </w:p>
        </w:tc>
        <w:tc>
          <w:p>
            <w:r>
              <w:rPr>
                <w:sz w:val="19"/>
              </w:rPr>
              <w:t>合规管理</w:t>
            </w:r>
          </w:p>
        </w:tc>
        <w:tc>
          <w:p>
            <w:r>
              <w:rPr>
                <w:sz w:val="19"/>
              </w:rPr>
              <w:t>/carbon-footprint/cbam/compliance</w:t>
            </w:r>
          </w:p>
        </w:tc>
      </w:tr>
      <w:tr>
        <w:tc>
          <w:p>
            <w:r>
              <w:rPr>
                <w:sz w:val="19"/>
              </w:rPr>
              <w:t>产品碳足迹集采中心</w:t>
            </w:r>
          </w:p>
        </w:tc>
        <w:tc>
          <w:p>
            <w:r>
              <w:rPr>
                <w:sz w:val="19"/>
              </w:rPr>
              <w:t>CBAM 管理</w:t>
            </w:r>
          </w:p>
        </w:tc>
        <w:tc>
          <w:p>
            <w:r>
              <w:rPr>
                <w:sz w:val="19"/>
              </w:rPr>
              <w:t>申报模拟</w:t>
            </w:r>
          </w:p>
        </w:tc>
        <w:tc>
          <w:p>
            <w:r>
              <w:rPr>
                <w:sz w:val="19"/>
              </w:rPr>
              <w:t>/carbon-footprint/cbam/declaration</w:t>
            </w:r>
          </w:p>
        </w:tc>
      </w:tr>
      <w:tr>
        <w:tc>
          <w:p>
            <w:r>
              <w:rPr>
                <w:sz w:val="19"/>
              </w:rPr>
              <w:t>产品碳足迹集采中心</w:t>
            </w:r>
          </w:p>
        </w:tc>
        <w:tc>
          <w:p>
            <w:r>
              <w:rPr>
                <w:sz w:val="19"/>
              </w:rPr>
              <w:t>CBAM 管理</w:t>
            </w:r>
          </w:p>
        </w:tc>
        <w:tc>
          <w:p>
            <w:r>
              <w:rPr>
                <w:sz w:val="19"/>
              </w:rPr>
              <w:t>知识库</w:t>
            </w:r>
          </w:p>
        </w:tc>
        <w:tc>
          <w:p>
            <w:r>
              <w:rPr>
                <w:sz w:val="19"/>
              </w:rPr>
              <w:t>/carbon-footprint/cbam/knowledge</w:t>
            </w:r>
          </w:p>
        </w:tc>
      </w:tr>
      <w:tr>
        <w:tc>
          <w:p>
            <w:r>
              <w:rPr>
                <w:sz w:val="19"/>
              </w:rPr>
              <w:t>产品碳足迹集采中心</w:t>
            </w:r>
          </w:p>
        </w:tc>
        <w:tc>
          <w:p>
            <w:r>
              <w:rPr>
                <w:sz w:val="19"/>
              </w:rPr>
              <w:t>第三方认证管理</w:t>
            </w:r>
          </w:p>
        </w:tc>
        <w:tc>
          <w:p>
            <w:r>
              <w:rPr>
                <w:sz w:val="19"/>
              </w:rPr>
              <w:t>认证资料维护</w:t>
            </w:r>
          </w:p>
        </w:tc>
        <w:tc>
          <w:p>
            <w:r>
              <w:rPr>
                <w:sz w:val="19"/>
              </w:rPr>
              <w:t>/carbon-footprint/certification/material</w:t>
            </w:r>
          </w:p>
        </w:tc>
      </w:tr>
      <w:tr>
        <w:tc>
          <w:p>
            <w:r>
              <w:rPr>
                <w:sz w:val="19"/>
              </w:rPr>
              <w:t>产品碳足迹集采中心</w:t>
            </w:r>
          </w:p>
        </w:tc>
        <w:tc>
          <w:p>
            <w:r>
              <w:rPr>
                <w:sz w:val="19"/>
              </w:rPr>
              <w:t>第三方认证管理</w:t>
            </w:r>
          </w:p>
        </w:tc>
        <w:tc>
          <w:p>
            <w:r>
              <w:rPr>
                <w:sz w:val="19"/>
              </w:rPr>
              <w:t>认证申请</w:t>
            </w:r>
          </w:p>
        </w:tc>
        <w:tc>
          <w:p>
            <w:r>
              <w:rPr>
                <w:sz w:val="19"/>
              </w:rPr>
              <w:t>/carbon-footprint/certification/apply</w:t>
            </w:r>
          </w:p>
        </w:tc>
      </w:tr>
      <w:tr>
        <w:tc>
          <w:p>
            <w:r>
              <w:rPr>
                <w:sz w:val="19"/>
              </w:rPr>
              <w:t>产品碳足迹集采中心</w:t>
            </w:r>
          </w:p>
        </w:tc>
        <w:tc>
          <w:p>
            <w:r>
              <w:rPr>
                <w:sz w:val="19"/>
              </w:rPr>
              <w:t>第三方认证管理</w:t>
            </w:r>
          </w:p>
        </w:tc>
        <w:tc>
          <w:p>
            <w:r>
              <w:rPr>
                <w:sz w:val="19"/>
              </w:rPr>
              <w:t>认证结果管理</w:t>
            </w:r>
          </w:p>
        </w:tc>
        <w:tc>
          <w:p>
            <w:r>
              <w:rPr>
                <w:sz w:val="19"/>
              </w:rPr>
              <w:t>/carbon-footprint/certification/result</w:t>
            </w:r>
          </w:p>
        </w:tc>
      </w:tr>
      <w:tr>
        <w:tc>
          <w:p>
            <w:r>
              <w:rPr>
                <w:sz w:val="19"/>
              </w:rPr>
              <w:t>产品碳足迹集采中心</w:t>
            </w:r>
          </w:p>
        </w:tc>
        <w:tc>
          <w:p>
            <w:r>
              <w:rPr>
                <w:sz w:val="19"/>
              </w:rPr>
              <w:t>因子库管理</w:t>
            </w:r>
          </w:p>
        </w:tc>
        <w:tc>
          <w:p>
            <w:r>
              <w:rPr>
                <w:sz w:val="19"/>
              </w:rPr>
              <w:t>原材料碳排因子</w:t>
            </w:r>
          </w:p>
        </w:tc>
        <w:tc>
          <w:p>
            <w:r>
              <w:rPr>
                <w:sz w:val="19"/>
              </w:rPr>
              <w:t>—</w:t>
            </w:r>
          </w:p>
        </w:tc>
      </w:tr>
      <w:tr>
        <w:tc>
          <w:p>
            <w:r>
              <w:rPr>
                <w:sz w:val="19"/>
              </w:rPr>
              <w:t>产品碳足迹集采中心</w:t>
            </w:r>
          </w:p>
        </w:tc>
        <w:tc>
          <w:p>
            <w:r>
              <w:rPr>
                <w:sz w:val="19"/>
              </w:rPr>
              <w:t>因子库管理</w:t>
            </w:r>
          </w:p>
        </w:tc>
        <w:tc>
          <w:p>
            <w:r>
              <w:rPr>
                <w:sz w:val="19"/>
              </w:rPr>
              <w:t>电力碳排因子</w:t>
            </w:r>
          </w:p>
        </w:tc>
        <w:tc>
          <w:p>
            <w:r>
              <w:rPr>
                <w:sz w:val="19"/>
              </w:rPr>
              <w:t>—</w:t>
            </w:r>
          </w:p>
        </w:tc>
      </w:tr>
      <w:tr>
        <w:tc>
          <w:p>
            <w:r>
              <w:rPr>
                <w:sz w:val="19"/>
              </w:rPr>
              <w:t>产品碳足迹集采中心</w:t>
            </w:r>
          </w:p>
        </w:tc>
        <w:tc>
          <w:p>
            <w:r>
              <w:rPr>
                <w:sz w:val="19"/>
              </w:rPr>
              <w:t>因子库管理</w:t>
            </w:r>
          </w:p>
        </w:tc>
        <w:tc>
          <w:p>
            <w:r>
              <w:rPr>
                <w:sz w:val="19"/>
              </w:rPr>
              <w:t>能源活动碳排因子</w:t>
            </w:r>
          </w:p>
        </w:tc>
        <w:tc>
          <w:p>
            <w:r>
              <w:rPr>
                <w:sz w:val="19"/>
              </w:rPr>
              <w:t>—</w:t>
            </w:r>
          </w:p>
        </w:tc>
      </w:tr>
      <w:tr>
        <w:tc>
          <w:p>
            <w:r>
              <w:rPr>
                <w:sz w:val="19"/>
              </w:rPr>
              <w:t>产品碳足迹集采中心</w:t>
            </w:r>
          </w:p>
        </w:tc>
        <w:tc>
          <w:p>
            <w:r>
              <w:rPr>
                <w:sz w:val="19"/>
              </w:rPr>
              <w:t>因子库管理</w:t>
            </w:r>
          </w:p>
        </w:tc>
        <w:tc>
          <w:p>
            <w:r>
              <w:rPr>
                <w:sz w:val="19"/>
              </w:rPr>
              <w:t>折标煤系数库</w:t>
            </w:r>
          </w:p>
        </w:tc>
        <w:tc>
          <w:p>
            <w:r>
              <w:rPr>
                <w:sz w:val="19"/>
              </w:rPr>
              <w:t>—</w:t>
            </w:r>
          </w:p>
        </w:tc>
      </w:tr>
    </w:tbl>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附录D 版本更新记录</w:t>
      </w:r>
    </w:p>
    <w:tbl>
      <w:tblPr>
        <w:tblW w:w="0" w:type="auto"/>
        <w:tblBorders>
          <w:top w:val="single" w:sz="4" w:space="0" w:color="8FA8C0"/>
          <w:left w:val="single" w:sz="4" w:space="0" w:color="8FA8C0"/>
          <w:bottom w:val="single" w:sz="4" w:space="0" w:color="8FA8C0"/>
          <w:right w:val="single" w:sz="4" w:space="0" w:color="8FA8C0"/>
          <w:insideH w:val="single" w:sz="4" w:space="0" w:color="8FA8C0"/>
          <w:insideV w:val="single" w:sz="4" w:space="0" w:color="8FA8C0"/>
        </w:tblBorders>
      </w:tblPr>
      <w:tr>
        <w:tc>
          <w:p>
            <w:r>
              <w:rPr>
                <w:sz w:val="19"/>
              </w:rPr>
              <w:t>版本</w:t>
            </w:r>
            <w:pPr/>
          </w:p>
          <w:tcPr>
            <w:shd w:val="clear" w:color="auto" w:fill="D9E2F3"/>
          </w:tcPr>
        </w:tc>
        <w:tc>
          <w:p>
            <w:r>
              <w:rPr>
                <w:sz w:val="19"/>
              </w:rPr>
              <w:t>日期</w:t>
            </w:r>
            <w:pPr/>
          </w:p>
          <w:tcPr>
            <w:shd w:val="clear" w:color="auto" w:fill="D9E2F3"/>
          </w:tcPr>
        </w:tc>
        <w:tc>
          <w:p>
            <w:r>
              <w:rPr>
                <w:sz w:val="19"/>
              </w:rPr>
              <w:t>修订说明</w:t>
            </w:r>
            <w:pPr/>
          </w:p>
          <w:tcPr>
            <w:shd w:val="clear" w:color="auto" w:fill="D9E2F3"/>
          </w:tcPr>
        </w:tc>
        <w:tc>
          <w:p>
            <w:r>
              <w:rPr>
                <w:sz w:val="19"/>
              </w:rPr>
              <w:t>编制/审核</w:t>
            </w:r>
            <w:pPr/>
          </w:p>
          <w:tcPr>
            <w:shd w:val="clear" w:color="auto" w:fill="D9E2F3"/>
          </w:tcPr>
        </w:tc>
      </w:tr>
      <w:tr>
        <w:tc>
          <w:p>
            <w:r>
              <w:rPr>
                <w:sz w:val="19"/>
              </w:rPr>
              <w:t>V1.0</w:t>
            </w:r>
          </w:p>
        </w:tc>
        <w:tc>
          <w:p>
            <w:r>
              <w:rPr>
                <w:sz w:val="19"/>
              </w:rPr>
              <w:t>2026-09-17</w:t>
            </w:r>
          </w:p>
        </w:tc>
        <w:tc>
          <w:p>
            <w:r>
              <w:rPr>
                <w:sz w:val="19"/>
              </w:rPr>
              <w:t>预发布版：基于 PRD v2.2 原型基准编制，覆盖双中心 39 个功能模块</w:t>
            </w:r>
          </w:p>
        </w:tc>
        <w:tc>
          <w:p>
            <w:r>
              <w:rPr>
                <w:sz w:val="19"/>
              </w:rPr>
              <w:t>王亮 / 【待审核】</w:t>
            </w:r>
          </w:p>
        </w:tc>
      </w:tr>
      <w:tr>
        <w:tc>
          <w:p>
            <w:r>
              <w:rPr>
                <w:sz w:val="19"/>
              </w:rPr>
              <w:t>V2.0</w:t>
            </w:r>
          </w:p>
        </w:tc>
        <w:tc>
          <w:p>
            <w:r>
              <w:rPr>
                <w:sz w:val="19"/>
              </w:rPr>
              <w:t>待定</w:t>
            </w:r>
          </w:p>
        </w:tc>
        <w:tc>
          <w:p>
            <w:r>
              <w:rPr>
                <w:sz w:val="19"/>
              </w:rPr>
              <w:t>正式版：系统上线后以实机截图与实际菜单修订</w:t>
            </w:r>
          </w:p>
        </w:tc>
        <w:tc>
          <w:p>
            <w:r>
              <w:rPr>
                <w:sz w:val="19"/>
              </w:rPr>
              <w:t>—</w:t>
            </w:r>
          </w:p>
        </w:tc>
      </w:tr>
    </w:tbl>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4">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5">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6">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7">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8">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9">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0">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1">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2">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3">
    <w:nsid w:val="8D6C8592"/>
    <w:multiLevelType w:val="singleLevel"/>
    <w:tmpl w:val="8D6C8592"/>
    <w:lvl w:ilvl="0" w:tentative="0">
      <w:start w:val="1"/>
      <w:numFmt w:val="decimal"/>
      <w:suff w:val="space"/>
      <w:lvlText w:val=""/>
      <w:lvlJc w:val="left"/>
      <w:pPr>
        <w:ind w:left="0" w:firstLine="482"/>
      </w:pPr>
      <w:rPr>
        <w:rFonts w:hint="default"/>
      </w:rPr>
    </w:lvl>
  </w:abstractNum>
  <w:abstractNum w:abstractNumId="14">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5">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6">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7">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18">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19">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0">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1">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2">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3">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4">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25">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26">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27">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28">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29">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0">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1">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2">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33">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34">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35">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36">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37">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38">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39">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0">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1">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42">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43">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44">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45">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46">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47">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48">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49">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0">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51">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52">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53">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54">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55">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56">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57">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58">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59">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6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6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6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64">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65">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66">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67">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68">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69">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70">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71">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72">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73">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74">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75">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76">
    <w:nsid w:val="D9950A8A"/>
    <w:multiLevelType w:val="singleLevel"/>
    <w:tmpl w:val="D9950A8A"/>
    <w:lvl w:ilvl="0" w:tentative="0">
      <w:start w:val="1"/>
      <w:numFmt w:val="decimal"/>
      <w:suff w:val="space"/>
      <w:lvlText w:val=""/>
      <w:lvlJc w:val="left"/>
      <w:pPr>
        <w:ind w:left="0" w:firstLine="482"/>
      </w:pPr>
      <w:rPr>
        <w:rFonts w:hint="default"/>
      </w:rPr>
    </w:lvl>
  </w:abstractNum>
  <w:abstractNum w:abstractNumId="77">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78">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79">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80">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81">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82">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83">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84">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85">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86">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87">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88">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89">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90">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91">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92">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93">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94">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95">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96">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97">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98">
    <w:nsid w:val="F4B6877E"/>
    <w:multiLevelType w:val="singleLevel"/>
    <w:tmpl w:val="F4B6877E"/>
    <w:lvl w:ilvl="0" w:tentative="0">
      <w:start w:val="1"/>
      <w:numFmt w:val="decimal"/>
      <w:suff w:val="space"/>
      <w:lvlText w:val=""/>
      <w:lvlJc w:val="left"/>
      <w:pPr>
        <w:ind w:left="0" w:firstLine="482"/>
      </w:pPr>
      <w:rPr>
        <w:rFonts w:hint="default"/>
      </w:rPr>
    </w:lvl>
  </w:abstractNum>
  <w:abstractNum w:abstractNumId="99">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00">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01">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02">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03">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04">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05">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06">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07">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08">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09">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10">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1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1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1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1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1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7">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18">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19">
    <w:nsid w:val="035DDBFF"/>
    <w:multiLevelType w:val="singleLevel"/>
    <w:tmpl w:val="035DDBFF"/>
    <w:lvl w:ilvl="0" w:tentative="0">
      <w:start w:val="1"/>
      <w:numFmt w:val="decimal"/>
      <w:suff w:val="space"/>
      <w:lvlText w:val="【%1】"/>
      <w:lvlJc w:val="left"/>
      <w:pPr>
        <w:ind w:left="0" w:firstLine="0"/>
      </w:pPr>
      <w:rPr>
        <w:rFonts w:hint="default"/>
      </w:rPr>
    </w:lvl>
  </w:abstractNum>
  <w:abstractNum w:abstractNumId="120">
    <w:nsid w:val="03619399"/>
    <w:multiLevelType w:val="singleLevel"/>
    <w:tmpl w:val="03619399"/>
    <w:lvl w:ilvl="0" w:tentative="0">
      <w:start w:val="1"/>
      <w:numFmt w:val="decimal"/>
      <w:suff w:val="space"/>
      <w:lvlText w:val=""/>
      <w:lvlJc w:val="left"/>
      <w:pPr>
        <w:ind w:left="0" w:firstLine="482"/>
      </w:pPr>
      <w:rPr>
        <w:rFonts w:hint="default"/>
      </w:rPr>
    </w:lvl>
  </w:abstractNum>
  <w:abstractNum w:abstractNumId="121">
    <w:nsid w:val="03E59675"/>
    <w:multiLevelType w:val="singleLevel"/>
    <w:tmpl w:val="03E59675"/>
    <w:lvl w:ilvl="0" w:tentative="0">
      <w:start w:val="1"/>
      <w:numFmt w:val="decimal"/>
      <w:suff w:val="space"/>
      <w:lvlText w:val="【%1】"/>
      <w:lvlJc w:val="left"/>
      <w:pPr>
        <w:ind w:left="0" w:firstLine="0"/>
      </w:pPr>
      <w:rPr>
        <w:rFonts w:hint="default"/>
      </w:rPr>
    </w:lvl>
  </w:abstractNum>
  <w:abstractNum w:abstractNumId="122">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23">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24">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25">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26">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27">
    <w:nsid w:val="0E46F189"/>
    <w:multiLevelType w:val="singleLevel"/>
    <w:tmpl w:val="0E46F189"/>
    <w:lvl w:ilvl="0" w:tentative="0">
      <w:start w:val="1"/>
      <w:numFmt w:val="decimal"/>
      <w:suff w:val="space"/>
      <w:lvlText w:val=""/>
      <w:lvlJc w:val="left"/>
      <w:pPr>
        <w:ind w:left="0" w:firstLine="482"/>
      </w:pPr>
      <w:rPr>
        <w:rFonts w:hint="default"/>
      </w:rPr>
    </w:lvl>
  </w:abstractNum>
  <w:abstractNum w:abstractNumId="128">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29">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30">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31">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32">
    <w:nsid w:val="167F47A5"/>
    <w:multiLevelType w:val="singleLevel"/>
    <w:tmpl w:val="167F47A5"/>
    <w:lvl w:ilvl="0" w:tentative="0">
      <w:start w:val="1"/>
      <w:numFmt w:val="decimal"/>
      <w:suff w:val="space"/>
      <w:lvlText w:val=""/>
      <w:lvlJc w:val="left"/>
      <w:pPr>
        <w:ind w:left="0" w:firstLine="482"/>
      </w:pPr>
      <w:rPr>
        <w:rFonts w:hint="default"/>
      </w:rPr>
    </w:lvl>
  </w:abstractNum>
  <w:abstractNum w:abstractNumId="133">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34">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35">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36">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37">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38">
    <w:nsid w:val="1D5018F3"/>
    <w:multiLevelType w:val="singleLevel"/>
    <w:tmpl w:val="1D5018F3"/>
    <w:lvl w:ilvl="0" w:tentative="0">
      <w:start w:val="1"/>
      <w:numFmt w:val="decimal"/>
      <w:suff w:val="space"/>
      <w:lvlText w:val=""/>
      <w:lvlJc w:val="left"/>
      <w:pPr>
        <w:ind w:left="0" w:firstLine="482"/>
      </w:pPr>
      <w:rPr>
        <w:rFonts w:hint="default"/>
      </w:rPr>
    </w:lvl>
  </w:abstractNum>
  <w:abstractNum w:abstractNumId="139">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40">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41">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42">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43">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44">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45">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46">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47">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48">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49">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50">
    <w:nsid w:val="2961C5EE"/>
    <w:multiLevelType w:val="singleLevel"/>
    <w:tmpl w:val="2961C5EE"/>
    <w:lvl w:ilvl="0" w:tentative="0">
      <w:start w:val="1"/>
      <w:numFmt w:val="decimal"/>
      <w:suff w:val="space"/>
      <w:lvlText w:val=""/>
      <w:lvlJc w:val="left"/>
      <w:pPr>
        <w:ind w:left="0" w:firstLine="482"/>
      </w:pPr>
      <w:rPr>
        <w:rFonts w:hint="default"/>
      </w:rPr>
    </w:lvl>
  </w:abstractNum>
  <w:abstractNum w:abstractNumId="151">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52">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53">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54">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55">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56">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57">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58">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59">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60">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61">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62">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63">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64">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65">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6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6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6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69">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70">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71">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72">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73">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74">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75">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76">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77">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78">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179">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180">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181">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182">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183">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184">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185">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186">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187">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188">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189">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190">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191">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192">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193">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194">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195">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196">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197">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198">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199">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00">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01">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02">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03">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04">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05">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06">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07">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08">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09">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10">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11">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12">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13">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14">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15">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16">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17">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12"/>
  </w:num>
  <w:num w:numId="2">
    <w:abstractNumId w:val="115"/>
  </w:num>
  <w:num w:numId="3">
    <w:abstractNumId w:val="116"/>
  </w:num>
  <w:num w:numId="4">
    <w:abstractNumId w:val="113"/>
  </w:num>
  <w:num w:numId="5">
    <w:abstractNumId w:val="111"/>
  </w:num>
  <w:num w:numId="6">
    <w:abstractNumId w:val="114"/>
  </w:num>
  <w:num w:numId="7">
    <w:abstractNumId w:val="209"/>
  </w:num>
  <w:num w:numId="8">
    <w:abstractNumId w:val="86"/>
  </w:num>
  <w:num w:numId="9">
    <w:abstractNumId w:val="158"/>
  </w:num>
  <w:num w:numId="10">
    <w:abstractNumId w:val="211"/>
  </w:num>
  <w:num w:numId="11">
    <w:abstractNumId w:val="46"/>
  </w:num>
  <w:num w:numId="12">
    <w:abstractNumId w:val="171"/>
  </w:num>
  <w:num w:numId="13">
    <w:abstractNumId w:val="14"/>
  </w:num>
  <w:num w:numId="14">
    <w:abstractNumId w:val="203"/>
  </w:num>
  <w:num w:numId="15">
    <w:abstractNumId w:val="29"/>
  </w:num>
  <w:num w:numId="16">
    <w:abstractNumId w:val="201"/>
  </w:num>
  <w:num w:numId="17">
    <w:abstractNumId w:val="117"/>
  </w:num>
  <w:num w:numId="18">
    <w:abstractNumId w:val="69"/>
  </w:num>
  <w:num w:numId="19">
    <w:abstractNumId w:val="172"/>
  </w:num>
  <w:num w:numId="20">
    <w:abstractNumId w:val="142"/>
  </w:num>
  <w:num w:numId="21">
    <w:abstractNumId w:val="39"/>
  </w:num>
  <w:num w:numId="22">
    <w:abstractNumId w:val="192"/>
  </w:num>
  <w:num w:numId="23">
    <w:abstractNumId w:val="62"/>
  </w:num>
  <w:num w:numId="24">
    <w:abstractNumId w:val="214"/>
  </w:num>
  <w:num w:numId="25">
    <w:abstractNumId w:val="141"/>
  </w:num>
  <w:num w:numId="26">
    <w:abstractNumId w:val="206"/>
  </w:num>
  <w:num w:numId="27">
    <w:abstractNumId w:val="102"/>
  </w:num>
  <w:num w:numId="28">
    <w:abstractNumId w:val="55"/>
  </w:num>
  <w:num w:numId="29">
    <w:abstractNumId w:val="73"/>
  </w:num>
  <w:num w:numId="30">
    <w:abstractNumId w:val="15"/>
  </w:num>
  <w:num w:numId="31">
    <w:abstractNumId w:val="134"/>
  </w:num>
  <w:num w:numId="32">
    <w:abstractNumId w:val="67"/>
  </w:num>
  <w:num w:numId="33">
    <w:abstractNumId w:val="59"/>
  </w:num>
  <w:num w:numId="34">
    <w:abstractNumId w:val="205"/>
  </w:num>
  <w:num w:numId="35">
    <w:abstractNumId w:val="216"/>
  </w:num>
  <w:num w:numId="36">
    <w:abstractNumId w:val="93"/>
  </w:num>
  <w:num w:numId="37">
    <w:abstractNumId w:val="105"/>
  </w:num>
  <w:num w:numId="38">
    <w:abstractNumId w:val="135"/>
  </w:num>
  <w:num w:numId="39">
    <w:abstractNumId w:val="200"/>
  </w:num>
  <w:num w:numId="40">
    <w:abstractNumId w:val="176"/>
  </w:num>
  <w:num w:numId="41">
    <w:abstractNumId w:val="57"/>
  </w:num>
  <w:num w:numId="42">
    <w:abstractNumId w:val="36"/>
  </w:num>
  <w:num w:numId="43">
    <w:abstractNumId w:val="198"/>
  </w:num>
  <w:num w:numId="44">
    <w:abstractNumId w:val="12"/>
  </w:num>
  <w:num w:numId="45">
    <w:abstractNumId w:val="181"/>
  </w:num>
  <w:num w:numId="46">
    <w:abstractNumId w:val="45"/>
  </w:num>
  <w:num w:numId="47">
    <w:abstractNumId w:val="146"/>
  </w:num>
  <w:num w:numId="48">
    <w:abstractNumId w:val="139"/>
  </w:num>
  <w:num w:numId="49">
    <w:abstractNumId w:val="61"/>
  </w:num>
  <w:num w:numId="50">
    <w:abstractNumId w:val="187"/>
  </w:num>
  <w:num w:numId="51">
    <w:abstractNumId w:val="169"/>
  </w:num>
  <w:num w:numId="52">
    <w:abstractNumId w:val="110"/>
  </w:num>
  <w:num w:numId="53">
    <w:abstractNumId w:val="167"/>
  </w:num>
  <w:num w:numId="54">
    <w:abstractNumId w:val="52"/>
  </w:num>
  <w:num w:numId="55">
    <w:abstractNumId w:val="164"/>
  </w:num>
  <w:num w:numId="56">
    <w:abstractNumId w:val="1"/>
  </w:num>
  <w:num w:numId="57">
    <w:abstractNumId w:val="101"/>
  </w:num>
  <w:num w:numId="58">
    <w:abstractNumId w:val="75"/>
  </w:num>
  <w:num w:numId="59">
    <w:abstractNumId w:val="33"/>
  </w:num>
  <w:num w:numId="60">
    <w:abstractNumId w:val="11"/>
  </w:num>
  <w:num w:numId="61">
    <w:abstractNumId w:val="34"/>
  </w:num>
  <w:num w:numId="62">
    <w:abstractNumId w:val="4"/>
  </w:num>
  <w:num w:numId="63">
    <w:abstractNumId w:val="170"/>
  </w:num>
  <w:num w:numId="64">
    <w:abstractNumId w:val="128"/>
  </w:num>
  <w:num w:numId="65">
    <w:abstractNumId w:val="215"/>
  </w:num>
  <w:num w:numId="66">
    <w:abstractNumId w:val="207"/>
  </w:num>
  <w:num w:numId="67">
    <w:abstractNumId w:val="50"/>
  </w:num>
  <w:num w:numId="68">
    <w:abstractNumId w:val="190"/>
  </w:num>
  <w:num w:numId="69">
    <w:abstractNumId w:val="32"/>
  </w:num>
  <w:num w:numId="70">
    <w:abstractNumId w:val="119"/>
  </w:num>
  <w:num w:numId="71">
    <w:abstractNumId w:val="132"/>
  </w:num>
  <w:num w:numId="72">
    <w:abstractNumId w:val="13"/>
  </w:num>
  <w:num w:numId="73">
    <w:abstractNumId w:val="138"/>
  </w:num>
  <w:num w:numId="74">
    <w:abstractNumId w:val="127"/>
  </w:num>
  <w:num w:numId="75">
    <w:abstractNumId w:val="162"/>
  </w:num>
  <w:num w:numId="76">
    <w:abstractNumId w:val="156"/>
  </w:num>
  <w:num w:numId="77">
    <w:abstractNumId w:val="165"/>
  </w:num>
  <w:num w:numId="78">
    <w:abstractNumId w:val="77"/>
  </w:num>
  <w:num w:numId="79">
    <w:abstractNumId w:val="108"/>
  </w:num>
  <w:num w:numId="80">
    <w:abstractNumId w:val="183"/>
  </w:num>
  <w:num w:numId="81">
    <w:abstractNumId w:val="160"/>
  </w:num>
  <w:num w:numId="82">
    <w:abstractNumId w:val="68"/>
  </w:num>
  <w:num w:numId="83">
    <w:abstractNumId w:val="21"/>
  </w:num>
  <w:num w:numId="84">
    <w:abstractNumId w:val="25"/>
  </w:num>
  <w:num w:numId="85">
    <w:abstractNumId w:val="204"/>
  </w:num>
  <w:num w:numId="86">
    <w:abstractNumId w:val="151"/>
  </w:num>
  <w:num w:numId="87">
    <w:abstractNumId w:val="7"/>
  </w:num>
  <w:num w:numId="88">
    <w:abstractNumId w:val="197"/>
  </w:num>
  <w:num w:numId="89">
    <w:abstractNumId w:val="38"/>
  </w:num>
  <w:num w:numId="90">
    <w:abstractNumId w:val="121"/>
  </w:num>
  <w:num w:numId="91">
    <w:abstractNumId w:val="98"/>
  </w:num>
  <w:num w:numId="92">
    <w:abstractNumId w:val="76"/>
  </w:num>
  <w:num w:numId="93">
    <w:abstractNumId w:val="150"/>
  </w:num>
  <w:num w:numId="94">
    <w:abstractNumId w:val="120"/>
  </w:num>
  <w:num w:numId="95">
    <w:abstractNumId w:val="136"/>
  </w:num>
  <w:num w:numId="96">
    <w:abstractNumId w:val="159"/>
  </w:num>
  <w:num w:numId="97">
    <w:abstractNumId w:val="149"/>
  </w:num>
  <w:num w:numId="98">
    <w:abstractNumId w:val="126"/>
  </w:num>
  <w:num w:numId="99">
    <w:abstractNumId w:val="9"/>
  </w:num>
  <w:num w:numId="100">
    <w:abstractNumId w:val="194"/>
  </w:num>
  <w:num w:numId="101">
    <w:abstractNumId w:val="19"/>
  </w:num>
  <w:num w:numId="102">
    <w:abstractNumId w:val="208"/>
  </w:num>
  <w:num w:numId="103">
    <w:abstractNumId w:val="87"/>
  </w:num>
  <w:num w:numId="104">
    <w:abstractNumId w:val="80"/>
  </w:num>
  <w:num w:numId="105">
    <w:abstractNumId w:val="147"/>
  </w:num>
  <w:num w:numId="106">
    <w:abstractNumId w:val="28"/>
  </w:num>
  <w:num w:numId="107">
    <w:abstractNumId w:val="99"/>
  </w:num>
  <w:num w:numId="108">
    <w:abstractNumId w:val="124"/>
  </w:num>
  <w:num w:numId="109">
    <w:abstractNumId w:val="168"/>
  </w:num>
  <w:num w:numId="110">
    <w:abstractNumId w:val="133"/>
  </w:num>
  <w:num w:numId="111">
    <w:abstractNumId w:val="43"/>
  </w:num>
  <w:num w:numId="112">
    <w:abstractNumId w:val="140"/>
  </w:num>
  <w:num w:numId="113">
    <w:abstractNumId w:val="0"/>
  </w:num>
  <w:num w:numId="114">
    <w:abstractNumId w:val="53"/>
  </w:num>
  <w:num w:numId="115">
    <w:abstractNumId w:val="81"/>
  </w:num>
  <w:num w:numId="116">
    <w:abstractNumId w:val="48"/>
  </w:num>
  <w:num w:numId="117">
    <w:abstractNumId w:val="56"/>
  </w:num>
  <w:num w:numId="118">
    <w:abstractNumId w:val="26"/>
  </w:num>
  <w:num w:numId="119">
    <w:abstractNumId w:val="153"/>
  </w:num>
  <w:num w:numId="120">
    <w:abstractNumId w:val="106"/>
  </w:num>
  <w:num w:numId="121">
    <w:abstractNumId w:val="71"/>
  </w:num>
  <w:num w:numId="122">
    <w:abstractNumId w:val="184"/>
  </w:num>
  <w:num w:numId="123">
    <w:abstractNumId w:val="213"/>
  </w:num>
  <w:num w:numId="124">
    <w:abstractNumId w:val="74"/>
  </w:num>
  <w:num w:numId="125">
    <w:abstractNumId w:val="94"/>
  </w:num>
  <w:num w:numId="126">
    <w:abstractNumId w:val="199"/>
  </w:num>
  <w:num w:numId="127">
    <w:abstractNumId w:val="89"/>
  </w:num>
  <w:num w:numId="128">
    <w:abstractNumId w:val="79"/>
  </w:num>
  <w:num w:numId="129">
    <w:abstractNumId w:val="148"/>
  </w:num>
  <w:num w:numId="130">
    <w:abstractNumId w:val="18"/>
  </w:num>
  <w:num w:numId="131">
    <w:abstractNumId w:val="84"/>
  </w:num>
  <w:num w:numId="132">
    <w:abstractNumId w:val="202"/>
  </w:num>
  <w:num w:numId="133">
    <w:abstractNumId w:val="44"/>
  </w:num>
  <w:num w:numId="134">
    <w:abstractNumId w:val="27"/>
  </w:num>
  <w:num w:numId="135">
    <w:abstractNumId w:val="54"/>
  </w:num>
  <w:num w:numId="136">
    <w:abstractNumId w:val="180"/>
  </w:num>
  <w:num w:numId="137">
    <w:abstractNumId w:val="88"/>
  </w:num>
  <w:num w:numId="138">
    <w:abstractNumId w:val="60"/>
  </w:num>
  <w:num w:numId="139">
    <w:abstractNumId w:val="78"/>
  </w:num>
  <w:num w:numId="140">
    <w:abstractNumId w:val="118"/>
  </w:num>
  <w:num w:numId="141">
    <w:abstractNumId w:val="37"/>
  </w:num>
  <w:num w:numId="142">
    <w:abstractNumId w:val="129"/>
  </w:num>
  <w:num w:numId="143">
    <w:abstractNumId w:val="22"/>
  </w:num>
  <w:num w:numId="144">
    <w:abstractNumId w:val="161"/>
  </w:num>
  <w:num w:numId="145">
    <w:abstractNumId w:val="125"/>
  </w:num>
  <w:num w:numId="146">
    <w:abstractNumId w:val="49"/>
  </w:num>
  <w:num w:numId="147">
    <w:abstractNumId w:val="210"/>
  </w:num>
  <w:num w:numId="148">
    <w:abstractNumId w:val="104"/>
  </w:num>
  <w:num w:numId="149">
    <w:abstractNumId w:val="64"/>
  </w:num>
  <w:num w:numId="150">
    <w:abstractNumId w:val="193"/>
  </w:num>
  <w:num w:numId="151">
    <w:abstractNumId w:val="166"/>
  </w:num>
  <w:num w:numId="152">
    <w:abstractNumId w:val="70"/>
  </w:num>
  <w:num w:numId="153">
    <w:abstractNumId w:val="72"/>
  </w:num>
  <w:num w:numId="154">
    <w:abstractNumId w:val="174"/>
  </w:num>
  <w:num w:numId="155">
    <w:abstractNumId w:val="91"/>
  </w:num>
  <w:num w:numId="156">
    <w:abstractNumId w:val="3"/>
  </w:num>
  <w:num w:numId="157">
    <w:abstractNumId w:val="188"/>
  </w:num>
  <w:num w:numId="158">
    <w:abstractNumId w:val="154"/>
  </w:num>
  <w:num w:numId="159">
    <w:abstractNumId w:val="41"/>
  </w:num>
  <w:num w:numId="160">
    <w:abstractNumId w:val="96"/>
  </w:num>
  <w:num w:numId="161">
    <w:abstractNumId w:val="58"/>
  </w:num>
  <w:num w:numId="162">
    <w:abstractNumId w:val="16"/>
  </w:num>
  <w:num w:numId="163">
    <w:abstractNumId w:val="144"/>
  </w:num>
  <w:num w:numId="164">
    <w:abstractNumId w:val="130"/>
  </w:num>
  <w:num w:numId="165">
    <w:abstractNumId w:val="173"/>
  </w:num>
  <w:num w:numId="166">
    <w:abstractNumId w:val="179"/>
  </w:num>
  <w:num w:numId="167">
    <w:abstractNumId w:val="157"/>
  </w:num>
  <w:num w:numId="168">
    <w:abstractNumId w:val="47"/>
  </w:num>
  <w:num w:numId="169">
    <w:abstractNumId w:val="97"/>
  </w:num>
  <w:num w:numId="170">
    <w:abstractNumId w:val="186"/>
  </w:num>
  <w:num w:numId="171">
    <w:abstractNumId w:val="109"/>
  </w:num>
  <w:num w:numId="172">
    <w:abstractNumId w:val="24"/>
  </w:num>
  <w:num w:numId="173">
    <w:abstractNumId w:val="31"/>
  </w:num>
  <w:num w:numId="174">
    <w:abstractNumId w:val="35"/>
  </w:num>
  <w:num w:numId="175">
    <w:abstractNumId w:val="177"/>
  </w:num>
  <w:num w:numId="176">
    <w:abstractNumId w:val="212"/>
  </w:num>
  <w:num w:numId="177">
    <w:abstractNumId w:val="40"/>
  </w:num>
  <w:num w:numId="178">
    <w:abstractNumId w:val="182"/>
  </w:num>
  <w:num w:numId="179">
    <w:abstractNumId w:val="30"/>
  </w:num>
  <w:num w:numId="180">
    <w:abstractNumId w:val="152"/>
  </w:num>
  <w:num w:numId="181">
    <w:abstractNumId w:val="2"/>
  </w:num>
  <w:num w:numId="182">
    <w:abstractNumId w:val="20"/>
  </w:num>
  <w:num w:numId="183">
    <w:abstractNumId w:val="155"/>
  </w:num>
  <w:num w:numId="184">
    <w:abstractNumId w:val="10"/>
  </w:num>
  <w:num w:numId="185">
    <w:abstractNumId w:val="42"/>
  </w:num>
  <w:num w:numId="186">
    <w:abstractNumId w:val="196"/>
  </w:num>
  <w:num w:numId="187">
    <w:abstractNumId w:val="191"/>
  </w:num>
  <w:num w:numId="188">
    <w:abstractNumId w:val="137"/>
  </w:num>
  <w:num w:numId="189">
    <w:abstractNumId w:val="123"/>
  </w:num>
  <w:num w:numId="190">
    <w:abstractNumId w:val="90"/>
  </w:num>
  <w:num w:numId="191">
    <w:abstractNumId w:val="107"/>
  </w:num>
  <w:num w:numId="192">
    <w:abstractNumId w:val="63"/>
  </w:num>
  <w:num w:numId="193">
    <w:abstractNumId w:val="83"/>
  </w:num>
  <w:num w:numId="194">
    <w:abstractNumId w:val="217"/>
  </w:num>
  <w:num w:numId="195">
    <w:abstractNumId w:val="178"/>
  </w:num>
  <w:num w:numId="196">
    <w:abstractNumId w:val="175"/>
  </w:num>
  <w:num w:numId="197">
    <w:abstractNumId w:val="145"/>
  </w:num>
  <w:num w:numId="198">
    <w:abstractNumId w:val="17"/>
  </w:num>
  <w:num w:numId="199">
    <w:abstractNumId w:val="85"/>
  </w:num>
  <w:num w:numId="200">
    <w:abstractNumId w:val="100"/>
  </w:num>
  <w:num w:numId="201">
    <w:abstractNumId w:val="82"/>
  </w:num>
  <w:num w:numId="202">
    <w:abstractNumId w:val="122"/>
  </w:num>
  <w:num w:numId="203">
    <w:abstractNumId w:val="143"/>
  </w:num>
  <w:num w:numId="204">
    <w:abstractNumId w:val="131"/>
  </w:num>
  <w:num w:numId="205">
    <w:abstractNumId w:val="6"/>
  </w:num>
  <w:num w:numId="206">
    <w:abstractNumId w:val="66"/>
  </w:num>
  <w:num w:numId="207">
    <w:abstractNumId w:val="51"/>
  </w:num>
  <w:num w:numId="208">
    <w:abstractNumId w:val="92"/>
  </w:num>
  <w:num w:numId="209">
    <w:abstractNumId w:val="185"/>
  </w:num>
  <w:num w:numId="210">
    <w:abstractNumId w:val="65"/>
  </w:num>
  <w:num w:numId="211">
    <w:abstractNumId w:val="163"/>
  </w:num>
  <w:num w:numId="212">
    <w:abstractNumId w:val="189"/>
  </w:num>
  <w:num w:numId="213">
    <w:abstractNumId w:val="195"/>
  </w:num>
  <w:num w:numId="214">
    <w:abstractNumId w:val="8"/>
  </w:num>
  <w:num w:numId="215">
    <w:abstractNumId w:val="95"/>
  </w:num>
  <w:num w:numId="216">
    <w:abstractNumId w:val="5"/>
  </w:num>
  <w:num w:numId="217">
    <w:abstractNumId w:val="103"/>
  </w:num>
  <w:num w:numId="218">
    <w:abstractNumId w:val="23"/>
  </w:num>
  <w:num w:numId="219">
    <w:abstractNumId w:val="209"/>
  </w:num>
  <w:num w:numId="220">
    <w:abstractNumId w:val="86"/>
  </w:num>
  <w:num w:numId="221">
    <w:abstractNumId w:val="86"/>
  </w:num>
  <w:num w:numId="222">
    <w:abstractNumId w:val="201"/>
  </w:num>
  <w:num w:numId="223">
    <w:abstractNumId w:val="86"/>
  </w:num>
  <w:num w:numId="224">
    <w:abstractNumId w:val="201"/>
  </w:num>
  <w:num w:numId="225">
    <w:abstractNumId w:val="117"/>
  </w:num>
  <w:num w:numId="226">
    <w:abstractNumId w:val="192"/>
  </w:num>
  <w:num w:numId="227">
    <w:abstractNumId w:val="201"/>
  </w:num>
  <w:num w:numId="228">
    <w:abstractNumId w:val="55"/>
  </w:num>
  <w:num w:numId="229">
    <w:abstractNumId w:val="135"/>
  </w:num>
  <w:num w:numId="230">
    <w:abstractNumId w:val="198"/>
  </w:num>
  <w:num w:numId="231">
    <w:abstractNumId w:val="61"/>
  </w:num>
  <w:num w:numId="232">
    <w:abstractNumId w:val="52"/>
  </w:num>
  <w:num w:numId="233">
    <w:abstractNumId w:val="33"/>
  </w:num>
  <w:num w:numId="234">
    <w:abstractNumId w:val="201"/>
  </w:num>
  <w:num w:numId="235">
    <w:abstractNumId w:val="215"/>
  </w:num>
  <w:num w:numId="236">
    <w:abstractNumId w:val="119"/>
  </w:num>
  <w:num w:numId="237">
    <w:abstractNumId w:val="162"/>
  </w:num>
  <w:num w:numId="238">
    <w:abstractNumId w:val="183"/>
  </w:num>
  <w:num w:numId="239">
    <w:abstractNumId w:val="204"/>
  </w:num>
  <w:num w:numId="240">
    <w:abstractNumId w:val="121"/>
  </w:num>
  <w:num w:numId="241">
    <w:abstractNumId w:val="201"/>
  </w:num>
  <w:num w:numId="242">
    <w:abstractNumId w:val="159"/>
  </w:num>
  <w:num w:numId="243">
    <w:abstractNumId w:val="19"/>
  </w:num>
  <w:num w:numId="244">
    <w:abstractNumId w:val="28"/>
  </w:num>
  <w:num w:numId="245">
    <w:abstractNumId w:val="43"/>
  </w:num>
  <w:num w:numId="246">
    <w:abstractNumId w:val="201"/>
  </w:num>
  <w:num w:numId="247">
    <w:abstractNumId w:val="48"/>
  </w:num>
  <w:num w:numId="248">
    <w:abstractNumId w:val="71"/>
  </w:num>
  <w:num w:numId="249">
    <w:abstractNumId w:val="199"/>
  </w:num>
  <w:num w:numId="250">
    <w:abstractNumId w:val="201"/>
  </w:num>
  <w:num w:numId="251">
    <w:abstractNumId w:val="202"/>
  </w:num>
  <w:num w:numId="252">
    <w:abstractNumId w:val="78"/>
  </w:num>
  <w:num w:numId="253">
    <w:abstractNumId w:val="86"/>
  </w:num>
  <w:num w:numId="254">
    <w:abstractNumId w:val="201"/>
  </w:num>
  <w:num w:numId="255">
    <w:abstractNumId w:val="49"/>
  </w:num>
  <w:num w:numId="256">
    <w:abstractNumId w:val="201"/>
  </w:num>
  <w:num w:numId="257">
    <w:abstractNumId w:val="70"/>
  </w:num>
  <w:num w:numId="258">
    <w:abstractNumId w:val="188"/>
  </w:num>
  <w:num w:numId="259">
    <w:abstractNumId w:val="201"/>
  </w:num>
  <w:num w:numId="260">
    <w:abstractNumId w:val="144"/>
  </w:num>
  <w:num w:numId="261">
    <w:abstractNumId w:val="47"/>
  </w:num>
  <w:num w:numId="262">
    <w:abstractNumId w:val="31"/>
  </w:num>
  <w:num w:numId="263">
    <w:abstractNumId w:val="201"/>
  </w:num>
  <w:num w:numId="264">
    <w:abstractNumId w:val="30"/>
  </w:num>
  <w:num w:numId="265">
    <w:abstractNumId w:val="10"/>
  </w:num>
  <w:num w:numId="266">
    <w:abstractNumId w:val="90"/>
  </w:num>
  <w:num w:numId="267">
    <w:abstractNumId w:val="201"/>
  </w:num>
  <w:num w:numId="268">
    <w:abstractNumId w:val="178"/>
  </w:num>
  <w:num w:numId="269">
    <w:abstractNumId w:val="100"/>
  </w:num>
  <w:num w:numId="270">
    <w:abstractNumId w:val="82"/>
  </w:num>
  <w:num w:numId="271">
    <w:abstractNumId w:val="201"/>
  </w:num>
  <w:num w:numId="272">
    <w:abstractNumId w:val="122"/>
  </w:num>
  <w:num w:numId="273">
    <w:abstractNumId w:val="143"/>
  </w:num>
  <w:num w:numId="274">
    <w:abstractNumId w:val="131"/>
  </w:num>
  <w:num w:numId="275">
    <w:abstractNumId w:val="6"/>
  </w:num>
  <w:num w:numId="276">
    <w:abstractNumId w:val="86"/>
  </w:num>
  <w:num w:numId="277">
    <w:abstractNumId w:val="201"/>
  </w:num>
  <w:num w:numId="27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7D8E"/>
    <w:rsid w:val="02337D11"/>
    <w:rsid w:val="047D2C92"/>
    <w:rsid w:val="047F723D"/>
    <w:rsid w:val="048F7622"/>
    <w:rsid w:val="06BB4388"/>
    <w:rsid w:val="07155C37"/>
    <w:rsid w:val="084F4F9C"/>
    <w:rsid w:val="0951376D"/>
    <w:rsid w:val="095D0797"/>
    <w:rsid w:val="0BE3052D"/>
    <w:rsid w:val="0C185CAA"/>
    <w:rsid w:val="0EB000A1"/>
    <w:rsid w:val="137F7DA4"/>
    <w:rsid w:val="141170ED"/>
    <w:rsid w:val="14A16D5C"/>
    <w:rsid w:val="16646CDD"/>
    <w:rsid w:val="16910FD9"/>
    <w:rsid w:val="18EC3BAD"/>
    <w:rsid w:val="1A58610F"/>
    <w:rsid w:val="1A6233DE"/>
    <w:rsid w:val="1AD055C7"/>
    <w:rsid w:val="1B373F76"/>
    <w:rsid w:val="1B506DE6"/>
    <w:rsid w:val="1CF06AD2"/>
    <w:rsid w:val="1EF83A1C"/>
    <w:rsid w:val="1F877BDE"/>
    <w:rsid w:val="20327478"/>
    <w:rsid w:val="20B47E17"/>
    <w:rsid w:val="21537AB3"/>
    <w:rsid w:val="21EF60F0"/>
    <w:rsid w:val="235B5ADA"/>
    <w:rsid w:val="235C2E4D"/>
    <w:rsid w:val="2472601F"/>
    <w:rsid w:val="248A0711"/>
    <w:rsid w:val="274A5804"/>
    <w:rsid w:val="28D92B11"/>
    <w:rsid w:val="2B095471"/>
    <w:rsid w:val="2BC272BF"/>
    <w:rsid w:val="2DDD44E2"/>
    <w:rsid w:val="2EC465DF"/>
    <w:rsid w:val="2F5051AF"/>
    <w:rsid w:val="30157776"/>
    <w:rsid w:val="30797DCA"/>
    <w:rsid w:val="36594286"/>
    <w:rsid w:val="3670428D"/>
    <w:rsid w:val="36E51695"/>
    <w:rsid w:val="37920A4E"/>
    <w:rsid w:val="37AE5168"/>
    <w:rsid w:val="39355C80"/>
    <w:rsid w:val="3993406B"/>
    <w:rsid w:val="3CE3517D"/>
    <w:rsid w:val="3D3C18A7"/>
    <w:rsid w:val="3EF06996"/>
    <w:rsid w:val="3F6D0FB3"/>
    <w:rsid w:val="41BE6785"/>
    <w:rsid w:val="433F2195"/>
    <w:rsid w:val="44DB54F6"/>
    <w:rsid w:val="44EF003D"/>
    <w:rsid w:val="454F3935"/>
    <w:rsid w:val="464425BB"/>
    <w:rsid w:val="47694F1C"/>
    <w:rsid w:val="48F77029"/>
    <w:rsid w:val="4A880BB7"/>
    <w:rsid w:val="4A943797"/>
    <w:rsid w:val="4AD73EDC"/>
    <w:rsid w:val="4B603EF9"/>
    <w:rsid w:val="4BC0490B"/>
    <w:rsid w:val="4ED82D9F"/>
    <w:rsid w:val="502B33A2"/>
    <w:rsid w:val="51027558"/>
    <w:rsid w:val="51F21D42"/>
    <w:rsid w:val="521E7B60"/>
    <w:rsid w:val="53B44B0B"/>
    <w:rsid w:val="53DC50DF"/>
    <w:rsid w:val="54821AA4"/>
    <w:rsid w:val="551E02E1"/>
    <w:rsid w:val="55306B8D"/>
    <w:rsid w:val="56501DBB"/>
    <w:rsid w:val="57A3611E"/>
    <w:rsid w:val="59B61CFB"/>
    <w:rsid w:val="5A36306F"/>
    <w:rsid w:val="5D08757F"/>
    <w:rsid w:val="5E2418E2"/>
    <w:rsid w:val="5E3308A2"/>
    <w:rsid w:val="5EC26F49"/>
    <w:rsid w:val="60264B67"/>
    <w:rsid w:val="60A732CB"/>
    <w:rsid w:val="60EE7480"/>
    <w:rsid w:val="617F354E"/>
    <w:rsid w:val="62C746D1"/>
    <w:rsid w:val="654362C3"/>
    <w:rsid w:val="66BE7A81"/>
    <w:rsid w:val="671C61EA"/>
    <w:rsid w:val="677D5FDA"/>
    <w:rsid w:val="68176EBD"/>
    <w:rsid w:val="6A063B3C"/>
    <w:rsid w:val="6AE10DD5"/>
    <w:rsid w:val="6B931A72"/>
    <w:rsid w:val="6C092392"/>
    <w:rsid w:val="6C7C1AC7"/>
    <w:rsid w:val="6E46205D"/>
    <w:rsid w:val="6E5D4666"/>
    <w:rsid w:val="6F4F0945"/>
    <w:rsid w:val="6F6F02E9"/>
    <w:rsid w:val="6F911E7E"/>
    <w:rsid w:val="70A72179"/>
    <w:rsid w:val="71DE14A3"/>
    <w:rsid w:val="72414F83"/>
    <w:rsid w:val="72B868C0"/>
    <w:rsid w:val="738F520D"/>
    <w:rsid w:val="73C95144"/>
    <w:rsid w:val="73E45068"/>
    <w:rsid w:val="760D1070"/>
    <w:rsid w:val="766905FD"/>
    <w:rsid w:val="77D2720E"/>
    <w:rsid w:val="784A5B3F"/>
    <w:rsid w:val="79A557F7"/>
    <w:rsid w:val="79D43F4C"/>
    <w:rsid w:val="7E3C2153"/>
    <w:rsid w:val="7F6372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185</Pages>
  <Words>190</Words>
  <Characters>242</Characters>
  <Lines>0</Lines>
  <Paragraphs>0</Paragraphs>
  <TotalTime>536</TotalTime>
  <ScaleCrop>false</ScaleCrop>
  <LinksUpToDate>false</LinksUpToDate>
  <CharactersWithSpaces>251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2026-09-17T02:19:34Z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02975A3A65374B3B911E4CE4759B6884_12</vt:lpwstr>
  </property>
</Properties>
</file>