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521498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集控中心</w:t>
      </w:r>
      <w:r>
        <w:rPr>
          <w:rFonts w:hint="eastAsia"/>
          <w:b/>
          <w:bCs/>
          <w:sz w:val="32"/>
          <w:szCs w:val="32"/>
        </w:rPr>
        <w:t>集中监管</w:t>
      </w:r>
      <w:r>
        <w:rPr>
          <w:rFonts w:hint="eastAsia"/>
          <w:b/>
          <w:bCs/>
          <w:sz w:val="32"/>
          <w:szCs w:val="32"/>
          <w:lang w:val="en-US" w:eastAsia="zh-CN"/>
        </w:rPr>
        <w:t>功能详述</w:t>
      </w:r>
    </w:p>
    <w:p w14:paraId="2B37507E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指标管控</w:t>
      </w:r>
    </w:p>
    <w:p w14:paraId="4ABE996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页面左侧以树状结构展示经营单位与项目公</w:t>
      </w:r>
      <w:bookmarkStart w:id="0" w:name="_GoBack"/>
      <w:bookmarkEnd w:id="0"/>
      <w:r>
        <w:rPr>
          <w:rFonts w:hint="eastAsia"/>
          <w:b w:val="0"/>
          <w:bCs w:val="0"/>
          <w:sz w:val="28"/>
          <w:szCs w:val="28"/>
          <w:lang w:val="en-US" w:eastAsia="zh-CN"/>
        </w:rPr>
        <w:t>司的对应关系，参考园区-工厂对应关系表，置灰项目公司本次不接入；</w:t>
      </w:r>
    </w:p>
    <w:p w14:paraId="00E4E4A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页面右上方提供时间维度选择（月/年）及时间范围选择；偏下点位置展示经营单位及项目公司整体指标，重点突出单位能耗碳排放、非化石能源消费占比、非化石能源电力消费物理认定量占比（绿电占比）、单位产值能耗；指标除上述外还包括：开展产品碳足迹分析占比、综合能源消费量、总碳排放量、单位能耗碳排放、单位工业增加值能耗、节能装备应用占比、关键能源数据自动采集率；在各指标值右侧设置向上/向下箭头，来表示同比变化，同时用三种颜色来表示优秀值、正常值、异常值（与标杆值/基准值作对比）；点击各指标进入二级页面，顶部展示XX指标详情，上半区展示指标计算原始数据，包括指标名称、统计周期、当前计算结果、标杆值/基准值信息并说明来源、指标判定结果、参与运算的数据来源（如通过XX系统报送、手动录入、引用国家XX标准等）、指标计算公式；下半区展示指标同比变化、环比变化（提供选择范围，选择规则为经营单位只能与经营单位比，项目公司与项目公司比）、与标杆值/基准值偏差变化；针对变化趋势过大的地方利用AI生成根因分析，如绿电占比同比变化增长10%，生成分析原因为光伏板清洗、阴雨天少等；中间展示产品管控指标包含：单位产品能耗、单位产品电耗、单位产品蒸汽消耗、单位产品天然气消耗、单位产品水耗，以上指标均到产品型号，具体展示方式同上，环比变化范围选定为同型号产品；下方展示关键工序管控指标，具体展示方式同上，环比变化范围选定为同一道工序，项目公司与关键工序对应关系参考“双中心”项目能碳管控指标体系；截图供参考。</w:t>
      </w:r>
    </w:p>
    <w:p w14:paraId="0EE1BC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</w:pPr>
      <w:r>
        <w:drawing>
          <wp:inline distT="0" distB="0" distL="114300" distR="114300">
            <wp:extent cx="5904865" cy="2862580"/>
            <wp:effectExtent l="0" t="0" r="825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4865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1AE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909310" cy="2827655"/>
            <wp:effectExtent l="0" t="0" r="381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24C0B"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在线监测</w:t>
      </w:r>
    </w:p>
    <w:p w14:paraId="5693968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页面左侧以树状结构展示经营单位与项目公司的对应关系，参考园区-工厂对应关系表，置灰项目公司本次不接入；</w:t>
      </w:r>
    </w:p>
    <w:p w14:paraId="0255BDC0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页面右上方提供TAB页选择（工序能耗监测/新能源资产监测），偏下点提供时间维度选择（日/月/年）、时间范围、采样频率（例如15/30/60min）选择；工序能耗监测TAB页上方设置电/水/天然气TAB选择，针对电，在右上角设置电量分析/峰谷分析/实时数据三个TAB页，其中电量分析主要展示项目公司用电量曲线和负荷曲线，峰谷分析上半左侧用环形图来展示尖峰平谷占比，并在图右侧给出尖峰平谷的用电量具体数值，上半右侧用柱状图描述每小时/天/月尖峰平谷占比，页面下半侧展示每日小时/天/月的具体数值；实时数据上半部主要展示经营单位上传的所有点位的实时数据，包括：电压、电流、总有功功率、功率因数、正向有功电能、反向有功电能、正向无功电能、反向无功电能；下半部展示正向有功电能曲线；水只展示实时数据，包括：水压、累计流量、瞬时流量；天然气只展示实时数据，包括累计流量，具体参考下图所示。新能源资产监测将指标参数展示在页面上方，勾选指标展示曲线，指标包括：光伏发电功率、逆变器效率、光伏消纳率、储能充放电功率、储能SOC值、储能SOH值、储能直流电压、储能直流电流、市电负荷，默认展示光伏发电功率和储能充放电功率。</w:t>
      </w:r>
    </w:p>
    <w:p w14:paraId="41F981CB">
      <w:pPr>
        <w:numPr>
          <w:ilvl w:val="0"/>
          <w:numId w:val="0"/>
        </w:numPr>
        <w:ind w:leftChars="0"/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589270" cy="2945130"/>
            <wp:effectExtent l="0" t="0" r="381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927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800DD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643880" cy="2954655"/>
            <wp:effectExtent l="0" t="0" r="10160" b="190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388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65C88">
      <w:pPr>
        <w:numPr>
          <w:ilvl w:val="0"/>
          <w:numId w:val="0"/>
        </w:numPr>
        <w:ind w:leftChars="0"/>
        <w:jc w:val="center"/>
      </w:pPr>
    </w:p>
    <w:p w14:paraId="3D5EB169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643880" cy="3168015"/>
            <wp:effectExtent l="0" t="0" r="10160" b="190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3880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9FF8F"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绿电监测</w:t>
      </w:r>
    </w:p>
    <w:p w14:paraId="777A5013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页面左侧以树状结构展示经营单位与项目公司的对应关系，参考园区-工厂对应关系表，置灰项目公司本次不接入；</w:t>
      </w:r>
    </w:p>
    <w:p w14:paraId="7DE180BD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页面右上方提供TAB页选择（新能源发电情况/绿电消纳报告），偏下点提供时间维度选择（日/月/年）、时间范围，日维度：上方展示经营单位光伏装机容量、发电量、等效利用小时数、光伏上网电量、上网收益、消纳电量、消纳收益、消纳率，下方展示消纳率分析、等效小时数分析、收益分析；月/年维度：顶部展示交易绿电及购买绿证量，上方展示指标不变，下方展示消纳率分析、等效小时数分析、发电量分析，截图供参考。绿电消纳报告页面，第一项为报告概述，内容为对XX项目公司新能源资产（光伏、储能系统）运行数据开展绿电消纳统计分析，基于能源管理平台采集的数据，涵盖光伏发电、储能充放电、市电购售电、负荷用电等多维度指标，统计周期：XXXX 年 XX 月 XX 日 —XXXX 年 XX 月 XX 日。第二项为基础信息，展示项目光伏、储能项目信息，包括分布式光伏装机容量、储能系统容量、统计周期总用电量、统计周期光伏发电总量、储能系统充放电总电量，第三项为绿电消纳统计结果，主要为电量拆分及核心指标计算，电量拆分包括光伏总发电量、光伏直接自发自用电量、光伏给储能充电电量、储能放电供给园区负荷电量、光伏上网电量、电网购电电量，核心指标计算需展示计算公式，包括绿电总利用电量、绿电消纳率、绿电占比，第四项为优化建议，根据上述参数，利用AI大模型给出储能策略优化建议与光伏板清洗建议等，第五项为结论，内容为本统计周期内XX公司光伏本地消纳率为____%，用电侧绿电占比____%。</w:t>
      </w:r>
    </w:p>
    <w:p w14:paraId="628F4A5A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910580" cy="2900045"/>
            <wp:effectExtent l="0" t="0" r="2540" b="1079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058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872A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909310" cy="2848610"/>
            <wp:effectExtent l="0" t="0" r="3810" b="127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293" w:bottom="1440" w:left="129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2F13AD"/>
    <w:multiLevelType w:val="singleLevel"/>
    <w:tmpl w:val="832F13AD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848BBC5E"/>
    <w:multiLevelType w:val="singleLevel"/>
    <w:tmpl w:val="848BBC5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</w:rPr>
    </w:lvl>
  </w:abstractNum>
  <w:abstractNum w:abstractNumId="2">
    <w:nsid w:val="BAC8DAF0"/>
    <w:multiLevelType w:val="singleLevel"/>
    <w:tmpl w:val="BAC8DAF0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204BC5"/>
    <w:rsid w:val="4E1731D2"/>
    <w:rsid w:val="60343BAD"/>
    <w:rsid w:val="614800A8"/>
    <w:rsid w:val="66617F03"/>
    <w:rsid w:val="6E204BC5"/>
    <w:rsid w:val="74E52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1878</Words>
  <Characters>1929</Characters>
  <Lines>0</Lines>
  <Paragraphs>0</Paragraphs>
  <TotalTime>29</TotalTime>
  <ScaleCrop>false</ScaleCrop>
  <LinksUpToDate>false</LinksUpToDate>
  <CharactersWithSpaces>1940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2026-08-19T01:34:00Z</dcterms:created>
  <dc:creator>昨天</dc:creator>
  <cp:lastModifiedBy>零点</cp:lastModifiedBy>
  <dcterms:modified xsi:type="dcterms:W3CDTF">2026-08-21T07:59:22Z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A523B76B24AA48268E60BEE155568444_13</vt:lpwstr>
  </property>
  <property fmtid="{D5CDD505-2E9C-101B-9397-08002B2CF9AE}" pid="4" name="KSOTemplateDocerSaveRecord">
    <vt:lpwstr>eyJoZGlkIjoiZDU5ZDlmYmU1OTZkNjFiOTNlNmEwODIzMDRhYWVlMDEiLCJ1c2VySWQiOiIyNDQ2NjUzOTgifQ==</vt:lpwstr>
  </property>
</Properties>
</file>