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03F00">
      <w:pPr>
        <w:spacing w:before="700" w:after="160"/>
        <w:jc w:val="center"/>
        <w:rPr>
          <w:rFonts w:hint="eastAsia" w:ascii="黑体" w:hAnsi="黑体" w:eastAsia="黑体" w:cs="黑体"/>
          <w:b/>
          <w:i w:val="0"/>
          <w:iCs w:val="0"/>
          <w:color w:val="1E3A8A"/>
          <w:sz w:val="44"/>
          <w:szCs w:val="44"/>
        </w:rPr>
      </w:pPr>
    </w:p>
    <w:p w14:paraId="23518A09">
      <w:pPr>
        <w:spacing w:before="700" w:after="160"/>
        <w:jc w:val="center"/>
        <w:rPr>
          <w:rFonts w:hint="eastAsia" w:ascii="黑体" w:hAnsi="黑体" w:eastAsia="黑体" w:cs="黑体"/>
          <w:b/>
          <w:i w:val="0"/>
          <w:iCs w:val="0"/>
          <w:color w:val="1E3A8A"/>
          <w:sz w:val="44"/>
          <w:szCs w:val="44"/>
        </w:rPr>
      </w:pPr>
      <w:r>
        <w:rPr>
          <w:rFonts w:hint="eastAsia" w:ascii="黑体" w:hAnsi="黑体" w:eastAsia="黑体" w:cs="黑体"/>
          <w:b/>
          <w:i w:val="0"/>
          <w:iCs w:val="0"/>
          <w:color w:val="1E3A8A"/>
          <w:sz w:val="44"/>
          <w:szCs w:val="44"/>
        </w:rPr>
        <w:t>特变电工股份有限公司</w:t>
      </w:r>
      <w:r>
        <w:rPr>
          <w:rFonts w:hint="eastAsia" w:ascii="黑体" w:hAnsi="黑体" w:eastAsia="黑体" w:cs="黑体"/>
          <w:b/>
          <w:i w:val="0"/>
          <w:iCs w:val="0"/>
          <w:color w:val="1E3A8A"/>
          <w:sz w:val="44"/>
          <w:szCs w:val="44"/>
        </w:rPr>
        <w:br w:type="textWrapping"/>
      </w:r>
      <w:r>
        <w:rPr>
          <w:rFonts w:hint="eastAsia" w:ascii="黑体" w:hAnsi="黑体" w:eastAsia="黑体" w:cs="黑体"/>
          <w:b/>
          <w:i w:val="0"/>
          <w:iCs w:val="0"/>
          <w:color w:val="1E3A8A"/>
          <w:sz w:val="40"/>
          <w:szCs w:val="40"/>
        </w:rPr>
        <w:t>能碳数字化“双中心”集成平台</w:t>
      </w:r>
    </w:p>
    <w:p w14:paraId="5CD7BDF2">
      <w:pPr>
        <w:spacing w:before="700" w:after="160"/>
        <w:jc w:val="center"/>
        <w:rPr>
          <w:rFonts w:hint="eastAsia" w:ascii="黑体" w:hAnsi="黑体" w:eastAsia="黑体" w:cs="黑体"/>
          <w:b/>
          <w:i w:val="0"/>
          <w:iCs w:val="0"/>
          <w:color w:val="1E3A8A"/>
          <w:sz w:val="44"/>
          <w:szCs w:val="44"/>
        </w:rPr>
      </w:pPr>
    </w:p>
    <w:p w14:paraId="3C56F94D">
      <w:pPr>
        <w:spacing w:before="700" w:after="160"/>
        <w:jc w:val="center"/>
        <w:rPr>
          <w:rFonts w:hint="eastAsia" w:ascii="黑体" w:hAnsi="黑体" w:eastAsia="黑体" w:cs="黑体"/>
          <w:i w:val="0"/>
          <w:iCs w:val="0"/>
          <w:sz w:val="44"/>
          <w:szCs w:val="44"/>
        </w:rPr>
      </w:pPr>
      <w:r>
        <w:rPr>
          <w:rFonts w:hint="eastAsia" w:ascii="黑体" w:hAnsi="黑体" w:eastAsia="黑体" w:cs="黑体"/>
          <w:b/>
          <w:i w:val="0"/>
          <w:iCs w:val="0"/>
          <w:color w:val="1E3A8A"/>
          <w:sz w:val="44"/>
          <w:szCs w:val="44"/>
        </w:rPr>
        <w:br w:type="textWrapping"/>
      </w:r>
      <w:r>
        <w:rPr>
          <w:rFonts w:hint="eastAsia" w:ascii="黑体" w:hAnsi="黑体" w:eastAsia="黑体" w:cs="黑体"/>
          <w:b/>
          <w:i w:val="0"/>
          <w:iCs w:val="0"/>
          <w:color w:val="1E3A8A"/>
          <w:sz w:val="44"/>
          <w:szCs w:val="44"/>
        </w:rPr>
        <w:t>产品需求规格说明书 (PRD)</w:t>
      </w:r>
    </w:p>
    <w:p w14:paraId="13CBB8F3">
      <w:pPr>
        <w:bidi w:val="0"/>
        <w:jc w:val="center"/>
        <w:rPr>
          <w:i w:val="0"/>
          <w:iCs w:val="0"/>
        </w:rPr>
      </w:pPr>
      <w:r>
        <w:rPr>
          <w:i w:val="0"/>
          <w:iCs w:val="0"/>
        </w:rPr>
        <w:t>零碳园区集控中心 + 产品碳足迹集采中心</w:t>
      </w:r>
    </w:p>
    <w:p w14:paraId="78C79C4E">
      <w:pPr>
        <w:bidi w:val="0"/>
        <w:jc w:val="center"/>
        <w:rPr>
          <w:i w:val="0"/>
          <w:iCs w:val="0"/>
        </w:rPr>
      </w:pPr>
    </w:p>
    <w:p w14:paraId="44853650">
      <w:pPr>
        <w:bidi w:val="0"/>
        <w:jc w:val="center"/>
        <w:rPr>
          <w:i w:val="0"/>
          <w:iCs w:val="0"/>
        </w:rPr>
      </w:pPr>
    </w:p>
    <w:p w14:paraId="13E4506B">
      <w:pPr>
        <w:bidi w:val="0"/>
        <w:jc w:val="center"/>
        <w:rPr>
          <w:i w:val="0"/>
          <w:iCs w:val="0"/>
        </w:rPr>
      </w:pPr>
    </w:p>
    <w:p w14:paraId="2CB879B0">
      <w:pPr>
        <w:bidi w:val="0"/>
        <w:jc w:val="center"/>
        <w:rPr>
          <w:i w:val="0"/>
          <w:iCs w:val="0"/>
        </w:rPr>
      </w:pPr>
    </w:p>
    <w:p w14:paraId="3DF0026C">
      <w:pPr>
        <w:bidi w:val="0"/>
        <w:jc w:val="center"/>
        <w:rPr>
          <w:i w:val="0"/>
          <w:iCs w:val="0"/>
        </w:rPr>
      </w:pPr>
    </w:p>
    <w:tbl>
      <w:tblPr>
        <w:tblStyle w:val="36"/>
        <w:tblW w:w="6645" w:type="dxa"/>
        <w:jc w:val="center"/>
        <w:tblLayout w:type="autofit"/>
        <w:tblCellMar>
          <w:top w:w="0" w:type="dxa"/>
          <w:left w:w="108" w:type="dxa"/>
          <w:bottom w:w="0" w:type="dxa"/>
          <w:right w:w="108" w:type="dxa"/>
        </w:tblCellMar>
      </w:tblPr>
      <w:tblGrid>
        <w:gridCol w:w="1638"/>
        <w:gridCol w:w="5007"/>
      </w:tblGrid>
      <w:tr w14:paraId="12C88C35">
        <w:tblPrEx>
          <w:tblCellMar>
            <w:top w:w="0" w:type="dxa"/>
            <w:left w:w="108" w:type="dxa"/>
            <w:bottom w:w="0" w:type="dxa"/>
            <w:right w:w="108" w:type="dxa"/>
          </w:tblCellMar>
        </w:tblPrEx>
        <w:trPr>
          <w:trHeight w:val="288" w:hRule="atLeast"/>
          <w:tblHeader/>
          <w:jc w:val="center"/>
        </w:trPr>
        <w:tc>
          <w:tcPr>
            <w:tcW w:w="1638" w:type="dxa"/>
            <w:tcBorders>
              <w:top w:val="nil"/>
              <w:left w:val="nil"/>
              <w:bottom w:val="nil"/>
              <w:right w:val="nil"/>
              <w:tl2br w:val="nil"/>
            </w:tcBorders>
            <w:shd w:val="clear" w:color="auto" w:fill="FFFFFF"/>
            <w:noWrap w:val="0"/>
            <w:tcMar>
              <w:top w:w="80" w:type="dxa"/>
              <w:left w:w="120" w:type="dxa"/>
              <w:bottom w:w="80" w:type="dxa"/>
              <w:right w:w="120" w:type="dxa"/>
            </w:tcMar>
            <w:vAlign w:val="center"/>
          </w:tcPr>
          <w:p w14:paraId="5B4F2F5B">
            <w:pPr>
              <w:bidi w:val="0"/>
              <w:spacing w:line="240" w:lineRule="auto"/>
              <w:jc w:val="right"/>
              <w:rPr>
                <w:rFonts w:hint="eastAsia" w:eastAsia="宋体"/>
                <w:i w:val="0"/>
                <w:iCs w:val="0"/>
                <w:sz w:val="18"/>
                <w:szCs w:val="18"/>
                <w:lang w:eastAsia="zh-CN"/>
              </w:rPr>
            </w:pPr>
          </w:p>
        </w:tc>
        <w:tc>
          <w:tcPr>
            <w:tcW w:w="5007" w:type="dxa"/>
            <w:tcBorders>
              <w:top w:val="nil"/>
              <w:left w:val="nil"/>
              <w:bottom w:val="nil"/>
              <w:right w:val="nil"/>
            </w:tcBorders>
            <w:shd w:val="clear" w:color="auto" w:fill="FFFFFF"/>
            <w:noWrap w:val="0"/>
            <w:tcMar>
              <w:top w:w="80" w:type="dxa"/>
              <w:left w:w="120" w:type="dxa"/>
              <w:bottom w:w="80" w:type="dxa"/>
              <w:right w:w="120" w:type="dxa"/>
            </w:tcMar>
            <w:vAlign w:val="center"/>
          </w:tcPr>
          <w:p w14:paraId="1EB4645B">
            <w:pPr>
              <w:bidi w:val="0"/>
              <w:spacing w:line="240" w:lineRule="auto"/>
              <w:jc w:val="left"/>
              <w:rPr>
                <w:i w:val="0"/>
                <w:iCs w:val="0"/>
                <w:sz w:val="18"/>
                <w:szCs w:val="18"/>
              </w:rPr>
            </w:pPr>
          </w:p>
        </w:tc>
      </w:tr>
      <w:tr w14:paraId="4E0A7160">
        <w:tblPrEx>
          <w:tblCellMar>
            <w:top w:w="0" w:type="dxa"/>
            <w:left w:w="108" w:type="dxa"/>
            <w:bottom w:w="0" w:type="dxa"/>
            <w:right w:w="108" w:type="dxa"/>
          </w:tblCellMar>
        </w:tblPrEx>
        <w:trPr>
          <w:trHeight w:val="170" w:hRule="atLeast"/>
          <w:tblHeader/>
          <w:jc w:val="center"/>
        </w:trPr>
        <w:tc>
          <w:tcPr>
            <w:tcW w:w="1638" w:type="dxa"/>
            <w:tcBorders>
              <w:top w:val="nil"/>
              <w:left w:val="nil"/>
              <w:bottom w:val="nil"/>
              <w:right w:val="nil"/>
            </w:tcBorders>
            <w:shd w:val="clear" w:color="auto" w:fill="FFFFFF"/>
            <w:noWrap w:val="0"/>
            <w:tcMar>
              <w:top w:w="80" w:type="dxa"/>
              <w:left w:w="120" w:type="dxa"/>
              <w:bottom w:w="80" w:type="dxa"/>
              <w:right w:w="120" w:type="dxa"/>
            </w:tcMar>
            <w:vAlign w:val="center"/>
          </w:tcPr>
          <w:p w14:paraId="6169B75A">
            <w:pPr>
              <w:bidi w:val="0"/>
              <w:spacing w:line="240" w:lineRule="auto"/>
              <w:jc w:val="right"/>
              <w:rPr>
                <w:rFonts w:hint="eastAsia" w:eastAsia="宋体"/>
                <w:i w:val="0"/>
                <w:iCs w:val="0"/>
                <w:sz w:val="18"/>
                <w:szCs w:val="18"/>
                <w:lang w:eastAsia="zh-CN"/>
              </w:rPr>
            </w:pPr>
          </w:p>
        </w:tc>
        <w:tc>
          <w:tcPr>
            <w:tcW w:w="5007" w:type="dxa"/>
            <w:tcBorders>
              <w:top w:val="nil"/>
              <w:left w:val="nil"/>
              <w:bottom w:val="nil"/>
              <w:right w:val="nil"/>
            </w:tcBorders>
            <w:shd w:val="clear" w:color="auto" w:fill="FFFFFF"/>
            <w:noWrap w:val="0"/>
            <w:tcMar>
              <w:top w:w="80" w:type="dxa"/>
              <w:left w:w="120" w:type="dxa"/>
              <w:bottom w:w="80" w:type="dxa"/>
              <w:right w:w="120" w:type="dxa"/>
            </w:tcMar>
            <w:vAlign w:val="center"/>
          </w:tcPr>
          <w:p w14:paraId="2453050B">
            <w:pPr>
              <w:bidi w:val="0"/>
              <w:spacing w:line="240" w:lineRule="auto"/>
              <w:jc w:val="left"/>
              <w:rPr>
                <w:i w:val="0"/>
                <w:iCs w:val="0"/>
                <w:sz w:val="18"/>
                <w:szCs w:val="18"/>
              </w:rPr>
            </w:pPr>
          </w:p>
        </w:tc>
      </w:tr>
      <w:tr w14:paraId="7474CA7A">
        <w:tblPrEx>
          <w:tblCellMar>
            <w:top w:w="0" w:type="dxa"/>
            <w:left w:w="108" w:type="dxa"/>
            <w:bottom w:w="0" w:type="dxa"/>
            <w:right w:w="108" w:type="dxa"/>
          </w:tblCellMar>
        </w:tblPrEx>
        <w:trPr>
          <w:trHeight w:val="90" w:hRule="atLeast"/>
          <w:tblHeader/>
          <w:jc w:val="center"/>
        </w:trPr>
        <w:tc>
          <w:tcPr>
            <w:tcW w:w="1638" w:type="dxa"/>
            <w:tcBorders>
              <w:top w:val="nil"/>
              <w:left w:val="nil"/>
              <w:bottom w:val="nil"/>
              <w:right w:val="nil"/>
            </w:tcBorders>
            <w:shd w:val="clear" w:color="auto" w:fill="FFFFFF"/>
            <w:noWrap w:val="0"/>
            <w:tcMar>
              <w:top w:w="80" w:type="dxa"/>
              <w:left w:w="120" w:type="dxa"/>
              <w:bottom w:w="80" w:type="dxa"/>
              <w:right w:w="120" w:type="dxa"/>
            </w:tcMar>
            <w:vAlign w:val="center"/>
          </w:tcPr>
          <w:p w14:paraId="5E48CD13">
            <w:pPr>
              <w:bidi w:val="0"/>
              <w:spacing w:line="240" w:lineRule="auto"/>
              <w:jc w:val="right"/>
              <w:rPr>
                <w:rFonts w:hint="eastAsia" w:eastAsia="宋体"/>
                <w:i w:val="0"/>
                <w:iCs w:val="0"/>
                <w:sz w:val="18"/>
                <w:szCs w:val="18"/>
                <w:lang w:eastAsia="zh-CN"/>
              </w:rPr>
            </w:pPr>
            <w:r>
              <w:rPr>
                <w:i w:val="0"/>
                <w:iCs w:val="0"/>
                <w:sz w:val="18"/>
                <w:szCs w:val="18"/>
              </w:rPr>
              <w:t>正式生效日期</w:t>
            </w:r>
            <w:r>
              <w:rPr>
                <w:rFonts w:hint="eastAsia" w:eastAsia="宋体"/>
                <w:i w:val="0"/>
                <w:iCs w:val="0"/>
                <w:sz w:val="18"/>
                <w:szCs w:val="18"/>
                <w:lang w:eastAsia="zh-CN"/>
              </w:rPr>
              <w:t>：</w:t>
            </w:r>
          </w:p>
        </w:tc>
        <w:tc>
          <w:tcPr>
            <w:tcW w:w="5007" w:type="dxa"/>
            <w:tcBorders>
              <w:top w:val="nil"/>
              <w:left w:val="nil"/>
              <w:bottom w:val="nil"/>
              <w:right w:val="nil"/>
            </w:tcBorders>
            <w:shd w:val="clear" w:color="auto" w:fill="FFFFFF"/>
            <w:noWrap w:val="0"/>
            <w:tcMar>
              <w:top w:w="80" w:type="dxa"/>
              <w:left w:w="120" w:type="dxa"/>
              <w:bottom w:w="80" w:type="dxa"/>
              <w:right w:w="120" w:type="dxa"/>
            </w:tcMar>
            <w:vAlign w:val="center"/>
          </w:tcPr>
          <w:p w14:paraId="5881C9A7">
            <w:pPr>
              <w:bidi w:val="0"/>
              <w:spacing w:line="240" w:lineRule="auto"/>
              <w:jc w:val="left"/>
              <w:rPr>
                <w:i w:val="0"/>
                <w:iCs w:val="0"/>
                <w:sz w:val="18"/>
                <w:szCs w:val="18"/>
              </w:rPr>
            </w:pPr>
            <w:r>
              <w:rPr>
                <w:i w:val="0"/>
                <w:iCs w:val="0"/>
                <w:sz w:val="18"/>
                <w:szCs w:val="18"/>
              </w:rPr>
              <w:t>2026 年 09 月 08 日</w:t>
            </w:r>
          </w:p>
        </w:tc>
      </w:tr>
    </w:tbl>
    <w:p w14:paraId="432062E1">
      <w:pPr>
        <w:rPr>
          <w:i w:val="0"/>
          <w:iCs w:val="0"/>
        </w:rPr>
      </w:pPr>
      <w:r>
        <w:rPr>
          <w:i w:val="0"/>
          <w:iCs w:val="0"/>
        </w:rPr>
        <w:br w:type="page"/>
      </w:r>
    </w:p>
    <w:p w14:paraId="08210664">
      <w:pPr>
        <w:pStyle w:val="3"/>
        <w:keepNext/>
        <w:spacing w:before="360" w:after="160"/>
        <w:jc w:val="center"/>
        <w:outlineLvl w:val="9"/>
        <w:rPr>
          <w:i w:val="0"/>
          <w:iCs w:val="0"/>
          <w:sz w:val="22"/>
          <w:szCs w:val="22"/>
        </w:rPr>
      </w:pPr>
      <w:r>
        <w:rPr>
          <w:rFonts w:hint="eastAsia" w:ascii="微软雅黑" w:hAnsi="微软雅黑" w:eastAsia="宋体"/>
          <w:b/>
          <w:i w:val="0"/>
          <w:iCs w:val="0"/>
          <w:color w:val="1E3A8A"/>
          <w:sz w:val="24"/>
          <w:szCs w:val="22"/>
          <w:lang w:val="en-US" w:eastAsia="zh-CN"/>
        </w:rPr>
        <w:t>修改</w:t>
      </w:r>
      <w:r>
        <w:rPr>
          <w:rFonts w:ascii="微软雅黑" w:hAnsi="微软雅黑"/>
          <w:b/>
          <w:i w:val="0"/>
          <w:iCs w:val="0"/>
          <w:color w:val="1E3A8A"/>
          <w:sz w:val="24"/>
          <w:szCs w:val="22"/>
        </w:rPr>
        <w:t>记录</w:t>
      </w:r>
    </w:p>
    <w:p w14:paraId="6BFF80D4">
      <w:pPr>
        <w:spacing w:after="80" w:line="288" w:lineRule="auto"/>
        <w:ind w:left="0" w:leftChars="0" w:firstLine="440" w:firstLineChars="0"/>
        <w:rPr>
          <w:i w:val="0"/>
          <w:iCs w:val="0"/>
        </w:rPr>
      </w:pPr>
      <w:r>
        <w:rPr>
          <w:rFonts w:ascii="微软雅黑" w:hAnsi="微软雅黑"/>
          <w:i w:val="0"/>
          <w:iCs w:val="0"/>
          <w:color w:val="1F2937"/>
          <w:sz w:val="19"/>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6"/>
        <w:tblW w:w="9790" w:type="dxa"/>
        <w:jc w:val="center"/>
        <w:tblLayout w:type="fixed"/>
        <w:tblCellMar>
          <w:top w:w="0" w:type="dxa"/>
          <w:left w:w="108" w:type="dxa"/>
          <w:bottom w:w="0" w:type="dxa"/>
          <w:right w:w="108" w:type="dxa"/>
        </w:tblCellMar>
      </w:tblPr>
      <w:tblGrid>
        <w:gridCol w:w="1489"/>
        <w:gridCol w:w="1413"/>
        <w:gridCol w:w="2481"/>
        <w:gridCol w:w="3250"/>
        <w:gridCol w:w="1157"/>
      </w:tblGrid>
      <w:tr w14:paraId="1F480076">
        <w:trPr>
          <w:trHeight w:val="0" w:hRule="atLeast"/>
          <w:tblHeader/>
          <w:jc w:val="center"/>
        </w:trPr>
        <w:tc>
          <w:tcPr>
            <w:tcW w:w="1489"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BE239A2">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审签角色</w:t>
            </w:r>
          </w:p>
        </w:tc>
        <w:tc>
          <w:tcPr>
            <w:tcW w:w="1413"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F5EA242">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责任人姓名</w:t>
            </w:r>
          </w:p>
        </w:tc>
        <w:tc>
          <w:tcPr>
            <w:tcW w:w="2481"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0893D212">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部门/岗位</w:t>
            </w:r>
          </w:p>
        </w:tc>
        <w:tc>
          <w:tcPr>
            <w:tcW w:w="3250"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1FF76D2">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审签结论</w:t>
            </w:r>
          </w:p>
        </w:tc>
        <w:tc>
          <w:tcPr>
            <w:tcW w:w="115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3F1DC44">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签署日期</w:t>
            </w:r>
          </w:p>
        </w:tc>
      </w:tr>
      <w:tr w14:paraId="2EC9CA58">
        <w:tblPrEx>
          <w:tblCellMar>
            <w:top w:w="0" w:type="dxa"/>
            <w:left w:w="108" w:type="dxa"/>
            <w:bottom w:w="0" w:type="dxa"/>
            <w:right w:w="108" w:type="dxa"/>
          </w:tblCellMar>
        </w:tblPrEx>
        <w:trPr>
          <w:trHeight w:val="0" w:hRule="atLeast"/>
          <w:jc w:val="center"/>
        </w:trPr>
        <w:tc>
          <w:tcPr>
            <w:tcW w:w="148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A2CA767">
            <w:pPr>
              <w:snapToGrid w:val="0"/>
              <w:spacing w:line="240" w:lineRule="auto"/>
              <w:ind w:left="0" w:leftChars="0" w:right="0" w:rightChars="0" w:firstLine="0" w:firstLineChars="0"/>
              <w:jc w:val="center"/>
              <w:rPr>
                <w:rFonts w:hint="eastAsia" w:ascii="黑体" w:hAnsi="黑体" w:eastAsia="黑体" w:cs="黑体"/>
                <w:i w:val="0"/>
                <w:iCs w:val="0"/>
                <w:sz w:val="17"/>
                <w:lang w:val="en-US" w:eastAsia="zh-CN"/>
              </w:rPr>
            </w:pPr>
            <w:r>
              <w:rPr>
                <w:rFonts w:hint="eastAsia" w:ascii="黑体" w:hAnsi="黑体" w:eastAsia="黑体" w:cs="黑体"/>
                <w:i w:val="0"/>
                <w:iCs w:val="0"/>
                <w:sz w:val="17"/>
                <w:lang w:val="en-US" w:eastAsia="zh-CN"/>
              </w:rPr>
              <w:t>项目经理</w:t>
            </w:r>
          </w:p>
        </w:tc>
        <w:tc>
          <w:tcPr>
            <w:tcW w:w="141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0A33929">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248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AB7660D">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325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7146BAA">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15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F778383">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2026-09-08</w:t>
            </w:r>
          </w:p>
        </w:tc>
      </w:tr>
      <w:tr w14:paraId="2956693E">
        <w:tblPrEx>
          <w:tblCellMar>
            <w:top w:w="0" w:type="dxa"/>
            <w:left w:w="108" w:type="dxa"/>
            <w:bottom w:w="0" w:type="dxa"/>
            <w:right w:w="108" w:type="dxa"/>
          </w:tblCellMar>
        </w:tblPrEx>
        <w:trPr>
          <w:trHeight w:val="0" w:hRule="atLeast"/>
          <w:jc w:val="center"/>
        </w:trPr>
        <w:tc>
          <w:tcPr>
            <w:tcW w:w="148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CBD6A81">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PM 负责人</w:t>
            </w:r>
          </w:p>
        </w:tc>
        <w:tc>
          <w:tcPr>
            <w:tcW w:w="141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BF733BA">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248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A3134AA">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325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4183FCD">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15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F442D65">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2026-09-08</w:t>
            </w:r>
          </w:p>
        </w:tc>
      </w:tr>
      <w:tr w14:paraId="61E52C21">
        <w:tblPrEx>
          <w:tblCellMar>
            <w:top w:w="0" w:type="dxa"/>
            <w:left w:w="108" w:type="dxa"/>
            <w:bottom w:w="0" w:type="dxa"/>
            <w:right w:w="108" w:type="dxa"/>
          </w:tblCellMar>
        </w:tblPrEx>
        <w:trPr>
          <w:trHeight w:val="0" w:hRule="atLeast"/>
          <w:jc w:val="center"/>
        </w:trPr>
        <w:tc>
          <w:tcPr>
            <w:tcW w:w="148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6C6717E">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系统架构师</w:t>
            </w:r>
          </w:p>
        </w:tc>
        <w:tc>
          <w:tcPr>
            <w:tcW w:w="141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8B5F2B1">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248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BEAC3DA">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325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E6D66F8">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15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110B0EC">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2026-09-08</w:t>
            </w:r>
          </w:p>
        </w:tc>
      </w:tr>
      <w:tr w14:paraId="68121ADA">
        <w:tblPrEx>
          <w:tblCellMar>
            <w:top w:w="0" w:type="dxa"/>
            <w:left w:w="108" w:type="dxa"/>
            <w:bottom w:w="0" w:type="dxa"/>
            <w:right w:w="108" w:type="dxa"/>
          </w:tblCellMar>
        </w:tblPrEx>
        <w:trPr>
          <w:trHeight w:val="0" w:hRule="atLeast"/>
          <w:jc w:val="center"/>
        </w:trPr>
        <w:tc>
          <w:tcPr>
            <w:tcW w:w="148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C99DDD8">
            <w:pPr>
              <w:snapToGrid w:val="0"/>
              <w:spacing w:line="240" w:lineRule="auto"/>
              <w:ind w:left="0" w:leftChars="0" w:right="0" w:rightChars="0" w:firstLine="0" w:firstLineChars="0"/>
              <w:jc w:val="center"/>
              <w:rPr>
                <w:rFonts w:hint="eastAsia" w:ascii="黑体" w:hAnsi="黑体" w:eastAsia="黑体" w:cs="黑体"/>
                <w:i w:val="0"/>
                <w:iCs w:val="0"/>
                <w:sz w:val="17"/>
                <w:lang w:eastAsia="zh-CN"/>
              </w:rPr>
            </w:pPr>
            <w:r>
              <w:rPr>
                <w:rFonts w:hint="eastAsia" w:ascii="黑体" w:hAnsi="黑体" w:eastAsia="黑体" w:cs="黑体"/>
                <w:i w:val="0"/>
                <w:iCs w:val="0"/>
                <w:color w:val="1F2937"/>
                <w:sz w:val="17"/>
                <w:lang w:val="en-US" w:eastAsia="zh-CN"/>
              </w:rPr>
              <w:t>前端</w:t>
            </w:r>
          </w:p>
        </w:tc>
        <w:tc>
          <w:tcPr>
            <w:tcW w:w="141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76D6DC3">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248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5008D90">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325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2406E89">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15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28B4223">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2026-09-08</w:t>
            </w:r>
          </w:p>
        </w:tc>
      </w:tr>
      <w:tr w14:paraId="064275BB">
        <w:tblPrEx>
          <w:tblCellMar>
            <w:top w:w="0" w:type="dxa"/>
            <w:left w:w="108" w:type="dxa"/>
            <w:bottom w:w="0" w:type="dxa"/>
            <w:right w:w="108" w:type="dxa"/>
          </w:tblCellMar>
        </w:tblPrEx>
        <w:trPr>
          <w:trHeight w:val="0" w:hRule="atLeast"/>
          <w:jc w:val="center"/>
        </w:trPr>
        <w:tc>
          <w:tcPr>
            <w:tcW w:w="148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278EC03">
            <w:pPr>
              <w:snapToGrid w:val="0"/>
              <w:spacing w:line="240" w:lineRule="auto"/>
              <w:ind w:left="0" w:leftChars="0" w:right="0" w:rightChars="0" w:firstLine="0" w:firstLineChars="0"/>
              <w:jc w:val="center"/>
              <w:rPr>
                <w:rFonts w:hint="eastAsia" w:ascii="黑体" w:hAnsi="黑体" w:eastAsia="黑体" w:cs="黑体"/>
                <w:i w:val="0"/>
                <w:iCs w:val="0"/>
                <w:color w:val="1F2937"/>
                <w:sz w:val="17"/>
                <w:lang w:val="en-US" w:eastAsia="zh-CN"/>
              </w:rPr>
            </w:pPr>
            <w:r>
              <w:rPr>
                <w:rFonts w:hint="eastAsia" w:ascii="黑体" w:hAnsi="黑体" w:eastAsia="黑体" w:cs="黑体"/>
                <w:i w:val="0"/>
                <w:iCs w:val="0"/>
                <w:color w:val="1F2937"/>
                <w:sz w:val="17"/>
                <w:lang w:val="en-US" w:eastAsia="zh-CN"/>
              </w:rPr>
              <w:t>后端</w:t>
            </w:r>
          </w:p>
        </w:tc>
        <w:tc>
          <w:tcPr>
            <w:tcW w:w="141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4EED967">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248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57BD554">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325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4A98B85">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15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B4326DB">
            <w:pPr>
              <w:snapToGrid w:val="0"/>
              <w:spacing w:line="240" w:lineRule="auto"/>
              <w:ind w:left="0" w:leftChars="0" w:right="0" w:rightChars="0" w:firstLine="0" w:firstLineChars="0"/>
              <w:jc w:val="center"/>
              <w:rPr>
                <w:rFonts w:hint="eastAsia" w:ascii="黑体" w:hAnsi="黑体" w:eastAsia="黑体" w:cs="黑体"/>
                <w:i w:val="0"/>
                <w:iCs w:val="0"/>
                <w:color w:val="1F2937"/>
                <w:sz w:val="17"/>
              </w:rPr>
            </w:pPr>
          </w:p>
        </w:tc>
      </w:tr>
      <w:tr w14:paraId="01D76F25">
        <w:tblPrEx>
          <w:tblCellMar>
            <w:top w:w="0" w:type="dxa"/>
            <w:left w:w="108" w:type="dxa"/>
            <w:bottom w:w="0" w:type="dxa"/>
            <w:right w:w="108" w:type="dxa"/>
          </w:tblCellMar>
        </w:tblPrEx>
        <w:trPr>
          <w:trHeight w:val="0" w:hRule="atLeast"/>
          <w:jc w:val="center"/>
        </w:trPr>
        <w:tc>
          <w:tcPr>
            <w:tcW w:w="148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D38D5B9">
            <w:pPr>
              <w:snapToGrid w:val="0"/>
              <w:spacing w:line="240" w:lineRule="auto"/>
              <w:ind w:left="0" w:leftChars="0" w:right="0" w:rightChars="0" w:firstLine="0" w:firstLineChars="0"/>
              <w:jc w:val="center"/>
              <w:rPr>
                <w:rFonts w:hint="eastAsia" w:ascii="黑体" w:hAnsi="黑体" w:eastAsia="黑体" w:cs="黑体"/>
                <w:i w:val="0"/>
                <w:iCs w:val="0"/>
                <w:sz w:val="17"/>
                <w:lang w:eastAsia="zh-CN"/>
              </w:rPr>
            </w:pPr>
            <w:r>
              <w:rPr>
                <w:rFonts w:hint="eastAsia" w:ascii="黑体" w:hAnsi="黑体" w:eastAsia="黑体" w:cs="黑体"/>
                <w:i w:val="0"/>
                <w:iCs w:val="0"/>
                <w:color w:val="1F2937"/>
                <w:sz w:val="17"/>
                <w:lang w:val="en-US" w:eastAsia="zh-CN"/>
              </w:rPr>
              <w:t>测试</w:t>
            </w:r>
          </w:p>
        </w:tc>
        <w:tc>
          <w:tcPr>
            <w:tcW w:w="141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3EFD0FD">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248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191E695">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325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A830055">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15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9E71546">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2026-09-08</w:t>
            </w:r>
          </w:p>
        </w:tc>
      </w:tr>
    </w:tbl>
    <w:p w14:paraId="6F407624">
      <w:pPr>
        <w:spacing w:after="60"/>
        <w:rPr>
          <w:i w:val="0"/>
          <w:iCs w:val="0"/>
        </w:rPr>
      </w:pPr>
    </w:p>
    <w:tbl>
      <w:tblPr>
        <w:tblStyle w:val="36"/>
        <w:tblW w:w="9790" w:type="dxa"/>
        <w:jc w:val="center"/>
        <w:tblLayout w:type="autofit"/>
        <w:tblCellMar>
          <w:top w:w="0" w:type="dxa"/>
          <w:left w:w="108" w:type="dxa"/>
          <w:bottom w:w="0" w:type="dxa"/>
          <w:right w:w="108" w:type="dxa"/>
        </w:tblCellMar>
      </w:tblPr>
      <w:tblGrid>
        <w:gridCol w:w="895"/>
        <w:gridCol w:w="1060"/>
        <w:gridCol w:w="5411"/>
        <w:gridCol w:w="1149"/>
        <w:gridCol w:w="1275"/>
      </w:tblGrid>
      <w:tr w14:paraId="4B6F8CB1">
        <w:tblPrEx>
          <w:tblCellMar>
            <w:top w:w="0" w:type="dxa"/>
            <w:left w:w="108" w:type="dxa"/>
            <w:bottom w:w="0" w:type="dxa"/>
            <w:right w:w="108" w:type="dxa"/>
          </w:tblCellMar>
        </w:tblPrEx>
        <w:trPr>
          <w:trHeight w:val="0" w:hRule="atLeast"/>
          <w:tblHeader/>
          <w:jc w:val="center"/>
        </w:trPr>
        <w:tc>
          <w:tcPr>
            <w:tcW w:w="895" w:type="dxa"/>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2F14589D">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版本</w:t>
            </w:r>
          </w:p>
        </w:tc>
        <w:tc>
          <w:tcPr>
            <w:tcW w:w="1060"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0FD9F2A">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修订日期</w:t>
            </w:r>
          </w:p>
        </w:tc>
        <w:tc>
          <w:tcPr>
            <w:tcW w:w="5411"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530B4991">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主要修订内容与动因</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64C2FAF">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修订人</w:t>
            </w:r>
          </w:p>
        </w:tc>
        <w:tc>
          <w:tcPr>
            <w:tcW w:w="1275" w:type="dxa"/>
            <w:tcBorders>
              <w:top w:val="single" w:color="CBD5E1" w:sz="12" w:space="0"/>
              <w:left w:val="single" w:color="CBD5E1" w:sz="4" w:space="0"/>
              <w:bottom w:val="nil"/>
              <w:right w:val="single" w:color="CBD5E1" w:sz="12" w:space="0"/>
            </w:tcBorders>
            <w:shd w:val="clear" w:color="auto" w:fill="1E3A8A"/>
            <w:noWrap w:val="0"/>
            <w:tcMar>
              <w:top w:w="70" w:type="dxa"/>
              <w:left w:w="90" w:type="dxa"/>
              <w:bottom w:w="70" w:type="dxa"/>
              <w:right w:w="90" w:type="dxa"/>
            </w:tcMar>
            <w:vAlign w:val="center"/>
          </w:tcPr>
          <w:p w14:paraId="516F279C">
            <w:pPr>
              <w:snapToGrid w:val="0"/>
              <w:spacing w:line="240" w:lineRule="auto"/>
              <w:ind w:left="0" w:leftChars="0" w:right="0" w:rightChars="0" w:firstLine="0" w:firstLineChars="0"/>
              <w:jc w:val="center"/>
              <w:rPr>
                <w:rFonts w:hint="eastAsia" w:ascii="黑体" w:hAnsi="黑体" w:eastAsia="黑体" w:cs="黑体"/>
                <w:b/>
                <w:i w:val="0"/>
                <w:iCs w:val="0"/>
                <w:sz w:val="18"/>
              </w:rPr>
            </w:pPr>
            <w:r>
              <w:rPr>
                <w:rFonts w:hint="eastAsia" w:ascii="黑体" w:hAnsi="黑体" w:eastAsia="黑体" w:cs="黑体"/>
                <w:b/>
                <w:i w:val="0"/>
                <w:iCs w:val="0"/>
                <w:color w:val="FFFFFF"/>
                <w:sz w:val="18"/>
              </w:rPr>
              <w:t>审核人</w:t>
            </w:r>
          </w:p>
        </w:tc>
      </w:tr>
      <w:tr w14:paraId="7EBB6726">
        <w:tblPrEx>
          <w:tblCellMar>
            <w:top w:w="0" w:type="dxa"/>
            <w:left w:w="108" w:type="dxa"/>
            <w:bottom w:w="0" w:type="dxa"/>
            <w:right w:w="108" w:type="dxa"/>
          </w:tblCellMar>
        </w:tblPrEx>
        <w:trPr>
          <w:trHeight w:val="454" w:hRule="atLeast"/>
          <w:jc w:val="center"/>
        </w:trPr>
        <w:tc>
          <w:tcPr>
            <w:tcW w:w="895"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6DC09FE">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v1.1.0</w:t>
            </w:r>
          </w:p>
        </w:tc>
        <w:tc>
          <w:tcPr>
            <w:tcW w:w="1060"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F29FBD8">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2026-09-08</w:t>
            </w:r>
          </w:p>
        </w:tc>
        <w:tc>
          <w:tcPr>
            <w:tcW w:w="5411"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B3F15CE">
            <w:pPr>
              <w:snapToGrid w:val="0"/>
              <w:spacing w:line="240" w:lineRule="auto"/>
              <w:ind w:left="0" w:leftChars="0" w:right="0" w:rightChars="0" w:firstLine="0" w:firstLineChars="0"/>
              <w:jc w:val="left"/>
              <w:rPr>
                <w:rFonts w:hint="eastAsia" w:ascii="黑体" w:hAnsi="黑体" w:eastAsia="黑体" w:cs="黑体"/>
                <w:i w:val="0"/>
                <w:iCs w:val="0"/>
                <w:sz w:val="17"/>
              </w:rPr>
            </w:pPr>
            <w:r>
              <w:rPr>
                <w:rFonts w:hint="eastAsia" w:ascii="黑体" w:hAnsi="黑体" w:eastAsia="黑体" w:cs="黑体"/>
                <w:i w:val="0"/>
                <w:iCs w:val="0"/>
                <w:color w:val="1F2937"/>
                <w:sz w:val="17"/>
              </w:rPr>
              <w:t>全面升版：补齐全量数据字典、数学公式、字段校验、控制流逻辑与 Gherkin 验收准则</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F21923E">
            <w:pPr>
              <w:snapToGrid w:val="0"/>
              <w:spacing w:line="240" w:lineRule="auto"/>
              <w:ind w:left="0" w:leftChars="0" w:right="0" w:rightChars="0" w:firstLine="0" w:firstLineChars="0"/>
              <w:jc w:val="left"/>
              <w:rPr>
                <w:rFonts w:hint="eastAsia" w:ascii="黑体" w:hAnsi="黑体" w:eastAsia="黑体" w:cs="黑体"/>
                <w:i w:val="0"/>
                <w:iCs w:val="0"/>
                <w:sz w:val="17"/>
              </w:rPr>
            </w:pPr>
            <w:r>
              <w:rPr>
                <w:rFonts w:hint="eastAsia" w:ascii="黑体" w:hAnsi="黑体" w:eastAsia="黑体" w:cs="黑体"/>
                <w:i w:val="0"/>
                <w:iCs w:val="0"/>
                <w:color w:val="1F2937"/>
                <w:sz w:val="17"/>
              </w:rPr>
              <w:t>联合项目组</w:t>
            </w:r>
          </w:p>
        </w:tc>
        <w:tc>
          <w:tcPr>
            <w:tcW w:w="1275"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5A527816">
            <w:pPr>
              <w:snapToGrid w:val="0"/>
              <w:spacing w:line="240" w:lineRule="auto"/>
              <w:ind w:left="0" w:leftChars="0" w:right="0" w:rightChars="0" w:firstLine="0" w:firstLineChars="0"/>
              <w:jc w:val="center"/>
              <w:rPr>
                <w:rFonts w:hint="eastAsia" w:ascii="黑体" w:hAnsi="黑体" w:eastAsia="黑体" w:cs="黑体"/>
                <w:i w:val="0"/>
                <w:iCs w:val="0"/>
                <w:sz w:val="17"/>
              </w:rPr>
            </w:pPr>
            <w:r>
              <w:rPr>
                <w:rFonts w:hint="eastAsia" w:ascii="黑体" w:hAnsi="黑体" w:eastAsia="黑体" w:cs="黑体"/>
                <w:i w:val="0"/>
                <w:iCs w:val="0"/>
                <w:color w:val="1F2937"/>
                <w:sz w:val="17"/>
              </w:rPr>
              <w:t>项目总监</w:t>
            </w:r>
          </w:p>
        </w:tc>
      </w:tr>
      <w:tr w14:paraId="6ECA5A81">
        <w:tblPrEx>
          <w:tblCellMar>
            <w:top w:w="0" w:type="dxa"/>
            <w:left w:w="108" w:type="dxa"/>
            <w:bottom w:w="0" w:type="dxa"/>
            <w:right w:w="108" w:type="dxa"/>
          </w:tblCellMar>
        </w:tblPrEx>
        <w:trPr>
          <w:trHeight w:val="0" w:hRule="atLeast"/>
          <w:jc w:val="center"/>
        </w:trPr>
        <w:tc>
          <w:tcPr>
            <w:tcW w:w="895" w:type="dxa"/>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951507E">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1060"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4CD631B">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5411"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9F25FE3">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84BE593">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275"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5D9646E9">
            <w:pPr>
              <w:snapToGrid w:val="0"/>
              <w:spacing w:line="240" w:lineRule="auto"/>
              <w:ind w:left="0" w:leftChars="0" w:right="0" w:rightChars="0" w:firstLine="0" w:firstLineChars="0"/>
              <w:jc w:val="center"/>
              <w:rPr>
                <w:rFonts w:hint="eastAsia" w:ascii="黑体" w:hAnsi="黑体" w:eastAsia="黑体" w:cs="黑体"/>
                <w:i w:val="0"/>
                <w:iCs w:val="0"/>
                <w:sz w:val="17"/>
              </w:rPr>
            </w:pPr>
          </w:p>
        </w:tc>
      </w:tr>
      <w:tr w14:paraId="510F54DF">
        <w:tblPrEx>
          <w:tblCellMar>
            <w:top w:w="0" w:type="dxa"/>
            <w:left w:w="108" w:type="dxa"/>
            <w:bottom w:w="0" w:type="dxa"/>
            <w:right w:w="108" w:type="dxa"/>
          </w:tblCellMar>
        </w:tblPrEx>
        <w:trPr>
          <w:trHeight w:val="0" w:hRule="atLeast"/>
          <w:jc w:val="center"/>
        </w:trPr>
        <w:tc>
          <w:tcPr>
            <w:tcW w:w="895" w:type="dxa"/>
            <w:tcBorders>
              <w:top w:val="single" w:color="CBD5E1" w:sz="4" w:space="0"/>
              <w:left w:val="single" w:color="CBD5E1" w:sz="12" w:space="0"/>
              <w:bottom w:val="single" w:color="CBD5E1" w:sz="12" w:space="0"/>
              <w:right w:val="nil"/>
            </w:tcBorders>
            <w:shd w:val="clear" w:color="auto" w:fill="FFFFFF"/>
            <w:noWrap w:val="0"/>
            <w:tcMar>
              <w:top w:w="60" w:type="dxa"/>
              <w:left w:w="80" w:type="dxa"/>
              <w:bottom w:w="60" w:type="dxa"/>
              <w:right w:w="80" w:type="dxa"/>
            </w:tcMar>
            <w:vAlign w:val="center"/>
          </w:tcPr>
          <w:p w14:paraId="31DBAF6F">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1060"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481C2566">
            <w:pPr>
              <w:snapToGrid w:val="0"/>
              <w:spacing w:line="240" w:lineRule="auto"/>
              <w:ind w:left="0" w:leftChars="0" w:right="0" w:rightChars="0" w:firstLine="0" w:firstLineChars="0"/>
              <w:jc w:val="center"/>
              <w:rPr>
                <w:rFonts w:hint="eastAsia" w:ascii="黑体" w:hAnsi="黑体" w:eastAsia="黑体" w:cs="黑体"/>
                <w:i w:val="0"/>
                <w:iCs w:val="0"/>
                <w:sz w:val="17"/>
              </w:rPr>
            </w:pPr>
          </w:p>
        </w:tc>
        <w:tc>
          <w:tcPr>
            <w:tcW w:w="5411"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4B6E54D2">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149"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10A0CBB6">
            <w:pPr>
              <w:snapToGrid w:val="0"/>
              <w:spacing w:line="240" w:lineRule="auto"/>
              <w:ind w:left="0" w:leftChars="0" w:right="0" w:rightChars="0" w:firstLine="0" w:firstLineChars="0"/>
              <w:jc w:val="left"/>
              <w:rPr>
                <w:rFonts w:hint="eastAsia" w:ascii="黑体" w:hAnsi="黑体" w:eastAsia="黑体" w:cs="黑体"/>
                <w:i w:val="0"/>
                <w:iCs w:val="0"/>
                <w:sz w:val="17"/>
              </w:rPr>
            </w:pPr>
          </w:p>
        </w:tc>
        <w:tc>
          <w:tcPr>
            <w:tcW w:w="1275" w:type="dxa"/>
            <w:tcBorders>
              <w:top w:val="single" w:color="CBD5E1" w:sz="4" w:space="0"/>
              <w:left w:val="single" w:color="CBD5E1" w:sz="4" w:space="0"/>
              <w:bottom w:val="single" w:color="CBD5E1" w:sz="12" w:space="0"/>
              <w:right w:val="single" w:color="CBD5E1" w:sz="12" w:space="0"/>
            </w:tcBorders>
            <w:shd w:val="clear" w:color="auto" w:fill="FFFFFF"/>
            <w:noWrap w:val="0"/>
            <w:tcMar>
              <w:top w:w="60" w:type="dxa"/>
              <w:left w:w="80" w:type="dxa"/>
              <w:bottom w:w="60" w:type="dxa"/>
              <w:right w:w="80" w:type="dxa"/>
            </w:tcMar>
            <w:vAlign w:val="center"/>
          </w:tcPr>
          <w:p w14:paraId="6CE3BF79">
            <w:pPr>
              <w:snapToGrid w:val="0"/>
              <w:spacing w:line="240" w:lineRule="auto"/>
              <w:ind w:left="0" w:leftChars="0" w:right="0" w:rightChars="0" w:firstLine="0" w:firstLineChars="0"/>
              <w:jc w:val="center"/>
              <w:rPr>
                <w:rFonts w:hint="eastAsia" w:ascii="黑体" w:hAnsi="黑体" w:eastAsia="黑体" w:cs="黑体"/>
                <w:i w:val="0"/>
                <w:iCs w:val="0"/>
                <w:sz w:val="17"/>
              </w:rPr>
            </w:pPr>
          </w:p>
        </w:tc>
      </w:tr>
    </w:tbl>
    <w:p w14:paraId="03383834">
      <w:pPr>
        <w:spacing w:after="60"/>
        <w:rPr>
          <w:i w:val="0"/>
          <w:iCs w:val="0"/>
        </w:rPr>
      </w:pPr>
    </w:p>
    <w:p w14:paraId="31CF7A8E">
      <w:pPr>
        <w:spacing w:after="200"/>
        <w:rPr>
          <w:i w:val="0"/>
          <w:iCs w:val="0"/>
        </w:rPr>
      </w:pPr>
      <w:r>
        <w:rPr>
          <w:i w:val="0"/>
          <w:iCs w:val="0"/>
        </w:rPr>
        <w:br w:type="page"/>
      </w:r>
    </w:p>
    <w:sdt>
      <w:sdtPr>
        <w:rPr>
          <w:rFonts w:hint="eastAsia" w:ascii="黑体" w:hAnsi="黑体" w:eastAsia="黑体" w:cs="黑体"/>
          <w:i w:val="0"/>
          <w:iCs w:val="0"/>
          <w:sz w:val="28"/>
          <w:szCs w:val="28"/>
          <w:lang w:val="en-US" w:eastAsia="en-US" w:bidi="ar-SA"/>
        </w:rPr>
        <w:id w:val="147474049"/>
        <w15:color w:val="DBDBDB"/>
        <w:docPartObj>
          <w:docPartGallery w:val="Table of Contents"/>
          <w:docPartUnique/>
        </w:docPartObj>
      </w:sdtPr>
      <w:sdtEndPr>
        <w:rPr>
          <w:rFonts w:hint="eastAsia" w:ascii="宋体" w:hAnsi="宋体" w:eastAsia="宋体" w:cstheme="minorBidi"/>
          <w:i w:val="0"/>
          <w:iCs w:val="0"/>
          <w:sz w:val="24"/>
          <w:szCs w:val="28"/>
          <w:lang w:val="en-US" w:eastAsia="en-US" w:bidi="ar-SA"/>
        </w:rPr>
      </w:sdtEndPr>
      <w:sdtContent>
        <w:p w14:paraId="1B924675">
          <w:pPr>
            <w:spacing w:before="0" w:beforeLines="0" w:after="0" w:afterLines="0" w:line="240" w:lineRule="auto"/>
            <w:ind w:left="0" w:leftChars="0" w:right="0" w:rightChars="0" w:firstLine="0" w:firstLineChars="0"/>
            <w:jc w:val="center"/>
            <w:rPr>
              <w:rFonts w:hint="eastAsia" w:ascii="黑体" w:hAnsi="黑体" w:eastAsia="黑体" w:cs="黑体"/>
              <w:i w:val="0"/>
              <w:iCs w:val="0"/>
              <w:sz w:val="28"/>
              <w:szCs w:val="28"/>
            </w:rPr>
          </w:pPr>
          <w:r>
            <w:rPr>
              <w:rFonts w:hint="eastAsia" w:ascii="黑体" w:hAnsi="黑体" w:eastAsia="黑体" w:cs="黑体"/>
              <w:i w:val="0"/>
              <w:iCs w:val="0"/>
              <w:sz w:val="28"/>
              <w:szCs w:val="28"/>
            </w:rPr>
            <w:t>目</w:t>
          </w:r>
          <w:r>
            <w:rPr>
              <w:rFonts w:hint="eastAsia" w:ascii="黑体" w:hAnsi="黑体" w:eastAsia="黑体" w:cs="黑体"/>
              <w:i w:val="0"/>
              <w:iCs w:val="0"/>
              <w:sz w:val="28"/>
              <w:szCs w:val="28"/>
              <w:lang w:val="en-US" w:eastAsia="zh-CN"/>
            </w:rPr>
            <w:t xml:space="preserve">  </w:t>
          </w:r>
          <w:r>
            <w:rPr>
              <w:rFonts w:hint="eastAsia" w:ascii="黑体" w:hAnsi="黑体" w:eastAsia="黑体" w:cs="黑体"/>
              <w:i w:val="0"/>
              <w:iCs w:val="0"/>
              <w:sz w:val="28"/>
              <w:szCs w:val="28"/>
            </w:rPr>
            <w:t>录</w:t>
          </w:r>
        </w:p>
        <w:p w14:paraId="06CD85C9">
          <w:pPr>
            <w:pStyle w:val="27"/>
            <w:tabs>
              <w:tab w:val="right" w:leader="dot" w:pos="9792"/>
            </w:tabs>
            <w:spacing w:line="240" w:lineRule="auto"/>
            <w:rPr>
              <w:rFonts w:hint="eastAsia" w:ascii="微软雅黑" w:hAnsi="微软雅黑" w:eastAsia="微软雅黑" w:cs="微软雅黑"/>
              <w:i w:val="0"/>
              <w:iCs w:val="0"/>
              <w:sz w:val="18"/>
              <w:szCs w:val="18"/>
            </w:rPr>
          </w:pPr>
          <w:r>
            <w:rPr>
              <w:i w:val="0"/>
              <w:iCs w:val="0"/>
              <w:sz w:val="18"/>
              <w:szCs w:val="18"/>
            </w:rPr>
            <w:fldChar w:fldCharType="begin"/>
          </w:r>
          <w:r>
            <w:rPr>
              <w:i w:val="0"/>
              <w:iCs w:val="0"/>
              <w:sz w:val="18"/>
              <w:szCs w:val="18"/>
            </w:rPr>
            <w:instrText xml:space="preserve">TOC \o "1-3" \h \u </w:instrText>
          </w:r>
          <w:r>
            <w:rPr>
              <w:i w:val="0"/>
              <w:iCs w:val="0"/>
              <w:sz w:val="18"/>
              <w:szCs w:val="18"/>
            </w:rPr>
            <w:fldChar w:fldCharType="separate"/>
          </w:r>
          <w:r>
            <w:rPr>
              <w:rFonts w:hint="eastAsia" w:ascii="微软雅黑" w:hAnsi="微软雅黑" w:eastAsia="微软雅黑" w:cs="微软雅黑"/>
              <w:i w:val="0"/>
              <w:iCs w:val="0"/>
              <w:sz w:val="18"/>
              <w:szCs w:val="13"/>
            </w:rPr>
            <w:fldChar w:fldCharType="begin"/>
          </w:r>
          <w:r>
            <w:rPr>
              <w:rFonts w:hint="eastAsia" w:ascii="微软雅黑" w:hAnsi="微软雅黑" w:eastAsia="微软雅黑" w:cs="微软雅黑"/>
              <w:i w:val="0"/>
              <w:iCs w:val="0"/>
              <w:sz w:val="18"/>
              <w:szCs w:val="13"/>
            </w:rPr>
            <w:instrText xml:space="preserve"> HYPERLINK \l _Toc6274 </w:instrText>
          </w:r>
          <w:r>
            <w:rPr>
              <w:rFonts w:hint="eastAsia" w:ascii="微软雅黑" w:hAnsi="微软雅黑" w:eastAsia="微软雅黑" w:cs="微软雅黑"/>
              <w:i w:val="0"/>
              <w:iCs w:val="0"/>
              <w:sz w:val="18"/>
              <w:szCs w:val="13"/>
            </w:rPr>
            <w:fldChar w:fldCharType="separate"/>
          </w:r>
          <w:r>
            <w:rPr>
              <w:rFonts w:hint="eastAsia" w:ascii="微软雅黑" w:hAnsi="微软雅黑" w:eastAsia="微软雅黑" w:cs="微软雅黑"/>
              <w:i w:val="0"/>
              <w:iCs w:val="0"/>
              <w:sz w:val="18"/>
              <w:szCs w:val="21"/>
            </w:rPr>
            <w:t>第一</w:t>
          </w:r>
          <w:r>
            <w:rPr>
              <w:rFonts w:hint="eastAsia" w:ascii="微软雅黑" w:hAnsi="微软雅黑" w:eastAsia="微软雅黑" w:cs="微软雅黑"/>
              <w:i w:val="0"/>
              <w:iCs w:val="0"/>
              <w:sz w:val="18"/>
              <w:szCs w:val="21"/>
              <w:lang w:val="en-US" w:eastAsia="zh-CN"/>
            </w:rPr>
            <w:t xml:space="preserve">章 </w:t>
          </w:r>
          <w:r>
            <w:rPr>
              <w:rFonts w:hint="eastAsia" w:ascii="微软雅黑" w:hAnsi="微软雅黑" w:eastAsia="微软雅黑" w:cs="微软雅黑"/>
              <w:i w:val="0"/>
              <w:iCs w:val="0"/>
              <w:sz w:val="18"/>
              <w:szCs w:val="21"/>
            </w:rPr>
            <w:t>顶层业务架构与标准规范</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_Toc6274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3"/>
            </w:rPr>
            <w:fldChar w:fldCharType="end"/>
          </w:r>
        </w:p>
        <w:p w14:paraId="28BF5D84">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_Toc29093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一、</w:t>
          </w:r>
          <w:r>
            <w:rPr>
              <w:rFonts w:hint="eastAsia" w:ascii="微软雅黑" w:hAnsi="微软雅黑" w:eastAsia="微软雅黑" w:cs="微软雅黑"/>
              <w:i w:val="0"/>
              <w:iCs w:val="0"/>
              <w:sz w:val="18"/>
              <w:szCs w:val="16"/>
            </w:rPr>
            <w:t>编制原则与三方协同工作机制</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_Toc29093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0E8B7BD7">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_Toc31160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二、</w:t>
          </w:r>
          <w:r>
            <w:rPr>
              <w:rFonts w:hint="eastAsia" w:ascii="微软雅黑" w:hAnsi="微软雅黑" w:eastAsia="微软雅黑" w:cs="微软雅黑"/>
              <w:i w:val="0"/>
              <w:iCs w:val="0"/>
              <w:sz w:val="18"/>
              <w:szCs w:val="16"/>
            </w:rPr>
            <w:t>业务背景、目标与 6 大用户角色画像矩阵</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_Toc31160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F010636">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_Toc3254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三、</w:t>
          </w:r>
          <w:r>
            <w:rPr>
              <w:rFonts w:hint="eastAsia" w:ascii="微软雅黑" w:hAnsi="微软雅黑" w:eastAsia="微软雅黑" w:cs="微软雅黑"/>
              <w:i w:val="0"/>
              <w:iCs w:val="0"/>
              <w:sz w:val="18"/>
              <w:szCs w:val="16"/>
            </w:rPr>
            <w:t>专属工业设计规范</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_Toc3254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8D253EF">
          <w:pPr>
            <w:pStyle w:val="27"/>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_Toc24840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21"/>
            </w:rPr>
            <w:t>第二</w:t>
          </w:r>
          <w:r>
            <w:rPr>
              <w:rFonts w:hint="eastAsia" w:ascii="微软雅黑" w:hAnsi="微软雅黑" w:eastAsia="微软雅黑" w:cs="微软雅黑"/>
              <w:i w:val="0"/>
              <w:iCs w:val="0"/>
              <w:sz w:val="18"/>
              <w:szCs w:val="21"/>
              <w:lang w:val="en-US" w:eastAsia="zh-CN"/>
            </w:rPr>
            <w:t xml:space="preserve">章 </w:t>
          </w:r>
          <w:r>
            <w:rPr>
              <w:rFonts w:hint="eastAsia" w:ascii="微软雅黑" w:hAnsi="微软雅黑" w:eastAsia="微软雅黑" w:cs="微软雅黑"/>
              <w:i w:val="0"/>
              <w:iCs w:val="0"/>
              <w:sz w:val="18"/>
              <w:szCs w:val="21"/>
            </w:rPr>
            <w:t>零碳园区集控中心功能需求规格</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_Toc24840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966EA88">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_Toc20322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一、</w:t>
          </w:r>
          <w:r>
            <w:rPr>
              <w:rFonts w:hint="eastAsia" w:ascii="微软雅黑" w:hAnsi="微软雅黑" w:eastAsia="微软雅黑" w:cs="微软雅黑"/>
              <w:i w:val="0"/>
              <w:iCs w:val="0"/>
              <w:sz w:val="18"/>
              <w:szCs w:val="16"/>
            </w:rPr>
            <w:t>集控中心大屏</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_Toc20322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26E5A93E">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_Toc18646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全景环幕大屏</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_Toc18646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4EFCD9B6">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_Toc15264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综合集控大屏 16:9</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_Toc15264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5</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3D90BF4B">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_Toc32703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二、</w:t>
          </w:r>
          <w:r>
            <w:rPr>
              <w:rFonts w:hint="eastAsia" w:ascii="微软雅黑" w:hAnsi="微软雅黑" w:eastAsia="微软雅黑" w:cs="微软雅黑"/>
              <w:i w:val="0"/>
              <w:iCs w:val="0"/>
              <w:sz w:val="18"/>
              <w:szCs w:val="16"/>
            </w:rPr>
            <w:t>集中监管</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_Toc32703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6</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08BE0870">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_Toc28694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指标管控</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_Toc28694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6</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434982B">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_Toc29287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用能在线监测</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_Toc29287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9</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36C85E5B">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_Toc5412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3.</w:t>
          </w:r>
          <w:r>
            <w:rPr>
              <w:rFonts w:hint="eastAsia" w:ascii="微软雅黑" w:hAnsi="微软雅黑" w:eastAsia="微软雅黑" w:cs="微软雅黑"/>
              <w:i w:val="0"/>
              <w:iCs w:val="0"/>
              <w:sz w:val="18"/>
              <w:szCs w:val="16"/>
            </w:rPr>
            <w:t xml:space="preserve"> 设备在线监测</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_Toc5412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11</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9AB6913">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_Toc1229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4.</w:t>
          </w:r>
          <w:r>
            <w:rPr>
              <w:rFonts w:hint="eastAsia" w:ascii="微软雅黑" w:hAnsi="微软雅黑" w:eastAsia="微软雅黑" w:cs="微软雅黑"/>
              <w:i w:val="0"/>
              <w:iCs w:val="0"/>
              <w:sz w:val="18"/>
              <w:szCs w:val="16"/>
            </w:rPr>
            <w:t xml:space="preserve"> 工业微电网与能源碳排放监测</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_Toc1229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4376F35C">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_Toc28518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三、</w:t>
          </w:r>
          <w:r>
            <w:rPr>
              <w:rFonts w:hint="eastAsia" w:ascii="微软雅黑" w:hAnsi="微软雅黑" w:eastAsia="微软雅黑" w:cs="微软雅黑"/>
              <w:i w:val="0"/>
              <w:iCs w:val="0"/>
              <w:sz w:val="18"/>
              <w:szCs w:val="16"/>
            </w:rPr>
            <w:t>能耗能效分析</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_Toc28518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14</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DA01F47">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_Toc32591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用能结构分析与成本分析</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_Toc32591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14</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188BEE2B">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_Toc11051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单位产品能耗</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_Toc11051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15</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B3C3B30">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_Toc29890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 xml:space="preserve">3. </w:t>
          </w:r>
          <w:r>
            <w:rPr>
              <w:rFonts w:hint="eastAsia" w:ascii="微软雅黑" w:hAnsi="微软雅黑" w:eastAsia="微软雅黑" w:cs="微软雅黑"/>
              <w:i w:val="0"/>
              <w:iCs w:val="0"/>
              <w:sz w:val="18"/>
              <w:szCs w:val="16"/>
            </w:rPr>
            <w:t xml:space="preserve"> 单位产值能耗与对标管理</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_Toc29890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17</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7AFA5BD">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_Toc20654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四、</w:t>
          </w:r>
          <w:r>
            <w:rPr>
              <w:rFonts w:hint="eastAsia" w:ascii="微软雅黑" w:hAnsi="微软雅黑" w:eastAsia="微软雅黑" w:cs="微软雅黑"/>
              <w:i w:val="0"/>
              <w:iCs w:val="0"/>
              <w:sz w:val="18"/>
              <w:szCs w:val="16"/>
            </w:rPr>
            <w:t>零碳项目评估</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_Toc20654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18</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8D2D366">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_Toc29253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项目档案、实时监控与节能效益评估</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_Toc29253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18</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EDA4049">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_Toc3865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零碳工厂自评估</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_Toc3865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20</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4CA43126">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_Toc3775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五、</w:t>
          </w:r>
          <w:r>
            <w:rPr>
              <w:rFonts w:hint="eastAsia" w:ascii="微软雅黑" w:hAnsi="微软雅黑" w:eastAsia="微软雅黑" w:cs="微软雅黑"/>
              <w:i w:val="0"/>
              <w:iCs w:val="0"/>
              <w:sz w:val="18"/>
              <w:szCs w:val="16"/>
            </w:rPr>
            <w:t>统计报表</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_Toc3775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21</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77002CA">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_Toc15512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六、</w:t>
          </w:r>
          <w:r>
            <w:rPr>
              <w:rFonts w:hint="eastAsia" w:ascii="微软雅黑" w:hAnsi="微软雅黑" w:eastAsia="微软雅黑" w:cs="微软雅黑"/>
              <w:i w:val="0"/>
              <w:iCs w:val="0"/>
              <w:sz w:val="18"/>
              <w:szCs w:val="16"/>
            </w:rPr>
            <w:t>基础管理</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_Toc15512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23</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F287C6D">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_Toc24351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数据录入工作台</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_Toc24351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23</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3EBC7C7">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_Toc7171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基础参数配置</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_Toc7171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26</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4ED1B782">
          <w:pPr>
            <w:pStyle w:val="27"/>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_Toc15837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21"/>
            </w:rPr>
            <w:t>第三</w:t>
          </w:r>
          <w:r>
            <w:rPr>
              <w:rFonts w:hint="eastAsia" w:ascii="微软雅黑" w:hAnsi="微软雅黑" w:eastAsia="微软雅黑" w:cs="微软雅黑"/>
              <w:i w:val="0"/>
              <w:iCs w:val="0"/>
              <w:sz w:val="18"/>
              <w:szCs w:val="21"/>
              <w:lang w:val="en-US" w:eastAsia="zh-CN"/>
            </w:rPr>
            <w:t xml:space="preserve">章 </w:t>
          </w:r>
          <w:r>
            <w:rPr>
              <w:rFonts w:hint="eastAsia" w:ascii="微软雅黑" w:hAnsi="微软雅黑" w:eastAsia="微软雅黑" w:cs="微软雅黑"/>
              <w:i w:val="0"/>
              <w:iCs w:val="0"/>
              <w:sz w:val="18"/>
              <w:szCs w:val="21"/>
            </w:rPr>
            <w:t>产品碳足迹集采中心功能需求规格</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_Toc15837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27</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39E2B9DF">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_Toc15598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一、</w:t>
          </w:r>
          <w:r>
            <w:rPr>
              <w:rFonts w:hint="eastAsia" w:ascii="微软雅黑" w:hAnsi="微软雅黑" w:eastAsia="微软雅黑" w:cs="微软雅黑"/>
              <w:i w:val="0"/>
              <w:iCs w:val="0"/>
              <w:sz w:val="18"/>
              <w:szCs w:val="16"/>
            </w:rPr>
            <w:t>对外示范窗口</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_Toc15598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27</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7FACBD4E">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_Toc1872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二、</w:t>
          </w:r>
          <w:r>
            <w:rPr>
              <w:rFonts w:hint="eastAsia" w:ascii="微软雅黑" w:hAnsi="微软雅黑" w:eastAsia="微软雅黑" w:cs="微软雅黑"/>
              <w:i w:val="0"/>
              <w:iCs w:val="0"/>
              <w:sz w:val="18"/>
              <w:szCs w:val="16"/>
            </w:rPr>
            <w:t>多维分析</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_Toc1872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28</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F490E4A">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_Toc12573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横向对比分析</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_Toc12573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28</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0A860334">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_Toc14796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纵向追溯分析</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_Toc14796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29</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2EF03964">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_Toc27308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三、</w:t>
          </w:r>
          <w:r>
            <w:rPr>
              <w:rFonts w:hint="eastAsia" w:ascii="微软雅黑" w:hAnsi="微软雅黑" w:eastAsia="微软雅黑" w:cs="微软雅黑"/>
              <w:i w:val="0"/>
              <w:iCs w:val="0"/>
              <w:sz w:val="18"/>
              <w:szCs w:val="16"/>
            </w:rPr>
            <w:t>实景数据库与碳足迹核算</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_Toc27308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29</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EF71341">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_Toc8111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工业实景数据库</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_Toc8111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29</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35E26F4">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_Toc28785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LCA 碳足迹核算引擎</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_Toc28785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30</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3A4E08F9">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_Toc6843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3.</w:t>
          </w:r>
          <w:r>
            <w:rPr>
              <w:rFonts w:hint="eastAsia" w:ascii="微软雅黑" w:hAnsi="微软雅黑" w:eastAsia="微软雅黑" w:cs="微软雅黑"/>
              <w:i w:val="0"/>
              <w:iCs w:val="0"/>
              <w:sz w:val="18"/>
              <w:szCs w:val="16"/>
            </w:rPr>
            <w:t xml:space="preserve"> 碳足迹报告与数字碳标签</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_Toc6843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2DAD6A76">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_Toc16986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四、</w:t>
          </w:r>
          <w:r>
            <w:rPr>
              <w:rFonts w:hint="eastAsia" w:ascii="微软雅黑" w:hAnsi="微软雅黑" w:eastAsia="微软雅黑" w:cs="微软雅黑"/>
              <w:i w:val="0"/>
              <w:iCs w:val="0"/>
              <w:sz w:val="18"/>
              <w:szCs w:val="16"/>
            </w:rPr>
            <w:t>CBAM管理</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_Toc16986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FD64CDF">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_Toc9082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1.</w:t>
          </w:r>
          <w:r>
            <w:rPr>
              <w:rFonts w:hint="eastAsia" w:ascii="微软雅黑" w:hAnsi="微软雅黑" w:eastAsia="微软雅黑" w:cs="微软雅黑"/>
              <w:i w:val="0"/>
              <w:iCs w:val="0"/>
              <w:sz w:val="18"/>
              <w:szCs w:val="16"/>
            </w:rPr>
            <w:t xml:space="preserve"> 欧盟合规管理</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_Toc9082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33</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B5CA335">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_Toc21975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2.</w:t>
          </w:r>
          <w:r>
            <w:rPr>
              <w:rFonts w:hint="eastAsia" w:ascii="微软雅黑" w:hAnsi="微软雅黑" w:eastAsia="微软雅黑" w:cs="微软雅黑"/>
              <w:i w:val="0"/>
              <w:iCs w:val="0"/>
              <w:sz w:val="18"/>
              <w:szCs w:val="16"/>
            </w:rPr>
            <w:t xml:space="preserve"> 关税申报模拟器</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_Toc21975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33</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0362AAD">
          <w:pPr>
            <w:pStyle w:val="24"/>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_Toc25720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3.</w:t>
          </w:r>
          <w:r>
            <w:rPr>
              <w:rFonts w:hint="eastAsia" w:ascii="微软雅黑" w:hAnsi="微软雅黑" w:eastAsia="微软雅黑" w:cs="微软雅黑"/>
              <w:i w:val="0"/>
              <w:iCs w:val="0"/>
              <w:sz w:val="18"/>
              <w:szCs w:val="16"/>
            </w:rPr>
            <w:t xml:space="preserve"> CBAM 规则知识库</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_Toc25720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35</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57C7F250">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_Toc4760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五、</w:t>
          </w:r>
          <w:r>
            <w:rPr>
              <w:rFonts w:hint="eastAsia" w:ascii="微软雅黑" w:hAnsi="微软雅黑" w:eastAsia="微软雅黑" w:cs="微软雅黑"/>
              <w:i w:val="0"/>
              <w:iCs w:val="0"/>
              <w:sz w:val="18"/>
              <w:szCs w:val="16"/>
            </w:rPr>
            <w:t>第三方认证管理</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_Toc4760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36</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1E6F8206">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_Toc22682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六、</w:t>
          </w:r>
          <w:r>
            <w:rPr>
              <w:rFonts w:hint="eastAsia" w:ascii="微软雅黑" w:hAnsi="微软雅黑" w:eastAsia="微软雅黑" w:cs="微软雅黑"/>
              <w:i w:val="0"/>
              <w:iCs w:val="0"/>
              <w:sz w:val="18"/>
              <w:szCs w:val="16"/>
            </w:rPr>
            <w:t>因子库管理</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_Toc22682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39</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C7961FC">
          <w:pPr>
            <w:pStyle w:val="27"/>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_Toc14881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21"/>
            </w:rPr>
            <w:t>第四</w:t>
          </w:r>
          <w:r>
            <w:rPr>
              <w:rFonts w:hint="eastAsia" w:ascii="微软雅黑" w:hAnsi="微软雅黑" w:eastAsia="微软雅黑" w:cs="微软雅黑"/>
              <w:i w:val="0"/>
              <w:iCs w:val="0"/>
              <w:sz w:val="18"/>
              <w:szCs w:val="21"/>
              <w:lang w:val="en-US" w:eastAsia="zh-CN"/>
            </w:rPr>
            <w:t xml:space="preserve">章 </w:t>
          </w:r>
          <w:r>
            <w:rPr>
              <w:rFonts w:hint="eastAsia" w:ascii="微软雅黑" w:hAnsi="微软雅黑" w:eastAsia="微软雅黑" w:cs="微软雅黑"/>
              <w:i w:val="0"/>
              <w:iCs w:val="0"/>
              <w:sz w:val="18"/>
              <w:szCs w:val="21"/>
            </w:rPr>
            <w:t>系统底座、接口契约与 QA 质量验收</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_Toc14881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7E6CE9FA">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_Toc19673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一、</w:t>
          </w:r>
          <w:r>
            <w:rPr>
              <w:rFonts w:hint="eastAsia" w:ascii="微软雅黑" w:hAnsi="微软雅黑" w:eastAsia="微软雅黑" w:cs="微软雅黑"/>
              <w:i w:val="0"/>
              <w:iCs w:val="0"/>
              <w:sz w:val="18"/>
              <w:szCs w:val="16"/>
            </w:rPr>
            <w:t>六级组织架构与穿透鉴权体系</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_Toc19673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21DF5BC2">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_Toc14587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二、</w:t>
          </w:r>
          <w:r>
            <w:rPr>
              <w:rFonts w:hint="eastAsia" w:ascii="微软雅黑" w:hAnsi="微软雅黑" w:eastAsia="微软雅黑" w:cs="微软雅黑"/>
              <w:i w:val="0"/>
              <w:iCs w:val="0"/>
              <w:sz w:val="18"/>
              <w:szCs w:val="16"/>
            </w:rPr>
            <w:t>外部系统集成与 API 契约</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_Toc14587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7396D658">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_Toc26920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6"/>
              <w:lang w:val="en-US" w:eastAsia="zh-CN"/>
            </w:rPr>
            <w:t>三、</w:t>
          </w:r>
          <w:r>
            <w:rPr>
              <w:rFonts w:hint="eastAsia" w:ascii="微软雅黑" w:hAnsi="微软雅黑" w:eastAsia="微软雅黑" w:cs="微软雅黑"/>
              <w:i w:val="0"/>
              <w:iCs w:val="0"/>
              <w:sz w:val="18"/>
              <w:szCs w:val="16"/>
            </w:rPr>
            <w:t>质量保障体系与全量验收测试用例矩阵</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_Toc26920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42</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61578CEF">
          <w:pPr>
            <w:pStyle w:val="27"/>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_Toc5782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21"/>
            </w:rPr>
            <w:t>第五</w:t>
          </w:r>
          <w:r>
            <w:rPr>
              <w:rFonts w:hint="eastAsia" w:ascii="微软雅黑" w:hAnsi="微软雅黑" w:eastAsia="微软雅黑" w:cs="微软雅黑"/>
              <w:i w:val="0"/>
              <w:iCs w:val="0"/>
              <w:sz w:val="18"/>
              <w:szCs w:val="21"/>
              <w:lang w:val="en-US" w:eastAsia="zh-CN"/>
            </w:rPr>
            <w:t xml:space="preserve">章 </w:t>
          </w:r>
          <w:r>
            <w:rPr>
              <w:rFonts w:hint="eastAsia" w:ascii="微软雅黑" w:hAnsi="微软雅黑" w:eastAsia="微软雅黑" w:cs="微软雅黑"/>
              <w:i w:val="0"/>
              <w:iCs w:val="0"/>
              <w:sz w:val="18"/>
              <w:szCs w:val="21"/>
            </w:rPr>
            <w:t>工程治理、状态机与合规保障体系</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_Toc5782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44</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32D182D8">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_Toc16730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8"/>
              <w:lang w:val="en-US" w:eastAsia="zh-CN"/>
            </w:rPr>
            <w:t>一、</w:t>
          </w:r>
          <w:r>
            <w:rPr>
              <w:rFonts w:hint="eastAsia" w:ascii="微软雅黑" w:hAnsi="微软雅黑" w:eastAsia="微软雅黑" w:cs="微软雅黑"/>
              <w:i w:val="0"/>
              <w:iCs w:val="0"/>
              <w:sz w:val="18"/>
              <w:szCs w:val="18"/>
            </w:rPr>
            <w:t>数据治理与商密合规</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_Toc16730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44</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170C3174">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_Toc8471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8"/>
              <w:lang w:val="en-US" w:eastAsia="zh-CN"/>
            </w:rPr>
            <w:t>二、</w:t>
          </w:r>
          <w:r>
            <w:rPr>
              <w:rFonts w:hint="eastAsia" w:ascii="微软雅黑" w:hAnsi="微软雅黑" w:eastAsia="微软雅黑" w:cs="微软雅黑"/>
              <w:i w:val="0"/>
              <w:iCs w:val="0"/>
              <w:sz w:val="18"/>
              <w:szCs w:val="18"/>
            </w:rPr>
            <w:t>关键业务长流程状态机图谱</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_Toc8471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44</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07A68769">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_Toc13873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8"/>
              <w:lang w:val="en-US" w:eastAsia="zh-CN"/>
            </w:rPr>
            <w:t>三、</w:t>
          </w:r>
          <w:r>
            <w:rPr>
              <w:rFonts w:hint="eastAsia" w:ascii="微软雅黑" w:hAnsi="微软雅黑" w:eastAsia="微软雅黑" w:cs="微软雅黑"/>
              <w:i w:val="0"/>
              <w:iCs w:val="0"/>
              <w:sz w:val="18"/>
              <w:szCs w:val="18"/>
            </w:rPr>
            <w:t>术语表与缩略语大全</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_Toc13873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45</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30FA44E1">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_Toc7330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8"/>
              <w:lang w:val="en-US" w:eastAsia="zh-CN"/>
            </w:rPr>
            <w:t>四、</w:t>
          </w:r>
          <w:r>
            <w:rPr>
              <w:rFonts w:hint="eastAsia" w:ascii="微软雅黑" w:hAnsi="微软雅黑" w:eastAsia="微软雅黑" w:cs="微软雅黑"/>
              <w:i w:val="0"/>
              <w:iCs w:val="0"/>
              <w:sz w:val="18"/>
              <w:szCs w:val="18"/>
            </w:rPr>
            <w:t>标准化错误码字典与异常分级</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_Toc7330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46</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1B13003D">
          <w:pPr>
            <w:pStyle w:val="30"/>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_Toc28679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18"/>
              <w:lang w:val="en-US" w:eastAsia="zh-CN"/>
            </w:rPr>
            <w:t>五、</w:t>
          </w:r>
          <w:r>
            <w:rPr>
              <w:rFonts w:hint="eastAsia" w:ascii="微软雅黑" w:hAnsi="微软雅黑" w:eastAsia="微软雅黑" w:cs="微软雅黑"/>
              <w:i w:val="0"/>
              <w:iCs w:val="0"/>
              <w:sz w:val="18"/>
              <w:szCs w:val="18"/>
            </w:rPr>
            <w:t>决策治理 RACI 责任矩阵</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_Toc28679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47</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1BD66D66">
          <w:pPr>
            <w:pStyle w:val="27"/>
            <w:tabs>
              <w:tab w:val="right" w:leader="dot" w:pos="9792"/>
            </w:tabs>
            <w:spacing w:line="240" w:lineRule="auto"/>
            <w:rPr>
              <w:rFonts w:hint="eastAsia" w:ascii="微软雅黑" w:hAnsi="微软雅黑" w:eastAsia="微软雅黑" w:cs="微软雅黑"/>
              <w:i w:val="0"/>
              <w:iCs w:val="0"/>
              <w:sz w:val="18"/>
              <w:szCs w:val="18"/>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_Toc14813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21"/>
            </w:rPr>
            <w:t>附录 A：现行国标 / 行标 / 欧标 法规映射表</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_Toc14813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48</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44E4384F">
          <w:pPr>
            <w:pStyle w:val="27"/>
            <w:tabs>
              <w:tab w:val="right" w:leader="dot" w:pos="9792"/>
            </w:tabs>
            <w:spacing w:line="240" w:lineRule="auto"/>
            <w:rPr>
              <w:i w:val="0"/>
              <w:iCs w:val="0"/>
            </w:rPr>
          </w:pPr>
          <w:r>
            <w:rPr>
              <w:rFonts w:hint="eastAsia" w:ascii="微软雅黑" w:hAnsi="微软雅黑" w:eastAsia="微软雅黑" w:cs="微软雅黑"/>
              <w:i w:val="0"/>
              <w:iCs w:val="0"/>
              <w:sz w:val="18"/>
              <w:szCs w:val="10"/>
            </w:rPr>
            <w:fldChar w:fldCharType="begin"/>
          </w:r>
          <w:r>
            <w:rPr>
              <w:rFonts w:hint="eastAsia" w:ascii="微软雅黑" w:hAnsi="微软雅黑" w:eastAsia="微软雅黑" w:cs="微软雅黑"/>
              <w:i w:val="0"/>
              <w:iCs w:val="0"/>
              <w:sz w:val="18"/>
              <w:szCs w:val="10"/>
            </w:rPr>
            <w:instrText xml:space="preserve"> HYPERLINK \l _Toc18358 </w:instrText>
          </w:r>
          <w:r>
            <w:rPr>
              <w:rFonts w:hint="eastAsia" w:ascii="微软雅黑" w:hAnsi="微软雅黑" w:eastAsia="微软雅黑" w:cs="微软雅黑"/>
              <w:i w:val="0"/>
              <w:iCs w:val="0"/>
              <w:sz w:val="18"/>
              <w:szCs w:val="10"/>
            </w:rPr>
            <w:fldChar w:fldCharType="separate"/>
          </w:r>
          <w:r>
            <w:rPr>
              <w:rFonts w:hint="eastAsia" w:ascii="微软雅黑" w:hAnsi="微软雅黑" w:eastAsia="微软雅黑" w:cs="微软雅黑"/>
              <w:i w:val="0"/>
              <w:iCs w:val="0"/>
              <w:sz w:val="18"/>
              <w:szCs w:val="21"/>
            </w:rPr>
            <w:t>附录 B：反模式与反例对照治理清单</w:t>
          </w:r>
          <w:r>
            <w:rPr>
              <w:rFonts w:hint="eastAsia" w:ascii="微软雅黑" w:hAnsi="微软雅黑" w:eastAsia="微软雅黑" w:cs="微软雅黑"/>
              <w:i w:val="0"/>
              <w:iCs w:val="0"/>
              <w:sz w:val="18"/>
              <w:szCs w:val="18"/>
            </w:rPr>
            <w:tab/>
          </w:r>
          <w:r>
            <w:rPr>
              <w:rFonts w:hint="eastAsia" w:ascii="微软雅黑" w:hAnsi="微软雅黑" w:eastAsia="微软雅黑" w:cs="微软雅黑"/>
              <w:i w:val="0"/>
              <w:iCs w:val="0"/>
              <w:sz w:val="18"/>
              <w:szCs w:val="18"/>
            </w:rPr>
            <w:fldChar w:fldCharType="begin"/>
          </w:r>
          <w:r>
            <w:rPr>
              <w:rFonts w:hint="eastAsia" w:ascii="微软雅黑" w:hAnsi="微软雅黑" w:eastAsia="微软雅黑" w:cs="微软雅黑"/>
              <w:i w:val="0"/>
              <w:iCs w:val="0"/>
              <w:sz w:val="18"/>
              <w:szCs w:val="18"/>
            </w:rPr>
            <w:instrText xml:space="preserve"> PAGEREF _Toc18358 \h </w:instrText>
          </w:r>
          <w:r>
            <w:rPr>
              <w:rFonts w:hint="eastAsia" w:ascii="微软雅黑" w:hAnsi="微软雅黑" w:eastAsia="微软雅黑" w:cs="微软雅黑"/>
              <w:i w:val="0"/>
              <w:iCs w:val="0"/>
              <w:sz w:val="18"/>
              <w:szCs w:val="18"/>
            </w:rPr>
            <w:fldChar w:fldCharType="separate"/>
          </w:r>
          <w:r>
            <w:rPr>
              <w:rFonts w:hint="eastAsia" w:ascii="微软雅黑" w:hAnsi="微软雅黑" w:eastAsia="微软雅黑" w:cs="微软雅黑"/>
              <w:i w:val="0"/>
              <w:iCs w:val="0"/>
              <w:sz w:val="18"/>
              <w:szCs w:val="18"/>
            </w:rPr>
            <w:t>48</w:t>
          </w:r>
          <w:r>
            <w:rPr>
              <w:rFonts w:hint="eastAsia" w:ascii="微软雅黑" w:hAnsi="微软雅黑" w:eastAsia="微软雅黑" w:cs="微软雅黑"/>
              <w:i w:val="0"/>
              <w:iCs w:val="0"/>
              <w:sz w:val="18"/>
              <w:szCs w:val="18"/>
            </w:rPr>
            <w:fldChar w:fldCharType="end"/>
          </w:r>
          <w:r>
            <w:rPr>
              <w:rFonts w:hint="eastAsia" w:ascii="微软雅黑" w:hAnsi="微软雅黑" w:eastAsia="微软雅黑" w:cs="微软雅黑"/>
              <w:i w:val="0"/>
              <w:iCs w:val="0"/>
              <w:sz w:val="18"/>
              <w:szCs w:val="10"/>
            </w:rPr>
            <w:fldChar w:fldCharType="end"/>
          </w:r>
        </w:p>
        <w:p w14:paraId="2E6B4865">
          <w:pPr>
            <w:rPr>
              <w:i w:val="0"/>
              <w:iCs w:val="0"/>
            </w:rPr>
          </w:pPr>
          <w:r>
            <w:rPr>
              <w:i w:val="0"/>
              <w:iCs w:val="0"/>
              <w:szCs w:val="15"/>
            </w:rPr>
            <w:fldChar w:fldCharType="end"/>
          </w:r>
        </w:p>
      </w:sdtContent>
    </w:sdt>
    <w:p w14:paraId="6C64100C">
      <w:pPr>
        <w:pStyle w:val="3"/>
        <w:keepNext/>
        <w:spacing w:before="360" w:after="160"/>
        <w:rPr>
          <w:rFonts w:hint="eastAsia" w:ascii="微软雅黑" w:hAnsi="微软雅黑" w:eastAsia="微软雅黑" w:cs="微软雅黑"/>
          <w:i w:val="0"/>
          <w:iCs w:val="0"/>
          <w:sz w:val="28"/>
          <w:szCs w:val="28"/>
        </w:rPr>
      </w:pPr>
      <w:bookmarkStart w:id="0" w:name="_Toc6274"/>
      <w:r>
        <w:rPr>
          <w:rFonts w:hint="eastAsia" w:ascii="微软雅黑" w:hAnsi="微软雅黑" w:eastAsia="微软雅黑" w:cs="微软雅黑"/>
          <w:b/>
          <w:i w:val="0"/>
          <w:iCs w:val="0"/>
          <w:color w:val="1E3A8A"/>
          <w:sz w:val="28"/>
          <w:szCs w:val="28"/>
        </w:rPr>
        <w:t>第一</w:t>
      </w:r>
      <w:r>
        <w:rPr>
          <w:rFonts w:hint="eastAsia" w:ascii="微软雅黑" w:hAnsi="微软雅黑" w:eastAsia="微软雅黑" w:cs="微软雅黑"/>
          <w:b/>
          <w:i w:val="0"/>
          <w:iCs w:val="0"/>
          <w:color w:val="1E3A8A"/>
          <w:sz w:val="28"/>
          <w:szCs w:val="28"/>
          <w:lang w:val="en-US" w:eastAsia="zh-CN"/>
        </w:rPr>
        <w:t xml:space="preserve">章 </w:t>
      </w:r>
      <w:r>
        <w:rPr>
          <w:rFonts w:hint="eastAsia" w:ascii="微软雅黑" w:hAnsi="微软雅黑" w:eastAsia="微软雅黑" w:cs="微软雅黑"/>
          <w:b/>
          <w:i w:val="0"/>
          <w:iCs w:val="0"/>
          <w:color w:val="1E3A8A"/>
          <w:sz w:val="28"/>
          <w:szCs w:val="28"/>
        </w:rPr>
        <w:t>顶层业务架构与标准规范</w:t>
      </w:r>
      <w:bookmarkEnd w:id="0"/>
    </w:p>
    <w:p w14:paraId="72DD20B3">
      <w:pPr>
        <w:spacing w:after="80" w:line="288" w:lineRule="auto"/>
        <w:rPr>
          <w:rFonts w:hint="eastAsia" w:ascii="微软雅黑" w:hAnsi="微软雅黑" w:eastAsia="微软雅黑" w:cs="微软雅黑"/>
          <w:b/>
          <w:bCs/>
          <w:i w:val="0"/>
          <w:iCs w:val="0"/>
          <w:color w:val="0284C7"/>
          <w:sz w:val="21"/>
          <w:szCs w:val="21"/>
          <w:lang w:val="en-US" w:eastAsia="zh-CN" w:bidi="ar-SA"/>
        </w:rPr>
      </w:pPr>
      <w:r>
        <w:rPr>
          <w:rFonts w:hint="eastAsia" w:ascii="微软雅黑" w:hAnsi="微软雅黑" w:eastAsia="微软雅黑" w:cs="微软雅黑"/>
          <w:b/>
          <w:bCs/>
          <w:i w:val="0"/>
          <w:iCs w:val="0"/>
          <w:color w:val="0284C7"/>
          <w:sz w:val="21"/>
          <w:szCs w:val="21"/>
          <w:lang w:val="en-US" w:eastAsia="zh-CN" w:bidi="ar-SA"/>
        </w:rPr>
        <w:t>一、项目背景与建设目标</w:t>
      </w:r>
    </w:p>
    <w:p w14:paraId="55267C03">
      <w:pPr>
        <w:spacing w:after="80" w:line="288" w:lineRule="auto"/>
        <w:rPr>
          <w:rFonts w:hint="eastAsia" w:ascii="微软雅黑" w:hAnsi="微软雅黑" w:eastAsia="微软雅黑" w:cs="微软雅黑"/>
          <w:b/>
          <w:bCs/>
          <w:i w:val="0"/>
          <w:iCs w:val="0"/>
          <w:color w:val="1F2937"/>
          <w:sz w:val="21"/>
          <w:szCs w:val="21"/>
          <w:lang w:val="en-US" w:eastAsia="zh-CN"/>
        </w:rPr>
      </w:pPr>
      <w:r>
        <w:rPr>
          <w:rFonts w:hint="eastAsia" w:ascii="微软雅黑" w:hAnsi="微软雅黑" w:eastAsia="微软雅黑" w:cs="微软雅黑"/>
          <w:b/>
          <w:bCs/>
          <w:i w:val="0"/>
          <w:iCs w:val="0"/>
          <w:color w:val="1F2937"/>
          <w:sz w:val="21"/>
          <w:szCs w:val="21"/>
          <w:lang w:val="en-US" w:eastAsia="zh-CN"/>
        </w:rPr>
        <w:t>1. 项目建设背景</w:t>
      </w:r>
    </w:p>
    <w:p w14:paraId="589949EC">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宏观战略与集团“十五五”低碳发展要求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2028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D9580E7">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国际贸易绿色壁垒与合规实质性倒逼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ISO 14067、GHG Protocol等）、支持全流程证据链追溯与多维溯源的产品碳足迹认证体系，打破国际绿色贸易壁垒，巩固全球竞争优势。</w:t>
      </w:r>
    </w:p>
    <w:p w14:paraId="5191BB2F">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数字化能碳运营现状与核心痛点当前，电装集团绿色转型已进入深水区，但数字化支撑与集约化管控层面仍存在显著瓶颈：</w:t>
      </w:r>
    </w:p>
    <w:p w14:paraId="022171BB">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能碳数据底座割裂，缺乏统一监管抓手： 集团下辖18个生产基地/园区所处区域广泛、生产工艺与用能结构各异，各单位能源计量统计口径、数据精度及碳排放管控标准不一致，数据孤岛严重，总部层面难以实现“一本账”穿透式监管和精准横向对标。</w:t>
      </w:r>
    </w:p>
    <w:p w14:paraId="48DAF26C">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零碳评价无标可依，成效难以量化评估： 零碳园区建设缺乏统一、标准化的指标评价框架与动态打分体系，各单位降碳举措分散、效果参差不齐，难以形成可复制、可推广的绿色制造示范模式。</w:t>
      </w:r>
    </w:p>
    <w:p w14:paraId="7C3F2C9C">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碳足迹核算成本高、周期长、证据链缺失： 传统的碳足迹核算高度依赖离线调研与第三方机构人工驻场，数据收集周期动辄数月，认证成本居高不下；且过程数据缺乏原始采样凭证与不可篡改的时间戳支撑，权威性易受质疑。</w:t>
      </w:r>
    </w:p>
    <w:p w14:paraId="008D11EC">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云边端协同能力薄弱，缺乏实时闭环调控： 现有系统多停留在“事后统计与静态展示”，边缘侧缺乏智能化数据采集、边缘计算与闭环控制机制，无法实现供能、储能、用能多要素的微秒级与秒级协同优化。</w:t>
      </w:r>
    </w:p>
    <w:p w14:paraId="147A192C">
      <w:pPr>
        <w:numPr>
          <w:ilvl w:val="0"/>
          <w:numId w:val="7"/>
        </w:numPr>
        <w:spacing w:after="80" w:line="288" w:lineRule="auto"/>
        <w:ind w:left="0" w:leftChars="0" w:firstLine="0" w:firstLineChars="0"/>
        <w:rPr>
          <w:rFonts w:hint="eastAsia" w:ascii="微软雅黑" w:hAnsi="微软雅黑" w:eastAsia="微软雅黑" w:cs="微软雅黑"/>
          <w:b/>
          <w:bCs/>
          <w:i w:val="0"/>
          <w:iCs w:val="0"/>
          <w:color w:val="1F2937"/>
          <w:sz w:val="21"/>
          <w:szCs w:val="21"/>
          <w:lang w:val="en-US" w:eastAsia="en-US"/>
        </w:rPr>
      </w:pPr>
      <w:r>
        <w:rPr>
          <w:rFonts w:hint="eastAsia" w:ascii="微软雅黑" w:hAnsi="微软雅黑" w:eastAsia="微软雅黑" w:cs="微软雅黑"/>
          <w:b/>
          <w:bCs/>
          <w:i w:val="0"/>
          <w:iCs w:val="0"/>
          <w:color w:val="1F2937"/>
          <w:sz w:val="21"/>
          <w:szCs w:val="21"/>
          <w:lang w:val="en-US" w:eastAsia="en-US"/>
        </w:rPr>
        <w:t>建设目标</w:t>
      </w:r>
    </w:p>
    <w:p w14:paraId="065B21B5">
      <w:pPr>
        <w:numPr>
          <w:numId w:val="0"/>
        </w:numPr>
        <w:spacing w:after="80" w:line="288" w:lineRule="auto"/>
        <w:ind w:left="0" w:leftChars="0" w:firstLine="440" w:firstLineChars="0"/>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具体目标涵盖三个层面与四大维度：</w:t>
      </w:r>
    </w:p>
    <w:p w14:paraId="7C4B75B6">
      <w:pPr>
        <w:spacing w:after="80" w:line="288" w:lineRule="auto"/>
        <w:ind w:left="0" w:leftChars="0" w:firstLine="439" w:firstLineChars="209"/>
        <w:rPr>
          <w:rFonts w:hint="eastAsia" w:ascii="微软雅黑" w:hAnsi="微软雅黑" w:eastAsia="微软雅黑" w:cs="微软雅黑"/>
          <w:b/>
          <w:bCs/>
          <w:i w:val="0"/>
          <w:iCs w:val="0"/>
          <w:color w:val="1F2937"/>
          <w:sz w:val="21"/>
          <w:szCs w:val="21"/>
          <w:lang w:val="en-US" w:eastAsia="en-US"/>
        </w:rPr>
      </w:pPr>
      <w:r>
        <w:rPr>
          <w:rFonts w:hint="eastAsia" w:ascii="微软雅黑" w:hAnsi="微软雅黑" w:eastAsia="微软雅黑" w:cs="微软雅黑"/>
          <w:b/>
          <w:bCs/>
          <w:i w:val="0"/>
          <w:iCs w:val="0"/>
          <w:color w:val="1F2937"/>
          <w:sz w:val="21"/>
          <w:szCs w:val="21"/>
          <w:lang w:val="en-US" w:eastAsia="en-US"/>
        </w:rPr>
        <w:t>管理层级落地目标</w:t>
      </w:r>
    </w:p>
    <w:p w14:paraId="6493362C">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集团总部层（监管与决策中心）： 打造集团能碳数据“驾驶舱”与统管枢纽，全面接入并统一管理18个园区的能碳运行态势。建立健全集团级能效对标体系与零碳园区评估模型，实现能耗异常穿透分析、减碳潜能挖掘与绿色转型成效的权威对外呈现。</w:t>
      </w:r>
    </w:p>
    <w:p w14:paraId="2CFFC7F5">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产业单位层（协同与治理中心）： 固化标准化的碳足迹数据采集、因子匹配与全过程核算流程，构建面向变压器、电缆、高低压开关等重点装备的行业级实景数据库（LCI），指导下属各生产经营单位科学编制降碳规划并精准落地技改措施。</w:t>
      </w:r>
    </w:p>
    <w:p w14:paraId="19F02C5E">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工厂车间层（执行与核算中心）： 沉淀标准因子集、计算模型规范及一键式认证申报模板等数字化工具包，配合边缘网关与控制器实现产线级与设备级数据自动采集，支撑各工厂快速响应客户低碳招投标与第三方合规认证需求，核算效率提升50%以上。</w:t>
      </w:r>
    </w:p>
    <w:p w14:paraId="7997FBD4">
      <w:pPr>
        <w:spacing w:after="80" w:line="288" w:lineRule="auto"/>
        <w:ind w:left="0" w:leftChars="0" w:firstLine="439" w:firstLineChars="209"/>
        <w:rPr>
          <w:rFonts w:hint="eastAsia" w:ascii="微软雅黑" w:hAnsi="微软雅黑" w:eastAsia="微软雅黑" w:cs="微软雅黑"/>
          <w:b/>
          <w:bCs/>
          <w:i w:val="0"/>
          <w:iCs w:val="0"/>
          <w:color w:val="1F2937"/>
          <w:sz w:val="21"/>
          <w:szCs w:val="21"/>
          <w:lang w:val="en-US" w:eastAsia="en-US"/>
        </w:rPr>
      </w:pPr>
      <w:r>
        <w:rPr>
          <w:rFonts w:hint="eastAsia" w:ascii="微软雅黑" w:hAnsi="微软雅黑" w:eastAsia="微软雅黑" w:cs="微软雅黑"/>
          <w:b/>
          <w:bCs/>
          <w:i w:val="0"/>
          <w:iCs w:val="0"/>
          <w:color w:val="1F2937"/>
          <w:sz w:val="21"/>
          <w:szCs w:val="21"/>
          <w:lang w:val="en-US" w:eastAsia="en-US"/>
        </w:rPr>
        <w:t>系统核心能力目标</w:t>
      </w:r>
    </w:p>
    <w:p w14:paraId="67F2527B">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计量精准化： 依托工业物联网架构与边缘调控一体机，打通产线DCS、SCADA、能源表计等系统，消除数据盲区与统计偏差，实现核心能碳指标毫秒级/秒级高精度感知。</w:t>
      </w:r>
    </w:p>
    <w:p w14:paraId="6A36045F">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管控精细化： 建立覆盖原材料输入、生产加工、组装测试到包装出厂的装备产品全生命周期（Cradle-to-Gate）碳足迹追踪链路，形成不可篡改的碳排放数据追溯链。</w:t>
      </w:r>
    </w:p>
    <w:p w14:paraId="0BEC8428">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决策智能化： 深度融合行业机理与AI优化算法，实现用能负荷精准预测、峰谷分时响应、多能互补协同调度与碳减排路径智能推荐。</w:t>
      </w:r>
    </w:p>
    <w:p w14:paraId="68588831">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呈现全景化： 打造集管控、运营、汇报于一体的3D/多维数字化大屏，以生动图表与动态全景呈现集团双碳目标推进路径。</w:t>
      </w:r>
    </w:p>
    <w:p w14:paraId="435DA118">
      <w:pPr>
        <w:numPr>
          <w:ilvl w:val="0"/>
          <w:numId w:val="7"/>
        </w:numPr>
        <w:spacing w:after="80" w:line="288" w:lineRule="auto"/>
        <w:ind w:left="0" w:leftChars="0" w:firstLine="0" w:firstLineChars="0"/>
        <w:rPr>
          <w:rFonts w:hint="eastAsia" w:ascii="微软雅黑" w:hAnsi="微软雅黑" w:eastAsia="微软雅黑" w:cs="微软雅黑"/>
          <w:b/>
          <w:bCs/>
          <w:i w:val="0"/>
          <w:iCs w:val="0"/>
          <w:color w:val="1F2937"/>
          <w:sz w:val="21"/>
          <w:szCs w:val="21"/>
          <w:lang w:val="en-US" w:eastAsia="zh-CN"/>
        </w:rPr>
      </w:pPr>
      <w:r>
        <w:rPr>
          <w:rFonts w:hint="eastAsia" w:ascii="微软雅黑" w:hAnsi="微软雅黑" w:eastAsia="微软雅黑" w:cs="微软雅黑"/>
          <w:b/>
          <w:bCs/>
          <w:i w:val="0"/>
          <w:iCs w:val="0"/>
          <w:color w:val="1F2937"/>
          <w:sz w:val="21"/>
          <w:szCs w:val="21"/>
          <w:lang w:val="en-US" w:eastAsia="zh-CN"/>
        </w:rPr>
        <w:t>建设范围</w:t>
      </w:r>
    </w:p>
    <w:p w14:paraId="5987A33E">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zh-CN"/>
        </w:rPr>
      </w:pPr>
      <w:r>
        <w:rPr>
          <w:rFonts w:hint="eastAsia" w:ascii="微软雅黑" w:hAnsi="微软雅黑" w:eastAsia="微软雅黑" w:cs="微软雅黑"/>
          <w:i w:val="0"/>
          <w:iCs w:val="0"/>
          <w:color w:val="1F2937"/>
          <w:sz w:val="21"/>
          <w:szCs w:val="21"/>
          <w:lang w:val="en-US" w:eastAsia="zh-CN"/>
        </w:rPr>
        <w:t>本项目建设范围涵盖技术服务（标准与咨询）、软件研发、系统集成与数据治理、实施交付、硬件研制及供货部署五大板块，全面实现软硬件交钥匙工程。</w:t>
      </w:r>
    </w:p>
    <w:p w14:paraId="5B84E1E1">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技术服务范围（咨询、标准与数据体系研究）</w:t>
      </w:r>
    </w:p>
    <w:p w14:paraId="3414DA59">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能碳与园区管理标准构建： 深入结合输变电制造行业工艺特征，完成特变电工电装集团零碳园区集控中心管理标准研制；梳理零碳园区、零碳工厂评价指标体系，形成分级评价准则与对标评估方案。</w:t>
      </w:r>
    </w:p>
    <w:p w14:paraId="287F1EA8">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产品碳足迹规范与管理体系： 编制输变电装备（涵盖变压器、线缆、开关设备）碳足迹核算导则与管控规范，明确生命周期边界（系统边界、分配原则、截止准则等），研究符合CBAM政策及主流国际标准（ISO 14067）的实景数据采集与证据链管理体系。</w:t>
      </w:r>
    </w:p>
    <w:p w14:paraId="6CFED9BE">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en-US"/>
        </w:rPr>
      </w:pPr>
      <w:r>
        <w:rPr>
          <w:rFonts w:hint="eastAsia" w:ascii="微软雅黑" w:hAnsi="微软雅黑" w:eastAsia="微软雅黑" w:cs="微软雅黑"/>
          <w:i w:val="0"/>
          <w:iCs w:val="0"/>
          <w:color w:val="1F2937"/>
          <w:sz w:val="21"/>
          <w:szCs w:val="21"/>
          <w:lang w:val="en-US" w:eastAsia="en-US"/>
        </w:rPr>
        <w:t>标准数据字典与接口规范梳理： 制定集团统一度量衡的能碳物联数据字典、多源异构系统数据交互协议规范，梳理并设计集控中心与集采中心的核心API标准接口规范。</w:t>
      </w:r>
    </w:p>
    <w:p w14:paraId="3F71EECF">
      <w:pPr>
        <w:spacing w:after="80" w:line="288" w:lineRule="auto"/>
        <w:ind w:left="0" w:leftChars="0" w:firstLine="438" w:firstLineChars="209"/>
        <w:rPr>
          <w:rFonts w:hint="eastAsia" w:ascii="微软雅黑" w:hAnsi="微软雅黑" w:eastAsia="微软雅黑" w:cs="微软雅黑"/>
          <w:i w:val="0"/>
          <w:iCs w:val="0"/>
          <w:color w:val="1F2937"/>
          <w:sz w:val="21"/>
          <w:szCs w:val="21"/>
          <w:lang w:val="en-US" w:eastAsia="zh-CN"/>
        </w:rPr>
      </w:pPr>
      <w:r>
        <w:rPr>
          <w:rFonts w:hint="eastAsia" w:ascii="微软雅黑" w:hAnsi="微软雅黑" w:eastAsia="微软雅黑" w:cs="微软雅黑"/>
          <w:i w:val="0"/>
          <w:iCs w:val="0"/>
          <w:color w:val="1F2937"/>
          <w:sz w:val="21"/>
          <w:szCs w:val="21"/>
          <w:lang w:val="en-US" w:eastAsia="en-US"/>
        </w:rPr>
        <w:t>装备制造专属因子库体系梳理： 系统化完成变压器、线缆、开关等主营产品的上下游物料基础背景数据库梳理，梳理电力消耗、化石燃料、原材料专属因子集，支撑平台快速算碳。</w:t>
      </w:r>
    </w:p>
    <w:tbl>
      <w:tblPr>
        <w:tblStyle w:val="36"/>
        <w:tblW w:w="10008" w:type="dxa"/>
        <w:jc w:val="center"/>
        <w:tblLayout w:type="autofit"/>
        <w:tblCellMar>
          <w:top w:w="0" w:type="dxa"/>
          <w:left w:w="108" w:type="dxa"/>
          <w:bottom w:w="0" w:type="dxa"/>
          <w:right w:w="108" w:type="dxa"/>
        </w:tblCellMar>
      </w:tblPr>
      <w:tblGrid>
        <w:gridCol w:w="647"/>
        <w:gridCol w:w="1368"/>
        <w:gridCol w:w="2098"/>
        <w:gridCol w:w="3621"/>
        <w:gridCol w:w="2274"/>
      </w:tblGrid>
      <w:tr w14:paraId="64635D8A">
        <w:tblPrEx>
          <w:tblCellMar>
            <w:top w:w="0" w:type="dxa"/>
            <w:left w:w="108" w:type="dxa"/>
            <w:bottom w:w="0" w:type="dxa"/>
            <w:right w:w="108" w:type="dxa"/>
          </w:tblCellMar>
        </w:tblPrEx>
        <w:trPr>
          <w:trHeight w:val="737"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5D64F392">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编号</w:t>
            </w:r>
          </w:p>
        </w:tc>
        <w:tc>
          <w:tcPr>
            <w:tcW w:w="1368"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05A49BD3">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527D1B6">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代表岗位</w:t>
            </w:r>
          </w:p>
        </w:tc>
        <w:tc>
          <w:tcPr>
            <w:tcW w:w="3621"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15A24D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核心业务诉求</w:t>
            </w:r>
          </w:p>
        </w:tc>
        <w:tc>
          <w:tcPr>
            <w:tcW w:w="2274"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65E72E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系统权限边界</w:t>
            </w:r>
          </w:p>
        </w:tc>
      </w:tr>
      <w:tr w14:paraId="61E2EC1C">
        <w:tblPrEx>
          <w:tblCellMar>
            <w:top w:w="0" w:type="dxa"/>
            <w:left w:w="108" w:type="dxa"/>
            <w:bottom w:w="0" w:type="dxa"/>
            <w:right w:w="108" w:type="dxa"/>
          </w:tblCellMar>
        </w:tblPrEx>
        <w:trPr>
          <w:trHeight w:val="737"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942A28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P1</w:t>
            </w:r>
          </w:p>
        </w:tc>
        <w:tc>
          <w:tcPr>
            <w:tcW w:w="136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98B79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F10E18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董事长/分管副总裁</w:t>
            </w:r>
          </w:p>
        </w:tc>
        <w:tc>
          <w:tcPr>
            <w:tcW w:w="362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186BDB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掌控全集团综合能耗趋势与国际碳关税合规态势</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998EE0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全系统只读大盘、战略批示</w:t>
            </w:r>
          </w:p>
        </w:tc>
      </w:tr>
      <w:tr w14:paraId="429E8ED2">
        <w:tblPrEx>
          <w:tblCellMar>
            <w:top w:w="0" w:type="dxa"/>
            <w:left w:w="108" w:type="dxa"/>
            <w:bottom w:w="0" w:type="dxa"/>
            <w:right w:w="108" w:type="dxa"/>
          </w:tblCellMar>
        </w:tblPrEx>
        <w:trPr>
          <w:trHeight w:val="737"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7646CE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P2</w:t>
            </w:r>
          </w:p>
        </w:tc>
        <w:tc>
          <w:tcPr>
            <w:tcW w:w="136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6747FF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F857D0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各基地动力处长/能源主管</w:t>
            </w:r>
          </w:p>
        </w:tc>
        <w:tc>
          <w:tcPr>
            <w:tcW w:w="362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3161CB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穿透式排查工序用能跑冒滴漏，错峰用电降本</w:t>
            </w:r>
          </w:p>
        </w:tc>
        <w:tc>
          <w:tcPr>
            <w:tcW w:w="227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134790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所辖基地读写与全量导出</w:t>
            </w:r>
          </w:p>
        </w:tc>
      </w:tr>
      <w:tr w14:paraId="6AAF71F3">
        <w:tblPrEx>
          <w:tblCellMar>
            <w:top w:w="0" w:type="dxa"/>
            <w:left w:w="108" w:type="dxa"/>
            <w:bottom w:w="0" w:type="dxa"/>
            <w:right w:w="108" w:type="dxa"/>
          </w:tblCellMar>
        </w:tblPrEx>
        <w:trPr>
          <w:trHeight w:val="737"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7C16A4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P3</w:t>
            </w:r>
          </w:p>
        </w:tc>
        <w:tc>
          <w:tcPr>
            <w:tcW w:w="136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79688A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FC5E86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车间统计员/动力值班员</w:t>
            </w:r>
          </w:p>
        </w:tc>
        <w:tc>
          <w:tcPr>
            <w:tcW w:w="362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E86959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高密快速录入离线产量、能耗、相册与大事记</w:t>
            </w:r>
          </w:p>
        </w:tc>
        <w:tc>
          <w:tcPr>
            <w:tcW w:w="227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484D38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数据表录入/修改/纠错</w:t>
            </w:r>
          </w:p>
        </w:tc>
      </w:tr>
      <w:tr w14:paraId="6DF4E6AE">
        <w:tblPrEx>
          <w:tblCellMar>
            <w:top w:w="0" w:type="dxa"/>
            <w:left w:w="108" w:type="dxa"/>
            <w:bottom w:w="0" w:type="dxa"/>
            <w:right w:w="108" w:type="dxa"/>
          </w:tblCellMar>
        </w:tblPrEx>
        <w:trPr>
          <w:trHeight w:val="737" w:hRule="atLeast"/>
          <w:jc w:val="center"/>
        </w:trPr>
        <w:tc>
          <w:tcPr>
            <w:tcW w:w="64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617327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P4</w:t>
            </w:r>
          </w:p>
        </w:tc>
        <w:tc>
          <w:tcPr>
            <w:tcW w:w="136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0E7E6C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碳核算工程师</w:t>
            </w:r>
          </w:p>
        </w:tc>
        <w:tc>
          <w:tcPr>
            <w:tcW w:w="209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63CAE0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碳资产部/产品技术部</w:t>
            </w:r>
          </w:p>
        </w:tc>
        <w:tc>
          <w:tcPr>
            <w:tcW w:w="362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C84E5C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展开产品 BOM 树，匹配本土实测因子，导出报告</w:t>
            </w:r>
          </w:p>
        </w:tc>
        <w:tc>
          <w:tcPr>
            <w:tcW w:w="227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B43DC4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LCA 建模、因子库、碳标签</w:t>
            </w:r>
          </w:p>
        </w:tc>
      </w:tr>
    </w:tbl>
    <w:p w14:paraId="5B785249">
      <w:pPr>
        <w:pStyle w:val="3"/>
        <w:keepNext/>
        <w:spacing w:before="360" w:after="160"/>
        <w:rPr>
          <w:rFonts w:hint="eastAsia" w:ascii="微软雅黑" w:hAnsi="微软雅黑" w:eastAsia="微软雅黑" w:cs="微软雅黑"/>
          <w:i w:val="0"/>
          <w:iCs w:val="0"/>
          <w:sz w:val="28"/>
          <w:szCs w:val="28"/>
        </w:rPr>
      </w:pPr>
      <w:bookmarkStart w:id="1" w:name="_Toc24840"/>
      <w:r>
        <w:rPr>
          <w:rFonts w:hint="eastAsia" w:ascii="微软雅黑" w:hAnsi="微软雅黑" w:eastAsia="微软雅黑" w:cs="微软雅黑"/>
          <w:b/>
          <w:i w:val="0"/>
          <w:iCs w:val="0"/>
          <w:color w:val="1E3A8A"/>
          <w:sz w:val="28"/>
          <w:szCs w:val="28"/>
        </w:rPr>
        <w:t>第二</w:t>
      </w:r>
      <w:r>
        <w:rPr>
          <w:rFonts w:hint="eastAsia" w:ascii="微软雅黑" w:hAnsi="微软雅黑" w:eastAsia="微软雅黑" w:cs="微软雅黑"/>
          <w:b/>
          <w:i w:val="0"/>
          <w:iCs w:val="0"/>
          <w:color w:val="1E3A8A"/>
          <w:sz w:val="28"/>
          <w:szCs w:val="28"/>
          <w:lang w:val="en-US" w:eastAsia="zh-CN"/>
        </w:rPr>
        <w:t xml:space="preserve">章 </w:t>
      </w:r>
      <w:r>
        <w:rPr>
          <w:rFonts w:hint="eastAsia" w:ascii="微软雅黑" w:hAnsi="微软雅黑" w:eastAsia="微软雅黑" w:cs="微软雅黑"/>
          <w:b/>
          <w:i w:val="0"/>
          <w:iCs w:val="0"/>
          <w:color w:val="1E3A8A"/>
          <w:sz w:val="28"/>
          <w:szCs w:val="28"/>
        </w:rPr>
        <w:t>零碳园区集控中心功能需求规格</w:t>
      </w:r>
      <w:bookmarkEnd w:id="1"/>
    </w:p>
    <w:p w14:paraId="5C7CB346">
      <w:pPr>
        <w:spacing w:after="80" w:line="288" w:lineRule="auto"/>
        <w:rPr>
          <w:rFonts w:hint="eastAsia" w:ascii="微软雅黑" w:hAnsi="微软雅黑" w:eastAsia="微软雅黑" w:cs="微软雅黑"/>
          <w:i w:val="0"/>
          <w:iCs w:val="0"/>
          <w:color w:val="1F2937"/>
          <w:sz w:val="21"/>
          <w:szCs w:val="21"/>
        </w:rPr>
      </w:pPr>
      <w:r>
        <w:rPr>
          <w:i w:val="0"/>
          <w:iCs w:val="0"/>
        </w:rPr>
        <w:drawing>
          <wp:inline distT="0" distB="0" distL="114300" distR="114300">
            <wp:extent cx="6210300" cy="3079115"/>
            <wp:effectExtent l="0" t="0" r="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6210300" cy="3079115"/>
                    </a:xfrm>
                    <a:prstGeom prst="rect">
                      <a:avLst/>
                    </a:prstGeom>
                    <a:noFill/>
                    <a:ln>
                      <a:noFill/>
                    </a:ln>
                  </pic:spPr>
                </pic:pic>
              </a:graphicData>
            </a:graphic>
          </wp:inline>
        </w:drawing>
      </w:r>
    </w:p>
    <w:p w14:paraId="11474010">
      <w:pPr>
        <w:pStyle w:val="4"/>
        <w:keepNext/>
        <w:spacing w:before="260" w:after="100"/>
        <w:outlineLvl w:val="1"/>
        <w:rPr>
          <w:rFonts w:hint="eastAsia" w:ascii="微软雅黑" w:hAnsi="微软雅黑" w:eastAsia="微软雅黑" w:cs="微软雅黑"/>
          <w:i w:val="0"/>
          <w:iCs w:val="0"/>
          <w:sz w:val="21"/>
          <w:szCs w:val="21"/>
        </w:rPr>
      </w:pPr>
      <w:bookmarkStart w:id="2" w:name="_Toc20322"/>
      <w:r>
        <w:rPr>
          <w:rFonts w:hint="eastAsia" w:ascii="微软雅黑" w:hAnsi="微软雅黑" w:eastAsia="微软雅黑" w:cs="微软雅黑"/>
          <w:b/>
          <w:i w:val="0"/>
          <w:iCs w:val="0"/>
          <w:color w:val="0284C7"/>
          <w:sz w:val="21"/>
          <w:szCs w:val="21"/>
          <w:lang w:val="en-US" w:eastAsia="zh-CN"/>
        </w:rPr>
        <w:t>一、</w:t>
      </w:r>
      <w:r>
        <w:rPr>
          <w:rFonts w:hint="eastAsia" w:ascii="微软雅黑" w:hAnsi="微软雅黑" w:eastAsia="微软雅黑" w:cs="微软雅黑"/>
          <w:b/>
          <w:i w:val="0"/>
          <w:iCs w:val="0"/>
          <w:color w:val="0284C7"/>
          <w:sz w:val="21"/>
          <w:szCs w:val="21"/>
        </w:rPr>
        <w:t>集控中心大屏</w:t>
      </w:r>
      <w:bookmarkEnd w:id="2"/>
    </w:p>
    <w:p w14:paraId="59A93F48">
      <w:pPr>
        <w:pStyle w:val="5"/>
        <w:keepNext/>
        <w:spacing w:before="180" w:after="60"/>
        <w:outlineLvl w:val="2"/>
        <w:rPr>
          <w:rFonts w:hint="default" w:ascii="微软雅黑" w:hAnsi="微软雅黑" w:eastAsia="微软雅黑" w:cs="微软雅黑"/>
          <w:i w:val="0"/>
          <w:iCs w:val="0"/>
          <w:sz w:val="21"/>
          <w:szCs w:val="21"/>
          <w:lang w:val="en-US" w:eastAsia="zh-CN"/>
        </w:rPr>
      </w:pPr>
      <w:bookmarkStart w:id="3" w:name="_Toc18646"/>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全景环幕大屏</w:t>
      </w:r>
      <w:bookmarkEnd w:id="3"/>
      <w:r>
        <w:rPr>
          <w:rFonts w:hint="eastAsia" w:ascii="微软雅黑" w:hAnsi="微软雅黑" w:eastAsia="微软雅黑" w:cs="微软雅黑"/>
          <w:b/>
          <w:i w:val="0"/>
          <w:iCs w:val="0"/>
          <w:color w:val="1E3A8A"/>
          <w:sz w:val="21"/>
          <w:szCs w:val="21"/>
          <w:lang w:val="en-US" w:eastAsia="zh-CN"/>
        </w:rPr>
        <w:t>46:9</w:t>
      </w:r>
    </w:p>
    <w:p w14:paraId="6BED76FA">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PM 业务场景：</w:t>
      </w:r>
    </w:p>
    <w:p w14:paraId="6FA891C6">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面向特变电工集团高管视察、工信部/发改委绿碳专项验收及海外战略客户参观的高端 1920×1080 矢量等比缩放工业环幕控制台。</w:t>
      </w:r>
    </w:p>
    <w:p w14:paraId="67E6E14B">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UI 原型布局与组件状态：</w:t>
      </w:r>
    </w:p>
    <w:p w14:paraId="2FAA7A74">
      <w:pPr>
        <w:numPr>
          <w:ilvl w:val="0"/>
          <w:numId w:val="8"/>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3D 浮雕中国地图：精确点亮特变电工新疆基地、沈阳变压器、衡阳变压器、天津中发、山东鲁缆等生产据点，采用 WebGL 渲染脉冲雷达波纹与飞线潮流；</w:t>
      </w:r>
    </w:p>
    <w:p w14:paraId="359481B3">
      <w:pPr>
        <w:numPr>
          <w:ilvl w:val="0"/>
          <w:numId w:val="8"/>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左侧综合能耗与绿电看板：环形呈现集团本年度能碳勋章建设进度（100% 达成率）、重大能碳里程碑大事记、分布式光伏瞬时出力滚动流与园区高清实景轮播；</w:t>
      </w:r>
    </w:p>
    <w:p w14:paraId="3747C488">
      <w:pPr>
        <w:numPr>
          <w:ilvl w:val="0"/>
          <w:numId w:val="8"/>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右侧穿透控制台：提供二级公司级联筛选、5 家核心实体工厂胶囊切片 Tab、10 大综合指标环形矩阵 (5×2 排布) 以及一键跳转至 16:9 标准运营中心的交互入口。</w:t>
      </w:r>
    </w:p>
    <w:tbl>
      <w:tblPr>
        <w:tblStyle w:val="36"/>
        <w:tblW w:w="10175" w:type="dxa"/>
        <w:jc w:val="center"/>
        <w:tblLayout w:type="autofit"/>
        <w:tblCellMar>
          <w:top w:w="0" w:type="dxa"/>
          <w:left w:w="108" w:type="dxa"/>
          <w:bottom w:w="0" w:type="dxa"/>
          <w:right w:w="108" w:type="dxa"/>
        </w:tblCellMar>
      </w:tblPr>
      <w:tblGrid>
        <w:gridCol w:w="1663"/>
        <w:gridCol w:w="1661"/>
        <w:gridCol w:w="1269"/>
        <w:gridCol w:w="1121"/>
        <w:gridCol w:w="2209"/>
        <w:gridCol w:w="1555"/>
        <w:gridCol w:w="697"/>
      </w:tblGrid>
      <w:tr w14:paraId="54D69C90">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0C91FCE3">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字段代码</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1ABEDF65">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5070A54F">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31BABA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工程量纲</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548102C2">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数据来源与频次</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84E0051">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校验与边界约束</w:t>
            </w:r>
          </w:p>
        </w:tc>
        <w:tc>
          <w:tcPr>
            <w:tcW w:w="697" w:type="dxa"/>
            <w:tcBorders>
              <w:top w:val="single" w:color="CBD5E1" w:sz="12" w:space="0"/>
              <w:left w:val="single" w:color="CBD5E1" w:sz="4" w:space="0"/>
              <w:bottom w:val="nil"/>
              <w:right w:val="single" w:color="CBD5E1" w:sz="12" w:space="0"/>
            </w:tcBorders>
            <w:shd w:val="clear" w:color="auto" w:fill="1E3A8A"/>
            <w:noWrap w:val="0"/>
            <w:tcMar>
              <w:top w:w="70" w:type="dxa"/>
              <w:left w:w="90" w:type="dxa"/>
              <w:bottom w:w="70" w:type="dxa"/>
              <w:right w:w="90" w:type="dxa"/>
            </w:tcMar>
            <w:vAlign w:val="center"/>
          </w:tcPr>
          <w:p w14:paraId="014BAF7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密级</w:t>
            </w:r>
          </w:p>
        </w:tc>
      </w:tr>
      <w:tr w14:paraId="0A7EDC81">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C035BB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total_energy_tce</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2D9336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集团年度综合能耗</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6B089E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E412E2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 (吨标煤)</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07550E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多介质表计/日结汇总</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B029EC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0.00，非空</w:t>
            </w:r>
          </w:p>
        </w:tc>
        <w:tc>
          <w:tcPr>
            <w:tcW w:w="697"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4B56A62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L1</w:t>
            </w:r>
          </w:p>
        </w:tc>
      </w:tr>
      <w:tr w14:paraId="6C8DC257">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B9850B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unit_output_tce</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CA0290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万元产值综合能耗</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7D31AB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2F5D4C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tce/万元</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BBF606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能耗总量 / 产值，月结</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8C7ED8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0.0001 ~ 10.0000</w:t>
            </w:r>
          </w:p>
        </w:tc>
        <w:tc>
          <w:tcPr>
            <w:tcW w:w="697"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69312E6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L1</w:t>
            </w:r>
          </w:p>
        </w:tc>
      </w:tr>
      <w:tr w14:paraId="6A95273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4FED192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green_ratio</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37C136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综合绿电消纳占比</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66980E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052E4C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A0694D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微电网自发 + 绿电交易</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67C8A5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0.00% ~ 100.00%</w:t>
            </w:r>
          </w:p>
        </w:tc>
        <w:tc>
          <w:tcPr>
            <w:tcW w:w="697"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5B9D938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L1</w:t>
            </w:r>
          </w:p>
        </w:tc>
      </w:tr>
      <w:tr w14:paraId="73586EF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3CE332F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pv_power_kw</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AD1AB5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分布式光伏瞬时出力</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56C2A5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969192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57C062C">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逆变器 SCADA / 秒级</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F62CB2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0.00 ~ 50000.00</w:t>
            </w:r>
          </w:p>
        </w:tc>
        <w:tc>
          <w:tcPr>
            <w:tcW w:w="697"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204E4CD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r w14:paraId="59EE8887">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0EE3D5F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storage_soc</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F3A067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储能电站荷电状态</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FD7BC4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C20A0D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(SOC)</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313786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BMS 电池管理系统 / 秒级</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B07E55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0.00% ~ 100.00%</w:t>
            </w:r>
          </w:p>
        </w:tc>
        <w:tc>
          <w:tcPr>
            <w:tcW w:w="697"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312340C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r w14:paraId="42592C11">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355381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annual_saved_tce</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4950D6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本年累计节能量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EA3091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50D925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97D876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节能技改 M&amp;V 计量 / 月度</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CFD24B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w:t>
            </w:r>
          </w:p>
        </w:tc>
        <w:tc>
          <w:tcPr>
            <w:tcW w:w="697"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41946B1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L1</w:t>
            </w:r>
          </w:p>
        </w:tc>
      </w:tr>
      <w:tr w14:paraId="45E46D84">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064E971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annual_saved_cost</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367B09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本年累计节能效益</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DC8338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0C3A26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90FE03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节能量 × 能源价格 / 月度</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E36654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w:t>
            </w:r>
          </w:p>
        </w:tc>
        <w:tc>
          <w:tcPr>
            <w:tcW w:w="697"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279D011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L1</w:t>
            </w:r>
          </w:p>
        </w:tc>
      </w:tr>
      <w:tr w14:paraId="02EC4236">
        <w:tblPrEx>
          <w:tblCellMar>
            <w:top w:w="0" w:type="dxa"/>
            <w:left w:w="108" w:type="dxa"/>
            <w:bottom w:w="0" w:type="dxa"/>
            <w:right w:w="108" w:type="dxa"/>
          </w:tblCellMar>
        </w:tblPrEx>
        <w:trPr>
          <w:trHeight w:val="0" w:hRule="atLeast"/>
          <w:jc w:val="center"/>
        </w:trPr>
        <w:tc>
          <w:tcPr>
            <w:tcW w:w="1663"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3EEB10A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carbon_intensity</w:t>
            </w:r>
          </w:p>
        </w:tc>
        <w:tc>
          <w:tcPr>
            <w:tcW w:w="1661"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28F0B70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万元产值碳排放强度</w:t>
            </w:r>
          </w:p>
        </w:tc>
        <w:tc>
          <w:tcPr>
            <w:tcW w:w="1269"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061D08E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Decimal(6,4)</w:t>
            </w:r>
          </w:p>
        </w:tc>
        <w:tc>
          <w:tcPr>
            <w:tcW w:w="1121"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509279D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tCO2e/万元</w:t>
            </w:r>
          </w:p>
        </w:tc>
        <w:tc>
          <w:tcPr>
            <w:tcW w:w="2209"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58ED37A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Scope1+Scope2 / 产值</w:t>
            </w:r>
          </w:p>
        </w:tc>
        <w:tc>
          <w:tcPr>
            <w:tcW w:w="1555"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41F1DF3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0.0000</w:t>
            </w:r>
          </w:p>
        </w:tc>
        <w:tc>
          <w:tcPr>
            <w:tcW w:w="697" w:type="dxa"/>
            <w:tcBorders>
              <w:top w:val="single" w:color="CBD5E1" w:sz="4" w:space="0"/>
              <w:left w:val="single" w:color="CBD5E1" w:sz="4" w:space="0"/>
              <w:bottom w:val="single" w:color="CBD5E1" w:sz="12" w:space="0"/>
              <w:right w:val="single" w:color="CBD5E1" w:sz="12" w:space="0"/>
            </w:tcBorders>
            <w:shd w:val="clear" w:color="auto" w:fill="F8FAFC"/>
            <w:noWrap w:val="0"/>
            <w:tcMar>
              <w:top w:w="60" w:type="dxa"/>
              <w:left w:w="80" w:type="dxa"/>
              <w:bottom w:w="60" w:type="dxa"/>
              <w:right w:w="80" w:type="dxa"/>
            </w:tcMar>
            <w:vAlign w:val="center"/>
          </w:tcPr>
          <w:p w14:paraId="1E3BB04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L1</w:t>
            </w:r>
          </w:p>
        </w:tc>
      </w:tr>
    </w:tbl>
    <w:p w14:paraId="5A86322F">
      <w:pPr>
        <w:spacing w:after="60"/>
        <w:rPr>
          <w:rFonts w:hint="eastAsia" w:ascii="微软雅黑" w:hAnsi="微软雅黑" w:eastAsia="微软雅黑" w:cs="微软雅黑"/>
          <w:i w:val="0"/>
          <w:iCs w:val="0"/>
          <w:sz w:val="21"/>
          <w:szCs w:val="21"/>
        </w:rPr>
      </w:pPr>
    </w:p>
    <w:tbl>
      <w:tblPr>
        <w:tblStyle w:val="36"/>
        <w:tblW w:w="0" w:type="auto"/>
        <w:jc w:val="center"/>
        <w:tblLayout w:type="fixed"/>
        <w:tblCellMar>
          <w:top w:w="0" w:type="dxa"/>
          <w:left w:w="108" w:type="dxa"/>
          <w:bottom w:w="0" w:type="dxa"/>
          <w:right w:w="108" w:type="dxa"/>
        </w:tblCellMar>
      </w:tblPr>
      <w:tblGrid>
        <w:gridCol w:w="9792"/>
      </w:tblGrid>
      <w:tr w14:paraId="562284E7">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643F534C">
            <w:pPr>
              <w:spacing w:after="40"/>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6A34A"/>
                <w:sz w:val="21"/>
                <w:szCs w:val="21"/>
              </w:rPr>
              <w:t>📐 【核心数学模型与算法公式】</w:t>
            </w:r>
            <w:r>
              <w:rPr>
                <w:rFonts w:hint="eastAsia" w:ascii="微软雅黑" w:hAnsi="微软雅黑" w:eastAsia="微软雅黑" w:cs="微软雅黑"/>
                <w:b/>
                <w:i w:val="0"/>
                <w:iCs w:val="0"/>
                <w:color w:val="16A34A"/>
                <w:sz w:val="21"/>
                <w:szCs w:val="21"/>
              </w:rPr>
              <w:br w:type="textWrapping"/>
            </w:r>
            <w:r>
              <w:rPr>
                <w:rFonts w:hint="eastAsia" w:ascii="微软雅黑" w:hAnsi="微软雅黑" w:eastAsia="微软雅黑" w:cs="微软雅黑"/>
                <w:b/>
                <w:i w:val="0"/>
                <w:iCs w:val="0"/>
                <w:color w:val="1E3A8A"/>
                <w:sz w:val="21"/>
                <w:szCs w:val="21"/>
              </w:rPr>
              <w:t>【核算公式】：E_total = ∑ [ E_i × K_i ] ; R_green = ( (E_pv_self + E_green_market) / E_elec_total ) × 100%</w:t>
            </w:r>
            <w:r>
              <w:rPr>
                <w:rFonts w:hint="eastAsia" w:ascii="微软雅黑" w:hAnsi="微软雅黑" w:eastAsia="微软雅黑" w:cs="微软雅黑"/>
                <w:b/>
                <w:i w:val="0"/>
                <w:iCs w:val="0"/>
                <w:color w:val="1E3A8A"/>
                <w:sz w:val="21"/>
                <w:szCs w:val="21"/>
              </w:rPr>
              <w:br w:type="textWrapping"/>
            </w:r>
            <w:r>
              <w:rPr>
                <w:rFonts w:hint="eastAsia" w:ascii="微软雅黑" w:hAnsi="微软雅黑" w:eastAsia="微软雅黑" w:cs="微软雅黑"/>
                <w:i w:val="0"/>
                <w:iCs w:val="0"/>
                <w:color w:val="1F2937"/>
                <w:sz w:val="21"/>
                <w:szCs w:val="21"/>
              </w:rPr>
              <w:t>【逻辑说明】：依据 GB/T 2589-2020 计算全厂综合能耗折标煤总量；绿电消纳率严格由园区屋顶光伏自发自用电量与电力交易中心绿电凭证 (GEC) 合并计入分子，总用电量为分母。</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【变量定义与取值约定】：</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E_i: 各能源介质实物消耗量；K_i: 对应能源折标煤系数 (电力当量 0.1229 kgce/kWh, 天然气 1.2143 kgce/m³, 蒸汽 0.1286 kgce/kg)</w:t>
            </w:r>
          </w:p>
        </w:tc>
      </w:tr>
    </w:tbl>
    <w:p w14:paraId="3B81E932">
      <w:pPr>
        <w:spacing w:after="40"/>
        <w:rPr>
          <w:rFonts w:hint="eastAsia" w:ascii="微软雅黑" w:hAnsi="微软雅黑" w:eastAsia="微软雅黑" w:cs="微软雅黑"/>
          <w:i w:val="0"/>
          <w:iCs w:val="0"/>
          <w:sz w:val="21"/>
          <w:szCs w:val="21"/>
        </w:rPr>
      </w:pPr>
    </w:p>
    <w:p w14:paraId="2B983B76">
      <w:pPr>
        <w:pStyle w:val="5"/>
        <w:keepNext/>
        <w:spacing w:before="180" w:after="60"/>
        <w:outlineLvl w:val="2"/>
        <w:rPr>
          <w:rFonts w:hint="eastAsia" w:ascii="微软雅黑" w:hAnsi="微软雅黑" w:eastAsia="微软雅黑" w:cs="微软雅黑"/>
          <w:i w:val="0"/>
          <w:iCs w:val="0"/>
          <w:sz w:val="21"/>
          <w:szCs w:val="21"/>
        </w:rPr>
      </w:pPr>
      <w:bookmarkStart w:id="4" w:name="_Toc15264"/>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综合集控大屏 16:9</w:t>
      </w:r>
      <w:bookmarkEnd w:id="4"/>
    </w:p>
    <w:p w14:paraId="27642CDF">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723F9C0E">
      <w:pPr>
        <w:spacing w:after="80" w:line="288" w:lineRule="auto"/>
        <w:ind w:left="0" w:leftChars="0" w:firstLine="439"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b/>
          <w:bCs/>
          <w:i w:val="0"/>
          <w:iCs w:val="0"/>
          <w:color w:val="1F2937"/>
          <w:sz w:val="21"/>
          <w:szCs w:val="21"/>
        </w:rPr>
        <w:t>综合能源分析</w:t>
      </w:r>
      <w:r>
        <w:rPr>
          <w:rFonts w:hint="eastAsia" w:ascii="微软雅黑" w:hAnsi="微软雅黑" w:eastAsia="微软雅黑" w:cs="微软雅黑"/>
          <w:i w:val="0"/>
          <w:iCs w:val="0"/>
          <w:color w:val="1F2937"/>
          <w:sz w:val="21"/>
          <w:szCs w:val="21"/>
        </w:rPr>
        <w:t>：通过饼图、条形图、环形图、柱状图四种可视化形式，全景展示6家经营单位的能耗比重、集团多能源类型用能总量（统一折算tce）、市电与绿电结构对比，以及15个园区的光伏装机容量分布。</w:t>
      </w:r>
    </w:p>
    <w:p w14:paraId="20A64398">
      <w:pPr>
        <w:spacing w:after="80" w:line="288" w:lineRule="auto"/>
        <w:ind w:left="0" w:leftChars="0" w:firstLine="439"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b/>
          <w:bCs/>
          <w:i w:val="0"/>
          <w:iCs w:val="0"/>
          <w:color w:val="1F2937"/>
          <w:sz w:val="21"/>
          <w:szCs w:val="21"/>
        </w:rPr>
        <w:t>零碳项目展示</w:t>
      </w:r>
      <w:r>
        <w:rPr>
          <w:rFonts w:hint="eastAsia" w:ascii="微软雅黑" w:hAnsi="微软雅黑" w:eastAsia="微软雅黑" w:cs="微软雅黑"/>
          <w:i w:val="0"/>
          <w:iCs w:val="0"/>
          <w:color w:val="1F2937"/>
          <w:sz w:val="21"/>
          <w:szCs w:val="21"/>
        </w:rPr>
        <w:t>：以时序趋势图呈现光伏发电与消纳平衡，以双纵轴图表分别监控储能项目的充放电量与套利收益、热泵项目的供热量与制热耗电量的动态平衡关系。</w:t>
      </w:r>
    </w:p>
    <w:p w14:paraId="10602115">
      <w:pPr>
        <w:spacing w:after="80" w:line="288" w:lineRule="auto"/>
        <w:ind w:left="0" w:leftChars="0" w:firstLine="439"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b/>
          <w:bCs/>
          <w:i w:val="0"/>
          <w:iCs w:val="0"/>
          <w:color w:val="1F2937"/>
          <w:sz w:val="21"/>
          <w:szCs w:val="21"/>
        </w:rPr>
        <w:t>零碳工厂评估</w:t>
      </w:r>
      <w:r>
        <w:rPr>
          <w:rFonts w:hint="eastAsia" w:ascii="微软雅黑" w:hAnsi="微软雅黑" w:eastAsia="微软雅黑" w:cs="微软雅黑"/>
          <w:i w:val="0"/>
          <w:iCs w:val="0"/>
          <w:color w:val="1F2937"/>
          <w:sz w:val="21"/>
          <w:szCs w:val="21"/>
        </w:rPr>
        <w:t>：通过上方6家经营单位Tab页切换、下方雷达图联动的交互方式，对各经营单位下属工厂的零碳建设水平进行多维度可视化评估。。</w:t>
      </w:r>
    </w:p>
    <w:tbl>
      <w:tblPr>
        <w:tblStyle w:val="36"/>
        <w:tblW w:w="10409" w:type="dxa"/>
        <w:jc w:val="center"/>
        <w:tblLayout w:type="autofit"/>
        <w:tblCellMar>
          <w:top w:w="0" w:type="dxa"/>
          <w:left w:w="108" w:type="dxa"/>
          <w:bottom w:w="0" w:type="dxa"/>
          <w:right w:w="108" w:type="dxa"/>
        </w:tblCellMar>
      </w:tblPr>
      <w:tblGrid>
        <w:gridCol w:w="1666"/>
        <w:gridCol w:w="1726"/>
        <w:gridCol w:w="1169"/>
        <w:gridCol w:w="1058"/>
        <w:gridCol w:w="1569"/>
        <w:gridCol w:w="2524"/>
        <w:gridCol w:w="697"/>
      </w:tblGrid>
      <w:tr w14:paraId="1DA03BA5">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21149205">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字段代码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52494986">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4B1A2FE1">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1058"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F47DBBB">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工程量纲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6481DC4">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数据来源与频次</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27C6E6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阈值与告警规则</w:t>
            </w:r>
          </w:p>
        </w:tc>
        <w:tc>
          <w:tcPr>
            <w:tcW w:w="69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0CBB899F">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密级</w:t>
            </w:r>
          </w:p>
        </w:tc>
      </w:tr>
      <w:tr w14:paraId="16257DB0">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DCD12A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bus_voltage_kv</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569574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10kV母线运行电压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8D711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Decimal(6,2)</w:t>
            </w:r>
          </w:p>
        </w:tc>
        <w:tc>
          <w:tcPr>
            <w:tcW w:w="105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A57AEA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kV</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26A626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高压进线 PT / 1秒</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7B394B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额定 10.0kV，偏差超 ±7% 告警</w:t>
            </w:r>
          </w:p>
        </w:tc>
        <w:tc>
          <w:tcPr>
            <w:tcW w:w="6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47D62F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r w14:paraId="1E281E9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AE550D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line_current_a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BA07A0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主变进线运行电流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4B78D7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Decimal(6,2)</w:t>
            </w:r>
          </w:p>
        </w:tc>
        <w:tc>
          <w:tcPr>
            <w:tcW w:w="105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36C12B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16D62E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高压进线 CT / 1秒</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521FD3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不得超过 CT 额定过载能力 120%</w:t>
            </w:r>
          </w:p>
        </w:tc>
        <w:tc>
          <w:tcPr>
            <w:tcW w:w="6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B679B0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r w14:paraId="4E4E13F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A866E4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active_power_kw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23B0D4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变电所瞬时有功功率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D4FD02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105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8B0B7B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3F1522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多功能数字电表 / 1秒</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2C5D8A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0.00，逆流立即切断防倒送</w:t>
            </w:r>
          </w:p>
        </w:tc>
        <w:tc>
          <w:tcPr>
            <w:tcW w:w="6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DAC867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r w14:paraId="21233F7D">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144632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power_factor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870913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全厂综合功率因数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1A1373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Decimal(4,3)</w:t>
            </w:r>
          </w:p>
        </w:tc>
        <w:tc>
          <w:tcPr>
            <w:tcW w:w="105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DCE58B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F52A70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数字电表 / 1秒</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FB465B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考核标准 ≥ 0.95，低于0.90力率罚款</w:t>
            </w:r>
          </w:p>
        </w:tc>
        <w:tc>
          <w:tcPr>
            <w:tcW w:w="6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8427CB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L1</w:t>
            </w:r>
          </w:p>
        </w:tc>
      </w:tr>
      <w:tr w14:paraId="643C099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9B1B97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grid_freq_hz</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5798A7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电网运行实时频率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699AD2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Decimal(4,2)</w:t>
            </w:r>
          </w:p>
        </w:tc>
        <w:tc>
          <w:tcPr>
            <w:tcW w:w="105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CE7823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Hz</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FB21DD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电能质量监测仪 / 1秒</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65065A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额定 50.00Hz，允许偏差 ±0.20Hz</w:t>
            </w:r>
          </w:p>
        </w:tc>
        <w:tc>
          <w:tcPr>
            <w:tcW w:w="6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DDD221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r w14:paraId="05BAB14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E11B3D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trans_temp_deg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961775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变压器顶层油温/绕组温度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184EB9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Decimal(5,1)</w:t>
            </w:r>
          </w:p>
        </w:tc>
        <w:tc>
          <w:tcPr>
            <w:tcW w:w="105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937BA4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1A1EB4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PT100 铂电阻 / 5秒</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A103B9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油温超 85°C 告警，超 105°C 跳闸</w:t>
            </w:r>
          </w:p>
        </w:tc>
        <w:tc>
          <w:tcPr>
            <w:tcW w:w="6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B24D0D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r w14:paraId="1320A139">
        <w:tblPrEx>
          <w:tblCellMar>
            <w:top w:w="0" w:type="dxa"/>
            <w:left w:w="108" w:type="dxa"/>
            <w:bottom w:w="0" w:type="dxa"/>
            <w:right w:w="108" w:type="dxa"/>
          </w:tblCellMar>
        </w:tblPrEx>
        <w:trPr>
          <w:trHeight w:val="0" w:hRule="atLeast"/>
          <w:jc w:val="center"/>
        </w:trPr>
        <w:tc>
          <w:tcPr>
            <w:tcW w:w="166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E1CD3E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storage_power_kw</w:t>
            </w:r>
          </w:p>
        </w:tc>
        <w:tc>
          <w:tcPr>
            <w:tcW w:w="172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4C9F9E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储能 PCS 充放功率</w:t>
            </w:r>
          </w:p>
        </w:tc>
        <w:tc>
          <w:tcPr>
            <w:tcW w:w="116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4FF97F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Decimal(7,2)</w:t>
            </w:r>
          </w:p>
        </w:tc>
        <w:tc>
          <w:tcPr>
            <w:tcW w:w="105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EFEEFD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w:t>
            </w:r>
          </w:p>
        </w:tc>
        <w:tc>
          <w:tcPr>
            <w:tcW w:w="156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720FA4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储能变流器 PCS / 1秒</w:t>
            </w:r>
          </w:p>
        </w:tc>
        <w:tc>
          <w:tcPr>
            <w:tcW w:w="252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F836A0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正值为放电供厂，负值为充电吸纳</w:t>
            </w:r>
          </w:p>
        </w:tc>
        <w:tc>
          <w:tcPr>
            <w:tcW w:w="6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E1CDBF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L2</w:t>
            </w:r>
          </w:p>
        </w:tc>
      </w:tr>
    </w:tbl>
    <w:p w14:paraId="6DC36325">
      <w:pPr>
        <w:spacing w:after="60"/>
        <w:rPr>
          <w:rFonts w:hint="eastAsia" w:ascii="微软雅黑" w:hAnsi="微软雅黑" w:eastAsia="微软雅黑" w:cs="微软雅黑"/>
          <w:i w:val="0"/>
          <w:iCs w:val="0"/>
          <w:sz w:val="21"/>
          <w:szCs w:val="21"/>
        </w:rPr>
      </w:pPr>
    </w:p>
    <w:p w14:paraId="006127AB">
      <w:pPr>
        <w:pStyle w:val="4"/>
        <w:keepNext/>
        <w:spacing w:before="260" w:after="100"/>
        <w:outlineLvl w:val="1"/>
        <w:rPr>
          <w:rFonts w:hint="eastAsia" w:ascii="微软雅黑" w:hAnsi="微软雅黑" w:eastAsia="微软雅黑" w:cs="微软雅黑"/>
          <w:i w:val="0"/>
          <w:iCs w:val="0"/>
          <w:sz w:val="21"/>
          <w:szCs w:val="21"/>
        </w:rPr>
      </w:pPr>
      <w:bookmarkStart w:id="5" w:name="_Toc32703"/>
      <w:r>
        <w:rPr>
          <w:rFonts w:hint="eastAsia" w:ascii="微软雅黑" w:hAnsi="微软雅黑" w:eastAsia="微软雅黑" w:cs="微软雅黑"/>
          <w:b/>
          <w:i w:val="0"/>
          <w:iCs w:val="0"/>
          <w:color w:val="0284C7"/>
          <w:sz w:val="21"/>
          <w:szCs w:val="21"/>
          <w:lang w:val="en-US" w:eastAsia="zh-CN"/>
        </w:rPr>
        <w:t>二、</w:t>
      </w:r>
      <w:r>
        <w:rPr>
          <w:rFonts w:hint="eastAsia" w:ascii="微软雅黑" w:hAnsi="微软雅黑" w:eastAsia="微软雅黑" w:cs="微软雅黑"/>
          <w:b/>
          <w:i w:val="0"/>
          <w:iCs w:val="0"/>
          <w:color w:val="0284C7"/>
          <w:sz w:val="21"/>
          <w:szCs w:val="21"/>
        </w:rPr>
        <w:t>集中监管</w:t>
      </w:r>
      <w:bookmarkEnd w:id="5"/>
    </w:p>
    <w:p w14:paraId="48B4195B">
      <w:pPr>
        <w:pStyle w:val="5"/>
        <w:keepNext/>
        <w:spacing w:before="180" w:after="60"/>
        <w:outlineLvl w:val="2"/>
        <w:rPr>
          <w:rFonts w:hint="eastAsia" w:ascii="微软雅黑" w:hAnsi="微软雅黑" w:eastAsia="微软雅黑" w:cs="微软雅黑"/>
          <w:i w:val="0"/>
          <w:iCs w:val="0"/>
          <w:sz w:val="21"/>
          <w:szCs w:val="21"/>
        </w:rPr>
      </w:pPr>
      <w:bookmarkStart w:id="6" w:name="_Toc28694"/>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指标管控</w:t>
      </w:r>
      <w:bookmarkEnd w:id="6"/>
    </w:p>
    <w:p w14:paraId="1C05FB20">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6210300" cy="3079115"/>
                    </a:xfrm>
                    <a:prstGeom prst="rect">
                      <a:avLst/>
                    </a:prstGeom>
                    <a:noFill/>
                    <a:ln>
                      <a:noFill/>
                    </a:ln>
                  </pic:spPr>
                </pic:pic>
              </a:graphicData>
            </a:graphic>
          </wp:inline>
        </w:drawing>
      </w:r>
    </w:p>
    <w:p w14:paraId="026B62CE">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PM 架构定位：</w:t>
      </w:r>
    </w:p>
    <w:p w14:paraId="4683EDFA">
      <w:p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作为全集团能碳运行中枢，构建 Mode A（宏观指标卡片矩阵）与 Mode B（深入分析详情内页）双模无损穿透体系，彻底剥离冗余标签，实现纯粹的工业数据自解释。</w:t>
      </w:r>
    </w:p>
    <w:p w14:paraId="212D4F36">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UI 原型交互：</w:t>
      </w:r>
    </w:p>
    <w:p w14:paraId="4C898119">
      <w:pPr>
        <w:numPr>
          <w:ilvl w:val="0"/>
          <w:numId w:val="9"/>
        </w:num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顶层切换：支持【经营单位及项目公司整体指标】、【产品管控指标】与【关键制造工序能耗管控指标】三大核心板块；</w:t>
      </w:r>
    </w:p>
    <w:p w14:paraId="111C7008">
      <w:pPr>
        <w:numPr>
          <w:ilvl w:val="0"/>
          <w:numId w:val="9"/>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组织联动：左侧 六级组织树驱动右侧数据联动，支持产业集团、二级公司及车间级下钻；</w:t>
      </w:r>
    </w:p>
    <w:p w14:paraId="5FD2B363">
      <w:pPr>
        <w:numPr>
          <w:ilvl w:val="0"/>
          <w:numId w:val="9"/>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Mode B 详情展开：点击任意指标卡片平滑展开 Mode B 详情内页，呈现指标标准定义、分子分母工程物理量、核算公式、仪表点位路径、近 12 个月趋势图与底层水电气汽折标台账。</w:t>
      </w:r>
    </w:p>
    <w:p w14:paraId="7184F5E7">
      <w:pPr>
        <w:numPr>
          <w:ilvl w:val="0"/>
          <w:numId w:val="0"/>
        </w:numPr>
        <w:spacing w:after="80" w:line="288" w:lineRule="auto"/>
        <w:rPr>
          <w:rFonts w:hint="eastAsia" w:ascii="微软雅黑" w:hAnsi="微软雅黑" w:eastAsia="微软雅黑" w:cs="微软雅黑"/>
          <w:b/>
          <w:i w:val="0"/>
          <w:iCs w:val="0"/>
          <w:color w:val="1E3A8A"/>
          <w:sz w:val="21"/>
          <w:szCs w:val="21"/>
          <w:lang w:val="en-US" w:eastAsia="zh-CN"/>
        </w:rPr>
      </w:pPr>
      <w:r>
        <w:rPr>
          <w:rFonts w:hint="eastAsia" w:ascii="微软雅黑" w:hAnsi="微软雅黑" w:eastAsia="微软雅黑" w:cs="微软雅黑"/>
          <w:b/>
          <w:i w:val="0"/>
          <w:iCs w:val="0"/>
          <w:color w:val="1E3A8A"/>
          <w:sz w:val="21"/>
          <w:szCs w:val="21"/>
          <w:lang w:val="en-US" w:eastAsia="zh-CN"/>
        </w:rPr>
        <w:t>交互方案：</w:t>
      </w:r>
    </w:p>
    <w:p w14:paraId="47457E0C">
      <w:pPr>
        <w:numPr>
          <w:ilvl w:val="0"/>
          <w:numId w:val="0"/>
        </w:numPr>
        <w:spacing w:after="80" w:line="288" w:lineRule="auto"/>
        <w:ind w:left="0" w:leftChars="0" w:firstLine="438" w:firstLineChars="209"/>
        <w:rPr>
          <w:rFonts w:hint="eastAsia" w:ascii="微软雅黑" w:hAnsi="微软雅黑" w:eastAsia="微软雅黑" w:cs="微软雅黑"/>
          <w:i w:val="0"/>
          <w:iCs w:val="0"/>
          <w:sz w:val="21"/>
          <w:szCs w:val="21"/>
          <w:lang w:val="en-US" w:eastAsia="zh-CN"/>
        </w:rPr>
      </w:pPr>
      <w:r>
        <w:rPr>
          <w:rFonts w:hint="eastAsia" w:ascii="微软雅黑" w:hAnsi="微软雅黑" w:eastAsia="微软雅黑" w:cs="微软雅黑"/>
          <w:i w:val="0"/>
          <w:iCs w:val="0"/>
          <w:sz w:val="21"/>
          <w:szCs w:val="21"/>
          <w:lang w:val="en-US" w:eastAsia="zh-CN"/>
        </w:rPr>
        <w:t>1. 选中1级节点</w:t>
      </w:r>
    </w:p>
    <w:p w14:paraId="554F5515">
      <w:pPr>
        <w:numPr>
          <w:ilvl w:val="0"/>
          <w:numId w:val="10"/>
        </w:numPr>
        <w:spacing w:after="80" w:line="288" w:lineRule="auto"/>
        <w:ind w:left="0" w:leftChars="0" w:firstLine="438" w:firstLineChars="209"/>
        <w:rPr>
          <w:rFonts w:hint="default" w:ascii="微软雅黑" w:hAnsi="微软雅黑" w:eastAsia="微软雅黑" w:cs="微软雅黑"/>
          <w:i w:val="0"/>
          <w:iCs w:val="0"/>
          <w:sz w:val="21"/>
          <w:szCs w:val="21"/>
          <w:lang w:val="en-US" w:eastAsia="zh-CN"/>
        </w:rPr>
      </w:pPr>
      <w:r>
        <w:rPr>
          <w:rFonts w:hint="eastAsia" w:ascii="微软雅黑" w:hAnsi="微软雅黑" w:eastAsia="微软雅黑" w:cs="微软雅黑"/>
          <w:i w:val="0"/>
          <w:iCs w:val="0"/>
          <w:sz w:val="21"/>
          <w:szCs w:val="21"/>
          <w:lang w:val="en-US" w:eastAsia="zh-CN"/>
        </w:rPr>
        <w:t>选中2级节点</w:t>
      </w:r>
    </w:p>
    <w:p w14:paraId="364D20E4">
      <w:pPr>
        <w:numPr>
          <w:ilvl w:val="0"/>
          <w:numId w:val="10"/>
        </w:numPr>
        <w:spacing w:after="80" w:line="288" w:lineRule="auto"/>
        <w:ind w:left="0" w:leftChars="0" w:firstLine="438" w:firstLineChars="209"/>
        <w:rPr>
          <w:rFonts w:hint="default" w:ascii="微软雅黑" w:hAnsi="微软雅黑" w:eastAsia="微软雅黑" w:cs="微软雅黑"/>
          <w:i w:val="0"/>
          <w:iCs w:val="0"/>
          <w:sz w:val="21"/>
          <w:szCs w:val="21"/>
          <w:lang w:val="en-US" w:eastAsia="zh-CN"/>
        </w:rPr>
      </w:pPr>
      <w:r>
        <w:rPr>
          <w:rFonts w:hint="eastAsia" w:ascii="微软雅黑" w:hAnsi="微软雅黑" w:eastAsia="微软雅黑" w:cs="微软雅黑"/>
          <w:i w:val="0"/>
          <w:iCs w:val="0"/>
          <w:sz w:val="21"/>
          <w:szCs w:val="21"/>
          <w:lang w:val="en-US" w:eastAsia="zh-CN"/>
        </w:rPr>
        <w:t>选中3级节点</w:t>
      </w:r>
    </w:p>
    <w:p w14:paraId="2D3ED25E">
      <w:pPr>
        <w:pStyle w:val="6"/>
        <w:keepNext/>
        <w:spacing w:before="180" w:after="60"/>
        <w:outlineLvl w:val="3"/>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E3A8A"/>
          <w:sz w:val="21"/>
          <w:szCs w:val="21"/>
        </w:rPr>
        <w:t>1.1 板块一：经营单位及项目公司整体指标 (10 项核心指标)</w:t>
      </w:r>
    </w:p>
    <w:tbl>
      <w:tblPr>
        <w:tblStyle w:val="36"/>
        <w:tblW w:w="10115" w:type="dxa"/>
        <w:jc w:val="center"/>
        <w:tblLayout w:type="autofit"/>
        <w:tblCellMar>
          <w:top w:w="0" w:type="dxa"/>
          <w:left w:w="108" w:type="dxa"/>
          <w:bottom w:w="0" w:type="dxa"/>
          <w:right w:w="108" w:type="dxa"/>
        </w:tblCellMar>
      </w:tblPr>
      <w:tblGrid>
        <w:gridCol w:w="656"/>
        <w:gridCol w:w="1339"/>
        <w:gridCol w:w="1192"/>
        <w:gridCol w:w="3216"/>
        <w:gridCol w:w="2096"/>
        <w:gridCol w:w="1616"/>
      </w:tblGrid>
      <w:tr w14:paraId="6C306724">
        <w:tblPrEx>
          <w:tblCellMar>
            <w:top w:w="0" w:type="dxa"/>
            <w:left w:w="108" w:type="dxa"/>
            <w:bottom w:w="0" w:type="dxa"/>
            <w:right w:w="108" w:type="dxa"/>
          </w:tblCellMar>
        </w:tblPrEx>
        <w:trPr>
          <w:trHeight w:val="0" w:hRule="atLeast"/>
          <w:tblHeader/>
          <w:jc w:val="center"/>
        </w:trPr>
        <w:tc>
          <w:tcPr>
            <w:tcW w:w="656" w:type="dxa"/>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34F1BB46">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val="en-US"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55943B0B">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指标中文名称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48E29726">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单位</w:t>
            </w:r>
          </w:p>
        </w:tc>
        <w:tc>
          <w:tcPr>
            <w:tcW w:w="3216"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488D92EF">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核算数学模型</w:t>
            </w:r>
          </w:p>
        </w:tc>
        <w:tc>
          <w:tcPr>
            <w:tcW w:w="2096"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44CB4B2B">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分子来源</w:t>
            </w:r>
          </w:p>
        </w:tc>
        <w:tc>
          <w:tcPr>
            <w:tcW w:w="1616" w:type="dxa"/>
            <w:tcBorders>
              <w:top w:val="single" w:color="CBD5E1" w:sz="12" w:space="0"/>
              <w:left w:val="single" w:color="CBD5E1" w:sz="4" w:space="0"/>
              <w:bottom w:val="nil"/>
              <w:right w:val="single" w:color="CBD5E1" w:sz="12" w:space="0"/>
            </w:tcBorders>
            <w:shd w:val="clear" w:color="auto" w:fill="1E3A8A"/>
            <w:noWrap w:val="0"/>
            <w:tcMar>
              <w:top w:w="70" w:type="dxa"/>
              <w:left w:w="90" w:type="dxa"/>
              <w:bottom w:w="70" w:type="dxa"/>
              <w:right w:w="90" w:type="dxa"/>
            </w:tcMar>
            <w:vAlign w:val="center"/>
          </w:tcPr>
          <w:p w14:paraId="3996FABA">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分母来源</w:t>
            </w:r>
          </w:p>
        </w:tc>
      </w:tr>
      <w:tr w14:paraId="58FD1048">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4BBE16C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623DFE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综合能源消费量</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98C2496">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w:t>
            </w:r>
          </w:p>
        </w:tc>
        <w:tc>
          <w:tcPr>
            <w:tcW w:w="321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339A7C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E_total = ∑ (E_i × K_i)</w:t>
            </w:r>
          </w:p>
        </w:tc>
        <w:tc>
          <w:tcPr>
            <w:tcW w:w="209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8068FE3">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水电气汽等各介质计量表</w:t>
            </w:r>
          </w:p>
        </w:tc>
        <w:tc>
          <w:tcPr>
            <w:tcW w:w="1616"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398D676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国家当量折标系数</w:t>
            </w:r>
          </w:p>
        </w:tc>
      </w:tr>
      <w:tr w14:paraId="618D139F">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23EBB99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2D9BA5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万元产值综合能耗</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4CD74A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tce/万元</w:t>
            </w:r>
          </w:p>
        </w:tc>
        <w:tc>
          <w:tcPr>
            <w:tcW w:w="321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C1072E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e_gdp = (E_total / GDP) × 10000</w:t>
            </w:r>
          </w:p>
        </w:tc>
        <w:tc>
          <w:tcPr>
            <w:tcW w:w="209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962B226">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综合能源消费量 (tce)</w:t>
            </w:r>
          </w:p>
        </w:tc>
        <w:tc>
          <w:tcPr>
            <w:tcW w:w="1616"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2BB5FC2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财务 ERP 月度营业总产值</w:t>
            </w:r>
          </w:p>
        </w:tc>
      </w:tr>
      <w:tr w14:paraId="3586F44F">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692A2925">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C8B1C5A">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万元产值电耗</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17D0EB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kWh/万元</w:t>
            </w:r>
          </w:p>
        </w:tc>
        <w:tc>
          <w:tcPr>
            <w:tcW w:w="321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51FFB0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q_elec = (Q_elec / GDP) × 10000</w:t>
            </w:r>
          </w:p>
        </w:tc>
        <w:tc>
          <w:tcPr>
            <w:tcW w:w="209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08C312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总用电量 (kWh)</w:t>
            </w:r>
          </w:p>
        </w:tc>
        <w:tc>
          <w:tcPr>
            <w:tcW w:w="1616"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5150389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财务 ERP 月度营业总产值</w:t>
            </w:r>
          </w:p>
        </w:tc>
      </w:tr>
      <w:tr w14:paraId="30CFE439">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9D95EC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763D45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ESG 万元产值水耗</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7E4CB7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m³/万元</w:t>
            </w:r>
          </w:p>
        </w:tc>
        <w:tc>
          <w:tcPr>
            <w:tcW w:w="321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EEBA7A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q_water = (Q_water / GDP) × 10000</w:t>
            </w:r>
          </w:p>
        </w:tc>
        <w:tc>
          <w:tcPr>
            <w:tcW w:w="209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87E8803">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全厂自来水+地下水总表</w:t>
            </w:r>
          </w:p>
        </w:tc>
        <w:tc>
          <w:tcPr>
            <w:tcW w:w="1616"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121F7B9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财务 ERP 月度营业总产值</w:t>
            </w:r>
          </w:p>
        </w:tc>
      </w:tr>
      <w:tr w14:paraId="4FAA414A">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A604FB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A33F3C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综合绿电消纳占比</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18323E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21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001325B">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R_green = (Q_green / Q_total) × 100%</w:t>
            </w:r>
          </w:p>
        </w:tc>
        <w:tc>
          <w:tcPr>
            <w:tcW w:w="209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4176CAB">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光伏自用量 + 绿电市场交易量</w:t>
            </w:r>
          </w:p>
        </w:tc>
        <w:tc>
          <w:tcPr>
            <w:tcW w:w="1616"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39A13554">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全厂总用电量</w:t>
            </w:r>
          </w:p>
        </w:tc>
      </w:tr>
      <w:tr w14:paraId="36243E6D">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36FCED86">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BF48C1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能源消费成本占比</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1E5D394">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21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2D3F820">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R_cost = (Cost_energy / Cost_prod) × 100%</w:t>
            </w:r>
          </w:p>
        </w:tc>
        <w:tc>
          <w:tcPr>
            <w:tcW w:w="209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C6032B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水电气汽总能耗账单金额</w:t>
            </w:r>
          </w:p>
        </w:tc>
        <w:tc>
          <w:tcPr>
            <w:tcW w:w="1616"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03A789C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财务系统产品生产制造成本</w:t>
            </w:r>
          </w:p>
        </w:tc>
      </w:tr>
      <w:tr w14:paraId="638CDCA4">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8000B45">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A831DF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清洁能源替代率</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83289A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21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C5579E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R_clean = (E_clean / E_total) × 100%</w:t>
            </w:r>
          </w:p>
        </w:tc>
        <w:tc>
          <w:tcPr>
            <w:tcW w:w="209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97E8EA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电力+天然气等清洁能源折标量</w:t>
            </w:r>
          </w:p>
        </w:tc>
        <w:tc>
          <w:tcPr>
            <w:tcW w:w="1616"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1DEA99F0">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综合能源消费总量</w:t>
            </w:r>
          </w:p>
        </w:tc>
      </w:tr>
      <w:tr w14:paraId="68EF625E">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66D4259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D9DDE06">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重点设备综合效率</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DD5B3B4">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21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818182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η_equip = ∑ (η_j × P_rated_j) / ∑ P_rated_j</w:t>
            </w:r>
          </w:p>
        </w:tc>
        <w:tc>
          <w:tcPr>
            <w:tcW w:w="209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8D3E7CF">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设备在线监测有效做功量</w:t>
            </w:r>
          </w:p>
        </w:tc>
        <w:tc>
          <w:tcPr>
            <w:tcW w:w="1616"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0D81875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设备在线监测总输入功量</w:t>
            </w:r>
          </w:p>
        </w:tc>
      </w:tr>
      <w:tr w14:paraId="41926AE6">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597164B6">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9</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064665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余热余压利用率</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CE45FF3">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21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96F557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R_waste = (Q_recovered / Q_waste_total) × 100%</w:t>
            </w:r>
          </w:p>
        </w:tc>
        <w:tc>
          <w:tcPr>
            <w:tcW w:w="209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489FAE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余热锅炉/热泵回收蒸汽与热量</w:t>
            </w:r>
          </w:p>
        </w:tc>
        <w:tc>
          <w:tcPr>
            <w:tcW w:w="1616"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1482614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可回收余热余压理论总量</w:t>
            </w:r>
          </w:p>
        </w:tc>
      </w:tr>
      <w:tr w14:paraId="6E860353">
        <w:tblPrEx>
          <w:tblCellMar>
            <w:top w:w="0" w:type="dxa"/>
            <w:left w:w="108" w:type="dxa"/>
            <w:bottom w:w="0" w:type="dxa"/>
            <w:right w:w="108" w:type="dxa"/>
          </w:tblCellMar>
        </w:tblPrEx>
        <w:trPr>
          <w:trHeight w:val="0" w:hRule="atLeast"/>
          <w:jc w:val="center"/>
        </w:trPr>
        <w:tc>
          <w:tcPr>
            <w:tcW w:w="656"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6C5303FF">
            <w:pPr>
              <w:keepNext/>
              <w:snapToGrid w:val="0"/>
              <w:spacing w:line="240" w:lineRule="auto"/>
              <w:ind w:left="0" w:leftChars="0" w:right="0" w:rightChars="0" w:firstLine="0" w:firstLineChars="0"/>
              <w:jc w:val="center"/>
              <w:rPr>
                <w:rFonts w:hint="default"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10</w:t>
            </w:r>
          </w:p>
        </w:tc>
        <w:tc>
          <w:tcPr>
            <w:tcW w:w="1339"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40DC5688">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万元产值碳排放强度</w:t>
            </w:r>
          </w:p>
        </w:tc>
        <w:tc>
          <w:tcPr>
            <w:tcW w:w="1192"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1EEA77A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tCO2e/万元</w:t>
            </w:r>
          </w:p>
        </w:tc>
        <w:tc>
          <w:tcPr>
            <w:tcW w:w="3216"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69D66160">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I_co2 = (E_GHG / GDP) × 10000</w:t>
            </w:r>
          </w:p>
        </w:tc>
        <w:tc>
          <w:tcPr>
            <w:tcW w:w="2096"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38B87A73">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Scope 1 直接 + Scope 2 间接碳排</w:t>
            </w:r>
          </w:p>
        </w:tc>
        <w:tc>
          <w:tcPr>
            <w:tcW w:w="1616" w:type="dxa"/>
            <w:tcBorders>
              <w:top w:val="single" w:color="CBD5E1" w:sz="4" w:space="0"/>
              <w:left w:val="single" w:color="CBD5E1" w:sz="4" w:space="0"/>
              <w:bottom w:val="single" w:color="CBD5E1" w:sz="12" w:space="0"/>
              <w:right w:val="single" w:color="CBD5E1" w:sz="12" w:space="0"/>
            </w:tcBorders>
            <w:shd w:val="clear" w:color="auto" w:fill="F8FAFC"/>
            <w:noWrap w:val="0"/>
            <w:tcMar>
              <w:top w:w="60" w:type="dxa"/>
              <w:left w:w="80" w:type="dxa"/>
              <w:bottom w:w="60" w:type="dxa"/>
              <w:right w:w="80" w:type="dxa"/>
            </w:tcMar>
            <w:vAlign w:val="center"/>
          </w:tcPr>
          <w:p w14:paraId="0A521ACB">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财务 ERP 月度营业总产值</w:t>
            </w:r>
          </w:p>
        </w:tc>
      </w:tr>
    </w:tbl>
    <w:p w14:paraId="395C40D5">
      <w:pPr>
        <w:spacing w:after="60"/>
        <w:rPr>
          <w:rFonts w:hint="eastAsia" w:ascii="微软雅黑" w:hAnsi="微软雅黑" w:eastAsia="微软雅黑" w:cs="微软雅黑"/>
          <w:i w:val="0"/>
          <w:iCs w:val="0"/>
          <w:sz w:val="21"/>
          <w:szCs w:val="21"/>
        </w:rPr>
      </w:pPr>
    </w:p>
    <w:p w14:paraId="256DDF4F">
      <w:pPr>
        <w:pStyle w:val="6"/>
        <w:keepNext/>
        <w:spacing w:before="180" w:after="60"/>
        <w:outlineLvl w:val="3"/>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E3A8A"/>
          <w:sz w:val="21"/>
          <w:szCs w:val="21"/>
        </w:rPr>
        <w:t>1.2 板块二：产品管控指标 (5 项产品单位产品能耗指标)</w:t>
      </w:r>
    </w:p>
    <w:p w14:paraId="1CD045B1">
      <w:pPr>
        <w:spacing w:after="80" w:line="288" w:lineRule="auto"/>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b/>
          <w:i w:val="0"/>
          <w:iCs w:val="0"/>
          <w:color w:val="1E3A8A"/>
          <w:sz w:val="21"/>
          <w:szCs w:val="21"/>
        </w:rPr>
        <w:t>算法与单位约束：</w:t>
      </w:r>
      <w:r>
        <w:rPr>
          <w:rFonts w:hint="eastAsia" w:ascii="微软雅黑" w:hAnsi="微软雅黑" w:eastAsia="微软雅黑" w:cs="微软雅黑"/>
          <w:i w:val="0"/>
          <w:iCs w:val="0"/>
          <w:color w:val="1F2937"/>
          <w:sz w:val="21"/>
          <w:szCs w:val="21"/>
        </w:rPr>
        <w:t>【产业分母严格隔离铁律】：</w:t>
      </w:r>
    </w:p>
    <w:p w14:paraId="2A41E637">
      <w:pPr>
        <w:numPr>
          <w:ilvl w:val="0"/>
          <w:numId w:val="11"/>
        </w:num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变压器产业：分母物理量统一为容量【万kVA】（或千伏安 kVA），单位产品综合能耗单位为【tce/万kVA】或【tce/kVA】；</w:t>
      </w:r>
    </w:p>
    <w:p w14:paraId="64294116">
      <w:pPr>
        <w:numPr>
          <w:ilvl w:val="0"/>
          <w:numId w:val="11"/>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线缆产业：分母物理量统一为导体规格【万km·mm²】（公里×毫米平方），单位产品综合能耗单位为【tce/万km·mm²】；</w:t>
      </w:r>
    </w:p>
    <w:tbl>
      <w:tblPr>
        <w:tblStyle w:val="36"/>
        <w:tblW w:w="9966" w:type="dxa"/>
        <w:jc w:val="center"/>
        <w:tblLayout w:type="autofit"/>
        <w:tblCellMar>
          <w:top w:w="0" w:type="dxa"/>
          <w:left w:w="108" w:type="dxa"/>
          <w:bottom w:w="0" w:type="dxa"/>
          <w:right w:w="108" w:type="dxa"/>
        </w:tblCellMar>
      </w:tblPr>
      <w:tblGrid>
        <w:gridCol w:w="584"/>
        <w:gridCol w:w="1715"/>
        <w:gridCol w:w="1528"/>
        <w:gridCol w:w="1524"/>
        <w:gridCol w:w="4615"/>
      </w:tblGrid>
      <w:tr w14:paraId="60F5CBB8">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2E512283">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val="en-US"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F6C826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81BCACF">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2CF1680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线缆产业单位</w:t>
            </w:r>
          </w:p>
        </w:tc>
        <w:tc>
          <w:tcPr>
            <w:tcW w:w="4615"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CD13E7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核算数学公式</w:t>
            </w:r>
          </w:p>
        </w:tc>
      </w:tr>
      <w:tr w14:paraId="7675C0DD">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5054F7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CDBC7B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5CA27D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31F413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tce/万km·mm²</w:t>
            </w:r>
          </w:p>
        </w:tc>
        <w:tc>
          <w:tcPr>
            <w:tcW w:w="4615"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C63B37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 = (E_total_period / M_product_period)</w:t>
            </w:r>
          </w:p>
        </w:tc>
      </w:tr>
      <w:tr w14:paraId="4CE218BD">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679A12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4FB4F6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657E2C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1F91AB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kWh/km·mm²</w:t>
            </w:r>
          </w:p>
        </w:tc>
        <w:tc>
          <w:tcPr>
            <w:tcW w:w="4615"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1E434C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q_elec = (Q_elec_period / M_product_period)</w:t>
            </w:r>
          </w:p>
        </w:tc>
      </w:tr>
      <w:tr w14:paraId="767A57EB">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624BB3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D017F4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959645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6C48F8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GJ/km·mm²</w:t>
            </w:r>
          </w:p>
        </w:tc>
        <w:tc>
          <w:tcPr>
            <w:tcW w:w="4615"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A021B2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q_steam = (Q_steam_period / M_product_period)</w:t>
            </w:r>
          </w:p>
        </w:tc>
      </w:tr>
      <w:tr w14:paraId="4B6B703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384AAA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5F3D09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9717FE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86F693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m³/km·mm²</w:t>
            </w:r>
          </w:p>
        </w:tc>
        <w:tc>
          <w:tcPr>
            <w:tcW w:w="4615"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E5FA1C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q_gas = (Q_gas_period / M_product_period)</w:t>
            </w:r>
          </w:p>
        </w:tc>
      </w:tr>
      <w:tr w14:paraId="6DDF5C66">
        <w:tblPrEx>
          <w:tblCellMar>
            <w:top w:w="0" w:type="dxa"/>
            <w:left w:w="108" w:type="dxa"/>
            <w:bottom w:w="0" w:type="dxa"/>
            <w:right w:w="108" w:type="dxa"/>
          </w:tblCellMar>
        </w:tblPrEx>
        <w:trPr>
          <w:trHeight w:val="0" w:hRule="atLeast"/>
          <w:jc w:val="center"/>
        </w:trPr>
        <w:tc>
          <w:tcPr>
            <w:tcW w:w="58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5A4F9A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1715"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0501E5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单位产品水耗</w:t>
            </w:r>
          </w:p>
        </w:tc>
        <w:tc>
          <w:tcPr>
            <w:tcW w:w="152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C24640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t/kVA</w:t>
            </w:r>
          </w:p>
        </w:tc>
        <w:tc>
          <w:tcPr>
            <w:tcW w:w="152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C14D28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t/km·mm²</w:t>
            </w:r>
          </w:p>
        </w:tc>
        <w:tc>
          <w:tcPr>
            <w:tcW w:w="4615"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334A0A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q_water = (Q_water_period / M_product_period)</w:t>
            </w:r>
          </w:p>
        </w:tc>
      </w:tr>
    </w:tbl>
    <w:p w14:paraId="7F4E6862">
      <w:pPr>
        <w:spacing w:after="60"/>
        <w:rPr>
          <w:rFonts w:hint="eastAsia" w:ascii="微软雅黑" w:hAnsi="微软雅黑" w:eastAsia="微软雅黑" w:cs="微软雅黑"/>
          <w:i w:val="0"/>
          <w:iCs w:val="0"/>
          <w:sz w:val="21"/>
          <w:szCs w:val="21"/>
        </w:rPr>
      </w:pPr>
    </w:p>
    <w:p w14:paraId="557A9C9A">
      <w:pPr>
        <w:pStyle w:val="6"/>
        <w:keepNext/>
        <w:spacing w:before="180" w:after="60"/>
        <w:outlineLvl w:val="3"/>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E3A8A"/>
          <w:sz w:val="21"/>
          <w:szCs w:val="21"/>
        </w:rPr>
        <w:t>1.3 板块三：关键制造工序能耗管控指标 (47项工序白名单判定)</w:t>
      </w:r>
    </w:p>
    <w:tbl>
      <w:tblPr>
        <w:tblStyle w:val="36"/>
        <w:tblW w:w="0" w:type="auto"/>
        <w:jc w:val="center"/>
        <w:tblLayout w:type="fixed"/>
        <w:tblCellMar>
          <w:top w:w="0" w:type="dxa"/>
          <w:left w:w="108" w:type="dxa"/>
          <w:bottom w:w="0" w:type="dxa"/>
          <w:right w:w="108" w:type="dxa"/>
        </w:tblCellMar>
      </w:tblPr>
      <w:tblGrid>
        <w:gridCol w:w="9792"/>
      </w:tblGrid>
      <w:tr w14:paraId="448DF273">
        <w:tblPrEx>
          <w:tblCellMar>
            <w:top w:w="0" w:type="dxa"/>
            <w:left w:w="108" w:type="dxa"/>
            <w:bottom w:w="0" w:type="dxa"/>
            <w:right w:w="108" w:type="dxa"/>
          </w:tblCellMar>
        </w:tblPrEx>
        <w:trPr>
          <w:jc w:val="center"/>
        </w:trPr>
        <w:tc>
          <w:tcPr>
            <w:tcW w:w="9648" w:type="dxa"/>
            <w:tcBorders>
              <w:top w:val="nil"/>
              <w:left w:val="single" w:color="DC2626" w:sz="24" w:space="0"/>
              <w:bottom w:val="nil"/>
              <w:right w:val="nil"/>
            </w:tcBorders>
            <w:shd w:val="clear" w:color="auto" w:fill="FEF2F2"/>
            <w:tcMar>
              <w:top w:w="100" w:type="dxa"/>
              <w:left w:w="140" w:type="dxa"/>
              <w:bottom w:w="100" w:type="dxa"/>
              <w:right w:w="140" w:type="dxa"/>
            </w:tcMar>
          </w:tcPr>
          <w:p w14:paraId="6B6717AB">
            <w:pPr>
              <w:spacing w:after="40"/>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DC2626"/>
                <w:sz w:val="21"/>
                <w:szCs w:val="21"/>
              </w:rPr>
              <w:t>📌 【</w:t>
            </w:r>
            <w:r>
              <w:rPr>
                <w:rFonts w:hint="eastAsia" w:ascii="微软雅黑" w:hAnsi="微软雅黑" w:eastAsia="微软雅黑" w:cs="微软雅黑"/>
                <w:b/>
                <w:i w:val="0"/>
                <w:iCs w:val="0"/>
                <w:color w:val="DC2626"/>
                <w:sz w:val="21"/>
                <w:szCs w:val="21"/>
                <w:lang w:val="en-US" w:eastAsia="zh-CN"/>
              </w:rPr>
              <w:t>关键工序指标显示规则</w:t>
            </w:r>
            <w:r>
              <w:rPr>
                <w:rFonts w:hint="eastAsia" w:ascii="微软雅黑" w:hAnsi="微软雅黑" w:eastAsia="微软雅黑" w:cs="微软雅黑"/>
                <w:b/>
                <w:i w:val="0"/>
                <w:iCs w:val="0"/>
                <w:color w:val="DC2626"/>
                <w:sz w:val="21"/>
                <w:szCs w:val="21"/>
              </w:rPr>
              <w:t>】</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依据集团《生产单位与涉及关键工序对应表(1).et》，全集团下属单位划分为两类：</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1. 实体制造单位（沈变、衡变、新变、鲁缆、新缆、德缆等）：仅展示其业务真实涉及的制造工序（如变压器绕制、铁芯叠装、真空干燥固化；线缆拉丝、绝缘挤出、交联等）；</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2. 10 家无工序单位（沈变智慧能源、衡变智慧能源、新变智慧能源、鲁缆智慧能源、天池能源管理、科技投资、新能源集控、特变电装总部、进出口贸易、工程建设）：</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在切换至该类单位时，工序管控区域整行必须精准输出单行干练结论：【暂无相关工序！】；</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严禁出现空白占位卡片，严禁出现“由于白名单未配置因此无工序...”等主观解释说教文案；</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状态自解释：激活态仅由边框高亮呈现，严禁在卡片右上角增加“已联动过滤”等过程标签。</w:t>
            </w:r>
          </w:p>
        </w:tc>
      </w:tr>
    </w:tbl>
    <w:p w14:paraId="03BF2529">
      <w:pPr>
        <w:spacing w:after="40"/>
        <w:rPr>
          <w:rFonts w:hint="eastAsia" w:ascii="微软雅黑" w:hAnsi="微软雅黑" w:eastAsia="微软雅黑" w:cs="微软雅黑"/>
          <w:i w:val="0"/>
          <w:iCs w:val="0"/>
          <w:sz w:val="21"/>
          <w:szCs w:val="21"/>
        </w:rPr>
      </w:pPr>
    </w:p>
    <w:p w14:paraId="458EAE93">
      <w:pPr>
        <w:pStyle w:val="6"/>
        <w:keepNext/>
        <w:spacing w:before="180" w:after="60"/>
        <w:outlineLvl w:val="3"/>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E3A8A"/>
          <w:sz w:val="21"/>
          <w:szCs w:val="21"/>
        </w:rPr>
        <w:t>1.4 Mode B 深入分析内页数据字典与台账结构</w:t>
      </w:r>
    </w:p>
    <w:p w14:paraId="4FEBCE07">
      <w:p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在 Mode B 展开视图中，底部固定渲染【水电气汽四介质折标历史台账表】，垂直居中。</w:t>
      </w:r>
    </w:p>
    <w:tbl>
      <w:tblPr>
        <w:tblStyle w:val="36"/>
        <w:tblW w:w="10008" w:type="dxa"/>
        <w:jc w:val="center"/>
        <w:tblLayout w:type="autofit"/>
        <w:tblCellMar>
          <w:top w:w="0" w:type="dxa"/>
          <w:left w:w="108" w:type="dxa"/>
          <w:bottom w:w="0" w:type="dxa"/>
          <w:right w:w="108" w:type="dxa"/>
        </w:tblCellMar>
      </w:tblPr>
      <w:tblGrid>
        <w:gridCol w:w="612"/>
        <w:gridCol w:w="1226"/>
        <w:gridCol w:w="2501"/>
        <w:gridCol w:w="752"/>
        <w:gridCol w:w="1675"/>
        <w:gridCol w:w="1803"/>
        <w:gridCol w:w="1439"/>
      </w:tblGrid>
      <w:tr w14:paraId="24056481">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E044573">
            <w:pPr>
              <w:keepNext/>
              <w:snapToGrid w:val="0"/>
              <w:spacing w:line="240" w:lineRule="auto"/>
              <w:ind w:left="0" w:leftChars="0" w:right="0" w:rightChars="0" w:firstLine="0" w:firstLineChars="0"/>
              <w:jc w:val="center"/>
              <w:rPr>
                <w:rFonts w:hint="default" w:ascii="微软雅黑" w:hAnsi="微软雅黑" w:eastAsia="微软雅黑" w:cs="微软雅黑"/>
                <w:b/>
                <w:i w:val="0"/>
                <w:iCs w:val="0"/>
                <w:color w:val="FFFFFF"/>
                <w:sz w:val="16"/>
                <w:szCs w:val="16"/>
                <w:lang w:val="en-US" w:eastAsia="zh-CN"/>
              </w:rPr>
            </w:pPr>
            <w:r>
              <w:rPr>
                <w:rFonts w:hint="eastAsia" w:ascii="微软雅黑" w:hAnsi="微软雅黑" w:eastAsia="微软雅黑" w:cs="微软雅黑"/>
                <w:b/>
                <w:i w:val="0"/>
                <w:iCs w:val="0"/>
                <w:color w:val="FFFFFF"/>
                <w:sz w:val="16"/>
                <w:szCs w:val="16"/>
                <w:lang w:val="en-US" w:eastAsia="zh-CN"/>
              </w:rPr>
              <w:t>序号</w:t>
            </w:r>
          </w:p>
        </w:tc>
        <w:tc>
          <w:tcPr>
            <w:tcW w:w="1226" w:type="dxa"/>
            <w:tcBorders>
              <w:top w:val="single" w:color="CBD5E1" w:sz="4"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5028496">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介质分类</w:t>
            </w:r>
          </w:p>
        </w:tc>
        <w:tc>
          <w:tcPr>
            <w:tcW w:w="2501" w:type="dxa"/>
            <w:tcBorders>
              <w:top w:val="single" w:color="CBD5E1" w:sz="4"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E29918F">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安装点位/回路</w:t>
            </w:r>
          </w:p>
        </w:tc>
        <w:tc>
          <w:tcPr>
            <w:tcW w:w="752" w:type="dxa"/>
            <w:tcBorders>
              <w:top w:val="single" w:color="CBD5E1" w:sz="4" w:space="0"/>
              <w:left w:val="single" w:color="CBD5E1" w:sz="4" w:space="0"/>
              <w:bottom w:val="nil"/>
              <w:right w:val="nil"/>
            </w:tcBorders>
            <w:shd w:val="clear" w:color="auto" w:fill="1E3A8A"/>
            <w:noWrap w:val="0"/>
            <w:tcMar>
              <w:top w:w="70" w:type="dxa"/>
              <w:left w:w="90" w:type="dxa"/>
              <w:bottom w:w="70" w:type="dxa"/>
              <w:right w:w="90" w:type="dxa"/>
            </w:tcMar>
            <w:vAlign w:val="center"/>
          </w:tcPr>
          <w:p w14:paraId="1127DBCE">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倍率</w:t>
            </w:r>
          </w:p>
        </w:tc>
        <w:tc>
          <w:tcPr>
            <w:tcW w:w="1675" w:type="dxa"/>
            <w:tcBorders>
              <w:top w:val="single" w:color="CBD5E1" w:sz="4"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4AE89BE">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实物消费量</w:t>
            </w:r>
          </w:p>
        </w:tc>
        <w:tc>
          <w:tcPr>
            <w:tcW w:w="1803" w:type="dxa"/>
            <w:tcBorders>
              <w:top w:val="single" w:color="CBD5E1" w:sz="4" w:space="0"/>
              <w:left w:val="single" w:color="CBD5E1" w:sz="4" w:space="0"/>
              <w:bottom w:val="nil"/>
              <w:right w:val="nil"/>
            </w:tcBorders>
            <w:shd w:val="clear" w:color="auto" w:fill="1E3A8A"/>
            <w:noWrap w:val="0"/>
            <w:tcMar>
              <w:top w:w="70" w:type="dxa"/>
              <w:left w:w="90" w:type="dxa"/>
              <w:bottom w:w="70" w:type="dxa"/>
              <w:right w:w="90" w:type="dxa"/>
            </w:tcMar>
            <w:vAlign w:val="center"/>
          </w:tcPr>
          <w:p w14:paraId="31781EA4">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折标系数</w:t>
            </w:r>
          </w:p>
        </w:tc>
        <w:tc>
          <w:tcPr>
            <w:tcW w:w="1439" w:type="dxa"/>
            <w:tcBorders>
              <w:top w:val="single" w:color="CBD5E1" w:sz="4" w:space="0"/>
              <w:left w:val="single" w:color="CBD5E1" w:sz="4" w:space="0"/>
              <w:bottom w:val="nil"/>
              <w:right w:val="single" w:color="CBD5E1" w:sz="4" w:space="0"/>
            </w:tcBorders>
            <w:shd w:val="clear" w:color="auto" w:fill="1E3A8A"/>
            <w:noWrap w:val="0"/>
            <w:tcMar>
              <w:top w:w="70" w:type="dxa"/>
              <w:left w:w="90" w:type="dxa"/>
              <w:bottom w:w="70" w:type="dxa"/>
              <w:right w:w="90" w:type="dxa"/>
            </w:tcMar>
            <w:vAlign w:val="center"/>
          </w:tcPr>
          <w:p w14:paraId="4E6F9F1E">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折标能耗(tce)</w:t>
            </w:r>
          </w:p>
        </w:tc>
      </w:tr>
      <w:tr w14:paraId="06364C3E">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64D574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color w:val="1F2937"/>
                <w:sz w:val="16"/>
                <w:szCs w:val="16"/>
                <w:lang w:val="en-US" w:eastAsia="zh-CN"/>
              </w:rPr>
            </w:pPr>
            <w:r>
              <w:rPr>
                <w:rFonts w:hint="eastAsia" w:ascii="微软雅黑" w:hAnsi="微软雅黑" w:eastAsia="微软雅黑" w:cs="微软雅黑"/>
                <w:i w:val="0"/>
                <w:iCs w:val="0"/>
                <w:color w:val="1F2937"/>
                <w:sz w:val="16"/>
                <w:szCs w:val="16"/>
                <w:lang w:val="en-US" w:eastAsia="zh-CN"/>
              </w:rPr>
              <w:t>1</w:t>
            </w:r>
          </w:p>
        </w:tc>
        <w:tc>
          <w:tcPr>
            <w:tcW w:w="122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2315225">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 (市电)</w:t>
            </w:r>
          </w:p>
        </w:tc>
        <w:tc>
          <w:tcPr>
            <w:tcW w:w="2501"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7C4D40A">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10kV 1#主变进线柜</w:t>
            </w:r>
          </w:p>
        </w:tc>
        <w:tc>
          <w:tcPr>
            <w:tcW w:w="752"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A821A04">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80.0</w:t>
            </w:r>
          </w:p>
        </w:tc>
        <w:tc>
          <w:tcPr>
            <w:tcW w:w="1675"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E80DB72">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131,200.00 kWh</w:t>
            </w:r>
          </w:p>
        </w:tc>
        <w:tc>
          <w:tcPr>
            <w:tcW w:w="1803"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D9E0D1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0.1229 kgce/kWh</w:t>
            </w:r>
          </w:p>
        </w:tc>
        <w:tc>
          <w:tcPr>
            <w:tcW w:w="1439" w:type="dxa"/>
            <w:tcBorders>
              <w:top w:val="single" w:color="CBD5E1" w:sz="4" w:space="0"/>
              <w:left w:val="single" w:color="CBD5E1" w:sz="4" w:space="0"/>
              <w:bottom w:val="nil"/>
              <w:right w:val="single" w:color="CBD5E1" w:sz="4" w:space="0"/>
            </w:tcBorders>
            <w:shd w:val="clear" w:color="auto" w:fill="FFFFFF"/>
            <w:noWrap w:val="0"/>
            <w:tcMar>
              <w:top w:w="60" w:type="dxa"/>
              <w:left w:w="80" w:type="dxa"/>
              <w:bottom w:w="60" w:type="dxa"/>
              <w:right w:w="80" w:type="dxa"/>
            </w:tcMar>
            <w:vAlign w:val="center"/>
          </w:tcPr>
          <w:p w14:paraId="1CB02FD5">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16.12</w:t>
            </w:r>
          </w:p>
        </w:tc>
      </w:tr>
      <w:tr w14:paraId="5A8069A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F21DC2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color w:val="1F2937"/>
                <w:sz w:val="16"/>
                <w:szCs w:val="16"/>
                <w:lang w:val="en-US" w:eastAsia="zh-CN"/>
              </w:rPr>
            </w:pPr>
            <w:r>
              <w:rPr>
                <w:rFonts w:hint="eastAsia" w:ascii="微软雅黑" w:hAnsi="微软雅黑" w:eastAsia="微软雅黑" w:cs="微软雅黑"/>
                <w:i w:val="0"/>
                <w:iCs w:val="0"/>
                <w:color w:val="1F2937"/>
                <w:sz w:val="16"/>
                <w:szCs w:val="16"/>
                <w:lang w:val="en-US" w:eastAsia="zh-CN"/>
              </w:rPr>
              <w:t>2</w:t>
            </w:r>
          </w:p>
        </w:tc>
        <w:tc>
          <w:tcPr>
            <w:tcW w:w="122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A876853">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 (光伏)</w:t>
            </w:r>
          </w:p>
        </w:tc>
        <w:tc>
          <w:tcPr>
            <w:tcW w:w="2501"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05FE48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35kV 厂房屋顶光伏并网点</w:t>
            </w:r>
          </w:p>
        </w:tc>
        <w:tc>
          <w:tcPr>
            <w:tcW w:w="752"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7CECC4E">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40.0</w:t>
            </w:r>
          </w:p>
        </w:tc>
        <w:tc>
          <w:tcPr>
            <w:tcW w:w="1675"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2E8ABB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38,000.00 kWh</w:t>
            </w:r>
          </w:p>
        </w:tc>
        <w:tc>
          <w:tcPr>
            <w:tcW w:w="1803"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77B48C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0.1229 kgce/kWh</w:t>
            </w:r>
          </w:p>
        </w:tc>
        <w:tc>
          <w:tcPr>
            <w:tcW w:w="1439" w:type="dxa"/>
            <w:tcBorders>
              <w:top w:val="single" w:color="CBD5E1" w:sz="4" w:space="0"/>
              <w:left w:val="single" w:color="CBD5E1" w:sz="4" w:space="0"/>
              <w:bottom w:val="nil"/>
              <w:right w:val="single" w:color="CBD5E1" w:sz="4" w:space="0"/>
            </w:tcBorders>
            <w:shd w:val="clear" w:color="auto" w:fill="F8FAFC"/>
            <w:noWrap w:val="0"/>
            <w:tcMar>
              <w:top w:w="60" w:type="dxa"/>
              <w:left w:w="80" w:type="dxa"/>
              <w:bottom w:w="60" w:type="dxa"/>
              <w:right w:w="80" w:type="dxa"/>
            </w:tcMar>
            <w:vAlign w:val="center"/>
          </w:tcPr>
          <w:p w14:paraId="614AA54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4.67</w:t>
            </w:r>
          </w:p>
        </w:tc>
      </w:tr>
      <w:tr w14:paraId="7F0D950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15B061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color w:val="1F2937"/>
                <w:sz w:val="16"/>
                <w:szCs w:val="16"/>
                <w:lang w:val="en-US" w:eastAsia="zh-CN"/>
              </w:rPr>
            </w:pPr>
            <w:r>
              <w:rPr>
                <w:rFonts w:hint="eastAsia" w:ascii="微软雅黑" w:hAnsi="微软雅黑" w:eastAsia="微软雅黑" w:cs="微软雅黑"/>
                <w:i w:val="0"/>
                <w:iCs w:val="0"/>
                <w:color w:val="1F2937"/>
                <w:sz w:val="16"/>
                <w:szCs w:val="16"/>
                <w:lang w:val="en-US" w:eastAsia="zh-CN"/>
              </w:rPr>
              <w:t>3</w:t>
            </w:r>
          </w:p>
        </w:tc>
        <w:tc>
          <w:tcPr>
            <w:tcW w:w="122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E2D39F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外购蒸汽</w:t>
            </w:r>
          </w:p>
        </w:tc>
        <w:tc>
          <w:tcPr>
            <w:tcW w:w="2501"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A6D8E96">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真空干燥固化车间进汽总管</w:t>
            </w:r>
          </w:p>
        </w:tc>
        <w:tc>
          <w:tcPr>
            <w:tcW w:w="752"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E87B65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w:t>
            </w:r>
          </w:p>
        </w:tc>
        <w:tc>
          <w:tcPr>
            <w:tcW w:w="1675"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34EE1F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145.30 t</w:t>
            </w:r>
          </w:p>
        </w:tc>
        <w:tc>
          <w:tcPr>
            <w:tcW w:w="1803"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3346F3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0.1286 kgce/kg</w:t>
            </w:r>
          </w:p>
        </w:tc>
        <w:tc>
          <w:tcPr>
            <w:tcW w:w="1439" w:type="dxa"/>
            <w:tcBorders>
              <w:top w:val="single" w:color="CBD5E1" w:sz="4" w:space="0"/>
              <w:left w:val="single" w:color="CBD5E1" w:sz="4" w:space="0"/>
              <w:bottom w:val="nil"/>
              <w:right w:val="single" w:color="CBD5E1" w:sz="4" w:space="0"/>
            </w:tcBorders>
            <w:shd w:val="clear" w:color="auto" w:fill="FFFFFF"/>
            <w:noWrap w:val="0"/>
            <w:tcMar>
              <w:top w:w="60" w:type="dxa"/>
              <w:left w:w="80" w:type="dxa"/>
              <w:bottom w:w="60" w:type="dxa"/>
              <w:right w:w="80" w:type="dxa"/>
            </w:tcMar>
            <w:vAlign w:val="center"/>
          </w:tcPr>
          <w:p w14:paraId="08E8848B">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18.69</w:t>
            </w:r>
          </w:p>
        </w:tc>
      </w:tr>
      <w:tr w14:paraId="219D132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E446AD8">
            <w:pPr>
              <w:keepNext/>
              <w:snapToGrid w:val="0"/>
              <w:spacing w:line="240" w:lineRule="auto"/>
              <w:ind w:left="0" w:leftChars="0" w:right="0" w:rightChars="0" w:firstLine="0" w:firstLineChars="0"/>
              <w:jc w:val="center"/>
              <w:rPr>
                <w:rFonts w:hint="eastAsia" w:ascii="微软雅黑" w:hAnsi="微软雅黑" w:eastAsia="微软雅黑" w:cs="微软雅黑"/>
                <w:i w:val="0"/>
                <w:iCs w:val="0"/>
                <w:color w:val="1F2937"/>
                <w:sz w:val="16"/>
                <w:szCs w:val="16"/>
                <w:lang w:val="en-US" w:eastAsia="zh-CN"/>
              </w:rPr>
            </w:pPr>
            <w:r>
              <w:rPr>
                <w:rFonts w:hint="eastAsia" w:ascii="微软雅黑" w:hAnsi="微软雅黑" w:eastAsia="微软雅黑" w:cs="微软雅黑"/>
                <w:i w:val="0"/>
                <w:iCs w:val="0"/>
                <w:color w:val="1F2937"/>
                <w:sz w:val="16"/>
                <w:szCs w:val="16"/>
                <w:lang w:val="en-US" w:eastAsia="zh-CN"/>
              </w:rPr>
              <w:t>4</w:t>
            </w:r>
          </w:p>
        </w:tc>
        <w:tc>
          <w:tcPr>
            <w:tcW w:w="122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D10CBF7">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天然气</w:t>
            </w:r>
          </w:p>
        </w:tc>
        <w:tc>
          <w:tcPr>
            <w:tcW w:w="2501"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A69FEB6">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退火炉燃气调压站出口</w:t>
            </w:r>
          </w:p>
        </w:tc>
        <w:tc>
          <w:tcPr>
            <w:tcW w:w="752"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B2C64B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w:t>
            </w:r>
          </w:p>
        </w:tc>
        <w:tc>
          <w:tcPr>
            <w:tcW w:w="1675"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3BCD34F">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1,170.00 m³</w:t>
            </w:r>
          </w:p>
        </w:tc>
        <w:tc>
          <w:tcPr>
            <w:tcW w:w="1803"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5F3D58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1.2143 kgce/m³</w:t>
            </w:r>
          </w:p>
        </w:tc>
        <w:tc>
          <w:tcPr>
            <w:tcW w:w="1439" w:type="dxa"/>
            <w:tcBorders>
              <w:top w:val="single" w:color="CBD5E1" w:sz="4" w:space="0"/>
              <w:left w:val="single" w:color="CBD5E1" w:sz="4" w:space="0"/>
              <w:bottom w:val="nil"/>
              <w:right w:val="single" w:color="CBD5E1" w:sz="4" w:space="0"/>
            </w:tcBorders>
            <w:shd w:val="clear" w:color="auto" w:fill="F8FAFC"/>
            <w:noWrap w:val="0"/>
            <w:tcMar>
              <w:top w:w="60" w:type="dxa"/>
              <w:left w:w="80" w:type="dxa"/>
              <w:bottom w:w="60" w:type="dxa"/>
              <w:right w:w="80" w:type="dxa"/>
            </w:tcMar>
            <w:vAlign w:val="center"/>
          </w:tcPr>
          <w:p w14:paraId="074ABDA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1.42</w:t>
            </w:r>
          </w:p>
        </w:tc>
      </w:tr>
      <w:tr w14:paraId="06799C2E">
        <w:tblPrEx>
          <w:tblCellMar>
            <w:top w:w="0" w:type="dxa"/>
            <w:left w:w="108" w:type="dxa"/>
            <w:bottom w:w="0" w:type="dxa"/>
            <w:right w:w="108" w:type="dxa"/>
          </w:tblCellMar>
        </w:tblPrEx>
        <w:trPr>
          <w:trHeight w:val="0" w:hRule="atLeast"/>
          <w:jc w:val="center"/>
        </w:trPr>
        <w:tc>
          <w:tcPr>
            <w:tcW w:w="612" w:type="dxa"/>
            <w:tcBorders>
              <w:top w:val="single" w:color="CBD5E1" w:sz="4" w:space="0"/>
              <w:left w:val="single" w:color="CBD5E1" w:sz="4" w:space="0"/>
              <w:bottom w:val="single" w:color="CBD5E1" w:sz="4" w:space="0"/>
              <w:right w:val="nil"/>
            </w:tcBorders>
            <w:shd w:val="clear" w:color="auto" w:fill="FFFFFF"/>
            <w:noWrap w:val="0"/>
            <w:tcMar>
              <w:top w:w="60" w:type="dxa"/>
              <w:left w:w="80" w:type="dxa"/>
              <w:bottom w:w="60" w:type="dxa"/>
              <w:right w:w="80" w:type="dxa"/>
            </w:tcMar>
            <w:vAlign w:val="center"/>
          </w:tcPr>
          <w:p w14:paraId="331640B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color w:val="1F2937"/>
                <w:sz w:val="16"/>
                <w:szCs w:val="16"/>
                <w:lang w:val="en-US" w:eastAsia="zh-CN"/>
              </w:rPr>
            </w:pPr>
            <w:r>
              <w:rPr>
                <w:rFonts w:hint="eastAsia" w:ascii="微软雅黑" w:hAnsi="微软雅黑" w:eastAsia="微软雅黑" w:cs="微软雅黑"/>
                <w:i w:val="0"/>
                <w:iCs w:val="0"/>
                <w:color w:val="1F2937"/>
                <w:sz w:val="16"/>
                <w:szCs w:val="16"/>
                <w:lang w:val="en-US" w:eastAsia="zh-CN"/>
              </w:rPr>
              <w:t>5</w:t>
            </w:r>
          </w:p>
        </w:tc>
        <w:tc>
          <w:tcPr>
            <w:tcW w:w="1226" w:type="dxa"/>
            <w:tcBorders>
              <w:top w:val="single" w:color="CBD5E1" w:sz="4" w:space="0"/>
              <w:left w:val="single" w:color="CBD5E1" w:sz="4" w:space="0"/>
              <w:bottom w:val="single" w:color="CBD5E1" w:sz="4" w:space="0"/>
              <w:right w:val="nil"/>
            </w:tcBorders>
            <w:shd w:val="clear" w:color="auto" w:fill="FFFFFF"/>
            <w:noWrap w:val="0"/>
            <w:tcMar>
              <w:top w:w="60" w:type="dxa"/>
              <w:left w:w="80" w:type="dxa"/>
              <w:bottom w:w="60" w:type="dxa"/>
              <w:right w:w="80" w:type="dxa"/>
            </w:tcMar>
            <w:vAlign w:val="center"/>
          </w:tcPr>
          <w:p w14:paraId="31126F3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自来水</w:t>
            </w:r>
          </w:p>
        </w:tc>
        <w:tc>
          <w:tcPr>
            <w:tcW w:w="2501" w:type="dxa"/>
            <w:tcBorders>
              <w:top w:val="single" w:color="CBD5E1" w:sz="4" w:space="0"/>
              <w:left w:val="single" w:color="CBD5E1" w:sz="4" w:space="0"/>
              <w:bottom w:val="single" w:color="CBD5E1" w:sz="4" w:space="0"/>
              <w:right w:val="nil"/>
            </w:tcBorders>
            <w:shd w:val="clear" w:color="auto" w:fill="FFFFFF"/>
            <w:noWrap w:val="0"/>
            <w:tcMar>
              <w:top w:w="60" w:type="dxa"/>
              <w:left w:w="80" w:type="dxa"/>
              <w:bottom w:w="60" w:type="dxa"/>
              <w:right w:w="80" w:type="dxa"/>
            </w:tcMar>
            <w:vAlign w:val="center"/>
          </w:tcPr>
          <w:p w14:paraId="2CE88603">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变压器园区市政供水总表</w:t>
            </w:r>
          </w:p>
        </w:tc>
        <w:tc>
          <w:tcPr>
            <w:tcW w:w="752" w:type="dxa"/>
            <w:tcBorders>
              <w:top w:val="single" w:color="CBD5E1" w:sz="4" w:space="0"/>
              <w:left w:val="single" w:color="CBD5E1" w:sz="4" w:space="0"/>
              <w:bottom w:val="single" w:color="CBD5E1" w:sz="4" w:space="0"/>
              <w:right w:val="nil"/>
            </w:tcBorders>
            <w:shd w:val="clear" w:color="auto" w:fill="FFFFFF"/>
            <w:noWrap w:val="0"/>
            <w:tcMar>
              <w:top w:w="60" w:type="dxa"/>
              <w:left w:w="80" w:type="dxa"/>
              <w:bottom w:w="60" w:type="dxa"/>
              <w:right w:w="80" w:type="dxa"/>
            </w:tcMar>
            <w:vAlign w:val="center"/>
          </w:tcPr>
          <w:p w14:paraId="7C0BC5C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w:t>
            </w:r>
          </w:p>
        </w:tc>
        <w:tc>
          <w:tcPr>
            <w:tcW w:w="1675" w:type="dxa"/>
            <w:tcBorders>
              <w:top w:val="single" w:color="CBD5E1" w:sz="4" w:space="0"/>
              <w:left w:val="single" w:color="CBD5E1" w:sz="4" w:space="0"/>
              <w:bottom w:val="single" w:color="CBD5E1" w:sz="4" w:space="0"/>
              <w:right w:val="nil"/>
            </w:tcBorders>
            <w:shd w:val="clear" w:color="auto" w:fill="FFFFFF"/>
            <w:noWrap w:val="0"/>
            <w:tcMar>
              <w:top w:w="60" w:type="dxa"/>
              <w:left w:w="80" w:type="dxa"/>
              <w:bottom w:w="60" w:type="dxa"/>
              <w:right w:w="80" w:type="dxa"/>
            </w:tcMar>
            <w:vAlign w:val="center"/>
          </w:tcPr>
          <w:p w14:paraId="6B21D7E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420.00 m³</w:t>
            </w:r>
          </w:p>
        </w:tc>
        <w:tc>
          <w:tcPr>
            <w:tcW w:w="1803" w:type="dxa"/>
            <w:tcBorders>
              <w:top w:val="single" w:color="CBD5E1" w:sz="4" w:space="0"/>
              <w:left w:val="single" w:color="CBD5E1" w:sz="4" w:space="0"/>
              <w:bottom w:val="single" w:color="CBD5E1" w:sz="4" w:space="0"/>
              <w:right w:val="nil"/>
            </w:tcBorders>
            <w:shd w:val="clear" w:color="auto" w:fill="FFFFFF"/>
            <w:noWrap w:val="0"/>
            <w:tcMar>
              <w:top w:w="60" w:type="dxa"/>
              <w:left w:w="80" w:type="dxa"/>
              <w:bottom w:w="60" w:type="dxa"/>
              <w:right w:w="80" w:type="dxa"/>
            </w:tcMar>
            <w:vAlign w:val="center"/>
          </w:tcPr>
          <w:p w14:paraId="6B34B43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0.2571 kgce/t</w:t>
            </w:r>
          </w:p>
        </w:tc>
        <w:tc>
          <w:tcPr>
            <w:tcW w:w="1439" w:type="dxa"/>
            <w:tcBorders>
              <w:top w:val="single" w:color="CBD5E1" w:sz="4" w:space="0"/>
              <w:left w:val="single" w:color="CBD5E1" w:sz="4" w:space="0"/>
              <w:bottom w:val="single" w:color="CBD5E1" w:sz="4" w:space="0"/>
              <w:right w:val="single" w:color="CBD5E1" w:sz="4" w:space="0"/>
            </w:tcBorders>
            <w:shd w:val="clear" w:color="auto" w:fill="FFFFFF"/>
            <w:noWrap w:val="0"/>
            <w:tcMar>
              <w:top w:w="60" w:type="dxa"/>
              <w:left w:w="80" w:type="dxa"/>
              <w:bottom w:w="60" w:type="dxa"/>
              <w:right w:w="80" w:type="dxa"/>
            </w:tcMar>
            <w:vAlign w:val="center"/>
          </w:tcPr>
          <w:p w14:paraId="7DD6ADE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0.11</w:t>
            </w:r>
          </w:p>
        </w:tc>
      </w:tr>
    </w:tbl>
    <w:p w14:paraId="3D33158B">
      <w:pPr>
        <w:spacing w:after="60"/>
        <w:rPr>
          <w:rFonts w:hint="eastAsia" w:ascii="微软雅黑" w:hAnsi="微软雅黑" w:eastAsia="微软雅黑" w:cs="微软雅黑"/>
          <w:i w:val="0"/>
          <w:iCs w:val="0"/>
          <w:sz w:val="21"/>
          <w:szCs w:val="21"/>
        </w:rPr>
      </w:pPr>
    </w:p>
    <w:p w14:paraId="6803B4D4">
      <w:pPr>
        <w:pStyle w:val="5"/>
        <w:keepNext/>
        <w:spacing w:before="180" w:after="60"/>
        <w:outlineLvl w:val="2"/>
        <w:rPr>
          <w:rFonts w:hint="eastAsia" w:ascii="微软雅黑" w:hAnsi="微软雅黑" w:eastAsia="微软雅黑" w:cs="微软雅黑"/>
          <w:i w:val="0"/>
          <w:iCs w:val="0"/>
          <w:sz w:val="21"/>
          <w:szCs w:val="21"/>
        </w:rPr>
      </w:pPr>
      <w:bookmarkStart w:id="7" w:name="_Toc29287"/>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用能在线监测</w:t>
      </w:r>
      <w:bookmarkEnd w:id="7"/>
    </w:p>
    <w:p w14:paraId="7A4197AC">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6210300" cy="3079115"/>
                    </a:xfrm>
                    <a:prstGeom prst="rect">
                      <a:avLst/>
                    </a:prstGeom>
                    <a:noFill/>
                    <a:ln>
                      <a:noFill/>
                    </a:ln>
                  </pic:spPr>
                </pic:pic>
              </a:graphicData>
            </a:graphic>
          </wp:inline>
        </w:drawing>
      </w:r>
    </w:p>
    <w:p w14:paraId="6D7F5C8A">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功能交互规格：</w:t>
      </w:r>
    </w:p>
    <w:p w14:paraId="41553679">
      <w:pPr>
        <w:numPr>
          <w:ilvl w:val="0"/>
          <w:numId w:val="12"/>
        </w:num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拓扑树规范：左侧固定采用【园区 ➔ 企业】两级拓扑树，未接入单位纯字体置灰禁用；</w:t>
      </w:r>
    </w:p>
    <w:p w14:paraId="2C84C74C">
      <w:pPr>
        <w:numPr>
          <w:ilvl w:val="0"/>
          <w:numId w:val="12"/>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顶部全局控制：支持“日监测”与“跨月区间选择器”（如 2026年01月 至 2026年08月），下方折线图 X 轴随之联动为各月份；</w:t>
      </w:r>
    </w:p>
    <w:p w14:paraId="4CF181EE">
      <w:pPr>
        <w:numPr>
          <w:ilvl w:val="0"/>
          <w:numId w:val="12"/>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能源介质智能自适应与联动替换（双端同构铁律）：</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选中电力介质（总用电量、市电量、直供绿电）：展示【当日/当月总体峰平谷构成】（尖/峰/平/谷 2×2 微卡片 + 逐时/逐日连续堆叠柱状图）；</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选中非电介质（水资源、天然气、外购蒸汽、柴油、液氮）：彻底移除峰平谷字样与图表，100% 动态联动替换为【该介质重点工序/车间消耗结构与时段负荷分布】（左侧圆环图，右侧连续采样走势与额定基准对比）；</w:t>
      </w:r>
    </w:p>
    <w:tbl>
      <w:tblPr>
        <w:tblStyle w:val="36"/>
        <w:tblW w:w="9964" w:type="dxa"/>
        <w:jc w:val="center"/>
        <w:tblLayout w:type="autofit"/>
        <w:tblCellMar>
          <w:top w:w="0" w:type="dxa"/>
          <w:left w:w="108" w:type="dxa"/>
          <w:bottom w:w="0" w:type="dxa"/>
          <w:right w:w="108" w:type="dxa"/>
        </w:tblCellMar>
      </w:tblPr>
      <w:tblGrid>
        <w:gridCol w:w="526"/>
        <w:gridCol w:w="1521"/>
        <w:gridCol w:w="1272"/>
        <w:gridCol w:w="1980"/>
        <w:gridCol w:w="2128"/>
        <w:gridCol w:w="2537"/>
      </w:tblGrid>
      <w:tr w14:paraId="177182F9">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5B27FA41">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B0A38E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65B1CE4">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4611175D">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CC63E23">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采集来源</w:t>
            </w:r>
          </w:p>
        </w:tc>
        <w:tc>
          <w:tcPr>
            <w:tcW w:w="253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AE75DF6">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校验与防错规则</w:t>
            </w:r>
          </w:p>
        </w:tc>
      </w:tr>
      <w:tr w14:paraId="1732FC3B">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521588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2A9EE0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数据采集时间戳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FB9805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29F710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CB7C05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IoT 采集网关时序同步</w:t>
            </w:r>
          </w:p>
        </w:tc>
        <w:tc>
          <w:tcPr>
            <w:tcW w:w="253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930783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非空，不得晚于当前服务器时间</w:t>
            </w:r>
          </w:p>
        </w:tc>
      </w:tr>
      <w:tr w14:paraId="0B8DADC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55A6169">
            <w:pPr>
              <w:snapToGrid w:val="0"/>
              <w:spacing w:line="240" w:lineRule="auto"/>
              <w:ind w:left="0" w:leftChars="0" w:right="0" w:rightChars="0" w:firstLine="0" w:firstLineChars="0"/>
              <w:jc w:val="center"/>
              <w:rPr>
                <w:rFonts w:hint="default"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2D373E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能源计量表计编码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36532F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String(32)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A91686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CD447DC">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计量资产档案台账</w:t>
            </w:r>
          </w:p>
        </w:tc>
        <w:tc>
          <w:tcPr>
            <w:tcW w:w="253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167861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字母数字下划线，唯一主键</w:t>
            </w:r>
          </w:p>
        </w:tc>
      </w:tr>
      <w:tr w14:paraId="401F361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EDA6E5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D45E49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能源介质类型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54EB00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8ECD9A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F97B6D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介质配置字典</w:t>
            </w:r>
          </w:p>
        </w:tc>
        <w:tc>
          <w:tcPr>
            <w:tcW w:w="253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8C2AB7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必须在 6 类受控介质枚举内</w:t>
            </w:r>
          </w:p>
        </w:tc>
      </w:tr>
      <w:tr w14:paraId="266E62A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8EFA1B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196D3A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尖峰时段用电量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1EF912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7018F5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6B2B02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TOU 时段电表寄存器</w:t>
            </w:r>
          </w:p>
        </w:tc>
        <w:tc>
          <w:tcPr>
            <w:tcW w:w="253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F8BAB8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 (非电介质时置空)</w:t>
            </w:r>
          </w:p>
        </w:tc>
      </w:tr>
      <w:tr w14:paraId="6CD953C5">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12C63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C20F86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高峰时段用电量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4A5F72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5EEDDF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D976FB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TOU 时段电表寄存器</w:t>
            </w:r>
          </w:p>
        </w:tc>
        <w:tc>
          <w:tcPr>
            <w:tcW w:w="253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5CDA6A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 (非电介质时置空)</w:t>
            </w:r>
          </w:p>
        </w:tc>
      </w:tr>
      <w:tr w14:paraId="070768B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43C1DA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AEFA33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平时段用电量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F578E8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017633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C9D68C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TOU 时段电表寄存器</w:t>
            </w:r>
          </w:p>
        </w:tc>
        <w:tc>
          <w:tcPr>
            <w:tcW w:w="253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BC41AC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 (非电介质时置空)</w:t>
            </w:r>
          </w:p>
        </w:tc>
      </w:tr>
      <w:tr w14:paraId="670CD391">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5E0355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69E37F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低谷时段用电量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EEB21F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F856AF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79A9D0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TOU 时段电表寄存器</w:t>
            </w:r>
          </w:p>
        </w:tc>
        <w:tc>
          <w:tcPr>
            <w:tcW w:w="253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97365C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 (非电介质时置空)</w:t>
            </w:r>
          </w:p>
        </w:tc>
      </w:tr>
      <w:tr w14:paraId="627DEFFD">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281B04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2634D3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实物消耗量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3486E6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2F1E26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927582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止码 - 起码 × 倍率</w:t>
            </w:r>
          </w:p>
        </w:tc>
        <w:tc>
          <w:tcPr>
            <w:tcW w:w="253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9C0E0A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0.00，突增超 200% 告警</w:t>
            </w:r>
          </w:p>
        </w:tc>
      </w:tr>
      <w:tr w14:paraId="484C2337">
        <w:tblPrEx>
          <w:tblCellMar>
            <w:top w:w="0" w:type="dxa"/>
            <w:left w:w="108" w:type="dxa"/>
            <w:bottom w:w="0" w:type="dxa"/>
            <w:right w:w="108" w:type="dxa"/>
          </w:tblCellMar>
        </w:tblPrEx>
        <w:trPr>
          <w:trHeight w:val="0" w:hRule="atLeast"/>
          <w:jc w:val="center"/>
        </w:trPr>
        <w:tc>
          <w:tcPr>
            <w:tcW w:w="52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DA54EF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9</w:t>
            </w:r>
          </w:p>
        </w:tc>
        <w:tc>
          <w:tcPr>
            <w:tcW w:w="152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68FB00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折标准煤能源量</w:t>
            </w:r>
          </w:p>
        </w:tc>
        <w:tc>
          <w:tcPr>
            <w:tcW w:w="127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D9CA6B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Decimal(10,4)</w:t>
            </w:r>
          </w:p>
        </w:tc>
        <w:tc>
          <w:tcPr>
            <w:tcW w:w="198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2D5ECE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w:t>
            </w:r>
          </w:p>
        </w:tc>
        <w:tc>
          <w:tcPr>
            <w:tcW w:w="212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37E6C8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实物量 × GB/T 2589系数</w:t>
            </w:r>
          </w:p>
        </w:tc>
        <w:tc>
          <w:tcPr>
            <w:tcW w:w="253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287B69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0.0000</w:t>
            </w:r>
          </w:p>
        </w:tc>
      </w:tr>
    </w:tbl>
    <w:p w14:paraId="53987C4B">
      <w:pPr>
        <w:spacing w:after="40"/>
        <w:rPr>
          <w:rFonts w:hint="eastAsia" w:ascii="微软雅黑" w:hAnsi="微软雅黑" w:eastAsia="微软雅黑" w:cs="微软雅黑"/>
          <w:i w:val="0"/>
          <w:iCs w:val="0"/>
          <w:sz w:val="21"/>
          <w:szCs w:val="21"/>
        </w:rPr>
      </w:pPr>
    </w:p>
    <w:p w14:paraId="604788FC">
      <w:pPr>
        <w:pStyle w:val="5"/>
        <w:keepNext/>
        <w:spacing w:before="180" w:after="60"/>
        <w:outlineLvl w:val="2"/>
        <w:rPr>
          <w:rFonts w:hint="eastAsia" w:ascii="微软雅黑" w:hAnsi="微软雅黑" w:eastAsia="微软雅黑" w:cs="微软雅黑"/>
          <w:i w:val="0"/>
          <w:iCs w:val="0"/>
          <w:sz w:val="21"/>
          <w:szCs w:val="21"/>
        </w:rPr>
      </w:pPr>
      <w:bookmarkStart w:id="8" w:name="_Toc5412"/>
      <w:r>
        <w:rPr>
          <w:rFonts w:hint="eastAsia" w:ascii="微软雅黑" w:hAnsi="微软雅黑" w:eastAsia="微软雅黑" w:cs="微软雅黑"/>
          <w:b/>
          <w:i w:val="0"/>
          <w:iCs w:val="0"/>
          <w:color w:val="1E3A8A"/>
          <w:sz w:val="21"/>
          <w:szCs w:val="21"/>
          <w:lang w:val="en-US" w:eastAsia="zh-CN"/>
        </w:rPr>
        <w:t>3.</w:t>
      </w:r>
      <w:r>
        <w:rPr>
          <w:rFonts w:hint="eastAsia" w:ascii="微软雅黑" w:hAnsi="微软雅黑" w:eastAsia="微软雅黑" w:cs="微软雅黑"/>
          <w:b/>
          <w:i w:val="0"/>
          <w:iCs w:val="0"/>
          <w:color w:val="1E3A8A"/>
          <w:sz w:val="21"/>
          <w:szCs w:val="21"/>
        </w:rPr>
        <w:t xml:space="preserve"> 设备在线监测</w:t>
      </w:r>
      <w:bookmarkEnd w:id="8"/>
    </w:p>
    <w:p w14:paraId="42554A10">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6210300" cy="3079115"/>
                    </a:xfrm>
                    <a:prstGeom prst="rect">
                      <a:avLst/>
                    </a:prstGeom>
                    <a:noFill/>
                    <a:ln>
                      <a:noFill/>
                    </a:ln>
                  </pic:spPr>
                </pic:pic>
              </a:graphicData>
            </a:graphic>
          </wp:inline>
        </w:drawing>
      </w:r>
    </w:p>
    <w:p w14:paraId="274DDAFE">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功能交互规则：</w:t>
      </w:r>
    </w:p>
    <w:p w14:paraId="1D3557CA">
      <w:pPr>
        <w:numPr>
          <w:ilvl w:val="0"/>
          <w:numId w:val="13"/>
        </w:num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拓扑树规范：左侧展示【企业 ➔ 设备】（全量纳入 23 台电力驱动设备与 9 台热力用能设备），设备节点前置语义图标，彻底剥离末尾冗余胶囊徽章；未接入单位字体置灰禁用；</w:t>
      </w:r>
    </w:p>
    <w:p w14:paraId="440AAABE">
      <w:pPr>
        <w:numPr>
          <w:ilvl w:val="0"/>
          <w:numId w:val="13"/>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核心自适应机制：选中电力设备自动呈现有功功率、累计电量、功率因数与负荷率（环比维度）；选中热力设备自动呈现瞬时蒸汽流量、蒸汽消耗量、供汽压力与供汽温度；</w:t>
      </w:r>
    </w:p>
    <w:p w14:paraId="035FD46B">
      <w:pPr>
        <w:numPr>
          <w:ilvl w:val="0"/>
          <w:numId w:val="13"/>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客观中立准则：工况对比统一使用时序“环比”（如负荷率环比 +1.8%），严禁出现主观评价文字（如“电能品质优良”等）。原“管道工作压力”统一标准化更名为【蒸汽消耗量】。</w:t>
      </w:r>
    </w:p>
    <w:tbl>
      <w:tblPr>
        <w:tblStyle w:val="36"/>
        <w:tblW w:w="9966" w:type="dxa"/>
        <w:jc w:val="center"/>
        <w:tblLayout w:type="autofit"/>
        <w:tblCellMar>
          <w:top w:w="0" w:type="dxa"/>
          <w:left w:w="108" w:type="dxa"/>
          <w:bottom w:w="0" w:type="dxa"/>
          <w:right w:w="108" w:type="dxa"/>
        </w:tblCellMar>
      </w:tblPr>
      <w:tblGrid>
        <w:gridCol w:w="606"/>
        <w:gridCol w:w="1757"/>
        <w:gridCol w:w="1468"/>
        <w:gridCol w:w="999"/>
        <w:gridCol w:w="1391"/>
        <w:gridCol w:w="3745"/>
      </w:tblGrid>
      <w:tr w14:paraId="5D67D1D7">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3FF9F3BD">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val="en-US"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66F596C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1257670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59C11162">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74A2084">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适用设备类型</w:t>
            </w:r>
          </w:p>
        </w:tc>
        <w:tc>
          <w:tcPr>
            <w:tcW w:w="3745" w:type="dxa"/>
            <w:tcBorders>
              <w:top w:val="single" w:color="CBD5E1" w:sz="12" w:space="0"/>
              <w:left w:val="single" w:color="CBD5E1" w:sz="4" w:space="0"/>
              <w:bottom w:val="nil"/>
              <w:right w:val="single" w:color="CBD5E1" w:sz="12" w:space="0"/>
            </w:tcBorders>
            <w:shd w:val="clear" w:color="auto" w:fill="1E3A8A"/>
            <w:noWrap w:val="0"/>
            <w:tcMar>
              <w:top w:w="70" w:type="dxa"/>
              <w:left w:w="90" w:type="dxa"/>
              <w:bottom w:w="70" w:type="dxa"/>
              <w:right w:w="90" w:type="dxa"/>
            </w:tcMar>
            <w:vAlign w:val="center"/>
          </w:tcPr>
          <w:p w14:paraId="6BC28CC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计算模型/来源</w:t>
            </w:r>
          </w:p>
        </w:tc>
      </w:tr>
      <w:tr w14:paraId="063F99E0">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0FA402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8376CE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实时有功功率</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802589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6F7F02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10BDC1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电力设备</w:t>
            </w:r>
          </w:p>
        </w:tc>
        <w:tc>
          <w:tcPr>
            <w:tcW w:w="3745"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4766A4F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 = √3 × U × I × cosφ / 1s采集</w:t>
            </w:r>
          </w:p>
        </w:tc>
      </w:tr>
      <w:tr w14:paraId="299B36B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2E503B4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E76BE9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累计用电量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3FF14B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533530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0B38B2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电力设备</w:t>
            </w:r>
          </w:p>
        </w:tc>
        <w:tc>
          <w:tcPr>
            <w:tcW w:w="3745"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55C72D5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电能表底数累加，每日0点清零日累计</w:t>
            </w:r>
          </w:p>
        </w:tc>
      </w:tr>
      <w:tr w14:paraId="35C372E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4A84A4D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4FDD05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运行功率因数</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5F41E9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Decimal(4,3)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36C538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cosφ</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C33245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电力设备</w:t>
            </w:r>
          </w:p>
        </w:tc>
        <w:tc>
          <w:tcPr>
            <w:tcW w:w="3745"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1B4EC78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cosφ = P / S (有功功率 / 视在功率)</w:t>
            </w:r>
          </w:p>
        </w:tc>
      </w:tr>
      <w:tr w14:paraId="0EB5775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5A6C74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6F5F2B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设备负荷率</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2EB75E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E857B7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89572E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电力/热力</w:t>
            </w:r>
          </w:p>
        </w:tc>
        <w:tc>
          <w:tcPr>
            <w:tcW w:w="3745"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12182A1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Load = (P_actual / P_rated) × 100%</w:t>
            </w:r>
          </w:p>
        </w:tc>
      </w:tr>
      <w:tr w14:paraId="4DBDE1E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B000B6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04A5AFC">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负荷率环比变动</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700311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String(16)</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2F49B5C">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3A22F8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电力/热力</w:t>
            </w:r>
          </w:p>
        </w:tc>
        <w:tc>
          <w:tcPr>
            <w:tcW w:w="3745"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12A2466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MoM = (Load_t - Load_t-1) / Load_t-1</w:t>
            </w:r>
          </w:p>
        </w:tc>
      </w:tr>
      <w:tr w14:paraId="6E05F487">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21AD93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EDE0EC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瞬时蒸汽流量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572DC9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BD73C9C">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t/h</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02725D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热力设备</w:t>
            </w:r>
          </w:p>
        </w:tc>
        <w:tc>
          <w:tcPr>
            <w:tcW w:w="3745"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23D06EC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涡街/孔板流量计温度压力补偿积算</w:t>
            </w:r>
          </w:p>
        </w:tc>
      </w:tr>
      <w:tr w14:paraId="1E3D4BF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A193CC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7E0C2E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蒸汽消耗量</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D5EFC2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65AD3C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B84582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热力设备</w:t>
            </w:r>
          </w:p>
        </w:tc>
        <w:tc>
          <w:tcPr>
            <w:tcW w:w="3745"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41A085C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瞬时流量时间积分累加量</w:t>
            </w:r>
          </w:p>
        </w:tc>
      </w:tr>
      <w:tr w14:paraId="3D99A4BB">
        <w:tblPrEx>
          <w:tblCellMar>
            <w:top w:w="0" w:type="dxa"/>
            <w:left w:w="108" w:type="dxa"/>
            <w:bottom w:w="0" w:type="dxa"/>
            <w:right w:w="108" w:type="dxa"/>
          </w:tblCellMar>
        </w:tblPrEx>
        <w:trPr>
          <w:trHeight w:val="0" w:hRule="atLeast"/>
          <w:jc w:val="center"/>
        </w:trPr>
        <w:tc>
          <w:tcPr>
            <w:tcW w:w="606"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3FAECA2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1757"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0EB5696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供汽管道工作压力</w:t>
            </w:r>
          </w:p>
        </w:tc>
        <w:tc>
          <w:tcPr>
            <w:tcW w:w="1468"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4946093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999"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765887B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MPa</w:t>
            </w:r>
          </w:p>
        </w:tc>
        <w:tc>
          <w:tcPr>
            <w:tcW w:w="1391"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1E1E5D3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热力设备</w:t>
            </w:r>
          </w:p>
        </w:tc>
        <w:tc>
          <w:tcPr>
            <w:tcW w:w="3745" w:type="dxa"/>
            <w:tcBorders>
              <w:top w:val="single" w:color="CBD5E1" w:sz="4" w:space="0"/>
              <w:left w:val="single" w:color="CBD5E1" w:sz="4" w:space="0"/>
              <w:bottom w:val="single" w:color="CBD5E1" w:sz="12" w:space="0"/>
              <w:right w:val="single" w:color="CBD5E1" w:sz="12" w:space="0"/>
            </w:tcBorders>
            <w:shd w:val="clear" w:color="auto" w:fill="F8FAFC"/>
            <w:noWrap w:val="0"/>
            <w:tcMar>
              <w:top w:w="60" w:type="dxa"/>
              <w:left w:w="80" w:type="dxa"/>
              <w:bottom w:w="60" w:type="dxa"/>
              <w:right w:w="80" w:type="dxa"/>
            </w:tcMar>
            <w:vAlign w:val="center"/>
          </w:tcPr>
          <w:p w14:paraId="54D1E19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压力变送器 4-20mA 实时遥测</w:t>
            </w:r>
          </w:p>
        </w:tc>
      </w:tr>
    </w:tbl>
    <w:p w14:paraId="441EF96D">
      <w:pPr>
        <w:spacing w:after="60"/>
        <w:rPr>
          <w:rFonts w:hint="eastAsia" w:ascii="微软雅黑" w:hAnsi="微软雅黑" w:eastAsia="微软雅黑" w:cs="微软雅黑"/>
          <w:i w:val="0"/>
          <w:iCs w:val="0"/>
          <w:sz w:val="21"/>
          <w:szCs w:val="21"/>
        </w:rPr>
      </w:pPr>
    </w:p>
    <w:p w14:paraId="1937963F">
      <w:pPr>
        <w:pStyle w:val="5"/>
        <w:keepNext/>
        <w:spacing w:before="180" w:after="60"/>
        <w:outlineLvl w:val="2"/>
        <w:rPr>
          <w:rFonts w:hint="eastAsia" w:ascii="微软雅黑" w:hAnsi="微软雅黑" w:eastAsia="微软雅黑" w:cs="微软雅黑"/>
          <w:i w:val="0"/>
          <w:iCs w:val="0"/>
          <w:sz w:val="21"/>
          <w:szCs w:val="21"/>
        </w:rPr>
      </w:pPr>
      <w:bookmarkStart w:id="9" w:name="_Toc1229"/>
      <w:r>
        <w:rPr>
          <w:rFonts w:hint="eastAsia" w:ascii="微软雅黑" w:hAnsi="微软雅黑" w:eastAsia="微软雅黑" w:cs="微软雅黑"/>
          <w:b/>
          <w:i w:val="0"/>
          <w:iCs w:val="0"/>
          <w:color w:val="1E3A8A"/>
          <w:sz w:val="21"/>
          <w:szCs w:val="21"/>
          <w:lang w:val="en-US" w:eastAsia="zh-CN"/>
        </w:rPr>
        <w:t>4.</w:t>
      </w:r>
      <w:r>
        <w:rPr>
          <w:rFonts w:hint="eastAsia" w:ascii="微软雅黑" w:hAnsi="微软雅黑" w:eastAsia="微软雅黑" w:cs="微软雅黑"/>
          <w:b/>
          <w:i w:val="0"/>
          <w:iCs w:val="0"/>
          <w:color w:val="1E3A8A"/>
          <w:sz w:val="21"/>
          <w:szCs w:val="21"/>
        </w:rPr>
        <w:t xml:space="preserve"> 工业微电网与能源碳排放监测</w:t>
      </w:r>
      <w:bookmarkEnd w:id="9"/>
    </w:p>
    <w:p w14:paraId="4428C695">
      <w:pPr>
        <w:spacing w:after="80" w:line="288" w:lineRule="auto"/>
        <w:outlineLvl w:val="9"/>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6210300" cy="3079115"/>
                    </a:xfrm>
                    <a:prstGeom prst="rect">
                      <a:avLst/>
                    </a:prstGeom>
                    <a:noFill/>
                    <a:ln>
                      <a:noFill/>
                    </a:ln>
                  </pic:spPr>
                </pic:pic>
              </a:graphicData>
            </a:graphic>
          </wp:inline>
        </w:drawing>
      </w:r>
    </w:p>
    <w:p w14:paraId="34816797">
      <w:pPr>
        <w:spacing w:after="80" w:line="288" w:lineRule="auto"/>
        <w:outlineLvl w:val="9"/>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53E6A13B">
      <w:pPr>
        <w:numPr>
          <w:ilvl w:val="0"/>
          <w:numId w:val="14"/>
        </w:numPr>
        <w:spacing w:after="80" w:line="288" w:lineRule="auto"/>
        <w:ind w:left="0" w:leftChars="0" w:firstLine="0" w:firstLineChars="0"/>
        <w:outlineLvl w:val="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工业微电网监测：</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汇聚屋顶分布式光伏、磷酸铁锂储能系统 (PCS+BMS) 及工业负荷构成交直流混合微电网；</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核心监控指标：光伏出力曲线 (24h走势)、储能充放电状态 (SOC/SOH/充放功率)、微电网绿电自发自用消纳率 R_micro；</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防逆流保护：实时计算下级负荷与光伏出力差额，当倒送电网功率 ≥ 10kW 时，微电网控制器毫秒级调节逆变器有功降额；</w:t>
      </w:r>
    </w:p>
    <w:p w14:paraId="1F137976">
      <w:pPr>
        <w:numPr>
          <w:ilvl w:val="0"/>
          <w:numId w:val="0"/>
        </w:numPr>
        <w:spacing w:after="80" w:line="288" w:lineRule="auto"/>
        <w:outlineLvl w:val="9"/>
        <w:rPr>
          <w:rFonts w:hint="eastAsia" w:ascii="微软雅黑" w:hAnsi="微软雅黑" w:eastAsia="微软雅黑" w:cs="微软雅黑"/>
          <w:i w:val="0"/>
          <w:iCs w:val="0"/>
          <w:color w:val="1F2937"/>
          <w:sz w:val="21"/>
          <w:szCs w:val="21"/>
        </w:rPr>
      </w:pPr>
      <w:r>
        <w:rPr>
          <w:i w:val="0"/>
          <w:iCs w:val="0"/>
        </w:rPr>
        <w:drawing>
          <wp:inline distT="0" distB="0" distL="114300" distR="114300">
            <wp:extent cx="6210300" cy="3079115"/>
            <wp:effectExtent l="0" t="0" r="0" b="698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6210300" cy="3079115"/>
                    </a:xfrm>
                    <a:prstGeom prst="rect">
                      <a:avLst/>
                    </a:prstGeom>
                    <a:noFill/>
                    <a:ln>
                      <a:noFill/>
                    </a:ln>
                  </pic:spPr>
                </pic:pic>
              </a:graphicData>
            </a:graphic>
          </wp:inline>
        </w:drawing>
      </w:r>
    </w:p>
    <w:p w14:paraId="57A045D5">
      <w:pPr>
        <w:numPr>
          <w:ilvl w:val="0"/>
          <w:numId w:val="14"/>
        </w:numPr>
        <w:spacing w:after="80" w:line="288" w:lineRule="auto"/>
        <w:ind w:left="0" w:leftChars="0" w:firstLine="0" w:firstLineChars="0"/>
        <w:outlineLvl w:val="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能源碳排放监测：</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Scope 1 化石燃烧直接排放：监测厂内退火炉天然气、备用发电机柴油等化石燃料燃烧产生的温室气体；</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Scope 2 外购电热间接排放：监测外部电网输入电力及热网外购蒸汽隐含排放；</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碳减排抵消量：实时计算绿电使用折算的 CO2 减排当量并绘制走势图。</w:t>
      </w:r>
    </w:p>
    <w:tbl>
      <w:tblPr>
        <w:tblStyle w:val="36"/>
        <w:tblW w:w="0" w:type="auto"/>
        <w:jc w:val="center"/>
        <w:tblLayout w:type="fixed"/>
        <w:tblCellMar>
          <w:top w:w="0" w:type="dxa"/>
          <w:left w:w="108" w:type="dxa"/>
          <w:bottom w:w="0" w:type="dxa"/>
          <w:right w:w="108" w:type="dxa"/>
        </w:tblCellMar>
      </w:tblPr>
      <w:tblGrid>
        <w:gridCol w:w="9792"/>
      </w:tblGrid>
      <w:tr w14:paraId="23BC66B2">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3DBFEBFA">
            <w:pPr>
              <w:spacing w:after="40"/>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6A34A"/>
                <w:sz w:val="21"/>
                <w:szCs w:val="21"/>
              </w:rPr>
              <w:t>📐 【核心数学模型与算法公式】</w:t>
            </w:r>
            <w:r>
              <w:rPr>
                <w:rFonts w:hint="eastAsia" w:ascii="微软雅黑" w:hAnsi="微软雅黑" w:eastAsia="微软雅黑" w:cs="微软雅黑"/>
                <w:b/>
                <w:i w:val="0"/>
                <w:iCs w:val="0"/>
                <w:color w:val="16A34A"/>
                <w:sz w:val="21"/>
                <w:szCs w:val="21"/>
              </w:rPr>
              <w:br w:type="textWrapping"/>
            </w:r>
            <w:r>
              <w:rPr>
                <w:rFonts w:hint="eastAsia" w:ascii="微软雅黑" w:hAnsi="微软雅黑" w:eastAsia="微软雅黑" w:cs="微软雅黑"/>
                <w:b/>
                <w:i w:val="0"/>
                <w:iCs w:val="0"/>
                <w:color w:val="1E3A8A"/>
                <w:sz w:val="21"/>
                <w:szCs w:val="21"/>
              </w:rPr>
              <w:t>【核算公式】：E_Scope1 = ∑ [ FC_i × NCV_i × CC_i × OF_i × (44/12) ] ; E_Scope2 = AD_grid × EF_grid + AD_steam × EF_steam</w:t>
            </w:r>
            <w:r>
              <w:rPr>
                <w:rFonts w:hint="eastAsia" w:ascii="微软雅黑" w:hAnsi="微软雅黑" w:eastAsia="微软雅黑" w:cs="微软雅黑"/>
                <w:b/>
                <w:i w:val="0"/>
                <w:iCs w:val="0"/>
                <w:color w:val="1E3A8A"/>
                <w:sz w:val="21"/>
                <w:szCs w:val="21"/>
              </w:rPr>
              <w:br w:type="textWrapping"/>
            </w:r>
            <w:r>
              <w:rPr>
                <w:rFonts w:hint="eastAsia" w:ascii="微软雅黑" w:hAnsi="微软雅黑" w:eastAsia="微软雅黑" w:cs="微软雅黑"/>
                <w:i w:val="0"/>
                <w:iCs w:val="0"/>
                <w:color w:val="1F2937"/>
                <w:sz w:val="21"/>
                <w:szCs w:val="21"/>
              </w:rPr>
              <w:t>【逻辑说明】：符合 GB/T 32150-2015 工业企业温室气体排放核算通则。Scope 1 直接由燃料实物量经低位发热量、单位热值含碳量与氧化率滚算；Scope 2 采用生态环境部最新发布的全国电网平均排放因子 (0.5703 tCO2/MWh) 与区域电网因子动态切换。</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【变量定义与取值约定】：</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FC_i: 燃料消耗量；NCV_i: 平均低位发热量；CC_i: 单位热值含碳量；OF_i: 碳氧化率；EF_grid: 电网排放因子</w:t>
            </w:r>
          </w:p>
        </w:tc>
      </w:tr>
    </w:tbl>
    <w:p w14:paraId="060BD6E2">
      <w:pPr>
        <w:spacing w:after="40"/>
        <w:rPr>
          <w:rFonts w:hint="eastAsia" w:ascii="微软雅黑" w:hAnsi="微软雅黑" w:eastAsia="微软雅黑" w:cs="微软雅黑"/>
          <w:i w:val="0"/>
          <w:iCs w:val="0"/>
          <w:sz w:val="21"/>
          <w:szCs w:val="21"/>
        </w:rPr>
      </w:pPr>
    </w:p>
    <w:p w14:paraId="2E3D8522">
      <w:pPr>
        <w:pStyle w:val="4"/>
        <w:keepNext/>
        <w:spacing w:before="260" w:after="100"/>
        <w:outlineLvl w:val="1"/>
        <w:rPr>
          <w:rFonts w:hint="eastAsia" w:ascii="微软雅黑" w:hAnsi="微软雅黑" w:eastAsia="微软雅黑" w:cs="微软雅黑"/>
          <w:i w:val="0"/>
          <w:iCs w:val="0"/>
          <w:sz w:val="21"/>
          <w:szCs w:val="21"/>
        </w:rPr>
      </w:pPr>
      <w:bookmarkStart w:id="10" w:name="_Toc28518"/>
      <w:r>
        <w:rPr>
          <w:rFonts w:hint="eastAsia" w:ascii="微软雅黑" w:hAnsi="微软雅黑" w:eastAsia="微软雅黑" w:cs="微软雅黑"/>
          <w:b/>
          <w:i w:val="0"/>
          <w:iCs w:val="0"/>
          <w:color w:val="0284C7"/>
          <w:sz w:val="21"/>
          <w:szCs w:val="21"/>
          <w:lang w:val="en-US" w:eastAsia="zh-CN"/>
        </w:rPr>
        <w:t>三、</w:t>
      </w:r>
      <w:r>
        <w:rPr>
          <w:rFonts w:hint="eastAsia" w:ascii="微软雅黑" w:hAnsi="微软雅黑" w:eastAsia="微软雅黑" w:cs="微软雅黑"/>
          <w:b/>
          <w:i w:val="0"/>
          <w:iCs w:val="0"/>
          <w:color w:val="0284C7"/>
          <w:sz w:val="21"/>
          <w:szCs w:val="21"/>
        </w:rPr>
        <w:t>能耗能效分析</w:t>
      </w:r>
      <w:bookmarkEnd w:id="10"/>
    </w:p>
    <w:p w14:paraId="3F15DD24">
      <w:pPr>
        <w:pStyle w:val="5"/>
        <w:keepNext/>
        <w:spacing w:before="180" w:after="60"/>
        <w:outlineLvl w:val="2"/>
        <w:rPr>
          <w:rFonts w:hint="eastAsia" w:ascii="微软雅黑" w:hAnsi="微软雅黑" w:eastAsia="微软雅黑" w:cs="微软雅黑"/>
          <w:i w:val="0"/>
          <w:iCs w:val="0"/>
          <w:sz w:val="21"/>
          <w:szCs w:val="21"/>
        </w:rPr>
      </w:pPr>
      <w:bookmarkStart w:id="11" w:name="_Toc32591"/>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用能结构分析与成本分析</w:t>
      </w:r>
      <w:bookmarkEnd w:id="11"/>
    </w:p>
    <w:p w14:paraId="7A4583F4">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5"/>
                    <a:stretch>
                      <a:fillRect/>
                    </a:stretch>
                  </pic:blipFill>
                  <pic:spPr>
                    <a:xfrm>
                      <a:off x="0" y="0"/>
                      <a:ext cx="6210300" cy="3079115"/>
                    </a:xfrm>
                    <a:prstGeom prst="rect">
                      <a:avLst/>
                    </a:prstGeom>
                    <a:noFill/>
                    <a:ln>
                      <a:noFill/>
                    </a:ln>
                  </pic:spPr>
                </pic:pic>
              </a:graphicData>
            </a:graphic>
          </wp:inline>
        </w:drawing>
      </w:r>
    </w:p>
    <w:p w14:paraId="02868C48">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业务模型说明：</w:t>
      </w:r>
    </w:p>
    <w:p w14:paraId="1B92E277">
      <w:pPr>
        <w:numPr>
          <w:ilvl w:val="0"/>
          <w:numId w:val="15"/>
        </w:numPr>
        <w:spacing w:after="80" w:line="288" w:lineRule="auto"/>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用能结构分析：</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绘制电、水、气、汽多能互补能量流向桑基图 (Sankey Flow)，量化多级能量转换与输配损失；</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采用南丁格尔玫瑰图与环形图展示各二级公司用能占比与能源品位分布；</w:t>
      </w:r>
    </w:p>
    <w:p w14:paraId="0AF9792D">
      <w:pPr>
        <w:numPr>
          <w:ilvl w:val="0"/>
          <w:numId w:val="0"/>
        </w:numPr>
        <w:spacing w:after="80" w:line="288" w:lineRule="auto"/>
        <w:rPr>
          <w:rFonts w:hint="eastAsia" w:ascii="微软雅黑" w:hAnsi="微软雅黑" w:eastAsia="微软雅黑" w:cs="微软雅黑"/>
          <w:i w:val="0"/>
          <w:iCs w:val="0"/>
          <w:sz w:val="21"/>
          <w:szCs w:val="21"/>
        </w:rPr>
      </w:pPr>
      <w:r>
        <w:rPr>
          <w:i w:val="0"/>
          <w:iCs w:val="0"/>
        </w:rPr>
        <w:drawing>
          <wp:inline distT="0" distB="0" distL="114300" distR="114300">
            <wp:extent cx="6210300" cy="3079115"/>
            <wp:effectExtent l="0" t="0" r="0" b="698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6210300" cy="3079115"/>
                    </a:xfrm>
                    <a:prstGeom prst="rect">
                      <a:avLst/>
                    </a:prstGeom>
                    <a:noFill/>
                    <a:ln>
                      <a:noFill/>
                    </a:ln>
                  </pic:spPr>
                </pic:pic>
              </a:graphicData>
            </a:graphic>
          </wp:inline>
        </w:drawing>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2. 能源成本分析：</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TOU 尖峰平谷分时电费优化模型：核算各车间错峰用电度电综合成本，提供需量申报优化与绿色降本测算；</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功率因数奖惩电费模型：实时跟踪力率调整电费，避免力调罚款。</w:t>
      </w:r>
    </w:p>
    <w:tbl>
      <w:tblPr>
        <w:tblStyle w:val="36"/>
        <w:tblW w:w="9966" w:type="dxa"/>
        <w:jc w:val="center"/>
        <w:tblLayout w:type="autofit"/>
        <w:tblCellMar>
          <w:top w:w="0" w:type="dxa"/>
          <w:left w:w="108" w:type="dxa"/>
          <w:bottom w:w="0" w:type="dxa"/>
          <w:right w:w="108" w:type="dxa"/>
        </w:tblCellMar>
      </w:tblPr>
      <w:tblGrid>
        <w:gridCol w:w="650"/>
        <w:gridCol w:w="1874"/>
        <w:gridCol w:w="1567"/>
        <w:gridCol w:w="1067"/>
        <w:gridCol w:w="4808"/>
      </w:tblGrid>
      <w:tr w14:paraId="03E57501">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5539248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4FBF92F4">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615C09CD">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0CDF5A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4808" w:type="dxa"/>
            <w:tcBorders>
              <w:top w:val="single" w:color="CBD5E1" w:sz="12" w:space="0"/>
              <w:left w:val="single" w:color="CBD5E1" w:sz="4" w:space="0"/>
              <w:bottom w:val="nil"/>
              <w:right w:val="single" w:color="auto" w:sz="12" w:space="0"/>
            </w:tcBorders>
            <w:shd w:val="clear" w:color="auto" w:fill="1E3A8A"/>
            <w:noWrap w:val="0"/>
            <w:tcMar>
              <w:top w:w="70" w:type="dxa"/>
              <w:left w:w="90" w:type="dxa"/>
              <w:bottom w:w="70" w:type="dxa"/>
              <w:right w:w="90" w:type="dxa"/>
            </w:tcMar>
            <w:vAlign w:val="center"/>
          </w:tcPr>
          <w:p w14:paraId="7FEE5F41">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计算模型/来源</w:t>
            </w:r>
          </w:p>
        </w:tc>
      </w:tr>
      <w:tr w14:paraId="1DEAD824">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198F53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36A944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尖峰时段电费</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6098FE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9EB066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元</w:t>
            </w:r>
          </w:p>
        </w:tc>
        <w:tc>
          <w:tcPr>
            <w:tcW w:w="4808"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513FB69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Q_尖 × P_尖 (高电价时段)</w:t>
            </w:r>
          </w:p>
        </w:tc>
      </w:tr>
      <w:tr w14:paraId="286B3265">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F132D4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3CCE1A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高峰时段电费</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C0BEBF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E042EC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元</w:t>
            </w:r>
          </w:p>
        </w:tc>
        <w:tc>
          <w:tcPr>
            <w:tcW w:w="4808"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1BA6415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Q_峰 × P_峰</w:t>
            </w:r>
          </w:p>
        </w:tc>
      </w:tr>
      <w:tr w14:paraId="6D24B2B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90C099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0E4ACA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平时段电费</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CEFCB5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040ECD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元</w:t>
            </w:r>
          </w:p>
        </w:tc>
        <w:tc>
          <w:tcPr>
            <w:tcW w:w="4808"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047F2B8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Q_平 × P_平</w:t>
            </w:r>
          </w:p>
        </w:tc>
      </w:tr>
      <w:tr w14:paraId="08815384">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179508B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22FC15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低谷时段电费</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4D533E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FFC1F8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元</w:t>
            </w:r>
          </w:p>
        </w:tc>
        <w:tc>
          <w:tcPr>
            <w:tcW w:w="4808"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56EB48D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Q_谷 × P_谷 (低电价谷段)</w:t>
            </w:r>
          </w:p>
        </w:tc>
      </w:tr>
      <w:tr w14:paraId="1A584F91">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A5FC38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E5BDC5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基本电费</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BD2645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F5B6E3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元</w:t>
            </w:r>
          </w:p>
        </w:tc>
        <w:tc>
          <w:tcPr>
            <w:tcW w:w="4808"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5D538AF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按变压器容量 (元/kVA·月) 或最大需量 (元/kW·月)</w:t>
            </w:r>
          </w:p>
        </w:tc>
      </w:tr>
      <w:tr w14:paraId="68ECFFBE">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456F3E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04E92F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功率因数调整电费</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8B370A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F1FDF5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元</w:t>
            </w:r>
          </w:p>
        </w:tc>
        <w:tc>
          <w:tcPr>
            <w:tcW w:w="4808"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479FDC0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依据国家电力力率调整系数表计算奖惩金额</w:t>
            </w:r>
          </w:p>
        </w:tc>
      </w:tr>
      <w:tr w14:paraId="4E22663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25A3E83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31D9C9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总用电成本</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302594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F3FD09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w:t>
            </w:r>
          </w:p>
        </w:tc>
        <w:tc>
          <w:tcPr>
            <w:tcW w:w="4808"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16433D9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分时电费 + 基本电费 ± 力调电费</w:t>
            </w:r>
          </w:p>
        </w:tc>
      </w:tr>
      <w:tr w14:paraId="4431C388">
        <w:tblPrEx>
          <w:tblCellMar>
            <w:top w:w="0" w:type="dxa"/>
            <w:left w:w="108" w:type="dxa"/>
            <w:bottom w:w="0" w:type="dxa"/>
            <w:right w:w="108" w:type="dxa"/>
          </w:tblCellMar>
        </w:tblPrEx>
        <w:trPr>
          <w:trHeight w:val="0" w:hRule="atLeast"/>
          <w:jc w:val="center"/>
        </w:trPr>
        <w:tc>
          <w:tcPr>
            <w:tcW w:w="650"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7A28838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1874"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2FE898A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综合度电综合单价</w:t>
            </w:r>
          </w:p>
        </w:tc>
        <w:tc>
          <w:tcPr>
            <w:tcW w:w="1567"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2672FA5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Decimal(6,4)</w:t>
            </w:r>
          </w:p>
        </w:tc>
        <w:tc>
          <w:tcPr>
            <w:tcW w:w="1067"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766CC57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元/kWh</w:t>
            </w:r>
          </w:p>
        </w:tc>
        <w:tc>
          <w:tcPr>
            <w:tcW w:w="4808" w:type="dxa"/>
            <w:tcBorders>
              <w:top w:val="single" w:color="CBD5E1" w:sz="4" w:space="0"/>
              <w:left w:val="single" w:color="CBD5E1" w:sz="4" w:space="0"/>
              <w:bottom w:val="single" w:color="CBD5E1" w:sz="12" w:space="0"/>
              <w:right w:val="single" w:color="auto" w:sz="12" w:space="0"/>
            </w:tcBorders>
            <w:shd w:val="clear" w:color="auto" w:fill="F8FAFC"/>
            <w:noWrap w:val="0"/>
            <w:tcMar>
              <w:top w:w="60" w:type="dxa"/>
              <w:left w:w="80" w:type="dxa"/>
              <w:bottom w:w="60" w:type="dxa"/>
              <w:right w:w="80" w:type="dxa"/>
            </w:tcMar>
            <w:vAlign w:val="center"/>
          </w:tcPr>
          <w:p w14:paraId="0A0511B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总用能费用 / 总用能实物量</w:t>
            </w:r>
          </w:p>
        </w:tc>
      </w:tr>
    </w:tbl>
    <w:p w14:paraId="501C4888">
      <w:pPr>
        <w:spacing w:after="60"/>
        <w:rPr>
          <w:rFonts w:hint="eastAsia" w:ascii="微软雅黑" w:hAnsi="微软雅黑" w:eastAsia="微软雅黑" w:cs="微软雅黑"/>
          <w:i w:val="0"/>
          <w:iCs w:val="0"/>
          <w:sz w:val="21"/>
          <w:szCs w:val="21"/>
        </w:rPr>
      </w:pPr>
    </w:p>
    <w:p w14:paraId="1E245975">
      <w:pPr>
        <w:pStyle w:val="5"/>
        <w:keepNext/>
        <w:spacing w:before="180" w:after="60"/>
        <w:outlineLvl w:val="2"/>
        <w:rPr>
          <w:rFonts w:hint="eastAsia" w:ascii="微软雅黑" w:hAnsi="微软雅黑" w:eastAsia="微软雅黑" w:cs="微软雅黑"/>
          <w:i w:val="0"/>
          <w:iCs w:val="0"/>
          <w:sz w:val="21"/>
          <w:szCs w:val="21"/>
        </w:rPr>
      </w:pPr>
      <w:bookmarkStart w:id="12" w:name="_Toc11051"/>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单位产品能耗</w:t>
      </w:r>
      <w:bookmarkEnd w:id="12"/>
    </w:p>
    <w:p w14:paraId="33E142E6">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6210300" cy="3079115"/>
                    </a:xfrm>
                    <a:prstGeom prst="rect">
                      <a:avLst/>
                    </a:prstGeom>
                    <a:noFill/>
                    <a:ln>
                      <a:noFill/>
                    </a:ln>
                  </pic:spPr>
                </pic:pic>
              </a:graphicData>
            </a:graphic>
          </wp:inline>
        </w:drawing>
      </w:r>
    </w:p>
    <w:p w14:paraId="1158F1EF">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算法与工程规则：</w:t>
      </w:r>
    </w:p>
    <w:p w14:paraId="642ACEEF">
      <w:p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1. 产业物理分母严格隔离：</w:t>
      </w:r>
    </w:p>
    <w:p w14:paraId="422F3494">
      <w:p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 xml:space="preserve">   - 变压器产业：以【kVA】为基准分母，计算单耗 e = E / M_kVA (tce/kVA)；</w:t>
      </w:r>
    </w:p>
    <w:p w14:paraId="0C387A74">
      <w:p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 xml:space="preserve">   - 线缆产业：以【km·mm²】为基准分母，计算单耗 e = E / M_km (tce/km·mm²)；</w:t>
      </w:r>
    </w:p>
    <w:p w14:paraId="0D7DE8BE">
      <w:p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lang w:val="en-US" w:eastAsia="zh-CN"/>
        </w:rPr>
        <w:t xml:space="preserve">2. </w:t>
      </w:r>
      <w:r>
        <w:rPr>
          <w:rFonts w:hint="eastAsia" w:ascii="微软雅黑" w:hAnsi="微软雅黑" w:eastAsia="微软雅黑" w:cs="微软雅黑"/>
          <w:i w:val="0"/>
          <w:iCs w:val="0"/>
          <w:color w:val="1F2937"/>
          <w:sz w:val="21"/>
          <w:szCs w:val="21"/>
        </w:rPr>
        <w:t>纵向对比原则：各基地与车间仅与自身历史同期（同比）或上期（环比）对比，严禁跨产业或跨厂横向拉踩；</w:t>
      </w:r>
    </w:p>
    <w:p w14:paraId="6BA4F5A9">
      <w:p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3. QA 除零极限拦截：当月度产量为 0 时，系统自动拦截除以零异常，单耗显示“--”，严禁抛出 NaN 或前端白屏崩溃。</w:t>
      </w:r>
    </w:p>
    <w:tbl>
      <w:tblPr>
        <w:tblStyle w:val="36"/>
        <w:tblW w:w="9966" w:type="dxa"/>
        <w:jc w:val="center"/>
        <w:tblLayout w:type="autofit"/>
        <w:tblCellMar>
          <w:top w:w="0" w:type="dxa"/>
          <w:left w:w="108" w:type="dxa"/>
          <w:bottom w:w="0" w:type="dxa"/>
          <w:right w:w="108" w:type="dxa"/>
        </w:tblCellMar>
      </w:tblPr>
      <w:tblGrid>
        <w:gridCol w:w="582"/>
        <w:gridCol w:w="1685"/>
        <w:gridCol w:w="1408"/>
        <w:gridCol w:w="2294"/>
        <w:gridCol w:w="3997"/>
      </w:tblGrid>
      <w:tr w14:paraId="53F1B9A0">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45CCF13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CC9A174">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4C0D00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CF2BCC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3997" w:type="dxa"/>
            <w:tcBorders>
              <w:top w:val="single" w:color="CBD5E1" w:sz="12" w:space="0"/>
              <w:left w:val="single" w:color="CBD5E1" w:sz="4" w:space="0"/>
              <w:bottom w:val="nil"/>
              <w:right w:val="single" w:color="auto" w:sz="12" w:space="0"/>
            </w:tcBorders>
            <w:shd w:val="clear" w:color="auto" w:fill="1E3A8A"/>
            <w:noWrap w:val="0"/>
            <w:tcMar>
              <w:top w:w="70" w:type="dxa"/>
              <w:left w:w="90" w:type="dxa"/>
              <w:bottom w:w="70" w:type="dxa"/>
              <w:right w:w="90" w:type="dxa"/>
            </w:tcMar>
            <w:vAlign w:val="center"/>
          </w:tcPr>
          <w:p w14:paraId="4D65DBB4">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计算规则与防错逻辑</w:t>
            </w:r>
          </w:p>
        </w:tc>
      </w:tr>
      <w:tr w14:paraId="0D4A7CD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87B81F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C5556C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产品型号编码</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9DBDD9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String(32)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EF4519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99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4974575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ERP 物料主数据唯一编码</w:t>
            </w:r>
          </w:p>
        </w:tc>
      </w:tr>
      <w:tr w14:paraId="484D3DF5">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30D367C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44DA78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所属产业分类</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90E4FC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Enum</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3D4C49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变压器/线缆</w:t>
            </w:r>
          </w:p>
        </w:tc>
        <w:tc>
          <w:tcPr>
            <w:tcW w:w="3997"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7FECC90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严格决定分母物理量量纲</w:t>
            </w:r>
          </w:p>
        </w:tc>
      </w:tr>
      <w:tr w14:paraId="517E1C6B">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5708F6D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2C50D6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当期合格品产量</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F9379C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5D58E5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kVA 或 km·mm²</w:t>
            </w:r>
          </w:p>
        </w:tc>
        <w:tc>
          <w:tcPr>
            <w:tcW w:w="399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540C913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MES 报工质检入库总量，若为0单耗置“--”</w:t>
            </w:r>
          </w:p>
        </w:tc>
      </w:tr>
      <w:tr w14:paraId="4D6619E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5721FF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EA84EA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当期消耗总标煤量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A30DD4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D09255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w:t>
            </w:r>
          </w:p>
        </w:tc>
        <w:tc>
          <w:tcPr>
            <w:tcW w:w="3997"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2BD5BD0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车间各能源介质按工序分摊折标煤累加</w:t>
            </w:r>
          </w:p>
        </w:tc>
      </w:tr>
      <w:tr w14:paraId="3EF5FFE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2D4ABDC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65267B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单位产品综合能耗</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CF7789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Decimal(8,6)</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BB11C3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tce/kVA 或 tce/km·mm²</w:t>
            </w:r>
          </w:p>
        </w:tc>
        <w:tc>
          <w:tcPr>
            <w:tcW w:w="399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4BB671C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period_energy_tce / period_output</w:t>
            </w:r>
          </w:p>
        </w:tc>
      </w:tr>
      <w:tr w14:paraId="05FB6E5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0CF981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B9D3C3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同比变动率</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82B84B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37C42E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997"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32DE05CC">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(本期单耗 - 去年同期) / 去年同期 × 100%</w:t>
            </w:r>
          </w:p>
        </w:tc>
      </w:tr>
      <w:tr w14:paraId="457C014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C197DF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C257C1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环比变动率</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74B2EE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82442C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99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2324635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(本期单耗 - 上月单耗) / 上月单耗 × 100%</w:t>
            </w:r>
          </w:p>
        </w:tc>
      </w:tr>
      <w:tr w14:paraId="40573A5D">
        <w:tblPrEx>
          <w:tblCellMar>
            <w:top w:w="0" w:type="dxa"/>
            <w:left w:w="108" w:type="dxa"/>
            <w:bottom w:w="0" w:type="dxa"/>
            <w:right w:w="108" w:type="dxa"/>
          </w:tblCellMar>
        </w:tblPrEx>
        <w:trPr>
          <w:trHeight w:val="0" w:hRule="atLeast"/>
          <w:jc w:val="center"/>
        </w:trPr>
        <w:tc>
          <w:tcPr>
            <w:tcW w:w="582"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3F3CD6E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1685"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23850DE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与准入基准偏差</w:t>
            </w:r>
          </w:p>
        </w:tc>
        <w:tc>
          <w:tcPr>
            <w:tcW w:w="1408"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1C32287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Decimal(8,6)</w:t>
            </w:r>
          </w:p>
        </w:tc>
        <w:tc>
          <w:tcPr>
            <w:tcW w:w="2294"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2D9157B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tce/单位</w:t>
            </w:r>
          </w:p>
        </w:tc>
        <w:tc>
          <w:tcPr>
            <w:tcW w:w="3997" w:type="dxa"/>
            <w:tcBorders>
              <w:top w:val="single" w:color="CBD5E1" w:sz="4" w:space="0"/>
              <w:left w:val="single" w:color="CBD5E1" w:sz="4" w:space="0"/>
              <w:bottom w:val="single" w:color="CBD5E1" w:sz="12" w:space="0"/>
              <w:right w:val="single" w:color="auto" w:sz="12" w:space="0"/>
            </w:tcBorders>
            <w:shd w:val="clear" w:color="auto" w:fill="F8FAFC"/>
            <w:noWrap w:val="0"/>
            <w:tcMar>
              <w:top w:w="60" w:type="dxa"/>
              <w:left w:w="80" w:type="dxa"/>
              <w:bottom w:w="60" w:type="dxa"/>
              <w:right w:w="80" w:type="dxa"/>
            </w:tcMar>
            <w:vAlign w:val="center"/>
          </w:tcPr>
          <w:p w14:paraId="098E7D6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本期单耗 - 国家准入先进值</w:t>
            </w:r>
          </w:p>
        </w:tc>
      </w:tr>
    </w:tbl>
    <w:p w14:paraId="07DC60ED">
      <w:pPr>
        <w:spacing w:after="60"/>
        <w:rPr>
          <w:rFonts w:hint="eastAsia" w:ascii="微软雅黑" w:hAnsi="微软雅黑" w:eastAsia="微软雅黑" w:cs="微软雅黑"/>
          <w:i w:val="0"/>
          <w:iCs w:val="0"/>
          <w:sz w:val="21"/>
          <w:szCs w:val="21"/>
        </w:rPr>
      </w:pPr>
    </w:p>
    <w:p w14:paraId="4313C2DF">
      <w:pPr>
        <w:pStyle w:val="5"/>
        <w:keepNext/>
        <w:spacing w:before="180" w:after="60"/>
        <w:outlineLvl w:val="2"/>
        <w:rPr>
          <w:rFonts w:hint="eastAsia" w:ascii="微软雅黑" w:hAnsi="微软雅黑" w:eastAsia="微软雅黑" w:cs="微软雅黑"/>
          <w:i w:val="0"/>
          <w:iCs w:val="0"/>
          <w:sz w:val="21"/>
          <w:szCs w:val="21"/>
        </w:rPr>
      </w:pPr>
      <w:bookmarkStart w:id="13" w:name="_Toc29890"/>
      <w:r>
        <w:rPr>
          <w:rFonts w:hint="eastAsia" w:ascii="微软雅黑" w:hAnsi="微软雅黑" w:eastAsia="微软雅黑" w:cs="微软雅黑"/>
          <w:b/>
          <w:i w:val="0"/>
          <w:iCs w:val="0"/>
          <w:color w:val="1E3A8A"/>
          <w:sz w:val="21"/>
          <w:szCs w:val="21"/>
          <w:lang w:val="en-US" w:eastAsia="zh-CN"/>
        </w:rPr>
        <w:t xml:space="preserve">3. </w:t>
      </w:r>
      <w:r>
        <w:rPr>
          <w:rFonts w:hint="eastAsia" w:ascii="微软雅黑" w:hAnsi="微软雅黑" w:eastAsia="微软雅黑" w:cs="微软雅黑"/>
          <w:b/>
          <w:i w:val="0"/>
          <w:iCs w:val="0"/>
          <w:color w:val="1E3A8A"/>
          <w:sz w:val="21"/>
          <w:szCs w:val="21"/>
        </w:rPr>
        <w:t xml:space="preserve"> 单位产值能耗与对标管理</w:t>
      </w:r>
      <w:bookmarkEnd w:id="13"/>
    </w:p>
    <w:p w14:paraId="1BD476B8">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8"/>
                    <a:stretch>
                      <a:fillRect/>
                    </a:stretch>
                  </pic:blipFill>
                  <pic:spPr>
                    <a:xfrm>
                      <a:off x="0" y="0"/>
                      <a:ext cx="6210300" cy="3079115"/>
                    </a:xfrm>
                    <a:prstGeom prst="rect">
                      <a:avLst/>
                    </a:prstGeom>
                    <a:noFill/>
                    <a:ln>
                      <a:noFill/>
                    </a:ln>
                  </pic:spPr>
                </pic:pic>
              </a:graphicData>
            </a:graphic>
          </wp:inline>
        </w:drawing>
      </w:r>
    </w:p>
    <w:p w14:paraId="068A6E53">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对标规范：</w:t>
      </w:r>
    </w:p>
    <w:p w14:paraId="7BD4CE12">
      <w:pPr>
        <w:numPr>
          <w:ilvl w:val="0"/>
          <w:numId w:val="16"/>
        </w:numPr>
        <w:spacing w:after="80" w:line="288" w:lineRule="auto"/>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单位产值能耗：</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测算万元产值综合能耗（tce/万元）与万元产值水耗（m³/万元）；</w:t>
      </w:r>
    </w:p>
    <w:p w14:paraId="07F20796">
      <w:pPr>
        <w:numPr>
          <w:ilvl w:val="0"/>
          <w:numId w:val="0"/>
        </w:numPr>
        <w:spacing w:after="80" w:line="288" w:lineRule="auto"/>
        <w:rPr>
          <w:rFonts w:hint="eastAsia" w:ascii="微软雅黑" w:hAnsi="微软雅黑" w:eastAsia="微软雅黑" w:cs="微软雅黑"/>
          <w:i w:val="0"/>
          <w:iCs w:val="0"/>
          <w:sz w:val="21"/>
          <w:szCs w:val="21"/>
        </w:rPr>
      </w:pPr>
      <w:r>
        <w:rPr>
          <w:i w:val="0"/>
          <w:iCs w:val="0"/>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9"/>
                    <a:stretch>
                      <a:fillRect/>
                    </a:stretch>
                  </pic:blipFill>
                  <pic:spPr>
                    <a:xfrm>
                      <a:off x="0" y="0"/>
                      <a:ext cx="6210300" cy="3079115"/>
                    </a:xfrm>
                    <a:prstGeom prst="rect">
                      <a:avLst/>
                    </a:prstGeom>
                    <a:noFill/>
                    <a:ln>
                      <a:noFill/>
                    </a:ln>
                  </pic:spPr>
                </pic:pic>
              </a:graphicData>
            </a:graphic>
          </wp:inline>
        </w:drawing>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2. 能效对标管理：</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 xml:space="preserve">   - 引入【国家先进值】、【国家准入值】与【特变电工领跑线】三线对标体系；</w:t>
      </w:r>
    </w:p>
    <w:p w14:paraId="1DA0D2BB">
      <w:pPr>
        <w:pStyle w:val="4"/>
        <w:keepNext/>
        <w:spacing w:before="260" w:after="100"/>
        <w:outlineLvl w:val="1"/>
        <w:rPr>
          <w:rFonts w:hint="eastAsia" w:ascii="微软雅黑" w:hAnsi="微软雅黑" w:eastAsia="微软雅黑" w:cs="微软雅黑"/>
          <w:i w:val="0"/>
          <w:iCs w:val="0"/>
          <w:sz w:val="21"/>
          <w:szCs w:val="21"/>
        </w:rPr>
      </w:pPr>
      <w:bookmarkStart w:id="14" w:name="_Toc20654"/>
      <w:r>
        <w:rPr>
          <w:rFonts w:hint="eastAsia" w:ascii="微软雅黑" w:hAnsi="微软雅黑" w:eastAsia="微软雅黑" w:cs="微软雅黑"/>
          <w:b/>
          <w:i w:val="0"/>
          <w:iCs w:val="0"/>
          <w:color w:val="0284C7"/>
          <w:sz w:val="21"/>
          <w:szCs w:val="21"/>
          <w:lang w:val="en-US" w:eastAsia="zh-CN"/>
        </w:rPr>
        <w:t>四、</w:t>
      </w:r>
      <w:r>
        <w:rPr>
          <w:rFonts w:hint="eastAsia" w:ascii="微软雅黑" w:hAnsi="微软雅黑" w:eastAsia="微软雅黑" w:cs="微软雅黑"/>
          <w:b/>
          <w:i w:val="0"/>
          <w:iCs w:val="0"/>
          <w:color w:val="0284C7"/>
          <w:sz w:val="21"/>
          <w:szCs w:val="21"/>
        </w:rPr>
        <w:t>零碳项目评估</w:t>
      </w:r>
      <w:bookmarkEnd w:id="14"/>
    </w:p>
    <w:p w14:paraId="2B9A56F1">
      <w:pPr>
        <w:pStyle w:val="5"/>
        <w:keepNext/>
        <w:spacing w:before="180" w:after="60"/>
        <w:outlineLvl w:val="2"/>
        <w:rPr>
          <w:rFonts w:hint="eastAsia" w:ascii="微软雅黑" w:hAnsi="微软雅黑" w:eastAsia="微软雅黑" w:cs="微软雅黑"/>
          <w:i w:val="0"/>
          <w:iCs w:val="0"/>
          <w:sz w:val="21"/>
          <w:szCs w:val="21"/>
        </w:rPr>
      </w:pPr>
      <w:bookmarkStart w:id="15" w:name="_Toc29253"/>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项目档案、实时监控与节能效益评估</w:t>
      </w:r>
      <w:bookmarkEnd w:id="15"/>
    </w:p>
    <w:p w14:paraId="1594A220">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0"/>
                    <a:stretch>
                      <a:fillRect/>
                    </a:stretch>
                  </pic:blipFill>
                  <pic:spPr>
                    <a:xfrm>
                      <a:off x="0" y="0"/>
                      <a:ext cx="6210300" cy="3079115"/>
                    </a:xfrm>
                    <a:prstGeom prst="rect">
                      <a:avLst/>
                    </a:prstGeom>
                    <a:noFill/>
                    <a:ln>
                      <a:noFill/>
                    </a:ln>
                  </pic:spPr>
                </pic:pic>
              </a:graphicData>
            </a:graphic>
          </wp:inline>
        </w:drawing>
      </w:r>
    </w:p>
    <w:p w14:paraId="5AEF1930">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功能模块定义：</w:t>
      </w:r>
    </w:p>
    <w:p w14:paraId="3D9E813E">
      <w:pPr>
        <w:numPr>
          <w:ilvl w:val="0"/>
          <w:numId w:val="17"/>
        </w:num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项目档案：管理光伏电站、蓄冷蓄热、空压机群控、变频改造等技改工程台账；</w:t>
      </w:r>
    </w:p>
    <w:p w14:paraId="35FCCB6D">
      <w:pPr>
        <w:numPr>
          <w:ilvl w:val="0"/>
          <w:numId w:val="0"/>
        </w:numPr>
        <w:spacing w:after="80" w:line="288" w:lineRule="auto"/>
        <w:rPr>
          <w:rFonts w:hint="eastAsia" w:ascii="微软雅黑" w:hAnsi="微软雅黑" w:eastAsia="微软雅黑" w:cs="微软雅黑"/>
          <w:i w:val="0"/>
          <w:iCs w:val="0"/>
          <w:color w:val="1F2937"/>
          <w:sz w:val="21"/>
          <w:szCs w:val="21"/>
        </w:rPr>
      </w:pPr>
      <w:r>
        <w:rPr>
          <w:i w:val="0"/>
          <w:iCs w:val="0"/>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1"/>
                    <a:stretch>
                      <a:fillRect/>
                    </a:stretch>
                  </pic:blipFill>
                  <pic:spPr>
                    <a:xfrm>
                      <a:off x="0" y="0"/>
                      <a:ext cx="6210300" cy="3079115"/>
                    </a:xfrm>
                    <a:prstGeom prst="rect">
                      <a:avLst/>
                    </a:prstGeom>
                    <a:noFill/>
                    <a:ln>
                      <a:noFill/>
                    </a:ln>
                  </pic:spPr>
                </pic:pic>
              </a:graphicData>
            </a:graphic>
          </wp:inline>
        </w:drawing>
      </w:r>
    </w:p>
    <w:p w14:paraId="75A0C809">
      <w:pPr>
        <w:numPr>
          <w:ilvl w:val="0"/>
          <w:numId w:val="17"/>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实时监控：直连技改项目现场 PLC 与电表，监测实时工况；</w:t>
      </w:r>
    </w:p>
    <w:p w14:paraId="4C1DE597">
      <w:pPr>
        <w:numPr>
          <w:ilvl w:val="0"/>
          <w:numId w:val="0"/>
        </w:numPr>
        <w:spacing w:after="80" w:line="288" w:lineRule="auto"/>
        <w:rPr>
          <w:rFonts w:hint="eastAsia" w:ascii="微软雅黑" w:hAnsi="微软雅黑" w:eastAsia="微软雅黑" w:cs="微软雅黑"/>
          <w:i w:val="0"/>
          <w:iCs w:val="0"/>
          <w:sz w:val="21"/>
          <w:szCs w:val="21"/>
        </w:rPr>
      </w:pPr>
      <w:r>
        <w:rPr>
          <w:i w:val="0"/>
          <w:iCs w:val="0"/>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2"/>
                    <a:stretch>
                      <a:fillRect/>
                    </a:stretch>
                  </pic:blipFill>
                  <pic:spPr>
                    <a:xfrm>
                      <a:off x="0" y="0"/>
                      <a:ext cx="6210300" cy="3079115"/>
                    </a:xfrm>
                    <a:prstGeom prst="rect">
                      <a:avLst/>
                    </a:prstGeom>
                    <a:noFill/>
                    <a:ln>
                      <a:noFill/>
                    </a:ln>
                  </pic:spPr>
                </pic:pic>
              </a:graphicData>
            </a:graphic>
          </wp:inline>
        </w:drawing>
      </w:r>
    </w:p>
    <w:p w14:paraId="2EBEF207">
      <w:pPr>
        <w:numPr>
          <w:ilvl w:val="0"/>
          <w:numId w:val="17"/>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节能效益评估：遵循国际通用 IPMVP 测量与验证 (M&amp;V) 规程，测算节能量、节约费用与动态投资回收期。</w:t>
      </w:r>
    </w:p>
    <w:tbl>
      <w:tblPr>
        <w:tblStyle w:val="36"/>
        <w:tblW w:w="0" w:type="auto"/>
        <w:jc w:val="center"/>
        <w:tblLayout w:type="fixed"/>
        <w:tblCellMar>
          <w:top w:w="0" w:type="dxa"/>
          <w:left w:w="108" w:type="dxa"/>
          <w:bottom w:w="0" w:type="dxa"/>
          <w:right w:w="108" w:type="dxa"/>
        </w:tblCellMar>
      </w:tblPr>
      <w:tblGrid>
        <w:gridCol w:w="9792"/>
      </w:tblGrid>
      <w:tr w14:paraId="486D2FA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11199EA7">
            <w:pPr>
              <w:spacing w:after="40"/>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6A34A"/>
                <w:sz w:val="21"/>
                <w:szCs w:val="21"/>
              </w:rPr>
              <w:t>📐 【核心数学模型与算法公式】</w:t>
            </w:r>
            <w:r>
              <w:rPr>
                <w:rFonts w:hint="eastAsia" w:ascii="微软雅黑" w:hAnsi="微软雅黑" w:eastAsia="微软雅黑" w:cs="微软雅黑"/>
                <w:b/>
                <w:i w:val="0"/>
                <w:iCs w:val="0"/>
                <w:color w:val="16A34A"/>
                <w:sz w:val="21"/>
                <w:szCs w:val="21"/>
              </w:rPr>
              <w:br w:type="textWrapping"/>
            </w:r>
            <w:r>
              <w:rPr>
                <w:rFonts w:hint="eastAsia" w:ascii="微软雅黑" w:hAnsi="微软雅黑" w:eastAsia="微软雅黑" w:cs="微软雅黑"/>
                <w:b/>
                <w:i w:val="0"/>
                <w:iCs w:val="0"/>
                <w:color w:val="1E3A8A"/>
                <w:sz w:val="21"/>
                <w:szCs w:val="21"/>
              </w:rPr>
              <w:t>【核算公式】：E_saved = ( E_baseline - E_post ) ± △E_adj ; PBP_dynamic = ln( CF / (CF - I_0 × r) ) / ln(1 + r)</w:t>
            </w:r>
            <w:r>
              <w:rPr>
                <w:rFonts w:hint="eastAsia" w:ascii="微软雅黑" w:hAnsi="微软雅黑" w:eastAsia="微软雅黑" w:cs="微软雅黑"/>
                <w:b/>
                <w:i w:val="0"/>
                <w:iCs w:val="0"/>
                <w:color w:val="1E3A8A"/>
                <w:sz w:val="21"/>
                <w:szCs w:val="21"/>
              </w:rPr>
              <w:br w:type="textWrapping"/>
            </w:r>
            <w:r>
              <w:rPr>
                <w:rFonts w:hint="eastAsia" w:ascii="微软雅黑" w:hAnsi="微软雅黑" w:eastAsia="微软雅黑" w:cs="微软雅黑"/>
                <w:i w:val="0"/>
                <w:iCs w:val="0"/>
                <w:color w:val="1F2937"/>
                <w:sz w:val="21"/>
                <w:szCs w:val="21"/>
              </w:rPr>
              <w:t>【逻辑说明】：依据国际 IPMVP 规程选项 B/C 建立基线能耗模型，排除气象温湿度与产量波动影响；计算动态投资回收期（考虑资金贴现率 r）。</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【变量定义与取值约定】：</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E_baseline: 基准期调整后能耗；E_post: 改造后实际能耗；△E_adj: 生产工况修正量；I_0: 技改初次投资；CF: 年净节能现金流；r: 贴现率 (基准8%)</w:t>
            </w:r>
          </w:p>
        </w:tc>
      </w:tr>
    </w:tbl>
    <w:p w14:paraId="40D33930">
      <w:pPr>
        <w:spacing w:after="40"/>
        <w:rPr>
          <w:rFonts w:hint="eastAsia" w:ascii="微软雅黑" w:hAnsi="微软雅黑" w:eastAsia="微软雅黑" w:cs="微软雅黑"/>
          <w:i w:val="0"/>
          <w:iCs w:val="0"/>
          <w:sz w:val="21"/>
          <w:szCs w:val="21"/>
        </w:rPr>
      </w:pPr>
    </w:p>
    <w:p w14:paraId="7068AEF9">
      <w:pPr>
        <w:pStyle w:val="5"/>
        <w:keepNext/>
        <w:spacing w:before="180" w:after="60"/>
        <w:outlineLvl w:val="2"/>
        <w:rPr>
          <w:rFonts w:hint="eastAsia" w:ascii="微软雅黑" w:hAnsi="微软雅黑" w:eastAsia="微软雅黑" w:cs="微软雅黑"/>
          <w:i w:val="0"/>
          <w:iCs w:val="0"/>
          <w:sz w:val="21"/>
          <w:szCs w:val="21"/>
        </w:rPr>
      </w:pPr>
      <w:bookmarkStart w:id="16" w:name="_Toc3865"/>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零碳工厂自评估</w:t>
      </w:r>
      <w:bookmarkEnd w:id="16"/>
    </w:p>
    <w:p w14:paraId="5A2265BA">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3"/>
                    <a:stretch>
                      <a:fillRect/>
                    </a:stretch>
                  </pic:blipFill>
                  <pic:spPr>
                    <a:xfrm>
                      <a:off x="0" y="0"/>
                      <a:ext cx="6210300" cy="3079115"/>
                    </a:xfrm>
                    <a:prstGeom prst="rect">
                      <a:avLst/>
                    </a:prstGeom>
                    <a:noFill/>
                    <a:ln>
                      <a:noFill/>
                    </a:ln>
                  </pic:spPr>
                </pic:pic>
              </a:graphicData>
            </a:graphic>
          </wp:inline>
        </w:drawing>
      </w:r>
    </w:p>
    <w:p w14:paraId="1235B021">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三层评估架构：</w:t>
      </w:r>
    </w:p>
    <w:p w14:paraId="7C9AE19A">
      <w:pPr>
        <w:spacing w:after="80" w:line="288" w:lineRule="auto"/>
        <w:ind w:left="0" w:leftChars="0" w:firstLine="440" w:firstLineChars="0"/>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构建三层穿透体系：第 1 层集团大盘雷达与星级分布 ➔ 第 2 层二级公司总分达标率 ➔ 第 3 层工厂 6 大维度 100 分细化考核表：</w:t>
      </w:r>
    </w:p>
    <w:p w14:paraId="61C8357B">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 评级星级标准：五星级 (≥90分)、四星级 (80~89分)、三星级 (70~79分)、未达标 (&lt;70分)。</w:t>
      </w:r>
    </w:p>
    <w:tbl>
      <w:tblPr>
        <w:tblStyle w:val="36"/>
        <w:tblW w:w="9792" w:type="dxa"/>
        <w:jc w:val="center"/>
        <w:tblLayout w:type="autofit"/>
        <w:tblCellMar>
          <w:top w:w="0" w:type="dxa"/>
          <w:left w:w="108" w:type="dxa"/>
          <w:bottom w:w="0" w:type="dxa"/>
          <w:right w:w="108" w:type="dxa"/>
        </w:tblCellMar>
      </w:tblPr>
      <w:tblGrid>
        <w:gridCol w:w="1143"/>
        <w:gridCol w:w="1143"/>
        <w:gridCol w:w="5235"/>
        <w:gridCol w:w="2271"/>
      </w:tblGrid>
      <w:tr w14:paraId="2782FCE0">
        <w:tblPrEx>
          <w:tblCellMar>
            <w:top w:w="0" w:type="dxa"/>
            <w:left w:w="108" w:type="dxa"/>
            <w:bottom w:w="0" w:type="dxa"/>
            <w:right w:w="108" w:type="dxa"/>
          </w:tblCellMar>
        </w:tblPrEx>
        <w:trPr>
          <w:trHeight w:val="0" w:hRule="atLeast"/>
          <w:tblHeader/>
          <w:jc w:val="center"/>
        </w:trPr>
        <w:tc>
          <w:tcPr>
            <w:tcW w:w="1143" w:type="dxa"/>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03131895">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评估维度</w:t>
            </w:r>
          </w:p>
        </w:tc>
        <w:tc>
          <w:tcPr>
            <w:tcW w:w="1143"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48579CE3">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标准分值</w:t>
            </w:r>
          </w:p>
        </w:tc>
        <w:tc>
          <w:tcPr>
            <w:tcW w:w="5234"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6A98C76E">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核心考评条款与扣分规则</w:t>
            </w:r>
          </w:p>
        </w:tc>
        <w:tc>
          <w:tcPr>
            <w:tcW w:w="2271" w:type="dxa"/>
            <w:tcBorders>
              <w:top w:val="single" w:color="CBD5E1" w:sz="12" w:space="0"/>
              <w:left w:val="single" w:color="CBD5E1" w:sz="4" w:space="0"/>
              <w:bottom w:val="nil"/>
              <w:right w:val="single" w:color="CBD5E1" w:sz="12" w:space="0"/>
            </w:tcBorders>
            <w:shd w:val="clear" w:color="auto" w:fill="1E3A8A"/>
            <w:noWrap w:val="0"/>
            <w:tcMar>
              <w:top w:w="70" w:type="dxa"/>
              <w:left w:w="90" w:type="dxa"/>
              <w:bottom w:w="70" w:type="dxa"/>
              <w:right w:w="90" w:type="dxa"/>
            </w:tcMar>
            <w:vAlign w:val="center"/>
          </w:tcPr>
          <w:p w14:paraId="47CDFE11">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数据来源与佐证材料</w:t>
            </w:r>
          </w:p>
        </w:tc>
      </w:tr>
      <w:tr w14:paraId="7419E08E">
        <w:tblPrEx>
          <w:tblCellMar>
            <w:top w:w="0" w:type="dxa"/>
            <w:left w:w="108" w:type="dxa"/>
            <w:bottom w:w="0" w:type="dxa"/>
            <w:right w:w="108" w:type="dxa"/>
          </w:tblCellMar>
        </w:tblPrEx>
        <w:trPr>
          <w:trHeight w:val="0" w:hRule="atLeast"/>
          <w:jc w:val="center"/>
        </w:trPr>
        <w:tc>
          <w:tcPr>
            <w:tcW w:w="1143"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543D31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基础设施</w:t>
            </w:r>
          </w:p>
        </w:tc>
        <w:tc>
          <w:tcPr>
            <w:tcW w:w="1143"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0DFFA2D">
            <w:pPr>
              <w:keepNext/>
              <w:snapToGrid w:val="0"/>
              <w:spacing w:line="240" w:lineRule="auto"/>
              <w:ind w:left="0" w:leftChars="0" w:right="0" w:rightChars="0" w:firstLine="0" w:firstLineChars="0"/>
              <w:jc w:val="righ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15 分</w:t>
            </w:r>
          </w:p>
        </w:tc>
        <w:tc>
          <w:tcPr>
            <w:tcW w:w="5234"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0E8DA75">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厂房采光天窗采光比、一级能效节能变压器配置率。不达标扣 2 分/项</w:t>
            </w:r>
          </w:p>
        </w:tc>
        <w:tc>
          <w:tcPr>
            <w:tcW w:w="2271"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68A8842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基础设施台账、工程竣工图纸</w:t>
            </w:r>
          </w:p>
        </w:tc>
      </w:tr>
      <w:tr w14:paraId="48795972">
        <w:tblPrEx>
          <w:tblCellMar>
            <w:top w:w="0" w:type="dxa"/>
            <w:left w:w="108" w:type="dxa"/>
            <w:bottom w:w="0" w:type="dxa"/>
            <w:right w:w="108" w:type="dxa"/>
          </w:tblCellMar>
        </w:tblPrEx>
        <w:trPr>
          <w:trHeight w:val="0" w:hRule="atLeast"/>
          <w:jc w:val="center"/>
        </w:trPr>
        <w:tc>
          <w:tcPr>
            <w:tcW w:w="1143" w:type="dxa"/>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CE3C6F8">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能源利用</w:t>
            </w:r>
          </w:p>
        </w:tc>
        <w:tc>
          <w:tcPr>
            <w:tcW w:w="1143"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0681327">
            <w:pPr>
              <w:keepNext/>
              <w:snapToGrid w:val="0"/>
              <w:spacing w:line="240" w:lineRule="auto"/>
              <w:ind w:left="0" w:leftChars="0" w:right="0" w:rightChars="0" w:firstLine="0" w:firstLineChars="0"/>
              <w:jc w:val="righ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30 分</w:t>
            </w:r>
          </w:p>
        </w:tc>
        <w:tc>
          <w:tcPr>
            <w:tcW w:w="5234"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50977FD">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屋顶分布式光伏消纳率(≥30%)、储能削峰填谷、工业余热余压回收。消纳每低 5% 扣 2 分</w:t>
            </w:r>
          </w:p>
        </w:tc>
        <w:tc>
          <w:tcPr>
            <w:tcW w:w="2271"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06E9B615">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微电网采集数据、绿电交易凭证</w:t>
            </w:r>
          </w:p>
        </w:tc>
      </w:tr>
      <w:tr w14:paraId="4A593E99">
        <w:tblPrEx>
          <w:tblCellMar>
            <w:top w:w="0" w:type="dxa"/>
            <w:left w:w="108" w:type="dxa"/>
            <w:bottom w:w="0" w:type="dxa"/>
            <w:right w:w="108" w:type="dxa"/>
          </w:tblCellMar>
        </w:tblPrEx>
        <w:trPr>
          <w:trHeight w:val="0" w:hRule="atLeast"/>
          <w:jc w:val="center"/>
        </w:trPr>
        <w:tc>
          <w:tcPr>
            <w:tcW w:w="1143"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0CF7EC5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产品生态</w:t>
            </w:r>
          </w:p>
        </w:tc>
        <w:tc>
          <w:tcPr>
            <w:tcW w:w="1143"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513F852">
            <w:pPr>
              <w:keepNext/>
              <w:snapToGrid w:val="0"/>
              <w:spacing w:line="240" w:lineRule="auto"/>
              <w:ind w:left="0" w:leftChars="0" w:right="0" w:rightChars="0" w:firstLine="0" w:firstLineChars="0"/>
              <w:jc w:val="righ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20 分</w:t>
            </w:r>
          </w:p>
        </w:tc>
        <w:tc>
          <w:tcPr>
            <w:tcW w:w="5234"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F30C9D4">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主力产品全生命周期 LCA 碳足迹认证、绿色包装材料使用率。出口产品无碳标签扣 3 分</w:t>
            </w:r>
          </w:p>
        </w:tc>
        <w:tc>
          <w:tcPr>
            <w:tcW w:w="2271"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18AE85E0">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ISO 14067 第三方认证证书</w:t>
            </w:r>
          </w:p>
        </w:tc>
      </w:tr>
      <w:tr w14:paraId="6E2C5BBA">
        <w:tblPrEx>
          <w:tblCellMar>
            <w:top w:w="0" w:type="dxa"/>
            <w:left w:w="108" w:type="dxa"/>
            <w:bottom w:w="0" w:type="dxa"/>
            <w:right w:w="108" w:type="dxa"/>
          </w:tblCellMar>
        </w:tblPrEx>
        <w:trPr>
          <w:trHeight w:val="0" w:hRule="atLeast"/>
          <w:jc w:val="center"/>
        </w:trPr>
        <w:tc>
          <w:tcPr>
            <w:tcW w:w="1143" w:type="dxa"/>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650482A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温室气体</w:t>
            </w:r>
          </w:p>
        </w:tc>
        <w:tc>
          <w:tcPr>
            <w:tcW w:w="1143"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877EF1B">
            <w:pPr>
              <w:keepNext/>
              <w:snapToGrid w:val="0"/>
              <w:spacing w:line="240" w:lineRule="auto"/>
              <w:ind w:left="0" w:leftChars="0" w:right="0" w:rightChars="0" w:firstLine="0" w:firstLineChars="0"/>
              <w:jc w:val="righ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15 分</w:t>
            </w:r>
          </w:p>
        </w:tc>
        <w:tc>
          <w:tcPr>
            <w:tcW w:w="5234"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0CA3FF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ISO 14064 组织碳盘查报告、年度减排目标达成率。未出具盘查报告扣 5 分</w:t>
            </w:r>
          </w:p>
        </w:tc>
        <w:tc>
          <w:tcPr>
            <w:tcW w:w="2271"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10FAF21F">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权威第三方核查声明</w:t>
            </w:r>
          </w:p>
        </w:tc>
      </w:tr>
      <w:tr w14:paraId="22E7D88D">
        <w:tblPrEx>
          <w:tblCellMar>
            <w:top w:w="0" w:type="dxa"/>
            <w:left w:w="108" w:type="dxa"/>
            <w:bottom w:w="0" w:type="dxa"/>
            <w:right w:w="108" w:type="dxa"/>
          </w:tblCellMar>
        </w:tblPrEx>
        <w:trPr>
          <w:trHeight w:val="0" w:hRule="atLeast"/>
          <w:jc w:val="center"/>
        </w:trPr>
        <w:tc>
          <w:tcPr>
            <w:tcW w:w="1143" w:type="dxa"/>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4CCC2676">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碳抵消</w:t>
            </w:r>
          </w:p>
        </w:tc>
        <w:tc>
          <w:tcPr>
            <w:tcW w:w="1143"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E032B0E">
            <w:pPr>
              <w:keepNext/>
              <w:snapToGrid w:val="0"/>
              <w:spacing w:line="240" w:lineRule="auto"/>
              <w:ind w:left="0" w:leftChars="0" w:right="0" w:rightChars="0" w:firstLine="0" w:firstLineChars="0"/>
              <w:jc w:val="righ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 分</w:t>
            </w:r>
          </w:p>
        </w:tc>
        <w:tc>
          <w:tcPr>
            <w:tcW w:w="5234"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EDB8A90">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国家绿色电力证书 (GEC) 批量核销、CCER 碳资产抵消额度。未核销绿证扣 3 分</w:t>
            </w:r>
          </w:p>
        </w:tc>
        <w:tc>
          <w:tcPr>
            <w:tcW w:w="2271"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4D7E8F2F">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国家绿证平台核销证明文件</w:t>
            </w:r>
          </w:p>
        </w:tc>
      </w:tr>
      <w:tr w14:paraId="43379BBA">
        <w:tblPrEx>
          <w:tblCellMar>
            <w:top w:w="0" w:type="dxa"/>
            <w:left w:w="108" w:type="dxa"/>
            <w:bottom w:w="0" w:type="dxa"/>
            <w:right w:w="108" w:type="dxa"/>
          </w:tblCellMar>
        </w:tblPrEx>
        <w:trPr>
          <w:trHeight w:val="0" w:hRule="atLeast"/>
          <w:jc w:val="center"/>
        </w:trPr>
        <w:tc>
          <w:tcPr>
            <w:tcW w:w="1143"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32CE1C9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运营管理</w:t>
            </w:r>
          </w:p>
        </w:tc>
        <w:tc>
          <w:tcPr>
            <w:tcW w:w="1143"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744557CC">
            <w:pPr>
              <w:keepNext/>
              <w:snapToGrid w:val="0"/>
              <w:spacing w:line="240" w:lineRule="auto"/>
              <w:ind w:left="0" w:leftChars="0" w:right="0" w:rightChars="0" w:firstLine="0" w:firstLineChars="0"/>
              <w:jc w:val="righ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 分</w:t>
            </w:r>
          </w:p>
        </w:tc>
        <w:tc>
          <w:tcPr>
            <w:tcW w:w="5234"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531E10F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ISO 50001 能源管理体系认证、专职能碳工程师岗位。体系未年审扣 3 分</w:t>
            </w:r>
          </w:p>
        </w:tc>
        <w:tc>
          <w:tcPr>
            <w:tcW w:w="2271" w:type="dxa"/>
            <w:tcBorders>
              <w:top w:val="single" w:color="CBD5E1" w:sz="4" w:space="0"/>
              <w:left w:val="single" w:color="CBD5E1" w:sz="4" w:space="0"/>
              <w:bottom w:val="single" w:color="CBD5E1" w:sz="12" w:space="0"/>
              <w:right w:val="single" w:color="CBD5E1" w:sz="12" w:space="0"/>
            </w:tcBorders>
            <w:shd w:val="clear" w:color="auto" w:fill="F8FAFC"/>
            <w:noWrap w:val="0"/>
            <w:tcMar>
              <w:top w:w="60" w:type="dxa"/>
              <w:left w:w="80" w:type="dxa"/>
              <w:bottom w:w="60" w:type="dxa"/>
              <w:right w:w="80" w:type="dxa"/>
            </w:tcMar>
            <w:vAlign w:val="center"/>
          </w:tcPr>
          <w:p w14:paraId="549CD0D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体系证书、管理制度任命文件</w:t>
            </w:r>
          </w:p>
        </w:tc>
      </w:tr>
    </w:tbl>
    <w:p w14:paraId="74462E5A">
      <w:pPr>
        <w:spacing w:after="60"/>
        <w:rPr>
          <w:rFonts w:hint="eastAsia" w:ascii="微软雅黑" w:hAnsi="微软雅黑" w:eastAsia="微软雅黑" w:cs="微软雅黑"/>
          <w:i w:val="0"/>
          <w:iCs w:val="0"/>
          <w:sz w:val="21"/>
          <w:szCs w:val="21"/>
        </w:rPr>
      </w:pPr>
    </w:p>
    <w:p w14:paraId="5070C557">
      <w:pPr>
        <w:pStyle w:val="4"/>
        <w:keepNext/>
        <w:spacing w:before="260" w:after="100"/>
        <w:outlineLvl w:val="1"/>
        <w:rPr>
          <w:rFonts w:hint="eastAsia" w:ascii="微软雅黑" w:hAnsi="微软雅黑" w:eastAsia="微软雅黑" w:cs="微软雅黑"/>
          <w:b/>
          <w:i w:val="0"/>
          <w:iCs w:val="0"/>
          <w:color w:val="0284C7"/>
          <w:sz w:val="21"/>
          <w:szCs w:val="21"/>
        </w:rPr>
      </w:pPr>
      <w:bookmarkStart w:id="17" w:name="_Toc3775"/>
      <w:r>
        <w:rPr>
          <w:rFonts w:hint="eastAsia" w:ascii="微软雅黑" w:hAnsi="微软雅黑" w:eastAsia="微软雅黑" w:cs="微软雅黑"/>
          <w:b/>
          <w:i w:val="0"/>
          <w:iCs w:val="0"/>
          <w:color w:val="0284C7"/>
          <w:sz w:val="21"/>
          <w:szCs w:val="21"/>
          <w:lang w:val="en-US" w:eastAsia="zh-CN"/>
        </w:rPr>
        <w:t>五、</w:t>
      </w:r>
      <w:r>
        <w:rPr>
          <w:rFonts w:hint="eastAsia" w:ascii="微软雅黑" w:hAnsi="微软雅黑" w:eastAsia="微软雅黑" w:cs="微软雅黑"/>
          <w:b/>
          <w:i w:val="0"/>
          <w:iCs w:val="0"/>
          <w:color w:val="0284C7"/>
          <w:sz w:val="21"/>
          <w:szCs w:val="21"/>
        </w:rPr>
        <w:t>统计报表</w:t>
      </w:r>
      <w:bookmarkEnd w:id="17"/>
    </w:p>
    <w:p w14:paraId="2CF03C05">
      <w:pPr>
        <w:rPr>
          <w:i w:val="0"/>
          <w:iCs w:val="0"/>
        </w:rPr>
      </w:pPr>
      <w:r>
        <w:rPr>
          <w:i w:val="0"/>
          <w:iCs w:val="0"/>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4"/>
                    <a:stretch>
                      <a:fillRect/>
                    </a:stretch>
                  </pic:blipFill>
                  <pic:spPr>
                    <a:xfrm>
                      <a:off x="0" y="0"/>
                      <a:ext cx="6210300" cy="3079115"/>
                    </a:xfrm>
                    <a:prstGeom prst="rect">
                      <a:avLst/>
                    </a:prstGeom>
                    <a:noFill/>
                    <a:ln>
                      <a:noFill/>
                    </a:ln>
                  </pic:spPr>
                </pic:pic>
              </a:graphicData>
            </a:graphic>
          </wp:inline>
        </w:drawing>
      </w:r>
    </w:p>
    <w:p w14:paraId="0BDEFF0B">
      <w:pPr>
        <w:rPr>
          <w:i w:val="0"/>
          <w:iCs w:val="0"/>
        </w:rPr>
      </w:pPr>
      <w:r>
        <w:rPr>
          <w:i w:val="0"/>
          <w:iCs w:val="0"/>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5"/>
                    <a:stretch>
                      <a:fillRect/>
                    </a:stretch>
                  </pic:blipFill>
                  <pic:spPr>
                    <a:xfrm>
                      <a:off x="0" y="0"/>
                      <a:ext cx="6210300" cy="3079115"/>
                    </a:xfrm>
                    <a:prstGeom prst="rect">
                      <a:avLst/>
                    </a:prstGeom>
                    <a:noFill/>
                    <a:ln>
                      <a:noFill/>
                    </a:ln>
                  </pic:spPr>
                </pic:pic>
              </a:graphicData>
            </a:graphic>
          </wp:inline>
        </w:drawing>
      </w:r>
    </w:p>
    <w:p w14:paraId="316F6588">
      <w:pPr>
        <w:rPr>
          <w:rFonts w:hint="eastAsia"/>
          <w:i w:val="0"/>
          <w:iCs w:val="0"/>
        </w:rPr>
      </w:pPr>
      <w:r>
        <w:rPr>
          <w:i w:val="0"/>
          <w:iCs w:val="0"/>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0AFDA482">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功能要求：</w:t>
      </w:r>
    </w:p>
    <w:p w14:paraId="723780D5">
      <w:pPr>
        <w:spacing w:after="80" w:line="288" w:lineRule="auto"/>
        <w:ind w:left="0" w:leftChars="0" w:firstLine="440" w:firstLineChars="0"/>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涵盖用能报表、成本报表、单耗报表 与碳排报表 。</w:t>
      </w:r>
    </w:p>
    <w:p w14:paraId="518D8F7C">
      <w:pPr>
        <w:numPr>
          <w:ilvl w:val="0"/>
          <w:numId w:val="18"/>
        </w:numPr>
        <w:spacing w:after="80" w:line="288" w:lineRule="auto"/>
        <w:ind w:left="0" w:leftChars="0" w:firstLine="440" w:firstLineChars="0"/>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产业分类隔离：变压器以 kVA 汇算，线缆以 km·mm² 汇算；</w:t>
      </w:r>
    </w:p>
    <w:p w14:paraId="240D10D4">
      <w:pPr>
        <w:numPr>
          <w:ilvl w:val="0"/>
          <w:numId w:val="18"/>
        </w:num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防伪动态水印：导出 Excel/PDF 强制注入导出员工号、姓名、操作时间戳与防截屏防篡改哈希校验码。</w:t>
      </w:r>
    </w:p>
    <w:tbl>
      <w:tblPr>
        <w:tblStyle w:val="36"/>
        <w:tblW w:w="9966" w:type="dxa"/>
        <w:jc w:val="center"/>
        <w:tblLayout w:type="autofit"/>
        <w:tblCellMar>
          <w:top w:w="0" w:type="dxa"/>
          <w:left w:w="108" w:type="dxa"/>
          <w:bottom w:w="0" w:type="dxa"/>
          <w:right w:w="108" w:type="dxa"/>
        </w:tblCellMar>
      </w:tblPr>
      <w:tblGrid>
        <w:gridCol w:w="726"/>
        <w:gridCol w:w="1860"/>
        <w:gridCol w:w="1751"/>
        <w:gridCol w:w="1190"/>
        <w:gridCol w:w="4439"/>
      </w:tblGrid>
      <w:tr w14:paraId="2DF50941">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563ED893">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552EC374">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FEFD168">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2842059">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4439"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509E179">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聚合滚算规则</w:t>
            </w:r>
          </w:p>
        </w:tc>
      </w:tr>
      <w:tr w14:paraId="263E4E1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BACEC80">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17AF4AB">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统计周期标签</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B0F715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String(16)</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461A8D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日/月/年</w:t>
            </w:r>
          </w:p>
        </w:tc>
        <w:tc>
          <w:tcPr>
            <w:tcW w:w="4439"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A7D5A4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日报按0点截断，月报按自然月自然闭环</w:t>
            </w:r>
          </w:p>
        </w:tc>
      </w:tr>
      <w:tr w14:paraId="46D8AE9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13EFB62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D7F34F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组织节点名称</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A6BB9B5">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String(64)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4FAD355">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439"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D619C5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集团/产业/二级公司/车间层级树</w:t>
            </w:r>
          </w:p>
        </w:tc>
      </w:tr>
      <w:tr w14:paraId="321B4FD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074A7104">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C1B96D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用电量总计</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7AACA4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878597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kWh</w:t>
            </w:r>
          </w:p>
        </w:tc>
        <w:tc>
          <w:tcPr>
            <w:tcW w:w="4439"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DF463CF">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(尖峰 + 高峰 + 平段 + 低谷)</w:t>
            </w:r>
          </w:p>
        </w:tc>
      </w:tr>
      <w:tr w14:paraId="59D02F67">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E63D9B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DD8C7B3">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自来水用量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8E25B7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CBFDD2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m³</w:t>
            </w:r>
          </w:p>
        </w:tc>
        <w:tc>
          <w:tcPr>
            <w:tcW w:w="4439"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EC2A95B">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市政总表与自备井流量累加</w:t>
            </w:r>
          </w:p>
        </w:tc>
      </w:tr>
      <w:tr w14:paraId="1F171E84">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B1C376B">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570009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外购蒸汽量</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9FAF17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D99113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w:t>
            </w:r>
          </w:p>
        </w:tc>
        <w:tc>
          <w:tcPr>
            <w:tcW w:w="4439"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09C7BA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车间进汽流量计温压补偿积算</w:t>
            </w:r>
          </w:p>
        </w:tc>
      </w:tr>
      <w:tr w14:paraId="0C94057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0AAC738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B755D0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天然气消耗量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0AE9135">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E8642A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m³</w:t>
            </w:r>
          </w:p>
        </w:tc>
        <w:tc>
          <w:tcPr>
            <w:tcW w:w="4439"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CC636A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燃气调压计量站流量计</w:t>
            </w:r>
          </w:p>
        </w:tc>
      </w:tr>
      <w:tr w14:paraId="4A0C687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C8E122E">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F3905C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折标准煤总能耗</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6CA3754">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Decimal(12,4)</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AF19D45">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tce</w:t>
            </w:r>
          </w:p>
        </w:tc>
        <w:tc>
          <w:tcPr>
            <w:tcW w:w="4439"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1D48C0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(各介质消耗量 × 当量折标系数)</w:t>
            </w:r>
          </w:p>
        </w:tc>
      </w:tr>
      <w:tr w14:paraId="75C03BF0">
        <w:tblPrEx>
          <w:tblCellMar>
            <w:top w:w="0" w:type="dxa"/>
            <w:left w:w="108" w:type="dxa"/>
            <w:bottom w:w="0" w:type="dxa"/>
            <w:right w:w="108" w:type="dxa"/>
          </w:tblCellMar>
        </w:tblPrEx>
        <w:trPr>
          <w:trHeight w:val="0" w:hRule="atLeast"/>
          <w:jc w:val="center"/>
        </w:trPr>
        <w:tc>
          <w:tcPr>
            <w:tcW w:w="726"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1F9AFE0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1860"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1C8FC2E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综合能源总成本</w:t>
            </w:r>
          </w:p>
        </w:tc>
        <w:tc>
          <w:tcPr>
            <w:tcW w:w="1751"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320AE3D4">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1190"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51DECC2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万元</w:t>
            </w:r>
          </w:p>
        </w:tc>
        <w:tc>
          <w:tcPr>
            <w:tcW w:w="4439"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1B57C09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(各介质实物量 × 现行能源单价)</w:t>
            </w:r>
          </w:p>
        </w:tc>
      </w:tr>
    </w:tbl>
    <w:p w14:paraId="1FC0FBD9">
      <w:pPr>
        <w:spacing w:after="60"/>
        <w:rPr>
          <w:rFonts w:hint="eastAsia" w:ascii="微软雅黑" w:hAnsi="微软雅黑" w:eastAsia="微软雅黑" w:cs="微软雅黑"/>
          <w:i w:val="0"/>
          <w:iCs w:val="0"/>
          <w:sz w:val="21"/>
          <w:szCs w:val="21"/>
        </w:rPr>
      </w:pPr>
    </w:p>
    <w:p w14:paraId="20BF9492">
      <w:pPr>
        <w:pStyle w:val="4"/>
        <w:keepNext/>
        <w:spacing w:before="260" w:after="100"/>
        <w:outlineLvl w:val="1"/>
        <w:rPr>
          <w:rFonts w:hint="eastAsia" w:ascii="微软雅黑" w:hAnsi="微软雅黑" w:eastAsia="微软雅黑" w:cs="微软雅黑"/>
          <w:i w:val="0"/>
          <w:iCs w:val="0"/>
          <w:sz w:val="21"/>
          <w:szCs w:val="21"/>
        </w:rPr>
      </w:pPr>
      <w:bookmarkStart w:id="18" w:name="_Toc15512"/>
      <w:r>
        <w:rPr>
          <w:rFonts w:hint="eastAsia" w:ascii="微软雅黑" w:hAnsi="微软雅黑" w:eastAsia="微软雅黑" w:cs="微软雅黑"/>
          <w:b/>
          <w:i w:val="0"/>
          <w:iCs w:val="0"/>
          <w:color w:val="0284C7"/>
          <w:sz w:val="21"/>
          <w:szCs w:val="21"/>
          <w:lang w:val="en-US" w:eastAsia="zh-CN"/>
        </w:rPr>
        <w:t>六、</w:t>
      </w:r>
      <w:r>
        <w:rPr>
          <w:rFonts w:hint="eastAsia" w:ascii="微软雅黑" w:hAnsi="微软雅黑" w:eastAsia="微软雅黑" w:cs="微软雅黑"/>
          <w:b/>
          <w:i w:val="0"/>
          <w:iCs w:val="0"/>
          <w:color w:val="0284C7"/>
          <w:sz w:val="21"/>
          <w:szCs w:val="21"/>
        </w:rPr>
        <w:t>基础管理</w:t>
      </w:r>
      <w:bookmarkEnd w:id="18"/>
    </w:p>
    <w:p w14:paraId="35BE68E6">
      <w:pPr>
        <w:pStyle w:val="5"/>
        <w:keepNext/>
        <w:spacing w:before="180" w:after="60"/>
        <w:outlineLvl w:val="2"/>
        <w:rPr>
          <w:rFonts w:hint="eastAsia" w:ascii="微软雅黑" w:hAnsi="微软雅黑" w:eastAsia="微软雅黑" w:cs="微软雅黑"/>
          <w:b/>
          <w:i w:val="0"/>
          <w:iCs w:val="0"/>
          <w:color w:val="1E3A8A"/>
          <w:sz w:val="21"/>
          <w:szCs w:val="21"/>
        </w:rPr>
      </w:pPr>
      <w:bookmarkStart w:id="19" w:name="_Toc24351"/>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数据录入工作台</w:t>
      </w:r>
      <w:bookmarkEnd w:id="19"/>
    </w:p>
    <w:p w14:paraId="03C92933">
      <w:pPr>
        <w:rPr>
          <w:rFonts w:hint="eastAsia"/>
          <w:i w:val="0"/>
          <w:iCs w:val="0"/>
        </w:rPr>
      </w:pPr>
      <w:r>
        <w:rPr>
          <w:i w:val="0"/>
          <w:iCs w:val="0"/>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7"/>
                    <a:stretch>
                      <a:fillRect/>
                    </a:stretch>
                  </pic:blipFill>
                  <pic:spPr>
                    <a:xfrm>
                      <a:off x="0" y="0"/>
                      <a:ext cx="6210300" cy="3079115"/>
                    </a:xfrm>
                    <a:prstGeom prst="rect">
                      <a:avLst/>
                    </a:prstGeom>
                    <a:noFill/>
                    <a:ln>
                      <a:noFill/>
                    </a:ln>
                  </pic:spPr>
                </pic:pic>
              </a:graphicData>
            </a:graphic>
          </wp:inline>
        </w:drawing>
      </w:r>
    </w:p>
    <w:p w14:paraId="4C5B980C">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PM 业务定位：</w:t>
      </w:r>
    </w:p>
    <w:p w14:paraId="08CB754D">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专为车间统计员 (P3) 打造的高效数据录入中枢，解决基层离线生产台账人工录入痛点，按标签页划分 4 大核心工作台：</w:t>
      </w:r>
    </w:p>
    <w:p w14:paraId="1A8E8405">
      <w:pPr>
        <w:pStyle w:val="6"/>
        <w:keepNext/>
        <w:spacing w:before="180" w:after="60"/>
        <w:outlineLvl w:val="3"/>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E3A8A"/>
          <w:sz w:val="21"/>
          <w:szCs w:val="21"/>
        </w:rPr>
        <w:t xml:space="preserve">1.1 Tab 1：产品产量录入 </w:t>
      </w:r>
    </w:p>
    <w:p w14:paraId="5528AC6C">
      <w:pPr>
        <w:spacing w:after="80" w:line="288" w:lineRule="auto"/>
        <w:ind w:leftChars="20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1. 布局与跨行合并：同生产单位、同工序的跨行单元格自动合并居中；</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2. 单位自适应联动：选择变压器产品单位自动锁定为台/kVA；选择线缆自动联动为 km·mm²；</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3. 防错校验：产量输入必须 ≥ 0，录入负数即时触发 E_VAL_ENERGY_NEGATIVE 阻断。</w:t>
      </w:r>
    </w:p>
    <w:tbl>
      <w:tblPr>
        <w:tblStyle w:val="36"/>
        <w:tblW w:w="10008" w:type="dxa"/>
        <w:jc w:val="center"/>
        <w:tblLayout w:type="autofit"/>
        <w:tblCellMar>
          <w:top w:w="0" w:type="dxa"/>
          <w:left w:w="108" w:type="dxa"/>
          <w:bottom w:w="0" w:type="dxa"/>
          <w:right w:w="108" w:type="dxa"/>
        </w:tblCellMar>
      </w:tblPr>
      <w:tblGrid>
        <w:gridCol w:w="560"/>
        <w:gridCol w:w="1358"/>
        <w:gridCol w:w="1356"/>
        <w:gridCol w:w="1266"/>
        <w:gridCol w:w="2311"/>
        <w:gridCol w:w="3157"/>
      </w:tblGrid>
      <w:tr w14:paraId="3B45FEF4">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04847B96">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1358"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947DCE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192F72D">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1266"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066FABE">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单位</w:t>
            </w:r>
          </w:p>
        </w:tc>
        <w:tc>
          <w:tcPr>
            <w:tcW w:w="2311"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0B9AFF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界面控件</w:t>
            </w:r>
          </w:p>
        </w:tc>
        <w:tc>
          <w:tcPr>
            <w:tcW w:w="3157" w:type="dxa"/>
            <w:tcBorders>
              <w:top w:val="single" w:color="CBD5E1" w:sz="12" w:space="0"/>
              <w:left w:val="single" w:color="CBD5E1" w:sz="4" w:space="0"/>
              <w:bottom w:val="nil"/>
              <w:right w:val="single" w:color="CBD5E1" w:sz="12" w:space="0"/>
            </w:tcBorders>
            <w:shd w:val="clear" w:color="auto" w:fill="1E3A8A"/>
            <w:noWrap w:val="0"/>
            <w:tcMar>
              <w:top w:w="70" w:type="dxa"/>
              <w:left w:w="90" w:type="dxa"/>
              <w:bottom w:w="70" w:type="dxa"/>
              <w:right w:w="90" w:type="dxa"/>
            </w:tcMar>
            <w:vAlign w:val="center"/>
          </w:tcPr>
          <w:p w14:paraId="39A65990">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校验与约束规则</w:t>
            </w:r>
          </w:p>
        </w:tc>
      </w:tr>
      <w:tr w14:paraId="7A9197C1">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6185253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1358"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EF3A28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生产单位名称</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B460C5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Enum</w:t>
            </w:r>
          </w:p>
        </w:tc>
        <w:tc>
          <w:tcPr>
            <w:tcW w:w="126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F06B68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2311"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C5DCB2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下拉级联选择器</w:t>
            </w:r>
          </w:p>
        </w:tc>
        <w:tc>
          <w:tcPr>
            <w:tcW w:w="3157"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3ED4D7F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必须在六级组织架构有效生产基地内</w:t>
            </w:r>
          </w:p>
        </w:tc>
      </w:tr>
      <w:tr w14:paraId="6FC24B7E">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44B23C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1358"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6E5489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生产涉及工序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0CE04F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Enum</w:t>
            </w:r>
          </w:p>
        </w:tc>
        <w:tc>
          <w:tcPr>
            <w:tcW w:w="126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BBDDBA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2311"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8E9421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下拉级联选择器</w:t>
            </w:r>
          </w:p>
        </w:tc>
        <w:tc>
          <w:tcPr>
            <w:tcW w:w="3157"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4BEFCE0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严格受控于《关键工序对应表》白名单</w:t>
            </w:r>
          </w:p>
        </w:tc>
      </w:tr>
      <w:tr w14:paraId="71830B3E">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333C31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1358"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A68284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产品大类分类</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B445B3C">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Enum</w:t>
            </w:r>
          </w:p>
        </w:tc>
        <w:tc>
          <w:tcPr>
            <w:tcW w:w="126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8A9864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变压器/线缆</w:t>
            </w:r>
          </w:p>
        </w:tc>
        <w:tc>
          <w:tcPr>
            <w:tcW w:w="2311"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FCE728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单选 Radio</w:t>
            </w:r>
          </w:p>
        </w:tc>
        <w:tc>
          <w:tcPr>
            <w:tcW w:w="3157"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08D6147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决定规格型号联动字典</w:t>
            </w:r>
          </w:p>
        </w:tc>
      </w:tr>
      <w:tr w14:paraId="768A998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3CE237A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1358"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8E8CB3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产品规格型号</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68139A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String(64)</w:t>
            </w:r>
          </w:p>
        </w:tc>
        <w:tc>
          <w:tcPr>
            <w:tcW w:w="126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05C5A3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2311"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B1F1B9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文本输入/模糊匹配</w:t>
            </w:r>
          </w:p>
        </w:tc>
        <w:tc>
          <w:tcPr>
            <w:tcW w:w="3157"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07CCA4C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非空，最长 64 字符</w:t>
            </w:r>
          </w:p>
        </w:tc>
      </w:tr>
      <w:tr w14:paraId="1450BE17">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6CD6A7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1358"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310FB0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产品产量数值</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717D7F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1266"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6C6985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自适应</w:t>
            </w:r>
          </w:p>
        </w:tc>
        <w:tc>
          <w:tcPr>
            <w:tcW w:w="2311"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519411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数字输入框 (Number)</w:t>
            </w:r>
          </w:p>
        </w:tc>
        <w:tc>
          <w:tcPr>
            <w:tcW w:w="3157" w:type="dxa"/>
            <w:tcBorders>
              <w:top w:val="single" w:color="CBD5E1" w:sz="4" w:space="0"/>
              <w:left w:val="single" w:color="CBD5E1" w:sz="4" w:space="0"/>
              <w:bottom w:val="nil"/>
              <w:right w:val="single" w:color="CBD5E1" w:sz="12" w:space="0"/>
            </w:tcBorders>
            <w:shd w:val="clear" w:color="auto" w:fill="FFFFFF"/>
            <w:noWrap w:val="0"/>
            <w:tcMar>
              <w:top w:w="60" w:type="dxa"/>
              <w:left w:w="80" w:type="dxa"/>
              <w:bottom w:w="60" w:type="dxa"/>
              <w:right w:w="80" w:type="dxa"/>
            </w:tcMar>
            <w:vAlign w:val="center"/>
          </w:tcPr>
          <w:p w14:paraId="17E3CFB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必须 ≥ 0.00，录入负数前端即时拦截</w:t>
            </w:r>
          </w:p>
        </w:tc>
      </w:tr>
      <w:tr w14:paraId="5699789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A8F22A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1358"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C04966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录入填报人员</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A73B9F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String(32)</w:t>
            </w:r>
          </w:p>
        </w:tc>
        <w:tc>
          <w:tcPr>
            <w:tcW w:w="1266"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FA0F19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2311"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4206F4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系统登录态自动带出</w:t>
            </w:r>
          </w:p>
        </w:tc>
        <w:tc>
          <w:tcPr>
            <w:tcW w:w="3157" w:type="dxa"/>
            <w:tcBorders>
              <w:top w:val="single" w:color="CBD5E1" w:sz="4" w:space="0"/>
              <w:left w:val="single" w:color="CBD5E1" w:sz="4" w:space="0"/>
              <w:bottom w:val="nil"/>
              <w:right w:val="single" w:color="CBD5E1" w:sz="12" w:space="0"/>
            </w:tcBorders>
            <w:shd w:val="clear" w:color="auto" w:fill="F8FAFC"/>
            <w:noWrap w:val="0"/>
            <w:tcMar>
              <w:top w:w="60" w:type="dxa"/>
              <w:left w:w="80" w:type="dxa"/>
              <w:bottom w:w="60" w:type="dxa"/>
              <w:right w:w="80" w:type="dxa"/>
            </w:tcMar>
            <w:vAlign w:val="center"/>
          </w:tcPr>
          <w:p w14:paraId="29BBFA2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只读禁用，记录员工真实工号</w:t>
            </w:r>
          </w:p>
        </w:tc>
      </w:tr>
      <w:tr w14:paraId="3EDE3750">
        <w:tblPrEx>
          <w:tblCellMar>
            <w:top w:w="0" w:type="dxa"/>
            <w:left w:w="108" w:type="dxa"/>
            <w:bottom w:w="0" w:type="dxa"/>
            <w:right w:w="108" w:type="dxa"/>
          </w:tblCellMar>
        </w:tblPrEx>
        <w:trPr>
          <w:trHeight w:val="0" w:hRule="atLeast"/>
          <w:jc w:val="center"/>
        </w:trPr>
        <w:tc>
          <w:tcPr>
            <w:tcW w:w="560" w:type="dxa"/>
            <w:tcBorders>
              <w:top w:val="single" w:color="CBD5E1" w:sz="4" w:space="0"/>
              <w:left w:val="single" w:color="CBD5E1" w:sz="12" w:space="0"/>
              <w:bottom w:val="single" w:color="CBD5E1" w:sz="12" w:space="0"/>
              <w:right w:val="nil"/>
            </w:tcBorders>
            <w:shd w:val="clear" w:color="auto" w:fill="FFFFFF"/>
            <w:noWrap w:val="0"/>
            <w:tcMar>
              <w:top w:w="60" w:type="dxa"/>
              <w:left w:w="80" w:type="dxa"/>
              <w:bottom w:w="60" w:type="dxa"/>
              <w:right w:w="80" w:type="dxa"/>
            </w:tcMar>
            <w:vAlign w:val="center"/>
          </w:tcPr>
          <w:p w14:paraId="524156B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1358"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1830952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统计核算月份</w:t>
            </w:r>
          </w:p>
        </w:tc>
        <w:tc>
          <w:tcPr>
            <w:tcW w:w="1356"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061F3AC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Date</w:t>
            </w:r>
          </w:p>
        </w:tc>
        <w:tc>
          <w:tcPr>
            <w:tcW w:w="1266"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43A0A52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YYYY-MM</w:t>
            </w:r>
          </w:p>
        </w:tc>
        <w:tc>
          <w:tcPr>
            <w:tcW w:w="2311"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74ABE8E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月份选择器 (MonthPicker)</w:t>
            </w:r>
          </w:p>
        </w:tc>
        <w:tc>
          <w:tcPr>
            <w:tcW w:w="3157" w:type="dxa"/>
            <w:tcBorders>
              <w:top w:val="single" w:color="CBD5E1" w:sz="4" w:space="0"/>
              <w:left w:val="single" w:color="CBD5E1" w:sz="4" w:space="0"/>
              <w:bottom w:val="single" w:color="CBD5E1" w:sz="12" w:space="0"/>
              <w:right w:val="single" w:color="CBD5E1" w:sz="12" w:space="0"/>
            </w:tcBorders>
            <w:shd w:val="clear" w:color="auto" w:fill="FFFFFF"/>
            <w:noWrap w:val="0"/>
            <w:tcMar>
              <w:top w:w="60" w:type="dxa"/>
              <w:left w:w="80" w:type="dxa"/>
              <w:bottom w:w="60" w:type="dxa"/>
              <w:right w:w="80" w:type="dxa"/>
            </w:tcMar>
            <w:vAlign w:val="center"/>
          </w:tcPr>
          <w:p w14:paraId="712C658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不可晚于当前月，关账后禁止填报</w:t>
            </w:r>
          </w:p>
        </w:tc>
      </w:tr>
    </w:tbl>
    <w:p w14:paraId="480AF993">
      <w:pPr>
        <w:spacing w:after="60"/>
        <w:rPr>
          <w:rFonts w:hint="eastAsia" w:ascii="微软雅黑" w:hAnsi="微软雅黑" w:eastAsia="微软雅黑" w:cs="微软雅黑"/>
          <w:i w:val="0"/>
          <w:iCs w:val="0"/>
          <w:sz w:val="21"/>
          <w:szCs w:val="21"/>
        </w:rPr>
      </w:pPr>
    </w:p>
    <w:p w14:paraId="07748D89">
      <w:pPr>
        <w:pStyle w:val="6"/>
        <w:keepNext/>
        <w:spacing w:before="180" w:after="60"/>
        <w:outlineLvl w:val="3"/>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E3A8A"/>
          <w:sz w:val="21"/>
          <w:szCs w:val="21"/>
        </w:rPr>
        <w:t>1.2 Tab 2：能源消耗录入</w:t>
      </w:r>
    </w:p>
    <w:p w14:paraId="763B74FF">
      <w:pPr>
        <w:spacing w:after="80" w:line="288" w:lineRule="auto"/>
        <w:rPr>
          <w:rFonts w:hint="eastAsia" w:ascii="微软雅黑" w:hAnsi="微软雅黑" w:eastAsia="微软雅黑" w:cs="微软雅黑"/>
          <w:i w:val="0"/>
          <w:iCs w:val="0"/>
          <w:color w:val="1F2937"/>
          <w:sz w:val="21"/>
          <w:szCs w:val="21"/>
        </w:rPr>
      </w:pPr>
      <w:r>
        <w:rPr>
          <w:i w:val="0"/>
          <w:iCs w:val="0"/>
        </w:rPr>
        <w:drawing>
          <wp:inline distT="0" distB="0" distL="114300" distR="114300">
            <wp:extent cx="6210300" cy="3079115"/>
            <wp:effectExtent l="0" t="0" r="0" b="698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8"/>
                    <a:stretch>
                      <a:fillRect/>
                    </a:stretch>
                  </pic:blipFill>
                  <pic:spPr>
                    <a:xfrm>
                      <a:off x="0" y="0"/>
                      <a:ext cx="6210300" cy="3079115"/>
                    </a:xfrm>
                    <a:prstGeom prst="rect">
                      <a:avLst/>
                    </a:prstGeom>
                    <a:noFill/>
                    <a:ln>
                      <a:noFill/>
                    </a:ln>
                  </pic:spPr>
                </pic:pic>
              </a:graphicData>
            </a:graphic>
          </wp:inline>
        </w:drawing>
      </w:r>
    </w:p>
    <w:p w14:paraId="3FD7BC8E">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结构与 Tab 1 严格 100% 同构，按电力、水资源、天然气、蒸汽四介质分组合并展示。支持起码、止码输入自动计算实物量，并带非负拦截校验。</w:t>
      </w:r>
    </w:p>
    <w:p w14:paraId="472412C5">
      <w:pPr>
        <w:pStyle w:val="6"/>
        <w:keepNext/>
        <w:spacing w:before="180" w:after="60"/>
        <w:outlineLvl w:val="3"/>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E3A8A"/>
          <w:sz w:val="21"/>
          <w:szCs w:val="21"/>
        </w:rPr>
        <w:t>1.3 Tab 3：园区相册维护 与 Tab 4：园区大事记维护</w:t>
      </w:r>
    </w:p>
    <w:p w14:paraId="2947751B">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9"/>
                    <a:stretch>
                      <a:fillRect/>
                    </a:stretch>
                  </pic:blipFill>
                  <pic:spPr>
                    <a:xfrm>
                      <a:off x="0" y="0"/>
                      <a:ext cx="6210300" cy="3079115"/>
                    </a:xfrm>
                    <a:prstGeom prst="rect">
                      <a:avLst/>
                    </a:prstGeom>
                    <a:noFill/>
                    <a:ln>
                      <a:noFill/>
                    </a:ln>
                  </pic:spPr>
                </pic:pic>
              </a:graphicData>
            </a:graphic>
          </wp:inline>
        </w:drawing>
      </w:r>
    </w:p>
    <w:p w14:paraId="3C065478">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78511C9F">
      <w:pPr>
        <w:numPr>
          <w:ilvl w:val="0"/>
          <w:numId w:val="19"/>
        </w:num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园区相册维护：支持各基地实景高清图上传（限制 10MB，JPG/PNG/WEBP），配置相册标题、拍摄日期、展示排序与轮播激活开关；</w:t>
      </w:r>
    </w:p>
    <w:p w14:paraId="2257CA9C">
      <w:pPr>
        <w:numPr>
          <w:ilvl w:val="0"/>
          <w:numId w:val="0"/>
        </w:numPr>
        <w:spacing w:after="80" w:line="288" w:lineRule="auto"/>
        <w:rPr>
          <w:rFonts w:hint="eastAsia" w:ascii="微软雅黑" w:hAnsi="微软雅黑" w:eastAsia="微软雅黑" w:cs="微软雅黑"/>
          <w:i w:val="0"/>
          <w:iCs w:val="0"/>
          <w:color w:val="1F2937"/>
          <w:sz w:val="21"/>
          <w:szCs w:val="21"/>
        </w:rPr>
      </w:pPr>
      <w:r>
        <w:rPr>
          <w:i w:val="0"/>
          <w:iCs w:val="0"/>
        </w:rPr>
        <w:drawing>
          <wp:inline distT="0" distB="0" distL="114300" distR="114300">
            <wp:extent cx="6210300" cy="3079115"/>
            <wp:effectExtent l="0" t="0" r="0" b="698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3CF4ED8D">
      <w:pPr>
        <w:numPr>
          <w:ilvl w:val="0"/>
          <w:numId w:val="19"/>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园区大事记维护：时间轴节点式录入里程碑事件（如光伏全容量并网、获批国家级零碳工厂等），支持事件标题、发生日期、详细描述与荣誉徽章配置。</w:t>
      </w:r>
    </w:p>
    <w:p w14:paraId="25F021D0">
      <w:pPr>
        <w:pStyle w:val="5"/>
        <w:keepNext/>
        <w:spacing w:before="180" w:after="60"/>
        <w:outlineLvl w:val="2"/>
        <w:rPr>
          <w:rFonts w:hint="eastAsia" w:ascii="微软雅黑" w:hAnsi="微软雅黑" w:eastAsia="微软雅黑" w:cs="微软雅黑"/>
          <w:i w:val="0"/>
          <w:iCs w:val="0"/>
          <w:sz w:val="21"/>
          <w:szCs w:val="21"/>
        </w:rPr>
      </w:pPr>
      <w:bookmarkStart w:id="20" w:name="_Toc7171"/>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基础参数配置</w:t>
      </w:r>
      <w:bookmarkEnd w:id="20"/>
    </w:p>
    <w:p w14:paraId="2FB445C2">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包含能源价格管理</w:t>
      </w:r>
      <w:r>
        <w:rPr>
          <w:rFonts w:hint="eastAsia" w:ascii="微软雅黑" w:hAnsi="微软雅黑" w:eastAsia="微软雅黑" w:cs="微软雅黑"/>
          <w:i w:val="0"/>
          <w:iCs w:val="0"/>
          <w:color w:val="1F2937"/>
          <w:sz w:val="21"/>
          <w:szCs w:val="21"/>
          <w:lang w:val="en-US" w:eastAsia="zh-CN"/>
        </w:rPr>
        <w:t xml:space="preserve"> </w:t>
      </w:r>
      <w:r>
        <w:rPr>
          <w:rFonts w:hint="eastAsia" w:ascii="微软雅黑" w:hAnsi="微软雅黑" w:eastAsia="微软雅黑" w:cs="微软雅黑"/>
          <w:i w:val="0"/>
          <w:iCs w:val="0"/>
          <w:color w:val="1F2937"/>
          <w:sz w:val="21"/>
          <w:szCs w:val="21"/>
        </w:rPr>
        <w:t xml:space="preserve"> 与折标系数管理。实现峰平谷分时电价阶梯版本化维护与国家标准当量/等价折标系数审计留痕。</w:t>
      </w:r>
    </w:p>
    <w:p w14:paraId="69C0B9CE">
      <w:pPr>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sz w:val="21"/>
          <w:szCs w:val="21"/>
        </w:rPr>
        <w:br w:type="page"/>
      </w:r>
    </w:p>
    <w:p w14:paraId="247736D3">
      <w:pPr>
        <w:pStyle w:val="3"/>
        <w:keepNext/>
        <w:spacing w:before="360" w:after="160"/>
        <w:rPr>
          <w:rFonts w:hint="eastAsia" w:ascii="微软雅黑" w:hAnsi="微软雅黑" w:eastAsia="微软雅黑" w:cs="微软雅黑"/>
          <w:i w:val="0"/>
          <w:iCs w:val="0"/>
          <w:sz w:val="28"/>
          <w:szCs w:val="28"/>
        </w:rPr>
      </w:pPr>
      <w:bookmarkStart w:id="21" w:name="_Toc15837"/>
      <w:r>
        <w:rPr>
          <w:rFonts w:hint="eastAsia" w:ascii="微软雅黑" w:hAnsi="微软雅黑" w:eastAsia="微软雅黑" w:cs="微软雅黑"/>
          <w:b/>
          <w:i w:val="0"/>
          <w:iCs w:val="0"/>
          <w:color w:val="1E3A8A"/>
          <w:sz w:val="28"/>
          <w:szCs w:val="28"/>
        </w:rPr>
        <w:t>第三</w:t>
      </w:r>
      <w:r>
        <w:rPr>
          <w:rFonts w:hint="eastAsia" w:ascii="微软雅黑" w:hAnsi="微软雅黑" w:eastAsia="微软雅黑" w:cs="微软雅黑"/>
          <w:b/>
          <w:i w:val="0"/>
          <w:iCs w:val="0"/>
          <w:color w:val="1E3A8A"/>
          <w:sz w:val="28"/>
          <w:szCs w:val="28"/>
          <w:lang w:val="en-US" w:eastAsia="zh-CN"/>
        </w:rPr>
        <w:t xml:space="preserve">章 </w:t>
      </w:r>
      <w:r>
        <w:rPr>
          <w:rFonts w:hint="eastAsia" w:ascii="微软雅黑" w:hAnsi="微软雅黑" w:eastAsia="微软雅黑" w:cs="微软雅黑"/>
          <w:b/>
          <w:i w:val="0"/>
          <w:iCs w:val="0"/>
          <w:color w:val="1E3A8A"/>
          <w:sz w:val="28"/>
          <w:szCs w:val="28"/>
        </w:rPr>
        <w:t>产品碳足迹集采中心功能需求规格</w:t>
      </w:r>
      <w:bookmarkEnd w:id="21"/>
    </w:p>
    <w:p w14:paraId="3A54A2A6">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严格对应系统切换至【产品碳足迹集采中心】时的 6 大一级主导航逐层展开，全面支撑产品全生命周期 LCA 建模、ISO 14067 认证、二维码数字碳标签与欧盟 CBAM 关税申报。</w:t>
      </w:r>
    </w:p>
    <w:p w14:paraId="4E738BC7">
      <w:pPr>
        <w:pStyle w:val="4"/>
        <w:keepNext/>
        <w:spacing w:before="260" w:after="100"/>
        <w:outlineLvl w:val="1"/>
        <w:rPr>
          <w:rFonts w:hint="eastAsia" w:ascii="微软雅黑" w:hAnsi="微软雅黑" w:eastAsia="微软雅黑" w:cs="微软雅黑"/>
          <w:i w:val="0"/>
          <w:iCs w:val="0"/>
          <w:sz w:val="21"/>
          <w:szCs w:val="21"/>
        </w:rPr>
      </w:pPr>
      <w:bookmarkStart w:id="22" w:name="_Toc15598"/>
      <w:r>
        <w:rPr>
          <w:rFonts w:hint="eastAsia" w:ascii="微软雅黑" w:hAnsi="微软雅黑" w:eastAsia="微软雅黑" w:cs="微软雅黑"/>
          <w:b/>
          <w:i w:val="0"/>
          <w:iCs w:val="0"/>
          <w:color w:val="0284C7"/>
          <w:sz w:val="21"/>
          <w:szCs w:val="21"/>
          <w:lang w:val="en-US" w:eastAsia="zh-CN"/>
        </w:rPr>
        <w:t>一、</w:t>
      </w:r>
      <w:r>
        <w:rPr>
          <w:rFonts w:hint="eastAsia" w:ascii="微软雅黑" w:hAnsi="微软雅黑" w:eastAsia="微软雅黑" w:cs="微软雅黑"/>
          <w:b/>
          <w:i w:val="0"/>
          <w:iCs w:val="0"/>
          <w:color w:val="0284C7"/>
          <w:sz w:val="21"/>
          <w:szCs w:val="21"/>
        </w:rPr>
        <w:t>对外示范窗口</w:t>
      </w:r>
      <w:bookmarkEnd w:id="22"/>
    </w:p>
    <w:p w14:paraId="1FFF7823">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1"/>
                    <a:stretch>
                      <a:fillRect/>
                    </a:stretch>
                  </pic:blipFill>
                  <pic:spPr>
                    <a:xfrm>
                      <a:off x="0" y="0"/>
                      <a:ext cx="6210300" cy="3079115"/>
                    </a:xfrm>
                    <a:prstGeom prst="rect">
                      <a:avLst/>
                    </a:prstGeom>
                    <a:noFill/>
                    <a:ln>
                      <a:noFill/>
                    </a:ln>
                  </pic:spPr>
                </pic:pic>
              </a:graphicData>
            </a:graphic>
          </wp:inline>
        </w:drawing>
      </w:r>
    </w:p>
    <w:p w14:paraId="228331ED">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051BE751">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面向国际客户、海外驻华使节及欧盟碳关税审查专员的高端碳驾驶舱，全屏呈现特变电工主力出口特高压变压器与高端特种电缆 LCA 碳足迹全景桑基图、可交互验证的防伪二维码数字碳标签、全厂绿电消纳减碳量化成果以及欧盟 CBAM 关税节省测算总览。</w:t>
      </w:r>
    </w:p>
    <w:tbl>
      <w:tblPr>
        <w:tblStyle w:val="36"/>
        <w:tblW w:w="9966" w:type="dxa"/>
        <w:jc w:val="center"/>
        <w:tblLayout w:type="autofit"/>
        <w:tblCellMar>
          <w:top w:w="0" w:type="dxa"/>
          <w:left w:w="108" w:type="dxa"/>
          <w:bottom w:w="0" w:type="dxa"/>
          <w:right w:w="108" w:type="dxa"/>
        </w:tblCellMar>
      </w:tblPr>
      <w:tblGrid>
        <w:gridCol w:w="586"/>
        <w:gridCol w:w="2315"/>
        <w:gridCol w:w="1420"/>
        <w:gridCol w:w="2561"/>
        <w:gridCol w:w="3084"/>
      </w:tblGrid>
      <w:tr w14:paraId="4E06BD5C">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24DB51FD">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14F50721">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58AA1782">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183BEEC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3084"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1FE69DFC">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数据来源与核算逻辑</w:t>
            </w:r>
          </w:p>
        </w:tc>
      </w:tr>
      <w:tr w14:paraId="1282249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6413CD6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BBAACB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单台产品全生命周期碳排</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FB20B8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17716D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kgCO2e/台 或 kgCO2e/km</w:t>
            </w:r>
          </w:p>
        </w:tc>
        <w:tc>
          <w:tcPr>
            <w:tcW w:w="3084"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091198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LCA 5大阶段排放滚算累加</w:t>
            </w:r>
          </w:p>
        </w:tc>
      </w:tr>
      <w:tr w14:paraId="2C40298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6C9156E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1AF4C9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原材料获取阶段碳排占比</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DE6D46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0B7EB3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084"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692994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(E_原材料 / E_总碳足迹) × 100%</w:t>
            </w:r>
          </w:p>
        </w:tc>
      </w:tr>
      <w:tr w14:paraId="51B5169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547CB2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D3D3BF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制造加工阶段碳排占比</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D92C42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Decimal(5,2)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6B8565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3084"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8EB780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(E_加工 / E_总碳足迹) × 100%</w:t>
            </w:r>
          </w:p>
        </w:tc>
      </w:tr>
      <w:tr w14:paraId="19770B9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24BF691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05D2F2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绿电消纳贡献减排量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806DF0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39D031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w:t>
            </w:r>
          </w:p>
        </w:tc>
        <w:tc>
          <w:tcPr>
            <w:tcW w:w="3084"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E54067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光伏自发自用量 × 区域电网碳因子</w:t>
            </w:r>
          </w:p>
        </w:tc>
      </w:tr>
      <w:tr w14:paraId="349E36D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EB9054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D2E378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CBAM 关税累计节省金额</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EBAF0A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F2A4D4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(欧元)</w:t>
            </w:r>
          </w:p>
        </w:tc>
        <w:tc>
          <w:tcPr>
            <w:tcW w:w="3084"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87917B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已抵扣国内碳成本折算节省关税</w:t>
            </w:r>
          </w:p>
        </w:tc>
      </w:tr>
      <w:tr w14:paraId="103F1BB9">
        <w:tblPrEx>
          <w:tblCellMar>
            <w:top w:w="0" w:type="dxa"/>
            <w:left w:w="108" w:type="dxa"/>
            <w:bottom w:w="0" w:type="dxa"/>
            <w:right w:w="108" w:type="dxa"/>
          </w:tblCellMar>
        </w:tblPrEx>
        <w:trPr>
          <w:trHeight w:val="0" w:hRule="atLeast"/>
          <w:jc w:val="center"/>
        </w:trPr>
        <w:tc>
          <w:tcPr>
            <w:tcW w:w="586"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37A6C38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2315"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1B23713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防伪数字验真哈希</w:t>
            </w:r>
          </w:p>
        </w:tc>
        <w:tc>
          <w:tcPr>
            <w:tcW w:w="1420"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5348542E">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String(64)</w:t>
            </w:r>
          </w:p>
        </w:tc>
        <w:tc>
          <w:tcPr>
            <w:tcW w:w="2561"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2D2361D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SHA-256</w:t>
            </w:r>
          </w:p>
        </w:tc>
        <w:tc>
          <w:tcPr>
            <w:tcW w:w="3084"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7263A1C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产品批次+认证机构私钥数字签名</w:t>
            </w:r>
          </w:p>
        </w:tc>
      </w:tr>
    </w:tbl>
    <w:p w14:paraId="0BF0B412">
      <w:pPr>
        <w:spacing w:after="60"/>
        <w:rPr>
          <w:rFonts w:hint="eastAsia" w:ascii="微软雅黑" w:hAnsi="微软雅黑" w:eastAsia="微软雅黑" w:cs="微软雅黑"/>
          <w:i w:val="0"/>
          <w:iCs w:val="0"/>
          <w:sz w:val="21"/>
          <w:szCs w:val="21"/>
        </w:rPr>
      </w:pPr>
    </w:p>
    <w:p w14:paraId="7CEC03C1">
      <w:pPr>
        <w:pStyle w:val="4"/>
        <w:keepNext/>
        <w:spacing w:before="260" w:after="100"/>
        <w:outlineLvl w:val="1"/>
        <w:rPr>
          <w:rFonts w:hint="eastAsia" w:ascii="微软雅黑" w:hAnsi="微软雅黑" w:eastAsia="微软雅黑" w:cs="微软雅黑"/>
          <w:i w:val="0"/>
          <w:iCs w:val="0"/>
          <w:sz w:val="21"/>
          <w:szCs w:val="21"/>
        </w:rPr>
      </w:pPr>
      <w:bookmarkStart w:id="23" w:name="_Toc1872"/>
      <w:r>
        <w:rPr>
          <w:rFonts w:hint="eastAsia" w:ascii="微软雅黑" w:hAnsi="微软雅黑" w:eastAsia="微软雅黑" w:cs="微软雅黑"/>
          <w:b/>
          <w:i w:val="0"/>
          <w:iCs w:val="0"/>
          <w:color w:val="0284C7"/>
          <w:sz w:val="21"/>
          <w:szCs w:val="21"/>
          <w:lang w:val="en-US" w:eastAsia="zh-CN"/>
        </w:rPr>
        <w:t>二、</w:t>
      </w:r>
      <w:r>
        <w:rPr>
          <w:rFonts w:hint="eastAsia" w:ascii="微软雅黑" w:hAnsi="微软雅黑" w:eastAsia="微软雅黑" w:cs="微软雅黑"/>
          <w:b/>
          <w:i w:val="0"/>
          <w:iCs w:val="0"/>
          <w:color w:val="0284C7"/>
          <w:sz w:val="21"/>
          <w:szCs w:val="21"/>
        </w:rPr>
        <w:t>多维分析</w:t>
      </w:r>
      <w:bookmarkEnd w:id="23"/>
    </w:p>
    <w:p w14:paraId="58057868">
      <w:pPr>
        <w:pStyle w:val="5"/>
        <w:keepNext/>
        <w:spacing w:before="180" w:after="60"/>
        <w:outlineLvl w:val="2"/>
        <w:rPr>
          <w:rFonts w:hint="eastAsia" w:ascii="微软雅黑" w:hAnsi="微软雅黑" w:eastAsia="微软雅黑" w:cs="微软雅黑"/>
          <w:i w:val="0"/>
          <w:iCs w:val="0"/>
          <w:sz w:val="21"/>
          <w:szCs w:val="21"/>
        </w:rPr>
      </w:pPr>
      <w:bookmarkStart w:id="24" w:name="_Toc12573"/>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横向对比分析</w:t>
      </w:r>
      <w:bookmarkEnd w:id="24"/>
    </w:p>
    <w:p w14:paraId="398805D5">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2"/>
                    <a:stretch>
                      <a:fillRect/>
                    </a:stretch>
                  </pic:blipFill>
                  <pic:spPr>
                    <a:xfrm>
                      <a:off x="0" y="0"/>
                      <a:ext cx="6210300" cy="3079115"/>
                    </a:xfrm>
                    <a:prstGeom prst="rect">
                      <a:avLst/>
                    </a:prstGeom>
                    <a:noFill/>
                    <a:ln>
                      <a:noFill/>
                    </a:ln>
                  </pic:spPr>
                </pic:pic>
              </a:graphicData>
            </a:graphic>
          </wp:inline>
        </w:drawing>
      </w:r>
    </w:p>
    <w:p w14:paraId="7F48ABED">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业务逻辑：</w:t>
      </w:r>
    </w:p>
    <w:p w14:paraId="6E3FE699">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支持选择不同生产基地生产的同规格产品（例如沈变厂与衡变厂同型号 220kV 油浸式变压器），按【原材料获取】、【上游运输】、【制造加工】、【试验检测】与【包装出厂】五大阶段进行横向雷达图与柱状图对标，深入挖掘各基地工艺工序降碳潜力。</w:t>
      </w:r>
    </w:p>
    <w:p w14:paraId="2D19727F">
      <w:pPr>
        <w:pStyle w:val="5"/>
        <w:keepNext/>
        <w:spacing w:before="180" w:after="60"/>
        <w:outlineLvl w:val="2"/>
        <w:rPr>
          <w:rFonts w:hint="eastAsia" w:ascii="微软雅黑" w:hAnsi="微软雅黑" w:eastAsia="微软雅黑" w:cs="微软雅黑"/>
          <w:i w:val="0"/>
          <w:iCs w:val="0"/>
          <w:sz w:val="21"/>
          <w:szCs w:val="21"/>
        </w:rPr>
      </w:pPr>
      <w:bookmarkStart w:id="25" w:name="_Toc14796"/>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纵向追溯分析</w:t>
      </w:r>
      <w:bookmarkEnd w:id="25"/>
    </w:p>
    <w:p w14:paraId="00FEE52A">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3"/>
                    <a:stretch>
                      <a:fillRect/>
                    </a:stretch>
                  </pic:blipFill>
                  <pic:spPr>
                    <a:xfrm>
                      <a:off x="0" y="0"/>
                      <a:ext cx="6210300" cy="3079115"/>
                    </a:xfrm>
                    <a:prstGeom prst="rect">
                      <a:avLst/>
                    </a:prstGeom>
                    <a:noFill/>
                    <a:ln>
                      <a:noFill/>
                    </a:ln>
                  </pic:spPr>
                </pic:pic>
              </a:graphicData>
            </a:graphic>
          </wp:inline>
        </w:drawing>
      </w:r>
    </w:p>
    <w:p w14:paraId="5F30E76C">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业务逻辑：</w:t>
      </w:r>
    </w:p>
    <w:p w14:paraId="38224CD3">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支持按批次号追踪同一产品历年碳足迹演变趋势，提供原材料替代（如高磁感取向硅钢片替代传统硅钢）、绿电消纳提升及工艺优化对碳排变动的敏感性归因瀑布图。</w:t>
      </w:r>
    </w:p>
    <w:p w14:paraId="117EB8D7">
      <w:pPr>
        <w:pStyle w:val="4"/>
        <w:keepNext/>
        <w:spacing w:before="260" w:after="100"/>
        <w:outlineLvl w:val="1"/>
        <w:rPr>
          <w:rFonts w:hint="eastAsia" w:ascii="微软雅黑" w:hAnsi="微软雅黑" w:eastAsia="微软雅黑" w:cs="微软雅黑"/>
          <w:i w:val="0"/>
          <w:iCs w:val="0"/>
          <w:sz w:val="21"/>
          <w:szCs w:val="21"/>
        </w:rPr>
      </w:pPr>
      <w:bookmarkStart w:id="26" w:name="_Toc27308"/>
      <w:r>
        <w:rPr>
          <w:rFonts w:hint="eastAsia" w:ascii="微软雅黑" w:hAnsi="微软雅黑" w:eastAsia="微软雅黑" w:cs="微软雅黑"/>
          <w:b/>
          <w:i w:val="0"/>
          <w:iCs w:val="0"/>
          <w:color w:val="0284C7"/>
          <w:sz w:val="21"/>
          <w:szCs w:val="21"/>
          <w:lang w:val="en-US" w:eastAsia="zh-CN"/>
        </w:rPr>
        <w:t>三、</w:t>
      </w:r>
      <w:r>
        <w:rPr>
          <w:rFonts w:hint="eastAsia" w:ascii="微软雅黑" w:hAnsi="微软雅黑" w:eastAsia="微软雅黑" w:cs="微软雅黑"/>
          <w:b/>
          <w:i w:val="0"/>
          <w:iCs w:val="0"/>
          <w:color w:val="0284C7"/>
          <w:sz w:val="21"/>
          <w:szCs w:val="21"/>
        </w:rPr>
        <w:t>实景数据库与碳足迹核算</w:t>
      </w:r>
      <w:bookmarkEnd w:id="26"/>
    </w:p>
    <w:p w14:paraId="0885B4F9">
      <w:pPr>
        <w:pStyle w:val="5"/>
        <w:keepNext/>
        <w:spacing w:before="180" w:after="60"/>
        <w:outlineLvl w:val="2"/>
        <w:rPr>
          <w:rFonts w:hint="eastAsia" w:ascii="微软雅黑" w:hAnsi="微软雅黑" w:eastAsia="微软雅黑" w:cs="微软雅黑"/>
          <w:i w:val="0"/>
          <w:iCs w:val="0"/>
          <w:sz w:val="21"/>
          <w:szCs w:val="21"/>
        </w:rPr>
      </w:pPr>
      <w:bookmarkStart w:id="27" w:name="_Toc8111"/>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工业实景数据库</w:t>
      </w:r>
      <w:bookmarkEnd w:id="27"/>
    </w:p>
    <w:p w14:paraId="74ECE85E">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297AFF2D">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40C8B387">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汇聚硅钢片、电解铜、变压器油、绝缘纸板、结构钢材等重点原材料本土实测碳排放因子图谱。每个物料节点均具备完整的供应链溯源链条、实测检测报告附件与第三方认证声明编号。</w:t>
      </w:r>
    </w:p>
    <w:p w14:paraId="70D3849D">
      <w:pPr>
        <w:pStyle w:val="5"/>
        <w:keepNext/>
        <w:spacing w:before="180" w:after="60"/>
        <w:outlineLvl w:val="2"/>
        <w:rPr>
          <w:rFonts w:hint="eastAsia" w:ascii="微软雅黑" w:hAnsi="微软雅黑" w:eastAsia="微软雅黑" w:cs="微软雅黑"/>
          <w:i w:val="0"/>
          <w:iCs w:val="0"/>
          <w:sz w:val="21"/>
          <w:szCs w:val="21"/>
        </w:rPr>
      </w:pPr>
      <w:bookmarkStart w:id="28" w:name="_Toc28785"/>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LCA 碳足迹核算引擎</w:t>
      </w:r>
      <w:bookmarkEnd w:id="28"/>
    </w:p>
    <w:p w14:paraId="0F992DC4">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5"/>
                    <a:stretch>
                      <a:fillRect/>
                    </a:stretch>
                  </pic:blipFill>
                  <pic:spPr>
                    <a:xfrm>
                      <a:off x="0" y="0"/>
                      <a:ext cx="6210300" cy="3079115"/>
                    </a:xfrm>
                    <a:prstGeom prst="rect">
                      <a:avLst/>
                    </a:prstGeom>
                    <a:noFill/>
                    <a:ln>
                      <a:noFill/>
                    </a:ln>
                  </pic:spPr>
                </pic:pic>
              </a:graphicData>
            </a:graphic>
          </wp:inline>
        </w:drawing>
      </w:r>
    </w:p>
    <w:p w14:paraId="3ECFF60E">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核心业务逻辑：</w:t>
      </w:r>
    </w:p>
    <w:p w14:paraId="1D880455">
      <w:pPr>
        <w:numPr>
          <w:ilvl w:val="0"/>
          <w:numId w:val="20"/>
        </w:numPr>
        <w:spacing w:after="80" w:line="288" w:lineRule="auto"/>
        <w:ind w:left="0" w:leftChars="0" w:firstLine="440" w:firstLineChars="0"/>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BOM 层级自动展开：从 ERP/PLM 自动拉取多级产品工程物料清单 (BOM)，计算物料损耗系数 Q_mat = Q_bom × (1 + R_loss)；</w:t>
      </w:r>
    </w:p>
    <w:p w14:paraId="421F24CB">
      <w:pPr>
        <w:numPr>
          <w:ilvl w:val="0"/>
          <w:numId w:val="20"/>
        </w:num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5 大阶段 LCA 滚算模型：严格依照 ISO 14067 标准执行生命周期评价滚算；</w:t>
      </w:r>
    </w:p>
    <w:p w14:paraId="146BC532">
      <w:pPr>
        <w:numPr>
          <w:ilvl w:val="0"/>
          <w:numId w:val="20"/>
        </w:num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工艺能耗分摊：基于工时或产量权重分摊真空干燥、退火炉等公共工序的水电气能耗。</w:t>
      </w:r>
    </w:p>
    <w:tbl>
      <w:tblPr>
        <w:tblStyle w:val="36"/>
        <w:tblW w:w="0" w:type="auto"/>
        <w:jc w:val="center"/>
        <w:tblLayout w:type="fixed"/>
        <w:tblCellMar>
          <w:top w:w="0" w:type="dxa"/>
          <w:left w:w="108" w:type="dxa"/>
          <w:bottom w:w="0" w:type="dxa"/>
          <w:right w:w="108" w:type="dxa"/>
        </w:tblCellMar>
      </w:tblPr>
      <w:tblGrid>
        <w:gridCol w:w="9792"/>
      </w:tblGrid>
      <w:tr w14:paraId="1DB19B3B">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5C58ED7E">
            <w:pPr>
              <w:spacing w:after="40"/>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6A34A"/>
                <w:sz w:val="21"/>
                <w:szCs w:val="21"/>
              </w:rPr>
              <w:t>📐 【核心数学模型与算法公式】</w:t>
            </w:r>
            <w:r>
              <w:rPr>
                <w:rFonts w:hint="eastAsia" w:ascii="微软雅黑" w:hAnsi="微软雅黑" w:eastAsia="微软雅黑" w:cs="微软雅黑"/>
                <w:b/>
                <w:i w:val="0"/>
                <w:iCs w:val="0"/>
                <w:color w:val="16A34A"/>
                <w:sz w:val="21"/>
                <w:szCs w:val="21"/>
              </w:rPr>
              <w:br w:type="textWrapping"/>
            </w:r>
            <w:r>
              <w:rPr>
                <w:rFonts w:hint="eastAsia" w:ascii="微软雅黑" w:hAnsi="微软雅黑" w:eastAsia="微软雅黑" w:cs="微软雅黑"/>
                <w:b/>
                <w:i w:val="0"/>
                <w:iCs w:val="0"/>
                <w:color w:val="1E3A8A"/>
                <w:sz w:val="21"/>
                <w:szCs w:val="21"/>
              </w:rPr>
              <w:t>【核算公式】：E_PCF = E_raw + E_trans + E_manuf + E_test + E_pack</w:t>
            </w:r>
            <w:r>
              <w:rPr>
                <w:rFonts w:hint="eastAsia" w:ascii="微软雅黑" w:hAnsi="微软雅黑" w:eastAsia="微软雅黑" w:cs="微软雅黑"/>
                <w:b/>
                <w:i w:val="0"/>
                <w:iCs w:val="0"/>
                <w:color w:val="1E3A8A"/>
                <w:sz w:val="21"/>
                <w:szCs w:val="21"/>
              </w:rPr>
              <w:br w:type="textWrapping"/>
            </w:r>
            <w:r>
              <w:rPr>
                <w:rFonts w:hint="eastAsia" w:ascii="微软雅黑" w:hAnsi="微软雅黑" w:eastAsia="微软雅黑" w:cs="微软雅黑"/>
                <w:i w:val="0"/>
                <w:iCs w:val="0"/>
                <w:color w:val="1F2937"/>
                <w:sz w:val="21"/>
                <w:szCs w:val="21"/>
              </w:rPr>
              <w:t>【逻辑说明】：全生命周期碳足迹核算涵盖摇篮到大门 (Cradle-to-Gate) 5 大阶段。各阶段严密计算公式如下：</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1. 原材料获取：E_raw = ∑ [ M_i × (1 + R_loss_i) × EF_mat_i ]</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2. 上游运输：E_trans = ∑ [ M_i × D_i × EF_trans_mode ]</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3. 制造加工：E_manuf = ∑ [ (E_process_energy / Batch_Output) × EF_energy ]</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4. 试验检测：E_test = ( Q_test_elec / Test_Capacity ) × EF_grid</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5. 包装出厂：E_pack = ∑ [ M_pack_k × EF_pack_k ]</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【变量定义与取值约定】：</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M_i: 物料净重 (t)；R_loss_i: 工艺损耗率 (%)；EF_mat_i: 物料实测碳因子 (kgCO2e/kg)；D_i: 运输距离 (km)；EF_trans: 吨公里运输因子</w:t>
            </w:r>
          </w:p>
        </w:tc>
      </w:tr>
    </w:tbl>
    <w:p w14:paraId="48A2C84E">
      <w:pPr>
        <w:spacing w:after="40"/>
        <w:rPr>
          <w:rFonts w:hint="eastAsia" w:ascii="微软雅黑" w:hAnsi="微软雅黑" w:eastAsia="微软雅黑" w:cs="微软雅黑"/>
          <w:i w:val="0"/>
          <w:iCs w:val="0"/>
          <w:sz w:val="21"/>
          <w:szCs w:val="21"/>
        </w:rPr>
      </w:pPr>
    </w:p>
    <w:tbl>
      <w:tblPr>
        <w:tblStyle w:val="36"/>
        <w:tblW w:w="9966" w:type="dxa"/>
        <w:jc w:val="center"/>
        <w:tblLayout w:type="autofit"/>
        <w:tblCellMar>
          <w:top w:w="0" w:type="dxa"/>
          <w:left w:w="108" w:type="dxa"/>
          <w:bottom w:w="0" w:type="dxa"/>
          <w:right w:w="108" w:type="dxa"/>
        </w:tblCellMar>
      </w:tblPr>
      <w:tblGrid>
        <w:gridCol w:w="689"/>
        <w:gridCol w:w="1988"/>
        <w:gridCol w:w="1663"/>
        <w:gridCol w:w="1132"/>
        <w:gridCol w:w="4494"/>
      </w:tblGrid>
      <w:tr w14:paraId="78C6C603">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0C5E7DDF">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2A3C9E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4C9AF2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60420CF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4494" w:type="dxa"/>
            <w:tcBorders>
              <w:top w:val="single" w:color="CBD5E1" w:sz="12" w:space="0"/>
              <w:left w:val="single" w:color="CBD5E1" w:sz="4" w:space="0"/>
              <w:bottom w:val="nil"/>
              <w:right w:val="single" w:color="auto" w:sz="12" w:space="0"/>
            </w:tcBorders>
            <w:shd w:val="clear" w:color="auto" w:fill="1E3A8A"/>
            <w:noWrap w:val="0"/>
            <w:tcMar>
              <w:top w:w="70" w:type="dxa"/>
              <w:left w:w="90" w:type="dxa"/>
              <w:bottom w:w="70" w:type="dxa"/>
              <w:right w:w="90" w:type="dxa"/>
            </w:tcMar>
            <w:vAlign w:val="center"/>
          </w:tcPr>
          <w:p w14:paraId="627BD7DF">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核算来源与约束规则</w:t>
            </w:r>
          </w:p>
        </w:tc>
      </w:tr>
      <w:tr w14:paraId="1040B2C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6C299D4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A9419C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产品唯一物料号</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229014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String(32)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BE9723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494"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7C8755D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ERP/PLM 主物料编号，唯一主键</w:t>
            </w:r>
          </w:p>
        </w:tc>
      </w:tr>
      <w:tr w14:paraId="0C512EDB">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6377445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797CC4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BOM 清单版本号</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78FE43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String(16)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8F5F42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494"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0AC4188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工程技术部生效版本，如 REV-C</w:t>
            </w:r>
          </w:p>
        </w:tc>
      </w:tr>
      <w:tr w14:paraId="25080BA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194DAD0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FA3683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生产批次流水号</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DB61C5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String(32)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E9EC7A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494"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4A47D8F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MES 制造工单流水号</w:t>
            </w:r>
          </w:p>
        </w:tc>
      </w:tr>
      <w:tr w14:paraId="3282011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5C91E08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8FCE41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原材料阶段碳排</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411DB4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EEE8DC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w:t>
            </w:r>
          </w:p>
        </w:tc>
        <w:tc>
          <w:tcPr>
            <w:tcW w:w="4494"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4A15B87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(物料重量 × 实测因子)，占比通常超 70%</w:t>
            </w:r>
          </w:p>
        </w:tc>
      </w:tr>
      <w:tr w14:paraId="5CCAAF8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2088B3D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7A4296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上游运输阶段碳排</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35FA71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B43A2B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w:t>
            </w:r>
          </w:p>
        </w:tc>
        <w:tc>
          <w:tcPr>
            <w:tcW w:w="4494"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199EAEE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(吨公里 × 运输工具排放因子)</w:t>
            </w:r>
          </w:p>
        </w:tc>
      </w:tr>
      <w:tr w14:paraId="6EF775D1">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60F9574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4A79BB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生产加工阶段碳排</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3349FB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4D4AB4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w:t>
            </w:r>
          </w:p>
        </w:tc>
        <w:tc>
          <w:tcPr>
            <w:tcW w:w="4494"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3AAF8736">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制造工序电/汽/气消耗公摊碳排</w:t>
            </w:r>
          </w:p>
        </w:tc>
      </w:tr>
      <w:tr w14:paraId="55F0E614">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5C5957F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AF4332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试验检测阶段碳排</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6722379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5ED832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w:t>
            </w:r>
          </w:p>
        </w:tc>
        <w:tc>
          <w:tcPr>
            <w:tcW w:w="4494"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0BCC047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出厂耐压/温升试验用电碳排</w:t>
            </w:r>
          </w:p>
        </w:tc>
      </w:tr>
      <w:tr w14:paraId="6DAF926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3B5C716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017301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包装出厂阶段碳排</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CC1E3B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32F1FC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w:t>
            </w:r>
          </w:p>
        </w:tc>
        <w:tc>
          <w:tcPr>
            <w:tcW w:w="4494"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272DE1F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包装箱木材/缠绕膜碳排</w:t>
            </w:r>
          </w:p>
        </w:tc>
      </w:tr>
      <w:tr w14:paraId="7498C28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0B5181C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9</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75265D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总碳足迹数值</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5DA351B">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B673BA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w:t>
            </w:r>
          </w:p>
        </w:tc>
        <w:tc>
          <w:tcPr>
            <w:tcW w:w="4494"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4130B8E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5 大阶段排放量严密累加和</w:t>
            </w:r>
          </w:p>
        </w:tc>
      </w:tr>
      <w:tr w14:paraId="112F75E4">
        <w:tblPrEx>
          <w:tblCellMar>
            <w:top w:w="0" w:type="dxa"/>
            <w:left w:w="108" w:type="dxa"/>
            <w:bottom w:w="0" w:type="dxa"/>
            <w:right w:w="108" w:type="dxa"/>
          </w:tblCellMar>
        </w:tblPrEx>
        <w:trPr>
          <w:trHeight w:val="0" w:hRule="atLeast"/>
          <w:jc w:val="center"/>
        </w:trPr>
        <w:tc>
          <w:tcPr>
            <w:tcW w:w="689" w:type="dxa"/>
            <w:tcBorders>
              <w:top w:val="single" w:color="CBD5E1" w:sz="4" w:space="0"/>
              <w:left w:val="single" w:color="CBD5E1" w:sz="12" w:space="0"/>
              <w:bottom w:val="single" w:color="CBD5E1" w:sz="12" w:space="0"/>
              <w:right w:val="nil"/>
            </w:tcBorders>
            <w:shd w:val="clear" w:color="auto" w:fill="F8FAFC"/>
            <w:noWrap w:val="0"/>
            <w:tcMar>
              <w:top w:w="60" w:type="dxa"/>
              <w:left w:w="80" w:type="dxa"/>
              <w:bottom w:w="60" w:type="dxa"/>
              <w:right w:w="80" w:type="dxa"/>
            </w:tcMar>
            <w:vAlign w:val="center"/>
          </w:tcPr>
          <w:p w14:paraId="32EB93C8">
            <w:pPr>
              <w:snapToGrid w:val="0"/>
              <w:spacing w:line="240" w:lineRule="auto"/>
              <w:ind w:left="0" w:leftChars="0" w:right="0" w:rightChars="0" w:firstLine="0" w:firstLineChars="0"/>
              <w:jc w:val="center"/>
              <w:rPr>
                <w:rFonts w:hint="default"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10</w:t>
            </w:r>
          </w:p>
        </w:tc>
        <w:tc>
          <w:tcPr>
            <w:tcW w:w="1988"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1F0C351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核算审批状态</w:t>
            </w:r>
          </w:p>
        </w:tc>
        <w:tc>
          <w:tcPr>
            <w:tcW w:w="1663"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69B569FD">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Enum</w:t>
            </w:r>
          </w:p>
        </w:tc>
        <w:tc>
          <w:tcPr>
            <w:tcW w:w="1132" w:type="dxa"/>
            <w:tcBorders>
              <w:top w:val="single" w:color="CBD5E1" w:sz="4" w:space="0"/>
              <w:left w:val="single" w:color="CBD5E1" w:sz="4" w:space="0"/>
              <w:bottom w:val="single" w:color="CBD5E1" w:sz="12" w:space="0"/>
              <w:right w:val="nil"/>
            </w:tcBorders>
            <w:shd w:val="clear" w:color="auto" w:fill="F8FAFC"/>
            <w:noWrap w:val="0"/>
            <w:tcMar>
              <w:top w:w="60" w:type="dxa"/>
              <w:left w:w="80" w:type="dxa"/>
              <w:bottom w:w="60" w:type="dxa"/>
              <w:right w:w="80" w:type="dxa"/>
            </w:tcMar>
            <w:vAlign w:val="center"/>
          </w:tcPr>
          <w:p w14:paraId="2243CBE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494" w:type="dxa"/>
            <w:tcBorders>
              <w:top w:val="single" w:color="CBD5E1" w:sz="4" w:space="0"/>
              <w:left w:val="single" w:color="CBD5E1" w:sz="4" w:space="0"/>
              <w:bottom w:val="single" w:color="CBD5E1" w:sz="12" w:space="0"/>
              <w:right w:val="single" w:color="auto" w:sz="12" w:space="0"/>
            </w:tcBorders>
            <w:shd w:val="clear" w:color="auto" w:fill="F8FAFC"/>
            <w:noWrap w:val="0"/>
            <w:tcMar>
              <w:top w:w="60" w:type="dxa"/>
              <w:left w:w="80" w:type="dxa"/>
              <w:bottom w:w="60" w:type="dxa"/>
              <w:right w:w="80" w:type="dxa"/>
            </w:tcMar>
            <w:vAlign w:val="center"/>
          </w:tcPr>
          <w:p w14:paraId="1567EFA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草稿/已提交/认证中/已签发/已归档</w:t>
            </w:r>
          </w:p>
        </w:tc>
      </w:tr>
    </w:tbl>
    <w:p w14:paraId="5E94C966">
      <w:pPr>
        <w:spacing w:after="60"/>
        <w:rPr>
          <w:rFonts w:hint="eastAsia" w:ascii="微软雅黑" w:hAnsi="微软雅黑" w:eastAsia="微软雅黑" w:cs="微软雅黑"/>
          <w:i w:val="0"/>
          <w:iCs w:val="0"/>
          <w:sz w:val="21"/>
          <w:szCs w:val="21"/>
        </w:rPr>
      </w:pPr>
    </w:p>
    <w:p w14:paraId="6CE78801">
      <w:pPr>
        <w:pStyle w:val="5"/>
        <w:keepNext/>
        <w:spacing w:before="180" w:after="60"/>
        <w:outlineLvl w:val="2"/>
        <w:rPr>
          <w:rFonts w:hint="eastAsia" w:ascii="微软雅黑" w:hAnsi="微软雅黑" w:eastAsia="微软雅黑" w:cs="微软雅黑"/>
          <w:i w:val="0"/>
          <w:iCs w:val="0"/>
          <w:sz w:val="21"/>
          <w:szCs w:val="21"/>
        </w:rPr>
      </w:pPr>
      <w:bookmarkStart w:id="29" w:name="_Toc6843"/>
      <w:r>
        <w:rPr>
          <w:rFonts w:hint="eastAsia" w:ascii="微软雅黑" w:hAnsi="微软雅黑" w:eastAsia="微软雅黑" w:cs="微软雅黑"/>
          <w:b/>
          <w:i w:val="0"/>
          <w:iCs w:val="0"/>
          <w:color w:val="1E3A8A"/>
          <w:sz w:val="21"/>
          <w:szCs w:val="21"/>
          <w:lang w:val="en-US" w:eastAsia="zh-CN"/>
        </w:rPr>
        <w:t>3.</w:t>
      </w:r>
      <w:r>
        <w:rPr>
          <w:rFonts w:hint="eastAsia" w:ascii="微软雅黑" w:hAnsi="微软雅黑" w:eastAsia="微软雅黑" w:cs="微软雅黑"/>
          <w:b/>
          <w:i w:val="0"/>
          <w:iCs w:val="0"/>
          <w:color w:val="1E3A8A"/>
          <w:sz w:val="21"/>
          <w:szCs w:val="21"/>
        </w:rPr>
        <w:t xml:space="preserve"> 碳足迹报告与数字碳标签</w:t>
      </w:r>
      <w:bookmarkEnd w:id="29"/>
    </w:p>
    <w:p w14:paraId="4D728E8F">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6"/>
                    <a:stretch>
                      <a:fillRect/>
                    </a:stretch>
                  </pic:blipFill>
                  <pic:spPr>
                    <a:xfrm>
                      <a:off x="0" y="0"/>
                      <a:ext cx="6210300" cy="3079115"/>
                    </a:xfrm>
                    <a:prstGeom prst="rect">
                      <a:avLst/>
                    </a:prstGeom>
                    <a:noFill/>
                    <a:ln>
                      <a:noFill/>
                    </a:ln>
                  </pic:spPr>
                </pic:pic>
              </a:graphicData>
            </a:graphic>
          </wp:inline>
        </w:drawing>
      </w:r>
    </w:p>
    <w:p w14:paraId="22AE803B">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571CAE03">
      <w:pPr>
        <w:spacing w:after="80" w:line="288" w:lineRule="auto"/>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1. 双语报告导出：一键导出符合 ISO 14067:2018 规范的双语（中、英文）官方碳足迹核算报告；</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2. 数字碳标签：生成包含产品唯一 EPC 编码与防伪签名哈希的二维码标签，支持手机扫码穿透查验原材料来源与第三方证书。</w:t>
      </w:r>
    </w:p>
    <w:p w14:paraId="3FF7B181">
      <w:pPr>
        <w:pStyle w:val="4"/>
        <w:keepNext/>
        <w:spacing w:before="260" w:after="100"/>
        <w:outlineLvl w:val="1"/>
        <w:rPr>
          <w:rFonts w:hint="eastAsia" w:ascii="微软雅黑" w:hAnsi="微软雅黑" w:eastAsia="微软雅黑" w:cs="微软雅黑"/>
          <w:i w:val="0"/>
          <w:iCs w:val="0"/>
          <w:sz w:val="21"/>
          <w:szCs w:val="21"/>
        </w:rPr>
      </w:pPr>
      <w:bookmarkStart w:id="30" w:name="_Toc16986"/>
      <w:r>
        <w:rPr>
          <w:rFonts w:hint="eastAsia" w:ascii="微软雅黑" w:hAnsi="微软雅黑" w:eastAsia="微软雅黑" w:cs="微软雅黑"/>
          <w:b/>
          <w:i w:val="0"/>
          <w:iCs w:val="0"/>
          <w:color w:val="0284C7"/>
          <w:sz w:val="21"/>
          <w:szCs w:val="21"/>
          <w:lang w:val="en-US" w:eastAsia="zh-CN"/>
        </w:rPr>
        <w:t>四、</w:t>
      </w:r>
      <w:r>
        <w:rPr>
          <w:rFonts w:hint="eastAsia" w:ascii="微软雅黑" w:hAnsi="微软雅黑" w:eastAsia="微软雅黑" w:cs="微软雅黑"/>
          <w:b/>
          <w:i w:val="0"/>
          <w:iCs w:val="0"/>
          <w:color w:val="0284C7"/>
          <w:sz w:val="21"/>
          <w:szCs w:val="21"/>
        </w:rPr>
        <w:t>CBAM管理</w:t>
      </w:r>
      <w:bookmarkEnd w:id="30"/>
    </w:p>
    <w:p w14:paraId="7EF72DE1">
      <w:pPr>
        <w:rPr>
          <w:rFonts w:hint="eastAsia"/>
          <w:i w:val="0"/>
          <w:iCs w:val="0"/>
        </w:rPr>
      </w:pPr>
      <w:r>
        <w:rPr>
          <w:i w:val="0"/>
          <w:iCs w:val="0"/>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7"/>
                    <a:stretch>
                      <a:fillRect/>
                    </a:stretch>
                  </pic:blipFill>
                  <pic:spPr>
                    <a:xfrm>
                      <a:off x="0" y="0"/>
                      <a:ext cx="6210300" cy="3079115"/>
                    </a:xfrm>
                    <a:prstGeom prst="rect">
                      <a:avLst/>
                    </a:prstGeom>
                    <a:noFill/>
                    <a:ln>
                      <a:noFill/>
                    </a:ln>
                  </pic:spPr>
                </pic:pic>
              </a:graphicData>
            </a:graphic>
          </wp:inline>
        </w:drawing>
      </w:r>
    </w:p>
    <w:p w14:paraId="14473F90">
      <w:pPr>
        <w:pStyle w:val="5"/>
        <w:keepNext/>
        <w:spacing w:before="180" w:after="60"/>
        <w:outlineLvl w:val="2"/>
        <w:rPr>
          <w:rFonts w:hint="eastAsia" w:ascii="微软雅黑" w:hAnsi="微软雅黑" w:eastAsia="微软雅黑" w:cs="微软雅黑"/>
          <w:i w:val="0"/>
          <w:iCs w:val="0"/>
          <w:sz w:val="21"/>
          <w:szCs w:val="21"/>
        </w:rPr>
      </w:pPr>
      <w:bookmarkStart w:id="31" w:name="_Toc9082"/>
      <w:r>
        <w:rPr>
          <w:rFonts w:hint="eastAsia" w:ascii="微软雅黑" w:hAnsi="微软雅黑" w:eastAsia="微软雅黑" w:cs="微软雅黑"/>
          <w:b/>
          <w:i w:val="0"/>
          <w:iCs w:val="0"/>
          <w:color w:val="1E3A8A"/>
          <w:sz w:val="21"/>
          <w:szCs w:val="21"/>
          <w:lang w:val="en-US" w:eastAsia="zh-CN"/>
        </w:rPr>
        <w:t>1.</w:t>
      </w:r>
      <w:r>
        <w:rPr>
          <w:rFonts w:hint="eastAsia" w:ascii="微软雅黑" w:hAnsi="微软雅黑" w:eastAsia="微软雅黑" w:cs="微软雅黑"/>
          <w:b/>
          <w:i w:val="0"/>
          <w:iCs w:val="0"/>
          <w:color w:val="1E3A8A"/>
          <w:sz w:val="21"/>
          <w:szCs w:val="21"/>
        </w:rPr>
        <w:t xml:space="preserve"> 欧盟合规管理</w:t>
      </w:r>
      <w:bookmarkEnd w:id="31"/>
    </w:p>
    <w:p w14:paraId="3A72CA58">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8"/>
                    <a:stretch>
                      <a:fillRect/>
                    </a:stretch>
                  </pic:blipFill>
                  <pic:spPr>
                    <a:xfrm>
                      <a:off x="0" y="0"/>
                      <a:ext cx="6210300" cy="3079115"/>
                    </a:xfrm>
                    <a:prstGeom prst="rect">
                      <a:avLst/>
                    </a:prstGeom>
                    <a:noFill/>
                    <a:ln>
                      <a:noFill/>
                    </a:ln>
                  </pic:spPr>
                </pic:pic>
              </a:graphicData>
            </a:graphic>
          </wp:inline>
        </w:drawing>
      </w:r>
    </w:p>
    <w:p w14:paraId="159991DA">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合规规则：</w:t>
      </w:r>
    </w:p>
    <w:p w14:paraId="6171FABA">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维护特变电工出口欧盟电气装备海关 CN 税号白名单（变压器 CN 85042100、85042200、85042300；电缆 CN 85444920 等），明确</w:t>
      </w:r>
      <w:r>
        <w:rPr>
          <w:rFonts w:hint="eastAsia" w:ascii="微软雅黑" w:hAnsi="微软雅黑" w:eastAsia="微软雅黑" w:cs="微软雅黑"/>
          <w:b/>
          <w:bCs/>
          <w:i w:val="0"/>
          <w:iCs w:val="0"/>
          <w:color w:val="1F2937"/>
          <w:sz w:val="21"/>
          <w:szCs w:val="21"/>
        </w:rPr>
        <w:t>直接排放</w:t>
      </w:r>
      <w:r>
        <w:rPr>
          <w:rFonts w:hint="eastAsia" w:ascii="微软雅黑" w:hAnsi="微软雅黑" w:eastAsia="微软雅黑" w:cs="微软雅黑"/>
          <w:i w:val="0"/>
          <w:iCs w:val="0"/>
          <w:color w:val="1F2937"/>
          <w:sz w:val="21"/>
          <w:szCs w:val="21"/>
        </w:rPr>
        <w:t>与前驱物隐含</w:t>
      </w:r>
      <w:r>
        <w:rPr>
          <w:rFonts w:hint="eastAsia" w:ascii="微软雅黑" w:hAnsi="微软雅黑" w:eastAsia="微软雅黑" w:cs="微软雅黑"/>
          <w:b/>
          <w:bCs/>
          <w:i w:val="0"/>
          <w:iCs w:val="0"/>
          <w:color w:val="1F2937"/>
          <w:sz w:val="21"/>
          <w:szCs w:val="21"/>
        </w:rPr>
        <w:t>间接排放</w:t>
      </w:r>
      <w:r>
        <w:rPr>
          <w:rFonts w:hint="eastAsia" w:ascii="微软雅黑" w:hAnsi="微软雅黑" w:eastAsia="微软雅黑" w:cs="微软雅黑"/>
          <w:i w:val="0"/>
          <w:iCs w:val="0"/>
          <w:color w:val="1F2937"/>
          <w:sz w:val="21"/>
          <w:szCs w:val="21"/>
        </w:rPr>
        <w:t>的法定边界。</w:t>
      </w:r>
    </w:p>
    <w:p w14:paraId="732657A9">
      <w:pPr>
        <w:pStyle w:val="5"/>
        <w:keepNext/>
        <w:spacing w:before="180" w:after="60"/>
        <w:outlineLvl w:val="2"/>
        <w:rPr>
          <w:rFonts w:hint="eastAsia" w:ascii="微软雅黑" w:hAnsi="微软雅黑" w:eastAsia="微软雅黑" w:cs="微软雅黑"/>
          <w:i w:val="0"/>
          <w:iCs w:val="0"/>
          <w:sz w:val="21"/>
          <w:szCs w:val="21"/>
        </w:rPr>
      </w:pPr>
      <w:bookmarkStart w:id="32" w:name="_Toc21975"/>
      <w:r>
        <w:rPr>
          <w:rFonts w:hint="eastAsia" w:ascii="微软雅黑" w:hAnsi="微软雅黑" w:eastAsia="微软雅黑" w:cs="微软雅黑"/>
          <w:b/>
          <w:i w:val="0"/>
          <w:iCs w:val="0"/>
          <w:color w:val="1E3A8A"/>
          <w:sz w:val="21"/>
          <w:szCs w:val="21"/>
          <w:lang w:val="en-US" w:eastAsia="zh-CN"/>
        </w:rPr>
        <w:t>2.</w:t>
      </w:r>
      <w:r>
        <w:rPr>
          <w:rFonts w:hint="eastAsia" w:ascii="微软雅黑" w:hAnsi="微软雅黑" w:eastAsia="微软雅黑" w:cs="微软雅黑"/>
          <w:b/>
          <w:i w:val="0"/>
          <w:iCs w:val="0"/>
          <w:color w:val="1E3A8A"/>
          <w:sz w:val="21"/>
          <w:szCs w:val="21"/>
        </w:rPr>
        <w:t xml:space="preserve"> 关税申报模拟器</w:t>
      </w:r>
      <w:bookmarkEnd w:id="32"/>
    </w:p>
    <w:p w14:paraId="2A9A3F39">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关税模型：</w:t>
      </w:r>
    </w:p>
    <w:p w14:paraId="5ECE0378">
      <w:pPr>
        <w:spacing w:after="80" w:line="288" w:lineRule="auto"/>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1. 隐含碳强度核算：测算出口单位产品直接与间接隐含碳强度 Embedded_Carbon (tCO2e/t)；</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2. 欧盟 ETS 实时碳价联动：API 动态对接欧洲能源交易所 (EEX) 碳配额拍卖结算均价（€75 ~ €95/tCO2e）；</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3. 国内已支付碳成本抵扣：严格计算在国内已承担的全国碳市场配额费用或绿电附加成本，依法申请等额抵扣；</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4. 官方 XML 申报包导出：生成完全符合欧盟委员会 CBAM Communication Template v2.1 规范的结构化 XML 申报包。</w:t>
      </w:r>
    </w:p>
    <w:tbl>
      <w:tblPr>
        <w:tblStyle w:val="36"/>
        <w:tblW w:w="0" w:type="auto"/>
        <w:jc w:val="center"/>
        <w:tblLayout w:type="fixed"/>
        <w:tblCellMar>
          <w:top w:w="0" w:type="dxa"/>
          <w:left w:w="108" w:type="dxa"/>
          <w:bottom w:w="0" w:type="dxa"/>
          <w:right w:w="108" w:type="dxa"/>
        </w:tblCellMar>
      </w:tblPr>
      <w:tblGrid>
        <w:gridCol w:w="9792"/>
      </w:tblGrid>
      <w:tr w14:paraId="5AFC95FB">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100" w:type="dxa"/>
              <w:left w:w="140" w:type="dxa"/>
              <w:bottom w:w="100" w:type="dxa"/>
              <w:right w:w="140" w:type="dxa"/>
            </w:tcMar>
          </w:tcPr>
          <w:p w14:paraId="05F93DA8">
            <w:pPr>
              <w:spacing w:after="40"/>
              <w:rPr>
                <w:rFonts w:hint="eastAsia" w:ascii="微软雅黑" w:hAnsi="微软雅黑" w:eastAsia="微软雅黑" w:cs="微软雅黑"/>
                <w:i w:val="0"/>
                <w:iCs w:val="0"/>
                <w:sz w:val="21"/>
                <w:szCs w:val="21"/>
              </w:rPr>
            </w:pPr>
            <w:r>
              <w:rPr>
                <w:rFonts w:hint="eastAsia" w:ascii="微软雅黑" w:hAnsi="微软雅黑" w:eastAsia="微软雅黑" w:cs="微软雅黑"/>
                <w:b/>
                <w:i w:val="0"/>
                <w:iCs w:val="0"/>
                <w:color w:val="16A34A"/>
                <w:sz w:val="21"/>
                <w:szCs w:val="21"/>
              </w:rPr>
              <w:t>📐 【核心数学模型与算法公式】</w:t>
            </w:r>
            <w:r>
              <w:rPr>
                <w:rFonts w:hint="eastAsia" w:ascii="微软雅黑" w:hAnsi="微软雅黑" w:eastAsia="微软雅黑" w:cs="微软雅黑"/>
                <w:b/>
                <w:i w:val="0"/>
                <w:iCs w:val="0"/>
                <w:color w:val="16A34A"/>
                <w:sz w:val="21"/>
                <w:szCs w:val="21"/>
              </w:rPr>
              <w:br w:type="textWrapping"/>
            </w:r>
            <w:r>
              <w:rPr>
                <w:rFonts w:hint="eastAsia" w:ascii="微软雅黑" w:hAnsi="微软雅黑" w:eastAsia="微软雅黑" w:cs="微软雅黑"/>
                <w:b/>
                <w:i w:val="0"/>
                <w:iCs w:val="0"/>
                <w:color w:val="1E3A8A"/>
                <w:sz w:val="21"/>
                <w:szCs w:val="21"/>
              </w:rPr>
              <w:t>【核算公式】：Cost_CBAM = [ (Direct_Em + Indirect_Em) / Output ] × Export_Qty × ( Price_EU_ETS - Price_Domestic_Paid )</w:t>
            </w:r>
            <w:r>
              <w:rPr>
                <w:rFonts w:hint="eastAsia" w:ascii="微软雅黑" w:hAnsi="微软雅黑" w:eastAsia="微软雅黑" w:cs="微软雅黑"/>
                <w:b/>
                <w:i w:val="0"/>
                <w:iCs w:val="0"/>
                <w:color w:val="1E3A8A"/>
                <w:sz w:val="21"/>
                <w:szCs w:val="21"/>
              </w:rPr>
              <w:br w:type="textWrapping"/>
            </w:r>
            <w:r>
              <w:rPr>
                <w:rFonts w:hint="eastAsia" w:ascii="微软雅黑" w:hAnsi="微软雅黑" w:eastAsia="微软雅黑" w:cs="微软雅黑"/>
                <w:i w:val="0"/>
                <w:iCs w:val="0"/>
                <w:color w:val="1F2937"/>
                <w:sz w:val="21"/>
                <w:szCs w:val="21"/>
              </w:rPr>
              <w:t>【逻辑说明】：符合欧盟正式法规 EU 2023/956 条例。若国内已支付碳成本等于或高于欧盟 ETS 碳价，则当期应缴 CBAM 关税凭证金额为 0（零关税入欧）。</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【变量定义与取值约定】：</w:t>
            </w:r>
            <w:r>
              <w:rPr>
                <w:rFonts w:hint="eastAsia" w:ascii="微软雅黑" w:hAnsi="微软雅黑" w:eastAsia="微软雅黑" w:cs="微软雅黑"/>
                <w:i w:val="0"/>
                <w:iCs w:val="0"/>
                <w:color w:val="64748B"/>
                <w:sz w:val="21"/>
                <w:szCs w:val="21"/>
              </w:rPr>
              <w:br w:type="textWrapping"/>
            </w:r>
            <w:r>
              <w:rPr>
                <w:rFonts w:hint="eastAsia" w:ascii="微软雅黑" w:hAnsi="微软雅黑" w:eastAsia="微软雅黑" w:cs="微软雅黑"/>
                <w:i w:val="0"/>
                <w:iCs w:val="0"/>
                <w:color w:val="64748B"/>
                <w:sz w:val="21"/>
                <w:szCs w:val="21"/>
              </w:rPr>
              <w:t>Direct_Em: 工厂直接化石燃烧排放；Indirect_Em: 外购电热及前驱物间接排放；Export_Qty: 出口实物总量；Price_EU_ETS: 欧盟碳价；Price_Domestic: 国内已付碳价</w:t>
            </w:r>
          </w:p>
        </w:tc>
      </w:tr>
    </w:tbl>
    <w:p w14:paraId="16C1A652">
      <w:pPr>
        <w:spacing w:after="40"/>
        <w:rPr>
          <w:rFonts w:hint="eastAsia" w:ascii="微软雅黑" w:hAnsi="微软雅黑" w:eastAsia="微软雅黑" w:cs="微软雅黑"/>
          <w:i w:val="0"/>
          <w:iCs w:val="0"/>
          <w:sz w:val="21"/>
          <w:szCs w:val="21"/>
        </w:rPr>
      </w:pPr>
    </w:p>
    <w:tbl>
      <w:tblPr>
        <w:tblStyle w:val="36"/>
        <w:tblW w:w="9966" w:type="dxa"/>
        <w:jc w:val="center"/>
        <w:tblLayout w:type="autofit"/>
        <w:tblCellMar>
          <w:top w:w="0" w:type="dxa"/>
          <w:left w:w="108" w:type="dxa"/>
          <w:bottom w:w="0" w:type="dxa"/>
          <w:right w:w="108" w:type="dxa"/>
        </w:tblCellMar>
      </w:tblPr>
      <w:tblGrid>
        <w:gridCol w:w="667"/>
        <w:gridCol w:w="2259"/>
        <w:gridCol w:w="1607"/>
        <w:gridCol w:w="1376"/>
        <w:gridCol w:w="4057"/>
      </w:tblGrid>
      <w:tr w14:paraId="56134D8C">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7F89756D">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4E52DDE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0210368F">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64E4D8C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4057" w:type="dxa"/>
            <w:tcBorders>
              <w:top w:val="single" w:color="CBD5E1" w:sz="12" w:space="0"/>
              <w:left w:val="single" w:color="CBD5E1" w:sz="4" w:space="0"/>
              <w:bottom w:val="nil"/>
              <w:right w:val="single" w:color="auto" w:sz="12" w:space="0"/>
            </w:tcBorders>
            <w:shd w:val="clear" w:color="auto" w:fill="1E3A8A"/>
            <w:noWrap w:val="0"/>
            <w:tcMar>
              <w:top w:w="70" w:type="dxa"/>
              <w:left w:w="90" w:type="dxa"/>
              <w:bottom w:w="70" w:type="dxa"/>
              <w:right w:w="90" w:type="dxa"/>
            </w:tcMar>
            <w:vAlign w:val="center"/>
          </w:tcPr>
          <w:p w14:paraId="763A436E">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核算模型与业务规则</w:t>
            </w:r>
          </w:p>
        </w:tc>
      </w:tr>
      <w:tr w14:paraId="2B557B3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81E24B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1CD27C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欧盟海关 CN 税号</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09D9C1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String(16)</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D62AE2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05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13F6F00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欧盟海关税则编码，如 85042100</w:t>
            </w:r>
          </w:p>
        </w:tc>
      </w:tr>
      <w:tr w14:paraId="75E9035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1172022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5F96201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申报出口数量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2680E4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B89DF0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台 / km / t</w:t>
            </w:r>
          </w:p>
        </w:tc>
        <w:tc>
          <w:tcPr>
            <w:tcW w:w="4057"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60C0893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国际贸易报关单提单实际数量</w:t>
            </w:r>
          </w:p>
        </w:tc>
      </w:tr>
      <w:tr w14:paraId="6ECCF6A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4E1C551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49D93D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制造直接排放量</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06F952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ECBAA9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tCO2e</w:t>
            </w:r>
          </w:p>
        </w:tc>
        <w:tc>
          <w:tcPr>
            <w:tcW w:w="405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7FC9B8D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厂内燃烧直接排放总量</w:t>
            </w:r>
          </w:p>
        </w:tc>
      </w:tr>
      <w:tr w14:paraId="4A35123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2C79004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2FA1B6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外购电热间接排放量</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2F9ED5E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772499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tCO2e</w:t>
            </w:r>
          </w:p>
        </w:tc>
        <w:tc>
          <w:tcPr>
            <w:tcW w:w="4057"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1E0FBBC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外购电力及前驱物隐含间接排放</w:t>
            </w:r>
          </w:p>
        </w:tc>
      </w:tr>
      <w:tr w14:paraId="4EEBA55D">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E0E9C3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1E5C0E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单位产品隐含碳强度</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5C6065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Decimal(8,4)</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5D5291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tCO2e/单位</w:t>
            </w:r>
          </w:p>
        </w:tc>
        <w:tc>
          <w:tcPr>
            <w:tcW w:w="405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27B61A5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(Direct + Indirect) / 总产量</w:t>
            </w:r>
          </w:p>
        </w:tc>
      </w:tr>
      <w:tr w14:paraId="78978C52">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24289F2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EF8322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欧盟 ETS 结算碳价</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B97FFE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4BCBC37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€/tCO2e</w:t>
            </w:r>
          </w:p>
        </w:tc>
        <w:tc>
          <w:tcPr>
            <w:tcW w:w="4057"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624539E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EEX 官方接口实时拉取最新周结算均价</w:t>
            </w:r>
          </w:p>
        </w:tc>
      </w:tr>
      <w:tr w14:paraId="3866E4E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5FFB6A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AA7E972">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国内已付碳成本折算</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677AE6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Decimal(6,2)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D64BE1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€/tCO2e</w:t>
            </w:r>
          </w:p>
        </w:tc>
        <w:tc>
          <w:tcPr>
            <w:tcW w:w="4057" w:type="dxa"/>
            <w:tcBorders>
              <w:top w:val="single" w:color="CBD5E1" w:sz="4" w:space="0"/>
              <w:left w:val="single" w:color="CBD5E1" w:sz="4" w:space="0"/>
              <w:bottom w:val="nil"/>
              <w:right w:val="single" w:color="auto" w:sz="12" w:space="0"/>
            </w:tcBorders>
            <w:shd w:val="clear" w:color="auto" w:fill="FFFFFF"/>
            <w:noWrap w:val="0"/>
            <w:tcMar>
              <w:top w:w="60" w:type="dxa"/>
              <w:left w:w="80" w:type="dxa"/>
              <w:bottom w:w="60" w:type="dxa"/>
              <w:right w:w="80" w:type="dxa"/>
            </w:tcMar>
            <w:vAlign w:val="center"/>
          </w:tcPr>
          <w:p w14:paraId="1BCA2AC5">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中国碳市场价格汇率折算 (€)</w:t>
            </w:r>
          </w:p>
        </w:tc>
      </w:tr>
      <w:tr w14:paraId="38AC5F7A">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78BE742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8</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175A7B9">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应缴 CBAM 凭证数</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A3850F5">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0574F3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张</w:t>
            </w:r>
          </w:p>
        </w:tc>
        <w:tc>
          <w:tcPr>
            <w:tcW w:w="4057" w:type="dxa"/>
            <w:tcBorders>
              <w:top w:val="single" w:color="CBD5E1" w:sz="4" w:space="0"/>
              <w:left w:val="single" w:color="CBD5E1" w:sz="4" w:space="0"/>
              <w:bottom w:val="nil"/>
              <w:right w:val="single" w:color="auto" w:sz="12" w:space="0"/>
            </w:tcBorders>
            <w:shd w:val="clear" w:color="auto" w:fill="F8FAFC"/>
            <w:noWrap w:val="0"/>
            <w:tcMar>
              <w:top w:w="60" w:type="dxa"/>
              <w:left w:w="80" w:type="dxa"/>
              <w:bottom w:w="60" w:type="dxa"/>
              <w:right w:w="80" w:type="dxa"/>
            </w:tcMar>
            <w:vAlign w:val="center"/>
          </w:tcPr>
          <w:p w14:paraId="236EBE6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每张对应 1 tCO2e 需清缴凭证</w:t>
            </w:r>
          </w:p>
        </w:tc>
      </w:tr>
      <w:tr w14:paraId="18B023E9">
        <w:tblPrEx>
          <w:tblCellMar>
            <w:top w:w="0" w:type="dxa"/>
            <w:left w:w="108" w:type="dxa"/>
            <w:bottom w:w="0" w:type="dxa"/>
            <w:right w:w="108" w:type="dxa"/>
          </w:tblCellMar>
        </w:tblPrEx>
        <w:trPr>
          <w:trHeight w:val="0" w:hRule="atLeast"/>
          <w:jc w:val="center"/>
        </w:trPr>
        <w:tc>
          <w:tcPr>
            <w:tcW w:w="667" w:type="dxa"/>
            <w:tcBorders>
              <w:top w:val="single" w:color="CBD5E1" w:sz="4" w:space="0"/>
              <w:left w:val="single" w:color="CBD5E1" w:sz="12" w:space="0"/>
              <w:bottom w:val="single" w:color="CBD5E1" w:sz="12" w:space="0"/>
              <w:right w:val="nil"/>
            </w:tcBorders>
            <w:shd w:val="clear" w:color="auto" w:fill="FFFFFF"/>
            <w:noWrap w:val="0"/>
            <w:tcMar>
              <w:top w:w="60" w:type="dxa"/>
              <w:left w:w="80" w:type="dxa"/>
              <w:bottom w:w="60" w:type="dxa"/>
              <w:right w:w="80" w:type="dxa"/>
            </w:tcMar>
            <w:vAlign w:val="center"/>
          </w:tcPr>
          <w:p w14:paraId="2C280CC8">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9</w:t>
            </w:r>
          </w:p>
        </w:tc>
        <w:tc>
          <w:tcPr>
            <w:tcW w:w="2259"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19D805AD">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预计应纳 CBAM 关税</w:t>
            </w:r>
          </w:p>
        </w:tc>
        <w:tc>
          <w:tcPr>
            <w:tcW w:w="1607"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5F9F209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Decimal(12,2)</w:t>
            </w:r>
          </w:p>
        </w:tc>
        <w:tc>
          <w:tcPr>
            <w:tcW w:w="1376"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59EB74D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 (欧元)</w:t>
            </w:r>
          </w:p>
        </w:tc>
        <w:tc>
          <w:tcPr>
            <w:tcW w:w="4057" w:type="dxa"/>
            <w:tcBorders>
              <w:top w:val="single" w:color="CBD5E1" w:sz="4" w:space="0"/>
              <w:left w:val="single" w:color="CBD5E1" w:sz="4" w:space="0"/>
              <w:bottom w:val="single" w:color="CBD5E1" w:sz="12" w:space="0"/>
              <w:right w:val="single" w:color="auto" w:sz="12" w:space="0"/>
            </w:tcBorders>
            <w:shd w:val="clear" w:color="auto" w:fill="FFFFFF"/>
            <w:noWrap w:val="0"/>
            <w:tcMar>
              <w:top w:w="60" w:type="dxa"/>
              <w:left w:w="80" w:type="dxa"/>
              <w:bottom w:w="60" w:type="dxa"/>
              <w:right w:w="80" w:type="dxa"/>
            </w:tcMar>
            <w:vAlign w:val="center"/>
          </w:tcPr>
          <w:p w14:paraId="5A24BC8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应缴凭证数 × (ETS碳价 - 国内已付成本)</w:t>
            </w:r>
          </w:p>
        </w:tc>
      </w:tr>
    </w:tbl>
    <w:p w14:paraId="1098A495">
      <w:pPr>
        <w:spacing w:after="60"/>
        <w:rPr>
          <w:rFonts w:hint="eastAsia" w:ascii="微软雅黑" w:hAnsi="微软雅黑" w:eastAsia="微软雅黑" w:cs="微软雅黑"/>
          <w:i w:val="0"/>
          <w:iCs w:val="0"/>
          <w:sz w:val="21"/>
          <w:szCs w:val="21"/>
        </w:rPr>
      </w:pPr>
    </w:p>
    <w:p w14:paraId="510C6D62">
      <w:pPr>
        <w:pStyle w:val="5"/>
        <w:keepNext/>
        <w:spacing w:before="180" w:after="60"/>
        <w:outlineLvl w:val="2"/>
        <w:rPr>
          <w:rFonts w:hint="eastAsia" w:ascii="微软雅黑" w:hAnsi="微软雅黑" w:eastAsia="微软雅黑" w:cs="微软雅黑"/>
          <w:i w:val="0"/>
          <w:iCs w:val="0"/>
          <w:sz w:val="21"/>
          <w:szCs w:val="21"/>
        </w:rPr>
      </w:pPr>
      <w:bookmarkStart w:id="33" w:name="_Toc25720"/>
      <w:r>
        <w:rPr>
          <w:rFonts w:hint="eastAsia" w:ascii="微软雅黑" w:hAnsi="微软雅黑" w:eastAsia="微软雅黑" w:cs="微软雅黑"/>
          <w:b/>
          <w:i w:val="0"/>
          <w:iCs w:val="0"/>
          <w:color w:val="1E3A8A"/>
          <w:sz w:val="21"/>
          <w:szCs w:val="21"/>
          <w:lang w:val="en-US" w:eastAsia="zh-CN"/>
        </w:rPr>
        <w:t>3.</w:t>
      </w:r>
      <w:r>
        <w:rPr>
          <w:rFonts w:hint="eastAsia" w:ascii="微软雅黑" w:hAnsi="微软雅黑" w:eastAsia="微软雅黑" w:cs="微软雅黑"/>
          <w:b/>
          <w:i w:val="0"/>
          <w:iCs w:val="0"/>
          <w:color w:val="1E3A8A"/>
          <w:sz w:val="21"/>
          <w:szCs w:val="21"/>
        </w:rPr>
        <w:t xml:space="preserve"> CBAM 规则知识库</w:t>
      </w:r>
      <w:bookmarkEnd w:id="33"/>
    </w:p>
    <w:p w14:paraId="27A8C684">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9"/>
                    <a:stretch>
                      <a:fillRect/>
                    </a:stretch>
                  </pic:blipFill>
                  <pic:spPr>
                    <a:xfrm>
                      <a:off x="0" y="0"/>
                      <a:ext cx="6210300" cy="3079115"/>
                    </a:xfrm>
                    <a:prstGeom prst="rect">
                      <a:avLst/>
                    </a:prstGeom>
                    <a:noFill/>
                    <a:ln>
                      <a:noFill/>
                    </a:ln>
                  </pic:spPr>
                </pic:pic>
              </a:graphicData>
            </a:graphic>
          </wp:inline>
        </w:drawing>
      </w:r>
    </w:p>
    <w:p w14:paraId="53ABCDE8">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19EE82D0">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集中收录欧盟委员会官方最新发布的行业填报指引、默认值清单、过渡期质询问答库与豁免条款法规释义。</w:t>
      </w:r>
    </w:p>
    <w:p w14:paraId="71F8A835">
      <w:pPr>
        <w:pStyle w:val="4"/>
        <w:keepNext/>
        <w:spacing w:before="260" w:after="100"/>
        <w:outlineLvl w:val="1"/>
        <w:rPr>
          <w:rFonts w:hint="eastAsia" w:ascii="微软雅黑" w:hAnsi="微软雅黑" w:eastAsia="微软雅黑" w:cs="微软雅黑"/>
          <w:i w:val="0"/>
          <w:iCs w:val="0"/>
          <w:sz w:val="21"/>
          <w:szCs w:val="21"/>
        </w:rPr>
      </w:pPr>
      <w:bookmarkStart w:id="34" w:name="_Toc4760"/>
      <w:r>
        <w:rPr>
          <w:rFonts w:hint="eastAsia" w:ascii="微软雅黑" w:hAnsi="微软雅黑" w:eastAsia="微软雅黑" w:cs="微软雅黑"/>
          <w:b/>
          <w:i w:val="0"/>
          <w:iCs w:val="0"/>
          <w:color w:val="0284C7"/>
          <w:sz w:val="21"/>
          <w:szCs w:val="21"/>
          <w:lang w:val="en-US" w:eastAsia="zh-CN"/>
        </w:rPr>
        <w:t>五、</w:t>
      </w:r>
      <w:r>
        <w:rPr>
          <w:rFonts w:hint="eastAsia" w:ascii="微软雅黑" w:hAnsi="微软雅黑" w:eastAsia="微软雅黑" w:cs="微软雅黑"/>
          <w:b/>
          <w:i w:val="0"/>
          <w:iCs w:val="0"/>
          <w:color w:val="0284C7"/>
          <w:sz w:val="21"/>
          <w:szCs w:val="21"/>
        </w:rPr>
        <w:t>第三方认证管理</w:t>
      </w:r>
      <w:bookmarkEnd w:id="34"/>
    </w:p>
    <w:p w14:paraId="3F7B1561">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0"/>
                    <a:stretch>
                      <a:fillRect/>
                    </a:stretch>
                  </pic:blipFill>
                  <pic:spPr>
                    <a:xfrm>
                      <a:off x="0" y="0"/>
                      <a:ext cx="6210300" cy="3079115"/>
                    </a:xfrm>
                    <a:prstGeom prst="rect">
                      <a:avLst/>
                    </a:prstGeom>
                    <a:noFill/>
                    <a:ln>
                      <a:noFill/>
                    </a:ln>
                  </pic:spPr>
                </pic:pic>
              </a:graphicData>
            </a:graphic>
          </wp:inline>
        </w:drawing>
      </w:r>
      <w:r>
        <w:rPr>
          <w:i w:val="0"/>
          <w:iCs w:val="0"/>
        </w:rPr>
        <w:drawing>
          <wp:inline distT="0" distB="0" distL="114300" distR="114300">
            <wp:extent cx="6210300" cy="3079115"/>
            <wp:effectExtent l="0" t="0" r="0" b="6985"/>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41"/>
                    <a:stretch>
                      <a:fillRect/>
                    </a:stretch>
                  </pic:blipFill>
                  <pic:spPr>
                    <a:xfrm>
                      <a:off x="0" y="0"/>
                      <a:ext cx="6210300" cy="3079115"/>
                    </a:xfrm>
                    <a:prstGeom prst="rect">
                      <a:avLst/>
                    </a:prstGeom>
                    <a:noFill/>
                    <a:ln>
                      <a:noFill/>
                    </a:ln>
                  </pic:spPr>
                </pic:pic>
              </a:graphicData>
            </a:graphic>
          </wp:inline>
        </w:drawing>
      </w:r>
      <w:r>
        <w:rPr>
          <w:i w:val="0"/>
          <w:iCs w:val="0"/>
        </w:rPr>
        <w:drawing>
          <wp:inline distT="0" distB="0" distL="114300" distR="114300">
            <wp:extent cx="6210300" cy="3079115"/>
            <wp:effectExtent l="0" t="0" r="0" b="698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42"/>
                    <a:stretch>
                      <a:fillRect/>
                    </a:stretch>
                  </pic:blipFill>
                  <pic:spPr>
                    <a:xfrm>
                      <a:off x="0" y="0"/>
                      <a:ext cx="6210300" cy="3079115"/>
                    </a:xfrm>
                    <a:prstGeom prst="rect">
                      <a:avLst/>
                    </a:prstGeom>
                    <a:noFill/>
                    <a:ln>
                      <a:noFill/>
                    </a:ln>
                  </pic:spPr>
                </pic:pic>
              </a:graphicData>
            </a:graphic>
          </wp:inline>
        </w:drawing>
      </w:r>
    </w:p>
    <w:p w14:paraId="7D2D50AE">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功能概述：</w:t>
      </w:r>
    </w:p>
    <w:p w14:paraId="05940E89">
      <w:pPr>
        <w:numPr>
          <w:ilvl w:val="0"/>
          <w:numId w:val="21"/>
        </w:numPr>
        <w:spacing w:after="80" w:line="288" w:lineRule="auto"/>
        <w:ind w:left="0" w:leftChars="0" w:firstLine="438" w:firstLineChars="209"/>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认证资料维护：全套 LCA 计算原始凭证、物料平衡单与绿电发票在线封装；</w:t>
      </w:r>
    </w:p>
    <w:p w14:paraId="6F9929D9">
      <w:pPr>
        <w:numPr>
          <w:ilvl w:val="0"/>
          <w:numId w:val="21"/>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认证申请流转：向 SGS、TÜV 南德、中国方圆等国际认证机构发起协同在线核验；</w:t>
      </w:r>
    </w:p>
    <w:p w14:paraId="0726E930">
      <w:pPr>
        <w:numPr>
          <w:ilvl w:val="0"/>
          <w:numId w:val="21"/>
        </w:numPr>
        <w:spacing w:after="80" w:line="288" w:lineRule="auto"/>
        <w:ind w:left="0" w:leftChars="0" w:firstLine="438" w:firstLineChars="209"/>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认证证书存证：结构化存储证书流水号、颁证机构、有效期限、标准代号与证书 PDF 存证哈希。</w:t>
      </w:r>
    </w:p>
    <w:p w14:paraId="6060CDD5">
      <w:pPr>
        <w:pStyle w:val="4"/>
        <w:keepNext/>
        <w:spacing w:before="260" w:after="100"/>
        <w:outlineLvl w:val="1"/>
        <w:rPr>
          <w:rFonts w:hint="eastAsia" w:ascii="微软雅黑" w:hAnsi="微软雅黑" w:eastAsia="微软雅黑" w:cs="微软雅黑"/>
          <w:i w:val="0"/>
          <w:iCs w:val="0"/>
          <w:sz w:val="21"/>
          <w:szCs w:val="21"/>
        </w:rPr>
      </w:pPr>
      <w:bookmarkStart w:id="35" w:name="_Toc22682"/>
      <w:r>
        <w:rPr>
          <w:rFonts w:hint="eastAsia" w:ascii="微软雅黑" w:hAnsi="微软雅黑" w:eastAsia="微软雅黑" w:cs="微软雅黑"/>
          <w:b/>
          <w:i w:val="0"/>
          <w:iCs w:val="0"/>
          <w:color w:val="0284C7"/>
          <w:sz w:val="21"/>
          <w:szCs w:val="21"/>
          <w:lang w:val="en-US" w:eastAsia="zh-CN"/>
        </w:rPr>
        <w:t>六、</w:t>
      </w:r>
      <w:r>
        <w:rPr>
          <w:rFonts w:hint="eastAsia" w:ascii="微软雅黑" w:hAnsi="微软雅黑" w:eastAsia="微软雅黑" w:cs="微软雅黑"/>
          <w:b/>
          <w:i w:val="0"/>
          <w:iCs w:val="0"/>
          <w:color w:val="0284C7"/>
          <w:sz w:val="21"/>
          <w:szCs w:val="21"/>
        </w:rPr>
        <w:t>因子库管理</w:t>
      </w:r>
      <w:bookmarkEnd w:id="35"/>
    </w:p>
    <w:p w14:paraId="4BD2EF9A">
      <w:pPr>
        <w:spacing w:after="80" w:line="288" w:lineRule="auto"/>
        <w:rPr>
          <w:rFonts w:hint="eastAsia" w:ascii="微软雅黑" w:hAnsi="微软雅黑" w:eastAsia="微软雅黑" w:cs="微软雅黑"/>
          <w:b/>
          <w:i w:val="0"/>
          <w:iCs w:val="0"/>
          <w:color w:val="1E3A8A"/>
          <w:sz w:val="21"/>
          <w:szCs w:val="21"/>
        </w:rPr>
      </w:pPr>
      <w:r>
        <w:rPr>
          <w:i w:val="0"/>
          <w:iCs w:val="0"/>
        </w:rPr>
        <w:drawing>
          <wp:inline distT="0" distB="0" distL="114300" distR="114300">
            <wp:extent cx="6210300" cy="3079115"/>
            <wp:effectExtent l="0" t="0" r="0" b="6985"/>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pic:cNvPicPr>
                      <a:picLocks noChangeAspect="1"/>
                    </pic:cNvPicPr>
                  </pic:nvPicPr>
                  <pic:blipFill>
                    <a:blip r:embed="rId43"/>
                    <a:stretch>
                      <a:fillRect/>
                    </a:stretch>
                  </pic:blipFill>
                  <pic:spPr>
                    <a:xfrm>
                      <a:off x="0" y="0"/>
                      <a:ext cx="6210300" cy="3079115"/>
                    </a:xfrm>
                    <a:prstGeom prst="rect">
                      <a:avLst/>
                    </a:prstGeom>
                    <a:noFill/>
                    <a:ln>
                      <a:noFill/>
                    </a:ln>
                  </pic:spPr>
                </pic:pic>
              </a:graphicData>
            </a:graphic>
          </wp:inline>
        </w:drawing>
      </w:r>
      <w:r>
        <w:rPr>
          <w:i w:val="0"/>
          <w:iCs w:val="0"/>
        </w:rPr>
        <w:drawing>
          <wp:inline distT="0" distB="0" distL="114300" distR="114300">
            <wp:extent cx="6210300" cy="3079115"/>
            <wp:effectExtent l="0" t="0" r="0" b="6985"/>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pic:cNvPicPr>
                      <a:picLocks noChangeAspect="1"/>
                    </pic:cNvPicPr>
                  </pic:nvPicPr>
                  <pic:blipFill>
                    <a:blip r:embed="rId44"/>
                    <a:stretch>
                      <a:fillRect/>
                    </a:stretch>
                  </pic:blipFill>
                  <pic:spPr>
                    <a:xfrm>
                      <a:off x="0" y="0"/>
                      <a:ext cx="6210300" cy="3079115"/>
                    </a:xfrm>
                    <a:prstGeom prst="rect">
                      <a:avLst/>
                    </a:prstGeom>
                    <a:noFill/>
                    <a:ln>
                      <a:noFill/>
                    </a:ln>
                  </pic:spPr>
                </pic:pic>
              </a:graphicData>
            </a:graphic>
          </wp:inline>
        </w:drawing>
      </w:r>
      <w:r>
        <w:rPr>
          <w:i w:val="0"/>
          <w:iCs w:val="0"/>
        </w:rPr>
        <w:drawing>
          <wp:inline distT="0" distB="0" distL="114300" distR="114300">
            <wp:extent cx="6210300" cy="3079115"/>
            <wp:effectExtent l="0" t="0" r="0" b="6985"/>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pic:cNvPicPr>
                      <a:picLocks noChangeAspect="1"/>
                    </pic:cNvPicPr>
                  </pic:nvPicPr>
                  <pic:blipFill>
                    <a:blip r:embed="rId45"/>
                    <a:stretch>
                      <a:fillRect/>
                    </a:stretch>
                  </pic:blipFill>
                  <pic:spPr>
                    <a:xfrm>
                      <a:off x="0" y="0"/>
                      <a:ext cx="6210300" cy="3079115"/>
                    </a:xfrm>
                    <a:prstGeom prst="rect">
                      <a:avLst/>
                    </a:prstGeom>
                    <a:noFill/>
                    <a:ln>
                      <a:noFill/>
                    </a:ln>
                  </pic:spPr>
                </pic:pic>
              </a:graphicData>
            </a:graphic>
          </wp:inline>
        </w:drawing>
      </w:r>
      <w:r>
        <w:rPr>
          <w:i w:val="0"/>
          <w:iCs w:val="0"/>
        </w:rPr>
        <w:drawing>
          <wp:inline distT="0" distB="0" distL="114300" distR="114300">
            <wp:extent cx="6210300" cy="3079115"/>
            <wp:effectExtent l="0" t="0" r="0" b="6985"/>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pic:cNvPicPr>
                      <a:picLocks noChangeAspect="1"/>
                    </pic:cNvPicPr>
                  </pic:nvPicPr>
                  <pic:blipFill>
                    <a:blip r:embed="rId46"/>
                    <a:stretch>
                      <a:fillRect/>
                    </a:stretch>
                  </pic:blipFill>
                  <pic:spPr>
                    <a:xfrm>
                      <a:off x="0" y="0"/>
                      <a:ext cx="6210300" cy="3079115"/>
                    </a:xfrm>
                    <a:prstGeom prst="rect">
                      <a:avLst/>
                    </a:prstGeom>
                    <a:noFill/>
                    <a:ln>
                      <a:noFill/>
                    </a:ln>
                  </pic:spPr>
                </pic:pic>
              </a:graphicData>
            </a:graphic>
          </wp:inline>
        </w:drawing>
      </w:r>
      <w:r>
        <w:rPr>
          <w:rFonts w:hint="eastAsia" w:ascii="微软雅黑" w:hAnsi="微软雅黑" w:eastAsia="微软雅黑" w:cs="微软雅黑"/>
          <w:b/>
          <w:i w:val="0"/>
          <w:iCs w:val="0"/>
          <w:color w:val="1E3A8A"/>
          <w:sz w:val="21"/>
          <w:szCs w:val="21"/>
        </w:rPr>
        <w:t>功能概述：</w:t>
      </w:r>
    </w:p>
    <w:p w14:paraId="3C15522B">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建立 4 大专业子库架构：原材料碳因子库、电网碳排放因子库、能源活动因子库与国家折标煤系数库 。</w:t>
      </w:r>
      <w:r>
        <w:rPr>
          <w:rFonts w:hint="eastAsia" w:ascii="微软雅黑" w:hAnsi="微软雅黑" w:eastAsia="微软雅黑" w:cs="微软雅黑"/>
          <w:i w:val="0"/>
          <w:iCs w:val="0"/>
          <w:color w:val="1F2937"/>
          <w:sz w:val="21"/>
          <w:szCs w:val="21"/>
        </w:rPr>
        <w:br w:type="textWrapping"/>
      </w:r>
      <w:r>
        <w:rPr>
          <w:rFonts w:hint="eastAsia" w:ascii="微软雅黑" w:hAnsi="微软雅黑" w:eastAsia="微软雅黑" w:cs="微软雅黑"/>
          <w:i w:val="0"/>
          <w:iCs w:val="0"/>
          <w:color w:val="1F2937"/>
          <w:sz w:val="21"/>
          <w:szCs w:val="21"/>
        </w:rPr>
        <w:t>严格执行【草稿 ➔ 审核中 ➔ 已生效 ➔ 已废止】生命周期管理与变更审计留痕。</w:t>
      </w:r>
    </w:p>
    <w:tbl>
      <w:tblPr>
        <w:tblStyle w:val="36"/>
        <w:tblW w:w="9966" w:type="dxa"/>
        <w:jc w:val="center"/>
        <w:tblLayout w:type="autofit"/>
        <w:tblCellMar>
          <w:top w:w="0" w:type="dxa"/>
          <w:left w:w="108" w:type="dxa"/>
          <w:bottom w:w="0" w:type="dxa"/>
          <w:right w:w="108" w:type="dxa"/>
        </w:tblCellMar>
      </w:tblPr>
      <w:tblGrid>
        <w:gridCol w:w="698"/>
        <w:gridCol w:w="1593"/>
        <w:gridCol w:w="1683"/>
        <w:gridCol w:w="1735"/>
        <w:gridCol w:w="4257"/>
      </w:tblGrid>
      <w:tr w14:paraId="5C9E684C">
        <w:tblPrEx>
          <w:tblCellMar>
            <w:top w:w="0" w:type="dxa"/>
            <w:left w:w="108" w:type="dxa"/>
            <w:bottom w:w="0" w:type="dxa"/>
            <w:right w:w="108" w:type="dxa"/>
          </w:tblCellMar>
        </w:tblPrEx>
        <w:trPr>
          <w:trHeight w:val="0" w:hRule="atLeast"/>
          <w:tblHeader/>
          <w:jc w:val="center"/>
        </w:trPr>
        <w:tc>
          <w:tcPr>
            <w:tcW w:w="0" w:type="auto"/>
            <w:tcBorders>
              <w:top w:val="single" w:color="CBD5E1" w:sz="12" w:space="0"/>
              <w:left w:val="single" w:color="CBD5E1" w:sz="12" w:space="0"/>
              <w:bottom w:val="nil"/>
              <w:right w:val="nil"/>
            </w:tcBorders>
            <w:shd w:val="clear" w:color="auto" w:fill="1E3A8A"/>
            <w:noWrap w:val="0"/>
            <w:tcMar>
              <w:top w:w="70" w:type="dxa"/>
              <w:left w:w="90" w:type="dxa"/>
              <w:bottom w:w="70" w:type="dxa"/>
              <w:right w:w="90" w:type="dxa"/>
            </w:tcMar>
            <w:vAlign w:val="center"/>
          </w:tcPr>
          <w:p w14:paraId="4EE793A2">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lang w:eastAsia="zh-CN"/>
              </w:rPr>
            </w:pPr>
            <w:r>
              <w:rPr>
                <w:rFonts w:hint="eastAsia" w:ascii="微软雅黑" w:hAnsi="微软雅黑" w:eastAsia="微软雅黑" w:cs="微软雅黑"/>
                <w:b/>
                <w:i w:val="0"/>
                <w:iCs w:val="0"/>
                <w:color w:val="FFFFFF"/>
                <w:sz w:val="16"/>
                <w:szCs w:val="16"/>
                <w:lang w:val="en-US" w:eastAsia="zh-CN"/>
              </w:rPr>
              <w:t>序号</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D4E3F22">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字段中文名称</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7646D61A">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数据类型</w:t>
            </w:r>
          </w:p>
        </w:tc>
        <w:tc>
          <w:tcPr>
            <w:tcW w:w="0" w:type="auto"/>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67588C42">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工程单位</w:t>
            </w:r>
          </w:p>
        </w:tc>
        <w:tc>
          <w:tcPr>
            <w:tcW w:w="4257" w:type="dxa"/>
            <w:tcBorders>
              <w:top w:val="single" w:color="CBD5E1" w:sz="12" w:space="0"/>
              <w:left w:val="single" w:color="CBD5E1" w:sz="4" w:space="0"/>
              <w:bottom w:val="nil"/>
              <w:right w:val="nil"/>
            </w:tcBorders>
            <w:shd w:val="clear" w:color="auto" w:fill="1E3A8A"/>
            <w:noWrap w:val="0"/>
            <w:tcMar>
              <w:top w:w="70" w:type="dxa"/>
              <w:left w:w="90" w:type="dxa"/>
              <w:bottom w:w="70" w:type="dxa"/>
              <w:right w:w="90" w:type="dxa"/>
            </w:tcMar>
            <w:vAlign w:val="center"/>
          </w:tcPr>
          <w:p w14:paraId="255BC1DA">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因子取值范围与版本规则</w:t>
            </w:r>
          </w:p>
        </w:tc>
      </w:tr>
      <w:tr w14:paraId="448A9CFD">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47C97B2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1</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C69E35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因子唯一编码</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3AD4D6E">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String(32)</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0C1369D1">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257"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3D4855EF">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FAC-MAT-COPPER-01 等唯一标识</w:t>
            </w:r>
          </w:p>
        </w:tc>
      </w:tr>
      <w:tr w14:paraId="173D088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62997B78">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2</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0209298E">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因子中文名称</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CF27C8F">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String(64)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E35881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257"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6D11A16">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如：高纯阴极铜 (含冶炼)</w:t>
            </w:r>
          </w:p>
        </w:tc>
      </w:tr>
      <w:tr w14:paraId="103F037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3B2BB1F8">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3</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0C31DCC">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排放因子数值</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2242DEE">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Decimal(10,4)</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51F26F78">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kgCO2e/单位</w:t>
            </w:r>
          </w:p>
        </w:tc>
        <w:tc>
          <w:tcPr>
            <w:tcW w:w="4257"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9F3F012">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必须严格 &gt; 0.0000</w:t>
            </w:r>
          </w:p>
        </w:tc>
      </w:tr>
      <w:tr w14:paraId="3B5CBE6A">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4BDF9EAA">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09F522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权威数据来源</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049082E">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String(64)</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F90B5AB">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257"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5F534E2">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实测 / Ecoinvent 3.8 / CLCD / 官方公报</w:t>
            </w:r>
          </w:p>
        </w:tc>
      </w:tr>
      <w:tr w14:paraId="78B466C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FFFFF"/>
            <w:noWrap w:val="0"/>
            <w:tcMar>
              <w:top w:w="60" w:type="dxa"/>
              <w:left w:w="80" w:type="dxa"/>
              <w:bottom w:w="60" w:type="dxa"/>
              <w:right w:w="80" w:type="dxa"/>
            </w:tcMar>
            <w:vAlign w:val="center"/>
          </w:tcPr>
          <w:p w14:paraId="7B9CDC1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5</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25441E48">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因子版本编号</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4FA4189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String(16)</w:t>
            </w:r>
          </w:p>
        </w:tc>
        <w:tc>
          <w:tcPr>
            <w:tcW w:w="0" w:type="auto"/>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73E80D74">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257" w:type="dxa"/>
            <w:tcBorders>
              <w:top w:val="single" w:color="CBD5E1" w:sz="4" w:space="0"/>
              <w:left w:val="single" w:color="CBD5E1" w:sz="4" w:space="0"/>
              <w:bottom w:val="nil"/>
              <w:right w:val="nil"/>
            </w:tcBorders>
            <w:shd w:val="clear" w:color="auto" w:fill="FFFFFF"/>
            <w:noWrap w:val="0"/>
            <w:tcMar>
              <w:top w:w="60" w:type="dxa"/>
              <w:left w:w="80" w:type="dxa"/>
              <w:bottom w:w="60" w:type="dxa"/>
              <w:right w:w="80" w:type="dxa"/>
            </w:tcMar>
            <w:vAlign w:val="center"/>
          </w:tcPr>
          <w:p w14:paraId="179B254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如 v2026.1，支持多版本并存追溯</w:t>
            </w:r>
          </w:p>
        </w:tc>
      </w:tr>
      <w:tr w14:paraId="027C20A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12" w:space="0"/>
              <w:bottom w:val="nil"/>
              <w:right w:val="nil"/>
            </w:tcBorders>
            <w:shd w:val="clear" w:color="auto" w:fill="F8FAFC"/>
            <w:noWrap w:val="0"/>
            <w:tcMar>
              <w:top w:w="60" w:type="dxa"/>
              <w:left w:w="80" w:type="dxa"/>
              <w:bottom w:w="60" w:type="dxa"/>
              <w:right w:w="80" w:type="dxa"/>
            </w:tcMar>
            <w:vAlign w:val="center"/>
          </w:tcPr>
          <w:p w14:paraId="368B68DF">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6</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633B0612">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版本生效日期</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1E0A765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Date</w:t>
            </w:r>
          </w:p>
        </w:tc>
        <w:tc>
          <w:tcPr>
            <w:tcW w:w="0" w:type="auto"/>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312A4453">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YYYY-MM-DD</w:t>
            </w:r>
          </w:p>
        </w:tc>
        <w:tc>
          <w:tcPr>
            <w:tcW w:w="4257" w:type="dxa"/>
            <w:tcBorders>
              <w:top w:val="single" w:color="CBD5E1" w:sz="4" w:space="0"/>
              <w:left w:val="single" w:color="CBD5E1" w:sz="4" w:space="0"/>
              <w:bottom w:val="nil"/>
              <w:right w:val="nil"/>
            </w:tcBorders>
            <w:shd w:val="clear" w:color="auto" w:fill="F8FAFC"/>
            <w:noWrap w:val="0"/>
            <w:tcMar>
              <w:top w:w="60" w:type="dxa"/>
              <w:left w:w="80" w:type="dxa"/>
              <w:bottom w:w="60" w:type="dxa"/>
              <w:right w:w="80" w:type="dxa"/>
            </w:tcMar>
            <w:vAlign w:val="center"/>
          </w:tcPr>
          <w:p w14:paraId="7EA1D898">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生效开始时间戳</w:t>
            </w:r>
          </w:p>
        </w:tc>
      </w:tr>
      <w:tr w14:paraId="13978C55">
        <w:tblPrEx>
          <w:tblCellMar>
            <w:top w:w="0" w:type="dxa"/>
            <w:left w:w="108" w:type="dxa"/>
            <w:bottom w:w="0" w:type="dxa"/>
            <w:right w:w="108" w:type="dxa"/>
          </w:tblCellMar>
        </w:tblPrEx>
        <w:trPr>
          <w:trHeight w:val="0" w:hRule="atLeast"/>
          <w:jc w:val="center"/>
        </w:trPr>
        <w:tc>
          <w:tcPr>
            <w:tcW w:w="698" w:type="dxa"/>
            <w:tcBorders>
              <w:top w:val="single" w:color="CBD5E1" w:sz="4" w:space="0"/>
              <w:left w:val="single" w:color="CBD5E1" w:sz="12" w:space="0"/>
              <w:bottom w:val="single" w:color="CBD5E1" w:sz="12" w:space="0"/>
              <w:right w:val="nil"/>
            </w:tcBorders>
            <w:shd w:val="clear" w:color="auto" w:fill="FFFFFF"/>
            <w:noWrap w:val="0"/>
            <w:tcMar>
              <w:top w:w="60" w:type="dxa"/>
              <w:left w:w="80" w:type="dxa"/>
              <w:bottom w:w="60" w:type="dxa"/>
              <w:right w:w="80" w:type="dxa"/>
            </w:tcMar>
            <w:vAlign w:val="center"/>
          </w:tcPr>
          <w:p w14:paraId="0A18476B">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lang w:val="en-US" w:eastAsia="zh-CN"/>
              </w:rPr>
            </w:pPr>
            <w:r>
              <w:rPr>
                <w:rFonts w:hint="eastAsia" w:ascii="微软雅黑" w:hAnsi="微软雅黑" w:eastAsia="微软雅黑" w:cs="微软雅黑"/>
                <w:i w:val="0"/>
                <w:iCs w:val="0"/>
                <w:sz w:val="16"/>
                <w:szCs w:val="16"/>
                <w:lang w:val="en-US" w:eastAsia="zh-CN"/>
              </w:rPr>
              <w:t>7</w:t>
            </w:r>
          </w:p>
        </w:tc>
        <w:tc>
          <w:tcPr>
            <w:tcW w:w="1593"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3C05B499">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生命周期状态</w:t>
            </w:r>
          </w:p>
        </w:tc>
        <w:tc>
          <w:tcPr>
            <w:tcW w:w="1683"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0245F6D7">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Enum</w:t>
            </w:r>
          </w:p>
        </w:tc>
        <w:tc>
          <w:tcPr>
            <w:tcW w:w="1735"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0C9E0040">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w:t>
            </w:r>
          </w:p>
        </w:tc>
        <w:tc>
          <w:tcPr>
            <w:tcW w:w="4257" w:type="dxa"/>
            <w:tcBorders>
              <w:top w:val="single" w:color="CBD5E1" w:sz="4" w:space="0"/>
              <w:left w:val="single" w:color="CBD5E1" w:sz="4" w:space="0"/>
              <w:bottom w:val="single" w:color="CBD5E1" w:sz="12" w:space="0"/>
              <w:right w:val="nil"/>
            </w:tcBorders>
            <w:shd w:val="clear" w:color="auto" w:fill="FFFFFF"/>
            <w:noWrap w:val="0"/>
            <w:tcMar>
              <w:top w:w="60" w:type="dxa"/>
              <w:left w:w="80" w:type="dxa"/>
              <w:bottom w:w="60" w:type="dxa"/>
              <w:right w:w="80" w:type="dxa"/>
            </w:tcMar>
            <w:vAlign w:val="center"/>
          </w:tcPr>
          <w:p w14:paraId="09413945">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草稿 / 待审 / 生效中 / 历史废止</w:t>
            </w:r>
          </w:p>
        </w:tc>
      </w:tr>
    </w:tbl>
    <w:p w14:paraId="37B74F29">
      <w:pPr>
        <w:spacing w:after="60"/>
        <w:rPr>
          <w:rFonts w:hint="eastAsia" w:ascii="微软雅黑" w:hAnsi="微软雅黑" w:eastAsia="微软雅黑" w:cs="微软雅黑"/>
          <w:i w:val="0"/>
          <w:iCs w:val="0"/>
          <w:sz w:val="21"/>
          <w:szCs w:val="21"/>
        </w:rPr>
      </w:pPr>
    </w:p>
    <w:p w14:paraId="23C4EF96">
      <w:pPr>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sz w:val="21"/>
          <w:szCs w:val="21"/>
        </w:rPr>
        <w:br w:type="page"/>
      </w:r>
    </w:p>
    <w:p w14:paraId="7D6328ED">
      <w:pPr>
        <w:pStyle w:val="3"/>
        <w:keepNext/>
        <w:spacing w:before="360" w:after="160"/>
        <w:rPr>
          <w:rFonts w:hint="eastAsia" w:ascii="微软雅黑" w:hAnsi="微软雅黑" w:eastAsia="微软雅黑" w:cs="微软雅黑"/>
          <w:i w:val="0"/>
          <w:iCs w:val="0"/>
          <w:sz w:val="28"/>
          <w:szCs w:val="28"/>
        </w:rPr>
      </w:pPr>
      <w:bookmarkStart w:id="36" w:name="_Toc14881"/>
      <w:r>
        <w:rPr>
          <w:rFonts w:hint="eastAsia" w:ascii="微软雅黑" w:hAnsi="微软雅黑" w:eastAsia="微软雅黑" w:cs="微软雅黑"/>
          <w:b/>
          <w:i w:val="0"/>
          <w:iCs w:val="0"/>
          <w:color w:val="1E3A8A"/>
          <w:sz w:val="28"/>
          <w:szCs w:val="28"/>
        </w:rPr>
        <w:t>第四</w:t>
      </w:r>
      <w:r>
        <w:rPr>
          <w:rFonts w:hint="eastAsia" w:ascii="微软雅黑" w:hAnsi="微软雅黑" w:eastAsia="微软雅黑" w:cs="微软雅黑"/>
          <w:b/>
          <w:i w:val="0"/>
          <w:iCs w:val="0"/>
          <w:color w:val="1E3A8A"/>
          <w:sz w:val="28"/>
          <w:szCs w:val="28"/>
          <w:lang w:val="en-US" w:eastAsia="zh-CN"/>
        </w:rPr>
        <w:t xml:space="preserve">章 </w:t>
      </w:r>
      <w:r>
        <w:rPr>
          <w:rFonts w:hint="eastAsia" w:ascii="微软雅黑" w:hAnsi="微软雅黑" w:eastAsia="微软雅黑" w:cs="微软雅黑"/>
          <w:b/>
          <w:i w:val="0"/>
          <w:iCs w:val="0"/>
          <w:color w:val="1E3A8A"/>
          <w:sz w:val="28"/>
          <w:szCs w:val="28"/>
        </w:rPr>
        <w:t>系统底座、接口契约与 QA 质量验收</w:t>
      </w:r>
      <w:bookmarkEnd w:id="36"/>
    </w:p>
    <w:p w14:paraId="106BB33D">
      <w:pPr>
        <w:pStyle w:val="4"/>
        <w:keepNext/>
        <w:spacing w:before="260" w:after="100"/>
        <w:outlineLvl w:val="1"/>
        <w:rPr>
          <w:rFonts w:hint="eastAsia" w:ascii="微软雅黑" w:hAnsi="微软雅黑" w:eastAsia="微软雅黑" w:cs="微软雅黑"/>
          <w:i w:val="0"/>
          <w:iCs w:val="0"/>
          <w:sz w:val="21"/>
          <w:szCs w:val="21"/>
        </w:rPr>
      </w:pPr>
      <w:bookmarkStart w:id="37" w:name="_Toc19673"/>
      <w:r>
        <w:rPr>
          <w:rFonts w:hint="eastAsia" w:ascii="微软雅黑" w:hAnsi="微软雅黑" w:eastAsia="微软雅黑" w:cs="微软雅黑"/>
          <w:b/>
          <w:i w:val="0"/>
          <w:iCs w:val="0"/>
          <w:color w:val="0284C7"/>
          <w:sz w:val="21"/>
          <w:szCs w:val="21"/>
          <w:lang w:val="en-US" w:eastAsia="zh-CN"/>
        </w:rPr>
        <w:t>一、</w:t>
      </w:r>
      <w:r>
        <w:rPr>
          <w:rFonts w:hint="eastAsia" w:ascii="微软雅黑" w:hAnsi="微软雅黑" w:eastAsia="微软雅黑" w:cs="微软雅黑"/>
          <w:b/>
          <w:i w:val="0"/>
          <w:iCs w:val="0"/>
          <w:color w:val="0284C7"/>
          <w:sz w:val="21"/>
          <w:szCs w:val="21"/>
        </w:rPr>
        <w:t>六级组织架构与穿透鉴权体系</w:t>
      </w:r>
      <w:bookmarkEnd w:id="37"/>
    </w:p>
    <w:p w14:paraId="020DD2F3">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架构规范：</w:t>
      </w:r>
    </w:p>
    <w:p w14:paraId="4B9A1BCB">
      <w:p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系统严格执行【特变电工集团 ➔ 产业集团 ➔ 二级公司 ➔ 生产园区 ➔ 制造车间 ➔ 用能设备】六级穿透鉴权与数据物理隔离。上级节点通过物化视图自动聚合下级指标，下级节点严格隔离，越权请求触发。</w:t>
      </w:r>
    </w:p>
    <w:p w14:paraId="67D2C116">
      <w:pPr>
        <w:pStyle w:val="4"/>
        <w:keepNext/>
        <w:spacing w:before="260" w:after="100"/>
        <w:outlineLvl w:val="1"/>
        <w:rPr>
          <w:rFonts w:hint="eastAsia" w:ascii="微软雅黑" w:hAnsi="微软雅黑" w:eastAsia="微软雅黑" w:cs="微软雅黑"/>
          <w:i w:val="0"/>
          <w:iCs w:val="0"/>
          <w:sz w:val="21"/>
          <w:szCs w:val="21"/>
        </w:rPr>
      </w:pPr>
      <w:bookmarkStart w:id="38" w:name="_Toc14587"/>
      <w:r>
        <w:rPr>
          <w:rFonts w:hint="eastAsia" w:ascii="微软雅黑" w:hAnsi="微软雅黑" w:eastAsia="微软雅黑" w:cs="微软雅黑"/>
          <w:b/>
          <w:i w:val="0"/>
          <w:iCs w:val="0"/>
          <w:color w:val="0284C7"/>
          <w:sz w:val="21"/>
          <w:szCs w:val="21"/>
          <w:lang w:val="en-US" w:eastAsia="zh-CN"/>
        </w:rPr>
        <w:t>二、</w:t>
      </w:r>
      <w:r>
        <w:rPr>
          <w:rFonts w:hint="eastAsia" w:ascii="微软雅黑" w:hAnsi="微软雅黑" w:eastAsia="微软雅黑" w:cs="微软雅黑"/>
          <w:b/>
          <w:i w:val="0"/>
          <w:iCs w:val="0"/>
          <w:color w:val="0284C7"/>
          <w:sz w:val="21"/>
          <w:szCs w:val="21"/>
        </w:rPr>
        <w:t>外部系统集成与 API 契约</w:t>
      </w:r>
      <w:bookmarkEnd w:id="38"/>
    </w:p>
    <w:p w14:paraId="63739BA7">
      <w:pPr>
        <w:spacing w:after="80" w:line="288" w:lineRule="auto"/>
        <w:rPr>
          <w:rFonts w:hint="eastAsia" w:ascii="微软雅黑" w:hAnsi="微软雅黑" w:eastAsia="微软雅黑" w:cs="微软雅黑"/>
          <w:b/>
          <w:i w:val="0"/>
          <w:iCs w:val="0"/>
          <w:color w:val="1E3A8A"/>
          <w:sz w:val="21"/>
          <w:szCs w:val="21"/>
        </w:rPr>
      </w:pPr>
      <w:r>
        <w:rPr>
          <w:rFonts w:hint="eastAsia" w:ascii="微软雅黑" w:hAnsi="微软雅黑" w:eastAsia="微软雅黑" w:cs="微软雅黑"/>
          <w:b/>
          <w:i w:val="0"/>
          <w:iCs w:val="0"/>
          <w:color w:val="1E3A8A"/>
          <w:sz w:val="21"/>
          <w:szCs w:val="21"/>
        </w:rPr>
        <w:t>接口协议：</w:t>
      </w:r>
    </w:p>
    <w:p w14:paraId="34A89384">
      <w:pPr>
        <w:numPr>
          <w:ilvl w:val="0"/>
          <w:numId w:val="22"/>
        </w:numPr>
        <w:spacing w:after="80" w:line="288" w:lineRule="auto"/>
        <w:ind w:left="0" w:leftChars="0" w:firstLine="440" w:firstLineChars="0"/>
        <w:rPr>
          <w:rFonts w:hint="eastAsia" w:ascii="微软雅黑" w:hAnsi="微软雅黑" w:eastAsia="微软雅黑" w:cs="微软雅黑"/>
          <w:i w:val="0"/>
          <w:iCs w:val="0"/>
          <w:color w:val="1F2937"/>
          <w:sz w:val="21"/>
          <w:szCs w:val="21"/>
        </w:rPr>
      </w:pPr>
      <w:r>
        <w:rPr>
          <w:rFonts w:hint="eastAsia" w:ascii="微软雅黑" w:hAnsi="微软雅黑" w:eastAsia="微软雅黑" w:cs="微软雅黑"/>
          <w:i w:val="0"/>
          <w:iCs w:val="0"/>
          <w:color w:val="1F2937"/>
          <w:sz w:val="21"/>
          <w:szCs w:val="21"/>
        </w:rPr>
        <w:t>IoT 物联采集网关：通过 Modbus-TCP / MQTT 协议实现全厂数千台数字电表、变送器秒级遥测高频采集，写入分布式时序数据库 (InfluxDB/TDengine)；</w:t>
      </w:r>
    </w:p>
    <w:p w14:paraId="59AF27C3">
      <w:pPr>
        <w:numPr>
          <w:ilvl w:val="0"/>
          <w:numId w:val="22"/>
        </w:numPr>
        <w:spacing w:after="80" w:line="288" w:lineRule="auto"/>
        <w:ind w:left="0" w:leftChars="0" w:firstLine="440" w:firstLineChars="0"/>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color w:val="1F2937"/>
          <w:sz w:val="21"/>
          <w:szCs w:val="21"/>
        </w:rPr>
        <w:t>企业 ERP/MES 集成：基于 OpenAPI 3.0 契约，自动定时同步产品批次 BOM 清单、实际报工产量工时及财务电费账单。</w:t>
      </w:r>
    </w:p>
    <w:p w14:paraId="5CFFBEE2">
      <w:pPr>
        <w:pStyle w:val="4"/>
        <w:keepNext/>
        <w:spacing w:before="260" w:after="100"/>
        <w:outlineLvl w:val="1"/>
        <w:rPr>
          <w:rFonts w:hint="eastAsia" w:ascii="微软雅黑" w:hAnsi="微软雅黑" w:eastAsia="微软雅黑" w:cs="微软雅黑"/>
          <w:i w:val="0"/>
          <w:iCs w:val="0"/>
          <w:sz w:val="21"/>
          <w:szCs w:val="21"/>
        </w:rPr>
      </w:pPr>
      <w:bookmarkStart w:id="39" w:name="_Toc26920"/>
      <w:r>
        <w:rPr>
          <w:rFonts w:hint="eastAsia" w:ascii="微软雅黑" w:hAnsi="微软雅黑" w:eastAsia="微软雅黑" w:cs="微软雅黑"/>
          <w:b/>
          <w:i w:val="0"/>
          <w:iCs w:val="0"/>
          <w:color w:val="0284C7"/>
          <w:sz w:val="21"/>
          <w:szCs w:val="21"/>
          <w:lang w:val="en-US" w:eastAsia="zh-CN"/>
        </w:rPr>
        <w:t>三、</w:t>
      </w:r>
      <w:r>
        <w:rPr>
          <w:rFonts w:hint="eastAsia" w:ascii="微软雅黑" w:hAnsi="微软雅黑" w:eastAsia="微软雅黑" w:cs="微软雅黑"/>
          <w:b/>
          <w:i w:val="0"/>
          <w:iCs w:val="0"/>
          <w:color w:val="0284C7"/>
          <w:sz w:val="21"/>
          <w:szCs w:val="21"/>
        </w:rPr>
        <w:t>质量保障体系与全量验收测试用例矩阵</w:t>
      </w:r>
      <w:bookmarkEnd w:id="39"/>
    </w:p>
    <w:tbl>
      <w:tblPr>
        <w:tblStyle w:val="36"/>
        <w:tblW w:w="9792" w:type="dxa"/>
        <w:jc w:val="center"/>
        <w:tblLayout w:type="autofit"/>
        <w:tblCellMar>
          <w:top w:w="0" w:type="dxa"/>
          <w:left w:w="108" w:type="dxa"/>
          <w:bottom w:w="0" w:type="dxa"/>
          <w:right w:w="108" w:type="dxa"/>
        </w:tblCellMar>
      </w:tblPr>
      <w:tblGrid>
        <w:gridCol w:w="1118"/>
        <w:gridCol w:w="1415"/>
        <w:gridCol w:w="2488"/>
        <w:gridCol w:w="3628"/>
        <w:gridCol w:w="1143"/>
      </w:tblGrid>
      <w:tr w14:paraId="720B06C6">
        <w:tblPrEx>
          <w:tblCellMar>
            <w:top w:w="0" w:type="dxa"/>
            <w:left w:w="108" w:type="dxa"/>
            <w:bottom w:w="0" w:type="dxa"/>
            <w:right w:w="108" w:type="dxa"/>
          </w:tblCellMar>
        </w:tblPrEx>
        <w:trPr>
          <w:trHeight w:val="0" w:hRule="atLeast"/>
          <w:tblHeader/>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A29F31B">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用例编号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5189805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DE4EAE6">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测试输入与方法</w:t>
            </w:r>
          </w:p>
        </w:tc>
        <w:tc>
          <w:tcPr>
            <w:tcW w:w="3628"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4A360B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期望输出与验收指标</w:t>
            </w:r>
          </w:p>
        </w:tc>
        <w:tc>
          <w:tcPr>
            <w:tcW w:w="1143"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1742C8A2">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6"/>
                <w:szCs w:val="16"/>
              </w:rPr>
            </w:pPr>
            <w:r>
              <w:rPr>
                <w:rFonts w:hint="eastAsia" w:ascii="微软雅黑" w:hAnsi="微软雅黑" w:eastAsia="微软雅黑" w:cs="微软雅黑"/>
                <w:b/>
                <w:i w:val="0"/>
                <w:iCs w:val="0"/>
                <w:color w:val="FFFFFF"/>
                <w:sz w:val="16"/>
                <w:szCs w:val="16"/>
              </w:rPr>
              <w:t>阻断级别</w:t>
            </w:r>
          </w:p>
        </w:tc>
      </w:tr>
      <w:tr w14:paraId="4E2F8096">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BC517D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98DEFDC">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44px 工业表格行高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734B07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CSS 样式扫描 + 像素检查</w:t>
            </w:r>
          </w:p>
        </w:tc>
        <w:tc>
          <w:tcPr>
            <w:tcW w:w="362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DEE3BA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全站所有 &lt;tr&gt; 固定为 h-[44px]，垂直居中无抖动</w:t>
            </w:r>
          </w:p>
        </w:tc>
        <w:tc>
          <w:tcPr>
            <w:tcW w:w="114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5014C8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阻断 (Red-Line)</w:t>
            </w:r>
          </w:p>
        </w:tc>
      </w:tr>
      <w:tr w14:paraId="6D2E8D3D">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5B5A0D0">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F8EEBA4">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双端 100% 同构</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564D09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自动化对标双端 76 路由</w:t>
            </w:r>
          </w:p>
        </w:tc>
        <w:tc>
          <w:tcPr>
            <w:tcW w:w="362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A9BB38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暗黑端(3000)与浅色端(3001)功能、图表与样式 100% 一致</w:t>
            </w:r>
          </w:p>
        </w:tc>
        <w:tc>
          <w:tcPr>
            <w:tcW w:w="114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BD03A0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阻断 (Red-Line)</w:t>
            </w:r>
          </w:p>
        </w:tc>
      </w:tr>
      <w:tr w14:paraId="6A1E0107">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E6A3351">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1611F1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42745C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选择沈变/鲁缆智慧能源等无工序单位</w:t>
            </w:r>
          </w:p>
        </w:tc>
        <w:tc>
          <w:tcPr>
            <w:tcW w:w="362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5985918">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工序区域整行仅输出单行“暂无相关工序！”，无大段说教</w:t>
            </w:r>
          </w:p>
        </w:tc>
        <w:tc>
          <w:tcPr>
            <w:tcW w:w="114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ABBDD31">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阻断 (Red-Line)</w:t>
            </w:r>
          </w:p>
        </w:tc>
      </w:tr>
      <w:tr w14:paraId="728BD127">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BBF3F6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05F3657">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E3F35E9">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全系统文字定性词正则扫描</w:t>
            </w:r>
          </w:p>
        </w:tc>
        <w:tc>
          <w:tcPr>
            <w:tcW w:w="362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4F6D6F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零主观定性词汇（“表现优异/运行欠佳/落后单位”等）</w:t>
            </w:r>
          </w:p>
        </w:tc>
        <w:tc>
          <w:tcPr>
            <w:tcW w:w="114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EF03250">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阻断 (Red-Line)</w:t>
            </w:r>
          </w:p>
        </w:tc>
      </w:tr>
      <w:tr w14:paraId="7C8A94DB">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0F67A6A">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49A67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40063A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BVA 极限输入月度产量 M = 0</w:t>
            </w:r>
          </w:p>
        </w:tc>
        <w:tc>
          <w:tcPr>
            <w:tcW w:w="362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D30023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自动拦截除以零异常，单耗显示“--”，严禁出现 NaN 或白屏</w:t>
            </w:r>
          </w:p>
        </w:tc>
        <w:tc>
          <w:tcPr>
            <w:tcW w:w="114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A32503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阻断 (Red-Line)</w:t>
            </w:r>
          </w:p>
        </w:tc>
      </w:tr>
      <w:tr w14:paraId="1B7581CD">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3BE24B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F171C3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42E4FDA">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100ms 内快速连续点击提交 3 次</w:t>
            </w:r>
          </w:p>
        </w:tc>
        <w:tc>
          <w:tcPr>
            <w:tcW w:w="362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6B85E9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Token 幂等拦截，仅首笔入库，提示防刷，防止重复记账</w:t>
            </w:r>
          </w:p>
        </w:tc>
        <w:tc>
          <w:tcPr>
            <w:tcW w:w="114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5C86B44">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阻断 (Red-Line)</w:t>
            </w:r>
          </w:p>
        </w:tc>
      </w:tr>
      <w:tr w14:paraId="73714C20">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F18503F">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3D9F606">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EB9D46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录入工作台输入产量为 -500 kVA</w:t>
            </w:r>
          </w:p>
        </w:tc>
        <w:tc>
          <w:tcPr>
            <w:tcW w:w="362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489C1E7">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前端即时拦截并红框高亮，禁止发送请求</w:t>
            </w:r>
          </w:p>
        </w:tc>
        <w:tc>
          <w:tcPr>
            <w:tcW w:w="114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6F15DB2">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阻断 (Red-Line)</w:t>
            </w:r>
          </w:p>
        </w:tc>
      </w:tr>
      <w:tr w14:paraId="77A56F41">
        <w:tblPrEx>
          <w:tblCellMar>
            <w:top w:w="0" w:type="dxa"/>
            <w:left w:w="108" w:type="dxa"/>
            <w:bottom w:w="0" w:type="dxa"/>
            <w:right w:w="108" w:type="dxa"/>
          </w:tblCellMar>
        </w:tblPrEx>
        <w:trPr>
          <w:trHeight w:val="0" w:hRule="atLeast"/>
          <w:jc w:val="center"/>
        </w:trPr>
        <w:tc>
          <w:tcPr>
            <w:tcW w:w="111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C48033B">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TC-08</w:t>
            </w:r>
          </w:p>
        </w:tc>
        <w:tc>
          <w:tcPr>
            <w:tcW w:w="1415"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A8CD713">
            <w:pPr>
              <w:snapToGrid w:val="0"/>
              <w:spacing w:line="240" w:lineRule="auto"/>
              <w:ind w:left="0" w:leftChars="0" w:right="0" w:rightChars="0" w:firstLine="0" w:firstLineChars="0"/>
              <w:jc w:val="center"/>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网络故障降级容灾</w:t>
            </w:r>
          </w:p>
        </w:tc>
        <w:tc>
          <w:tcPr>
            <w:tcW w:w="248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930AD53">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断网混沌工程故障注入</w:t>
            </w:r>
          </w:p>
        </w:tc>
        <w:tc>
          <w:tcPr>
            <w:tcW w:w="362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643841F">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优雅提示网络连接异常，恢复后支持一键重试刷新</w:t>
            </w:r>
          </w:p>
        </w:tc>
        <w:tc>
          <w:tcPr>
            <w:tcW w:w="114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04265DE">
            <w:pPr>
              <w:snapToGrid w:val="0"/>
              <w:spacing w:line="240" w:lineRule="auto"/>
              <w:ind w:left="0" w:leftChars="0" w:right="0" w:rightChars="0" w:firstLine="0" w:firstLineChars="0"/>
              <w:jc w:val="left"/>
              <w:rPr>
                <w:rFonts w:hint="eastAsia" w:ascii="微软雅黑" w:hAnsi="微软雅黑" w:eastAsia="微软雅黑" w:cs="微软雅黑"/>
                <w:i w:val="0"/>
                <w:iCs w:val="0"/>
                <w:sz w:val="16"/>
                <w:szCs w:val="16"/>
              </w:rPr>
            </w:pPr>
            <w:r>
              <w:rPr>
                <w:rFonts w:hint="eastAsia" w:ascii="微软雅黑" w:hAnsi="微软雅黑" w:eastAsia="微软雅黑" w:cs="微软雅黑"/>
                <w:i w:val="0"/>
                <w:iCs w:val="0"/>
                <w:color w:val="1F2937"/>
                <w:sz w:val="16"/>
                <w:szCs w:val="16"/>
              </w:rPr>
              <w:t>高优先级</w:t>
            </w:r>
          </w:p>
        </w:tc>
      </w:tr>
    </w:tbl>
    <w:p w14:paraId="5C86A74D">
      <w:pPr>
        <w:spacing w:after="60"/>
        <w:rPr>
          <w:rFonts w:hint="eastAsia" w:ascii="微软雅黑" w:hAnsi="微软雅黑" w:eastAsia="微软雅黑" w:cs="微软雅黑"/>
          <w:i w:val="0"/>
          <w:iCs w:val="0"/>
          <w:sz w:val="21"/>
          <w:szCs w:val="21"/>
        </w:rPr>
      </w:pPr>
    </w:p>
    <w:p w14:paraId="498DEDDE">
      <w:pPr>
        <w:rPr>
          <w:rFonts w:hint="eastAsia" w:ascii="微软雅黑" w:hAnsi="微软雅黑" w:eastAsia="微软雅黑" w:cs="微软雅黑"/>
          <w:i w:val="0"/>
          <w:iCs w:val="0"/>
          <w:sz w:val="21"/>
          <w:szCs w:val="21"/>
        </w:rPr>
      </w:pPr>
      <w:r>
        <w:rPr>
          <w:rFonts w:hint="eastAsia" w:ascii="微软雅黑" w:hAnsi="微软雅黑" w:eastAsia="微软雅黑" w:cs="微软雅黑"/>
          <w:i w:val="0"/>
          <w:iCs w:val="0"/>
          <w:sz w:val="21"/>
          <w:szCs w:val="21"/>
        </w:rPr>
        <w:br w:type="page"/>
      </w:r>
    </w:p>
    <w:p w14:paraId="637D841A">
      <w:pPr>
        <w:pStyle w:val="3"/>
        <w:keepNext/>
        <w:spacing w:before="360" w:after="160"/>
        <w:rPr>
          <w:rFonts w:hint="eastAsia" w:ascii="微软雅黑" w:hAnsi="微软雅黑" w:eastAsia="微软雅黑" w:cs="微软雅黑"/>
          <w:i w:val="0"/>
          <w:iCs w:val="0"/>
          <w:sz w:val="28"/>
          <w:szCs w:val="28"/>
        </w:rPr>
      </w:pPr>
      <w:bookmarkStart w:id="40" w:name="_Toc5782"/>
      <w:r>
        <w:rPr>
          <w:rFonts w:hint="eastAsia" w:ascii="微软雅黑" w:hAnsi="微软雅黑" w:eastAsia="微软雅黑" w:cs="微软雅黑"/>
          <w:b/>
          <w:i w:val="0"/>
          <w:iCs w:val="0"/>
          <w:color w:val="1E3A8A"/>
          <w:sz w:val="28"/>
          <w:szCs w:val="28"/>
        </w:rPr>
        <w:t>第五</w:t>
      </w:r>
      <w:r>
        <w:rPr>
          <w:rFonts w:hint="eastAsia" w:ascii="微软雅黑" w:hAnsi="微软雅黑" w:eastAsia="微软雅黑" w:cs="微软雅黑"/>
          <w:b/>
          <w:i w:val="0"/>
          <w:iCs w:val="0"/>
          <w:color w:val="1E3A8A"/>
          <w:sz w:val="28"/>
          <w:szCs w:val="28"/>
          <w:lang w:val="en-US" w:eastAsia="zh-CN"/>
        </w:rPr>
        <w:t xml:space="preserve">章 </w:t>
      </w:r>
      <w:r>
        <w:rPr>
          <w:rFonts w:hint="eastAsia" w:ascii="微软雅黑" w:hAnsi="微软雅黑" w:eastAsia="微软雅黑" w:cs="微软雅黑"/>
          <w:b/>
          <w:i w:val="0"/>
          <w:iCs w:val="0"/>
          <w:color w:val="1E3A8A"/>
          <w:sz w:val="28"/>
          <w:szCs w:val="28"/>
        </w:rPr>
        <w:t>工程治理、状态机与合规保障体系</w:t>
      </w:r>
      <w:bookmarkEnd w:id="40"/>
      <w:r>
        <w:rPr>
          <w:rFonts w:hint="eastAsia" w:ascii="微软雅黑" w:hAnsi="微软雅黑" w:eastAsia="微软雅黑" w:cs="微软雅黑"/>
          <w:b/>
          <w:i w:val="0"/>
          <w:iCs w:val="0"/>
          <w:color w:val="1E3A8A"/>
          <w:sz w:val="28"/>
          <w:szCs w:val="28"/>
        </w:rPr>
        <w:t xml:space="preserve"> </w:t>
      </w:r>
    </w:p>
    <w:p w14:paraId="54B2177F">
      <w:pPr>
        <w:pStyle w:val="4"/>
        <w:keepNext/>
        <w:spacing w:before="260" w:after="100"/>
        <w:outlineLvl w:val="1"/>
        <w:rPr>
          <w:rFonts w:hint="eastAsia" w:ascii="微软雅黑" w:hAnsi="微软雅黑" w:eastAsia="微软雅黑" w:cs="微软雅黑"/>
          <w:i w:val="0"/>
          <w:iCs w:val="0"/>
        </w:rPr>
      </w:pPr>
      <w:bookmarkStart w:id="41" w:name="_Toc16730"/>
      <w:r>
        <w:rPr>
          <w:rFonts w:hint="eastAsia" w:ascii="微软雅黑" w:hAnsi="微软雅黑" w:eastAsia="微软雅黑" w:cs="微软雅黑"/>
          <w:b/>
          <w:i w:val="0"/>
          <w:iCs w:val="0"/>
          <w:color w:val="0284C7"/>
          <w:sz w:val="25"/>
          <w:lang w:val="en-US" w:eastAsia="zh-CN"/>
        </w:rPr>
        <w:t>一、</w:t>
      </w:r>
      <w:r>
        <w:rPr>
          <w:rFonts w:hint="eastAsia" w:ascii="微软雅黑" w:hAnsi="微软雅黑" w:eastAsia="微软雅黑" w:cs="微软雅黑"/>
          <w:b/>
          <w:i w:val="0"/>
          <w:iCs w:val="0"/>
          <w:color w:val="0284C7"/>
          <w:sz w:val="25"/>
        </w:rPr>
        <w:t>数据治理与商密合规</w:t>
      </w:r>
      <w:bookmarkEnd w:id="41"/>
    </w:p>
    <w:p w14:paraId="0835F3C8">
      <w:pPr>
        <w:spacing w:after="80" w:line="288" w:lineRule="auto"/>
        <w:ind w:left="0" w:leftChars="0" w:firstLine="438" w:firstLineChars="231"/>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9"/>
        </w:rPr>
        <w:t>依据大型央国企商密规范与海外出海安全条例，建立严格的 L0~L4 数据分级、脱敏与审计留痕机制：</w:t>
      </w:r>
    </w:p>
    <w:tbl>
      <w:tblPr>
        <w:tblStyle w:val="36"/>
        <w:tblW w:w="9792" w:type="dxa"/>
        <w:jc w:val="center"/>
        <w:tblLayout w:type="autofit"/>
        <w:tblCellMar>
          <w:top w:w="0" w:type="dxa"/>
          <w:left w:w="108" w:type="dxa"/>
          <w:bottom w:w="0" w:type="dxa"/>
          <w:right w:w="108" w:type="dxa"/>
        </w:tblCellMar>
      </w:tblPr>
      <w:tblGrid>
        <w:gridCol w:w="1107"/>
        <w:gridCol w:w="1748"/>
        <w:gridCol w:w="2380"/>
        <w:gridCol w:w="2291"/>
        <w:gridCol w:w="2266"/>
      </w:tblGrid>
      <w:tr w14:paraId="1ACF9F05">
        <w:tblPrEx>
          <w:tblCellMar>
            <w:top w:w="0" w:type="dxa"/>
            <w:left w:w="108" w:type="dxa"/>
            <w:bottom w:w="0" w:type="dxa"/>
            <w:right w:w="108" w:type="dxa"/>
          </w:tblCellMar>
        </w:tblPrEx>
        <w:trPr>
          <w:trHeight w:val="0" w:hRule="atLeast"/>
          <w:tblHeader/>
          <w:jc w:val="center"/>
        </w:trPr>
        <w:tc>
          <w:tcPr>
            <w:tcW w:w="110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0CED80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级别标签</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5A67941C">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密级名称</w:t>
            </w:r>
          </w:p>
        </w:tc>
        <w:tc>
          <w:tcPr>
            <w:tcW w:w="2380"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60650A3">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典型业务字段</w:t>
            </w:r>
          </w:p>
        </w:tc>
        <w:tc>
          <w:tcPr>
            <w:tcW w:w="2291"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AC93762">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展示脱敏规则</w:t>
            </w:r>
          </w:p>
        </w:tc>
        <w:tc>
          <w:tcPr>
            <w:tcW w:w="2266"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2BF13D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导出与存储处理要求</w:t>
            </w:r>
          </w:p>
        </w:tc>
      </w:tr>
      <w:tr w14:paraId="4CF5E56C">
        <w:tblPrEx>
          <w:tblCellMar>
            <w:top w:w="0" w:type="dxa"/>
            <w:left w:w="108" w:type="dxa"/>
            <w:bottom w:w="0" w:type="dxa"/>
            <w:right w:w="108" w:type="dxa"/>
          </w:tblCellMar>
        </w:tblPrEx>
        <w:trPr>
          <w:trHeight w:val="0" w:hRule="atLeast"/>
          <w:jc w:val="center"/>
        </w:trPr>
        <w:tc>
          <w:tcPr>
            <w:tcW w:w="110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BE63D0F">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065E743">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公开 (PUBLIC)</w:t>
            </w:r>
          </w:p>
        </w:tc>
        <w:tc>
          <w:tcPr>
            <w:tcW w:w="238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C634872">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国家行业能耗先进值、国家准入值、折标煤系数</w:t>
            </w:r>
          </w:p>
        </w:tc>
        <w:tc>
          <w:tcPr>
            <w:tcW w:w="229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2F2981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明文正常展示</w:t>
            </w:r>
          </w:p>
        </w:tc>
        <w:tc>
          <w:tcPr>
            <w:tcW w:w="226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5A670BE">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允许对外发布与公开引用</w:t>
            </w:r>
          </w:p>
        </w:tc>
      </w:tr>
      <w:tr w14:paraId="37B0E4C6">
        <w:tblPrEx>
          <w:tblCellMar>
            <w:top w:w="0" w:type="dxa"/>
            <w:left w:w="108" w:type="dxa"/>
            <w:bottom w:w="0" w:type="dxa"/>
            <w:right w:w="108" w:type="dxa"/>
          </w:tblCellMar>
        </w:tblPrEx>
        <w:trPr>
          <w:trHeight w:val="0" w:hRule="atLeast"/>
          <w:jc w:val="center"/>
        </w:trPr>
        <w:tc>
          <w:tcPr>
            <w:tcW w:w="110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7F7F7C0">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98C1B0E">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内部 (INTERNAL)</w:t>
            </w:r>
          </w:p>
        </w:tc>
        <w:tc>
          <w:tcPr>
            <w:tcW w:w="238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6F0BA7C">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各基地万元产值能耗、单位产品单耗、绿电消纳率</w:t>
            </w:r>
          </w:p>
        </w:tc>
        <w:tc>
          <w:tcPr>
            <w:tcW w:w="229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51EF65E">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全集团统一内网展示</w:t>
            </w:r>
          </w:p>
        </w:tc>
        <w:tc>
          <w:tcPr>
            <w:tcW w:w="2266"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50E1892">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仅限特变电工内部网络访问与流转</w:t>
            </w:r>
          </w:p>
        </w:tc>
      </w:tr>
      <w:tr w14:paraId="2416F28E">
        <w:tblPrEx>
          <w:tblCellMar>
            <w:top w:w="0" w:type="dxa"/>
            <w:left w:w="108" w:type="dxa"/>
            <w:bottom w:w="0" w:type="dxa"/>
            <w:right w:w="108" w:type="dxa"/>
          </w:tblCellMar>
        </w:tblPrEx>
        <w:trPr>
          <w:trHeight w:val="0" w:hRule="atLeast"/>
          <w:jc w:val="center"/>
        </w:trPr>
        <w:tc>
          <w:tcPr>
            <w:tcW w:w="110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67303B9">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441E915">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敏感 (SENSITIVE)</w:t>
            </w:r>
          </w:p>
        </w:tc>
        <w:tc>
          <w:tcPr>
            <w:tcW w:w="238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2DC83A">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重点设备编码、车间统计员手机号、采集表计 UUID</w:t>
            </w:r>
          </w:p>
        </w:tc>
        <w:tc>
          <w:tcPr>
            <w:tcW w:w="229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355C15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手机号保留前3后4，UUID保留尾4位</w:t>
            </w:r>
          </w:p>
        </w:tc>
        <w:tc>
          <w:tcPr>
            <w:tcW w:w="226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DABFA6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访问审计留痕，导出带工号动态水印</w:t>
            </w:r>
          </w:p>
        </w:tc>
      </w:tr>
      <w:tr w14:paraId="522948B3">
        <w:tblPrEx>
          <w:tblCellMar>
            <w:top w:w="0" w:type="dxa"/>
            <w:left w:w="108" w:type="dxa"/>
            <w:bottom w:w="0" w:type="dxa"/>
            <w:right w:w="108" w:type="dxa"/>
          </w:tblCellMar>
        </w:tblPrEx>
        <w:trPr>
          <w:trHeight w:val="0" w:hRule="atLeast"/>
          <w:jc w:val="center"/>
        </w:trPr>
        <w:tc>
          <w:tcPr>
            <w:tcW w:w="110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EA2D30F">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550E60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商密 (CONFIDENTIAL)</w:t>
            </w:r>
          </w:p>
        </w:tc>
        <w:tc>
          <w:tcPr>
            <w:tcW w:w="238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D410745">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变压器工艺配方、月度电费金额、CBAM 申报底表</w:t>
            </w:r>
          </w:p>
        </w:tc>
        <w:tc>
          <w:tcPr>
            <w:tcW w:w="229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664273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电费四舍五入到万元，CBAM底表仅P5/PM可见</w:t>
            </w:r>
          </w:p>
        </w:tc>
        <w:tc>
          <w:tcPr>
            <w:tcW w:w="2266"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F70AF0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落盘AES-256加密存储，操作链式Hash留痕</w:t>
            </w:r>
          </w:p>
        </w:tc>
      </w:tr>
      <w:tr w14:paraId="19F851A3">
        <w:tblPrEx>
          <w:tblCellMar>
            <w:top w:w="0" w:type="dxa"/>
            <w:left w:w="108" w:type="dxa"/>
            <w:bottom w:w="0" w:type="dxa"/>
            <w:right w:w="108" w:type="dxa"/>
          </w:tblCellMar>
        </w:tblPrEx>
        <w:trPr>
          <w:trHeight w:val="0" w:hRule="atLeast"/>
          <w:jc w:val="center"/>
        </w:trPr>
        <w:tc>
          <w:tcPr>
            <w:tcW w:w="110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DDA5377">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L4</w:t>
            </w:r>
          </w:p>
        </w:tc>
        <w:tc>
          <w:tcPr>
            <w:tcW w:w="174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98296E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绝密 (TOP_SECRET)</w:t>
            </w:r>
          </w:p>
        </w:tc>
        <w:tc>
          <w:tcPr>
            <w:tcW w:w="238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36EC590">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集团双碳战略投资路线图、上市公司核心能耗决算</w:t>
            </w:r>
          </w:p>
        </w:tc>
        <w:tc>
          <w:tcPr>
            <w:tcW w:w="229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CBF34A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高管双重鉴权展示，强制显式全屏防截屏水印</w:t>
            </w:r>
          </w:p>
        </w:tc>
        <w:tc>
          <w:tcPr>
            <w:tcW w:w="226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BC73CF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仅P1集团决策层授权访问，双人签批导出</w:t>
            </w:r>
          </w:p>
        </w:tc>
      </w:tr>
    </w:tbl>
    <w:p w14:paraId="1B596962">
      <w:pPr>
        <w:spacing w:after="60"/>
        <w:rPr>
          <w:rFonts w:hint="eastAsia" w:ascii="微软雅黑" w:hAnsi="微软雅黑" w:eastAsia="微软雅黑" w:cs="微软雅黑"/>
          <w:i w:val="0"/>
          <w:iCs w:val="0"/>
        </w:rPr>
      </w:pPr>
    </w:p>
    <w:p w14:paraId="0E3F7BDE">
      <w:pPr>
        <w:spacing w:after="80" w:line="288" w:lineRule="auto"/>
        <w:rPr>
          <w:rFonts w:hint="eastAsia" w:ascii="微软雅黑" w:hAnsi="微软雅黑" w:eastAsia="微软雅黑" w:cs="微软雅黑"/>
          <w:i w:val="0"/>
          <w:iCs w:val="0"/>
          <w:color w:val="1F2937"/>
          <w:sz w:val="19"/>
        </w:rPr>
      </w:pPr>
      <w:r>
        <w:rPr>
          <w:rFonts w:hint="eastAsia" w:ascii="微软雅黑" w:hAnsi="微软雅黑" w:eastAsia="微软雅黑" w:cs="微软雅黑"/>
          <w:i w:val="0"/>
          <w:iCs w:val="0"/>
          <w:color w:val="1F2937"/>
          <w:sz w:val="19"/>
        </w:rPr>
        <w:t>【数据法定保留与销毁期限】：</w:t>
      </w:r>
    </w:p>
    <w:p w14:paraId="46143197">
      <w:pPr>
        <w:spacing w:after="80" w:line="288" w:lineRule="auto"/>
        <w:ind w:leftChars="200"/>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9"/>
        </w:rPr>
        <w:t>1. 工业时序遥测数据：在线存储 ≥ 3 年，冷归档存储 ≥ 10 年；</w:t>
      </w:r>
      <w:r>
        <w:rPr>
          <w:rFonts w:hint="eastAsia" w:ascii="微软雅黑" w:hAnsi="微软雅黑" w:eastAsia="微软雅黑" w:cs="微软雅黑"/>
          <w:i w:val="0"/>
          <w:iCs w:val="0"/>
          <w:color w:val="1F2937"/>
          <w:sz w:val="19"/>
        </w:rPr>
        <w:br w:type="textWrapping"/>
      </w:r>
      <w:r>
        <w:rPr>
          <w:rFonts w:hint="eastAsia" w:ascii="微软雅黑" w:hAnsi="微软雅黑" w:eastAsia="微软雅黑" w:cs="微软雅黑"/>
          <w:i w:val="0"/>
          <w:iCs w:val="0"/>
          <w:color w:val="1F2937"/>
          <w:sz w:val="19"/>
        </w:rPr>
        <w:t>2. 财务电费与用能台账：法定保留 ≥ 10 年，到期按国家档案法规销毁；</w:t>
      </w:r>
      <w:r>
        <w:rPr>
          <w:rFonts w:hint="eastAsia" w:ascii="微软雅黑" w:hAnsi="微软雅黑" w:eastAsia="微软雅黑" w:cs="微软雅黑"/>
          <w:i w:val="0"/>
          <w:iCs w:val="0"/>
          <w:color w:val="1F2937"/>
          <w:sz w:val="19"/>
        </w:rPr>
        <w:br w:type="textWrapping"/>
      </w:r>
      <w:r>
        <w:rPr>
          <w:rFonts w:hint="eastAsia" w:ascii="微软雅黑" w:hAnsi="微软雅黑" w:eastAsia="微软雅黑" w:cs="微软雅黑"/>
          <w:i w:val="0"/>
          <w:iCs w:val="0"/>
          <w:color w:val="1F2937"/>
          <w:sz w:val="19"/>
        </w:rPr>
        <w:t>3. 欧盟 CBAM 申报底表：法定保留 ≥ 10 年（欧盟海关追溯要求）；</w:t>
      </w:r>
      <w:r>
        <w:rPr>
          <w:rFonts w:hint="eastAsia" w:ascii="微软雅黑" w:hAnsi="微软雅黑" w:eastAsia="微软雅黑" w:cs="微软雅黑"/>
          <w:i w:val="0"/>
          <w:iCs w:val="0"/>
          <w:color w:val="1F2937"/>
          <w:sz w:val="19"/>
        </w:rPr>
        <w:br w:type="textWrapping"/>
      </w:r>
      <w:r>
        <w:rPr>
          <w:rFonts w:hint="eastAsia" w:ascii="微软雅黑" w:hAnsi="微软雅黑" w:eastAsia="微软雅黑" w:cs="微软雅黑"/>
          <w:i w:val="0"/>
          <w:iCs w:val="0"/>
          <w:color w:val="1F2937"/>
          <w:sz w:val="19"/>
        </w:rPr>
        <w:t>4. LCA 碳足迹报告与认证声明：永久留底，严禁销毁。</w:t>
      </w:r>
    </w:p>
    <w:p w14:paraId="48233DF5">
      <w:pPr>
        <w:pStyle w:val="4"/>
        <w:keepNext/>
        <w:spacing w:before="260" w:after="100"/>
        <w:outlineLvl w:val="1"/>
        <w:rPr>
          <w:rFonts w:hint="eastAsia" w:ascii="微软雅黑" w:hAnsi="微软雅黑" w:eastAsia="微软雅黑" w:cs="微软雅黑"/>
          <w:i w:val="0"/>
          <w:iCs w:val="0"/>
        </w:rPr>
      </w:pPr>
      <w:bookmarkStart w:id="42" w:name="_Toc8471"/>
      <w:r>
        <w:rPr>
          <w:rFonts w:hint="eastAsia" w:ascii="微软雅黑" w:hAnsi="微软雅黑" w:eastAsia="微软雅黑" w:cs="微软雅黑"/>
          <w:b/>
          <w:i w:val="0"/>
          <w:iCs w:val="0"/>
          <w:color w:val="0284C7"/>
          <w:sz w:val="25"/>
          <w:lang w:val="en-US" w:eastAsia="zh-CN"/>
        </w:rPr>
        <w:t>二、</w:t>
      </w:r>
      <w:r>
        <w:rPr>
          <w:rFonts w:hint="eastAsia" w:ascii="微软雅黑" w:hAnsi="微软雅黑" w:eastAsia="微软雅黑" w:cs="微软雅黑"/>
          <w:b/>
          <w:i w:val="0"/>
          <w:iCs w:val="0"/>
          <w:color w:val="0284C7"/>
          <w:sz w:val="25"/>
        </w:rPr>
        <w:t>关键业务长流程状态机图谱</w:t>
      </w:r>
      <w:bookmarkEnd w:id="42"/>
    </w:p>
    <w:p w14:paraId="1B2BAEA3">
      <w:pPr>
        <w:spacing w:after="80" w:line="288" w:lineRule="auto"/>
        <w:ind w:left="0" w:leftChars="0" w:firstLine="438" w:firstLineChars="231"/>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9"/>
        </w:rPr>
        <w:t>为全系统长流程、跨角色、涉及审批与回退的业务节点定义标准化状态流转机制：</w:t>
      </w:r>
    </w:p>
    <w:tbl>
      <w:tblPr>
        <w:tblStyle w:val="36"/>
        <w:tblW w:w="9792" w:type="dxa"/>
        <w:jc w:val="center"/>
        <w:tblLayout w:type="autofit"/>
        <w:tblCellMar>
          <w:top w:w="0" w:type="dxa"/>
          <w:left w:w="108" w:type="dxa"/>
          <w:bottom w:w="0" w:type="dxa"/>
          <w:right w:w="108" w:type="dxa"/>
        </w:tblCellMar>
      </w:tblPr>
      <w:tblGrid>
        <w:gridCol w:w="1540"/>
        <w:gridCol w:w="3310"/>
        <w:gridCol w:w="2193"/>
        <w:gridCol w:w="2749"/>
      </w:tblGrid>
      <w:tr w14:paraId="65468D8A">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E2BF226">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业务流程名称</w:t>
            </w:r>
          </w:p>
        </w:tc>
        <w:tc>
          <w:tcPr>
            <w:tcW w:w="3310"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5E5A368A">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全生命周期状态流转链</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733ABCB">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可触发动作与角色边界</w:t>
            </w:r>
          </w:p>
        </w:tc>
        <w:tc>
          <w:tcPr>
            <w:tcW w:w="2749"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502ED30">
            <w:pPr>
              <w:keepNext/>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异常回退策略</w:t>
            </w:r>
          </w:p>
        </w:tc>
      </w:tr>
      <w:tr w14:paraId="78CEC21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B7F3BC7">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LCA 碳足迹核算</w:t>
            </w:r>
          </w:p>
        </w:tc>
        <w:tc>
          <w:tcPr>
            <w:tcW w:w="331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2BC113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lang w:eastAsia="zh-CN"/>
              </w:rPr>
            </w:pPr>
            <w:r>
              <w:rPr>
                <w:rFonts w:hint="eastAsia" w:ascii="微软雅黑" w:hAnsi="微软雅黑" w:eastAsia="微软雅黑" w:cs="微软雅黑"/>
                <w:i w:val="0"/>
                <w:iCs w:val="0"/>
                <w:color w:val="1F2937"/>
                <w:sz w:val="17"/>
              </w:rPr>
              <w:t>草稿 ➔ 送审</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认证中</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已认证 </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已发布 </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 已归档</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EF7303">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草稿仅 P4 自身编辑；送审后锁定；认证中第三方介入；发布需 P4+PM 联合签字</w:t>
            </w:r>
          </w:p>
        </w:tc>
        <w:tc>
          <w:tcPr>
            <w:tcW w:w="274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9B984F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机构退回时状态回退至“草稿”，释放编辑锁并记录退回意见</w:t>
            </w:r>
          </w:p>
        </w:tc>
      </w:tr>
      <w:tr w14:paraId="709508B7">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52642A0">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CBAM 关税申报</w:t>
            </w:r>
          </w:p>
        </w:tc>
        <w:tc>
          <w:tcPr>
            <w:tcW w:w="331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F58DB42">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lang w:eastAsia="zh-CN"/>
              </w:rPr>
            </w:pPr>
            <w:r>
              <w:rPr>
                <w:rFonts w:hint="eastAsia" w:ascii="微软雅黑" w:hAnsi="微软雅黑" w:eastAsia="微软雅黑" w:cs="微软雅黑"/>
                <w:i w:val="0"/>
                <w:iCs w:val="0"/>
                <w:color w:val="1F2937"/>
                <w:sz w:val="17"/>
              </w:rPr>
              <w:t>模拟测算</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待审</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 已提交  ➔ 海关反馈 </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已归档</w:t>
            </w:r>
            <w:r>
              <w:rPr>
                <w:rFonts w:hint="eastAsia" w:ascii="微软雅黑" w:hAnsi="微软雅黑" w:eastAsia="微软雅黑" w:cs="微软雅黑"/>
                <w:i w:val="0"/>
                <w:iCs w:val="0"/>
                <w:color w:val="1F2937"/>
                <w:sz w:val="17"/>
                <w:lang w:val="en-US" w:eastAsia="zh-CN"/>
              </w:rPr>
              <w:t xml:space="preserve"> </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23A08DD">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模拟仅 P5 可触发；提交必须经 P5 报关专家与 P1 集团决策层双重电子签章</w:t>
            </w:r>
          </w:p>
        </w:tc>
        <w:tc>
          <w:tcPr>
            <w:tcW w:w="274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DC23951">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海关质询时转入“海关反馈”，补正后重新提交并生成新修订流水号</w:t>
            </w:r>
          </w:p>
        </w:tc>
      </w:tr>
      <w:tr w14:paraId="0B34A2FA">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3A2947E">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节能效益评估</w:t>
            </w:r>
          </w:p>
        </w:tc>
        <w:tc>
          <w:tcPr>
            <w:tcW w:w="331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6D53AEC">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lang w:eastAsia="zh-CN"/>
              </w:rPr>
            </w:pPr>
            <w:r>
              <w:rPr>
                <w:rFonts w:hint="eastAsia" w:ascii="微软雅黑" w:hAnsi="微软雅黑" w:eastAsia="微软雅黑" w:cs="微软雅黑"/>
                <w:i w:val="0"/>
                <w:iCs w:val="0"/>
                <w:color w:val="1F2937"/>
                <w:sz w:val="17"/>
              </w:rPr>
              <w:t>项目立项</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建设施工</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并网试运行 </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稳定运行 </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已完结</w:t>
            </w:r>
            <w:r>
              <w:rPr>
                <w:rFonts w:hint="eastAsia" w:ascii="微软雅黑" w:hAnsi="微软雅黑" w:eastAsia="微软雅黑" w:cs="微软雅黑"/>
                <w:i w:val="0"/>
                <w:iCs w:val="0"/>
                <w:color w:val="1F2937"/>
                <w:sz w:val="17"/>
                <w:lang w:val="en-US" w:eastAsia="zh-CN"/>
              </w:rPr>
              <w:t xml:space="preserve"> </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21A89FA">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并网试运行需满足 90 天 M&amp;V 连续采数，验收通过方可流转至“稳定运行”</w:t>
            </w:r>
          </w:p>
        </w:tc>
        <w:tc>
          <w:tcPr>
            <w:tcW w:w="274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844567B">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年度复评未达标时转入“整改”，整改完毕复核转回</w:t>
            </w:r>
          </w:p>
        </w:tc>
      </w:tr>
      <w:tr w14:paraId="3B33139B">
        <w:tblPrEx>
          <w:tblCellMar>
            <w:top w:w="0" w:type="dxa"/>
            <w:left w:w="108" w:type="dxa"/>
            <w:bottom w:w="0" w:type="dxa"/>
            <w:right w:w="108" w:type="dxa"/>
          </w:tblCellMar>
        </w:tblPrEx>
        <w:trPr>
          <w:trHeight w:val="0" w:hRule="atLeast"/>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8EB3BFD">
            <w:pPr>
              <w:keepNext/>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基层数据填报</w:t>
            </w:r>
          </w:p>
        </w:tc>
        <w:tc>
          <w:tcPr>
            <w:tcW w:w="331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8BECA0B">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lang w:eastAsia="zh-CN"/>
              </w:rPr>
            </w:pPr>
            <w:r>
              <w:rPr>
                <w:rFonts w:hint="eastAsia" w:ascii="微软雅黑" w:hAnsi="微软雅黑" w:eastAsia="微软雅黑" w:cs="微软雅黑"/>
                <w:i w:val="0"/>
                <w:iCs w:val="0"/>
                <w:color w:val="1F2937"/>
                <w:sz w:val="17"/>
              </w:rPr>
              <w:t>空白</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录入中</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已暂存</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已提交 </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已入账</w:t>
            </w:r>
            <w:r>
              <w:rPr>
                <w:rFonts w:hint="eastAsia" w:ascii="微软雅黑" w:hAnsi="微软雅黑" w:eastAsia="微软雅黑" w:cs="微软雅黑"/>
                <w:i w:val="0"/>
                <w:iCs w:val="0"/>
                <w:color w:val="1F2937"/>
                <w:sz w:val="17"/>
                <w:lang w:val="en-US" w:eastAsia="zh-CN"/>
              </w:rPr>
              <w:t xml:space="preserve"> </w:t>
            </w:r>
            <w:r>
              <w:rPr>
                <w:rFonts w:hint="eastAsia" w:ascii="微软雅黑" w:hAnsi="微软雅黑" w:eastAsia="微软雅黑" w:cs="微软雅黑"/>
                <w:i w:val="0"/>
                <w:iCs w:val="0"/>
                <w:color w:val="1F2937"/>
                <w:sz w:val="17"/>
              </w:rPr>
              <w:t xml:space="preserve"> ➔ 锁账</w:t>
            </w:r>
            <w:r>
              <w:rPr>
                <w:rFonts w:hint="eastAsia" w:ascii="微软雅黑" w:hAnsi="微软雅黑" w:eastAsia="微软雅黑" w:cs="微软雅黑"/>
                <w:i w:val="0"/>
                <w:iCs w:val="0"/>
                <w:color w:val="1F2937"/>
                <w:sz w:val="17"/>
                <w:lang w:val="en-US" w:eastAsia="zh-CN"/>
              </w:rPr>
              <w:t xml:space="preserve"> </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2A2AC0B">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车间统计员 (P3) 录入暂存；动力处长审核提交；月度终了财务关账后状态变为“锁账”</w:t>
            </w:r>
          </w:p>
        </w:tc>
        <w:tc>
          <w:tcPr>
            <w:tcW w:w="274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643BB59">
            <w:pPr>
              <w:keepNext/>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审核驳回时退回至“已暂存”，入账后如需纠错须走特批反冲审批流程</w:t>
            </w:r>
          </w:p>
        </w:tc>
      </w:tr>
    </w:tbl>
    <w:p w14:paraId="3F4D0D9A">
      <w:pPr>
        <w:spacing w:after="60"/>
        <w:rPr>
          <w:rFonts w:hint="eastAsia" w:ascii="微软雅黑" w:hAnsi="微软雅黑" w:eastAsia="微软雅黑" w:cs="微软雅黑"/>
          <w:i w:val="0"/>
          <w:iCs w:val="0"/>
        </w:rPr>
      </w:pPr>
    </w:p>
    <w:p w14:paraId="0081E4DD">
      <w:pPr>
        <w:pStyle w:val="4"/>
        <w:keepNext/>
        <w:spacing w:before="260" w:after="100"/>
        <w:outlineLvl w:val="1"/>
        <w:rPr>
          <w:rFonts w:hint="eastAsia" w:ascii="微软雅黑" w:hAnsi="微软雅黑" w:eastAsia="微软雅黑" w:cs="微软雅黑"/>
          <w:i w:val="0"/>
          <w:iCs w:val="0"/>
        </w:rPr>
      </w:pPr>
      <w:bookmarkStart w:id="43" w:name="_Toc13873"/>
      <w:r>
        <w:rPr>
          <w:rFonts w:hint="eastAsia" w:ascii="微软雅黑" w:hAnsi="微软雅黑" w:eastAsia="微软雅黑" w:cs="微软雅黑"/>
          <w:b/>
          <w:i w:val="0"/>
          <w:iCs w:val="0"/>
          <w:color w:val="0284C7"/>
          <w:sz w:val="25"/>
          <w:lang w:val="en-US" w:eastAsia="zh-CN"/>
        </w:rPr>
        <w:t>三、</w:t>
      </w:r>
      <w:r>
        <w:rPr>
          <w:rFonts w:hint="eastAsia" w:ascii="微软雅黑" w:hAnsi="微软雅黑" w:eastAsia="微软雅黑" w:cs="微软雅黑"/>
          <w:b/>
          <w:i w:val="0"/>
          <w:iCs w:val="0"/>
          <w:color w:val="0284C7"/>
          <w:sz w:val="25"/>
        </w:rPr>
        <w:t>术语表与缩略语大全</w:t>
      </w:r>
      <w:bookmarkEnd w:id="43"/>
    </w:p>
    <w:tbl>
      <w:tblPr>
        <w:tblStyle w:val="36"/>
        <w:tblW w:w="9792" w:type="dxa"/>
        <w:jc w:val="center"/>
        <w:tblLayout w:type="autofit"/>
        <w:tblCellMar>
          <w:top w:w="0" w:type="dxa"/>
          <w:left w:w="108" w:type="dxa"/>
          <w:bottom w:w="0" w:type="dxa"/>
          <w:right w:w="108" w:type="dxa"/>
        </w:tblCellMar>
      </w:tblPr>
      <w:tblGrid>
        <w:gridCol w:w="1219"/>
        <w:gridCol w:w="3431"/>
        <w:gridCol w:w="3600"/>
        <w:gridCol w:w="1542"/>
      </w:tblGrid>
      <w:tr w14:paraId="07722B5C">
        <w:tblPrEx>
          <w:tblCellMar>
            <w:top w:w="0" w:type="dxa"/>
            <w:left w:w="108" w:type="dxa"/>
            <w:bottom w:w="0" w:type="dxa"/>
            <w:right w:w="108" w:type="dxa"/>
          </w:tblCellMar>
        </w:tblPrEx>
        <w:trPr>
          <w:trHeight w:val="0" w:hRule="atLeast"/>
          <w:tblHeader/>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1868C9CF">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术语/缩写</w:t>
            </w:r>
          </w:p>
        </w:tc>
        <w:tc>
          <w:tcPr>
            <w:tcW w:w="3431"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33B39F6">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英文全称</w:t>
            </w:r>
          </w:p>
        </w:tc>
        <w:tc>
          <w:tcPr>
            <w:tcW w:w="3600"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D97907C">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工业/业务释义</w:t>
            </w:r>
          </w:p>
        </w:tc>
        <w:tc>
          <w:tcPr>
            <w:tcW w:w="1542"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23732A38">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PRD关联章节</w:t>
            </w:r>
          </w:p>
        </w:tc>
      </w:tr>
      <w:tr w14:paraId="6A2094A4">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0FD0803">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PRD</w:t>
            </w:r>
          </w:p>
        </w:tc>
        <w:tc>
          <w:tcPr>
            <w:tcW w:w="343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0E033E2">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Product Requirements Document</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D31DE2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产品需求规格说明书，最高研发与交付契约</w:t>
            </w:r>
          </w:p>
        </w:tc>
        <w:tc>
          <w:tcPr>
            <w:tcW w:w="154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87AD9B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全文</w:t>
            </w:r>
          </w:p>
        </w:tc>
      </w:tr>
      <w:tr w14:paraId="47C21577">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4E3D72E">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CBAM</w:t>
            </w:r>
          </w:p>
        </w:tc>
        <w:tc>
          <w:tcPr>
            <w:tcW w:w="343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A3F3CD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Carbon Border Adjustment Mechanism</w:t>
            </w:r>
          </w:p>
        </w:tc>
        <w:tc>
          <w:tcPr>
            <w:tcW w:w="360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E00577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欧盟碳边境调节机制（碳关税），2026年正式开征</w:t>
            </w:r>
          </w:p>
        </w:tc>
        <w:tc>
          <w:tcPr>
            <w:tcW w:w="15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1C07E6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13 章</w:t>
            </w:r>
          </w:p>
        </w:tc>
      </w:tr>
      <w:tr w14:paraId="7E9D1DA6">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35316D5">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ETS</w:t>
            </w:r>
          </w:p>
        </w:tc>
        <w:tc>
          <w:tcPr>
            <w:tcW w:w="343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8F92DF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Emissions Trading System</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A09216">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欧盟碳排放交易体系，碳配额实时拍卖价格</w:t>
            </w:r>
          </w:p>
        </w:tc>
        <w:tc>
          <w:tcPr>
            <w:tcW w:w="154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D81418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13 章</w:t>
            </w:r>
          </w:p>
        </w:tc>
      </w:tr>
      <w:tr w14:paraId="53B3257F">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71E6E72">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LCA</w:t>
            </w:r>
          </w:p>
        </w:tc>
        <w:tc>
          <w:tcPr>
            <w:tcW w:w="343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244FEA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Life Cycle Assessment</w:t>
            </w:r>
          </w:p>
        </w:tc>
        <w:tc>
          <w:tcPr>
            <w:tcW w:w="360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540205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生命周期评价（涵盖原材料、制造、运输、使用、废弃）</w:t>
            </w:r>
          </w:p>
        </w:tc>
        <w:tc>
          <w:tcPr>
            <w:tcW w:w="15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E3C069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12 章</w:t>
            </w:r>
          </w:p>
        </w:tc>
      </w:tr>
      <w:tr w14:paraId="44CD075E">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23D8215">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BOM</w:t>
            </w:r>
          </w:p>
        </w:tc>
        <w:tc>
          <w:tcPr>
            <w:tcW w:w="343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E907CA9">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Bill of Materials</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28BD4D5">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产品物料清单，碳足迹核算层级分解的基础输入</w:t>
            </w:r>
          </w:p>
        </w:tc>
        <w:tc>
          <w:tcPr>
            <w:tcW w:w="154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3BB796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12 章</w:t>
            </w:r>
          </w:p>
        </w:tc>
      </w:tr>
      <w:tr w14:paraId="2AA28950">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37927C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SCADA</w:t>
            </w:r>
          </w:p>
        </w:tc>
        <w:tc>
          <w:tcPr>
            <w:tcW w:w="343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E69D056">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Supervisory Control and Data Acquisition</w:t>
            </w:r>
          </w:p>
        </w:tc>
        <w:tc>
          <w:tcPr>
            <w:tcW w:w="360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0F5B4A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数据采集与监视控制系统，变配电秒级遥测来源</w:t>
            </w:r>
          </w:p>
        </w:tc>
        <w:tc>
          <w:tcPr>
            <w:tcW w:w="15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7B15771">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5、17 章</w:t>
            </w:r>
          </w:p>
        </w:tc>
      </w:tr>
      <w:tr w14:paraId="0B8F3805">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9F7950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MQTT</w:t>
            </w:r>
          </w:p>
        </w:tc>
        <w:tc>
          <w:tcPr>
            <w:tcW w:w="343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EF28C0B">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Message Queuing Telemetry Transport</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5C5A94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轻量级物联网消息发布订阅协议，传感器上报标准</w:t>
            </w:r>
          </w:p>
        </w:tc>
        <w:tc>
          <w:tcPr>
            <w:tcW w:w="154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93C8FD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17 章</w:t>
            </w:r>
          </w:p>
        </w:tc>
      </w:tr>
      <w:tr w14:paraId="5E9A96ED">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74EDA5B">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M&amp;V</w:t>
            </w:r>
          </w:p>
        </w:tc>
        <w:tc>
          <w:tcPr>
            <w:tcW w:w="343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60ADC6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Measurement and Verification</w:t>
            </w:r>
          </w:p>
        </w:tc>
        <w:tc>
          <w:tcPr>
            <w:tcW w:w="360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04F494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节能量测量与验证（遵循国际通用 IPMVP 规程）</w:t>
            </w:r>
          </w:p>
        </w:tc>
        <w:tc>
          <w:tcPr>
            <w:tcW w:w="15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2AA156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7 章</w:t>
            </w:r>
          </w:p>
        </w:tc>
      </w:tr>
      <w:tr w14:paraId="21453743">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4783D4B">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kgce / tce</w:t>
            </w:r>
          </w:p>
        </w:tc>
        <w:tc>
          <w:tcPr>
            <w:tcW w:w="343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0C1C126">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kilogram / ton of coal equivalent</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A8F7A5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千克标准煤 / 吨标准煤，我国通用综合能源计量单位</w:t>
            </w:r>
          </w:p>
        </w:tc>
        <w:tc>
          <w:tcPr>
            <w:tcW w:w="154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88CCEC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5、6、8 章</w:t>
            </w:r>
          </w:p>
        </w:tc>
      </w:tr>
      <w:tr w14:paraId="176CACDD">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E2FF2A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Scope 1</w:t>
            </w:r>
          </w:p>
        </w:tc>
        <w:tc>
          <w:tcPr>
            <w:tcW w:w="343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9EFC32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Direct GHG Emissions</w:t>
            </w:r>
          </w:p>
        </w:tc>
        <w:tc>
          <w:tcPr>
            <w:tcW w:w="360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146069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范围一：企业拥有或控制的排放源燃烧化石燃料的直接排放</w:t>
            </w:r>
          </w:p>
        </w:tc>
        <w:tc>
          <w:tcPr>
            <w:tcW w:w="15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7ED5A7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5 章</w:t>
            </w:r>
          </w:p>
        </w:tc>
      </w:tr>
      <w:tr w14:paraId="07AC2602">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2D1185F">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Scope 2</w:t>
            </w:r>
          </w:p>
        </w:tc>
        <w:tc>
          <w:tcPr>
            <w:tcW w:w="343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7A0F4F2">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Electricity Indirect GHG Emissions</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D59AB49">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范围二：外购电力、热力或蒸汽消费导致的间接温室气体排放</w:t>
            </w:r>
          </w:p>
        </w:tc>
        <w:tc>
          <w:tcPr>
            <w:tcW w:w="154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8D84ED6">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5 章</w:t>
            </w:r>
          </w:p>
        </w:tc>
      </w:tr>
      <w:tr w14:paraId="7FAAD3E2">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A78E5B9">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Scope 3</w:t>
            </w:r>
          </w:p>
        </w:tc>
        <w:tc>
          <w:tcPr>
            <w:tcW w:w="343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0A7B273">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Other Indirect GHG Emissions</w:t>
            </w:r>
          </w:p>
        </w:tc>
        <w:tc>
          <w:tcPr>
            <w:tcW w:w="360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08CD879">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范围三：企业价值链上下游所有其他间接排放（采购、外协等）</w:t>
            </w:r>
          </w:p>
        </w:tc>
        <w:tc>
          <w:tcPr>
            <w:tcW w:w="15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D397183">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12 章</w:t>
            </w:r>
          </w:p>
        </w:tc>
      </w:tr>
      <w:tr w14:paraId="407C2AE8">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A57DDCF">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EQP / BVA</w:t>
            </w:r>
          </w:p>
        </w:tc>
        <w:tc>
          <w:tcPr>
            <w:tcW w:w="343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7E3B0A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Equivalence Partitioning / Boundary Value Analysis</w:t>
            </w:r>
          </w:p>
        </w:tc>
        <w:tc>
          <w:tcPr>
            <w:tcW w:w="3600"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A9051C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等价类划分与边界值分析，QA 极限测试方法论</w:t>
            </w:r>
          </w:p>
        </w:tc>
        <w:tc>
          <w:tcPr>
            <w:tcW w:w="154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A54460B">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18 章</w:t>
            </w:r>
          </w:p>
        </w:tc>
      </w:tr>
      <w:tr w14:paraId="79350B7C">
        <w:tblPrEx>
          <w:tblCellMar>
            <w:top w:w="0" w:type="dxa"/>
            <w:left w:w="108" w:type="dxa"/>
            <w:bottom w:w="0" w:type="dxa"/>
            <w:right w:w="108" w:type="dxa"/>
          </w:tblCellMar>
        </w:tblPrEx>
        <w:trPr>
          <w:trHeight w:val="0" w:hRule="atLeast"/>
          <w:jc w:val="center"/>
        </w:trPr>
        <w:tc>
          <w:tcPr>
            <w:tcW w:w="121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CDB5A9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RACI</w:t>
            </w:r>
          </w:p>
        </w:tc>
        <w:tc>
          <w:tcPr>
            <w:tcW w:w="343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BA5CC39">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Responsible / Accountable / Consulted / Informed</w:t>
            </w:r>
          </w:p>
        </w:tc>
        <w:tc>
          <w:tcPr>
            <w:tcW w:w="3600"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3AB5B5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责任分配矩阵，明确各项决策的唯一最终责任人</w:t>
            </w:r>
          </w:p>
        </w:tc>
        <w:tc>
          <w:tcPr>
            <w:tcW w:w="15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4304191">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23 章</w:t>
            </w:r>
          </w:p>
        </w:tc>
      </w:tr>
    </w:tbl>
    <w:p w14:paraId="419B7C79">
      <w:pPr>
        <w:spacing w:after="60"/>
        <w:rPr>
          <w:rFonts w:hint="eastAsia" w:ascii="微软雅黑" w:hAnsi="微软雅黑" w:eastAsia="微软雅黑" w:cs="微软雅黑"/>
          <w:i w:val="0"/>
          <w:iCs w:val="0"/>
        </w:rPr>
      </w:pPr>
    </w:p>
    <w:p w14:paraId="0F9D428C">
      <w:pPr>
        <w:pStyle w:val="4"/>
        <w:keepNext/>
        <w:spacing w:before="260" w:after="100"/>
        <w:outlineLvl w:val="1"/>
        <w:rPr>
          <w:rFonts w:hint="eastAsia" w:ascii="微软雅黑" w:hAnsi="微软雅黑" w:eastAsia="微软雅黑" w:cs="微软雅黑"/>
          <w:i w:val="0"/>
          <w:iCs w:val="0"/>
        </w:rPr>
      </w:pPr>
      <w:bookmarkStart w:id="44" w:name="_Toc7330"/>
      <w:r>
        <w:rPr>
          <w:rFonts w:hint="eastAsia" w:ascii="微软雅黑" w:hAnsi="微软雅黑" w:eastAsia="微软雅黑" w:cs="微软雅黑"/>
          <w:b/>
          <w:i w:val="0"/>
          <w:iCs w:val="0"/>
          <w:color w:val="0284C7"/>
          <w:sz w:val="25"/>
          <w:lang w:val="en-US" w:eastAsia="zh-CN"/>
        </w:rPr>
        <w:t>四、</w:t>
      </w:r>
      <w:r>
        <w:rPr>
          <w:rFonts w:hint="eastAsia" w:ascii="微软雅黑" w:hAnsi="微软雅黑" w:eastAsia="微软雅黑" w:cs="微软雅黑"/>
          <w:b/>
          <w:i w:val="0"/>
          <w:iCs w:val="0"/>
          <w:color w:val="0284C7"/>
          <w:sz w:val="25"/>
        </w:rPr>
        <w:t>标准化错误码字典与异常分级</w:t>
      </w:r>
      <w:bookmarkEnd w:id="44"/>
    </w:p>
    <w:p w14:paraId="5B1E444F">
      <w:pPr>
        <w:spacing w:after="80" w:line="288" w:lineRule="auto"/>
        <w:ind w:left="0" w:leftChars="0" w:firstLine="440" w:firstLineChars="0"/>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9"/>
        </w:rPr>
        <w:t>全平台执行统一规范格式：E_&lt;DOMAIN&gt;_&lt;MODULE&gt;_&lt;REASON&gt;[_&lt;SUFFIX&gt;]，分划 P0 系统级、P1 业务级、P2 提示级、P3 信息级四大级别：</w:t>
      </w:r>
    </w:p>
    <w:tbl>
      <w:tblPr>
        <w:tblStyle w:val="36"/>
        <w:tblW w:w="9792" w:type="dxa"/>
        <w:jc w:val="center"/>
        <w:tblLayout w:type="autofit"/>
        <w:tblCellMar>
          <w:top w:w="0" w:type="dxa"/>
          <w:left w:w="108" w:type="dxa"/>
          <w:bottom w:w="0" w:type="dxa"/>
          <w:right w:w="108" w:type="dxa"/>
        </w:tblCellMar>
      </w:tblPr>
      <w:tblGrid>
        <w:gridCol w:w="2649"/>
        <w:gridCol w:w="1272"/>
        <w:gridCol w:w="736"/>
        <w:gridCol w:w="2444"/>
        <w:gridCol w:w="2691"/>
      </w:tblGrid>
      <w:tr w14:paraId="16703390">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4395A4E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标准错误码</w:t>
            </w:r>
          </w:p>
        </w:tc>
        <w:tc>
          <w:tcPr>
            <w:tcW w:w="1273"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386C3E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HTTP状态</w:t>
            </w:r>
          </w:p>
        </w:tc>
        <w:tc>
          <w:tcPr>
            <w:tcW w:w="736"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1B75EB72">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级别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53A7BCF1">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触发业务场景</w:t>
            </w:r>
          </w:p>
        </w:tc>
        <w:tc>
          <w:tcPr>
            <w:tcW w:w="2691"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6D55DD67">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前端交互与后端处理建议</w:t>
            </w:r>
          </w:p>
        </w:tc>
      </w:tr>
      <w:tr w14:paraId="4EB8AC6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71C2C7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E_VAL_ENERGY_NEGATIVE</w:t>
            </w:r>
          </w:p>
        </w:tc>
        <w:tc>
          <w:tcPr>
            <w:tcW w:w="127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70DE970">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400</w:t>
            </w:r>
          </w:p>
        </w:tc>
        <w:tc>
          <w:tcPr>
            <w:tcW w:w="73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53ACB9B">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6FDC23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车间能源消耗或产品产量录入负数</w:t>
            </w:r>
          </w:p>
        </w:tc>
        <w:tc>
          <w:tcPr>
            <w:tcW w:w="269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E836F66">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输入框即时红框高亮，拦截表单提交，提示请输入非负数</w:t>
            </w:r>
          </w:p>
        </w:tc>
      </w:tr>
      <w:tr w14:paraId="437E0945">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5C8BF4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E_VAL_MON_KVA_ZERO</w:t>
            </w:r>
          </w:p>
        </w:tc>
        <w:tc>
          <w:tcPr>
            <w:tcW w:w="127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86A3304">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400</w:t>
            </w:r>
          </w:p>
        </w:tc>
        <w:tc>
          <w:tcPr>
            <w:tcW w:w="736"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F82C601">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F65FEDF">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测算单位产品能耗时分母产量录入为零</w:t>
            </w:r>
          </w:p>
        </w:tc>
        <w:tc>
          <w:tcPr>
            <w:tcW w:w="269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7C3B5AF">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拦截除零运算，单耗显示为“--”，提示无生产批次</w:t>
            </w:r>
          </w:p>
        </w:tc>
      </w:tr>
      <w:tr w14:paraId="163F6C48">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D7B790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E_CALC_UNIT_DIV_ZERO_SOFT</w:t>
            </w:r>
          </w:p>
        </w:tc>
        <w:tc>
          <w:tcPr>
            <w:tcW w:w="127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6AB0E31">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200</w:t>
            </w:r>
          </w:p>
        </w:tc>
        <w:tc>
          <w:tcPr>
            <w:tcW w:w="73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E876C1E">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C9CD3CB">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图表渲染遭遇除以零异常</w:t>
            </w:r>
          </w:p>
        </w:tc>
        <w:tc>
          <w:tcPr>
            <w:tcW w:w="269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A98A8A2">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前端软降级显示“--”，严禁出现 NaN 或页面崩溃</w:t>
            </w:r>
          </w:p>
        </w:tc>
      </w:tr>
      <w:tr w14:paraId="6B022A4D">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8F0702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E_IO_MQTT_TIMEOUT</w:t>
            </w:r>
          </w:p>
        </w:tc>
        <w:tc>
          <w:tcPr>
            <w:tcW w:w="127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5F52BE4">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504</w:t>
            </w:r>
          </w:p>
        </w:tc>
        <w:tc>
          <w:tcPr>
            <w:tcW w:w="736"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5412CD2">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C4D79C2">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微电网或设备采集网关超过 5 秒未响应</w:t>
            </w:r>
          </w:p>
        </w:tc>
        <w:tc>
          <w:tcPr>
            <w:tcW w:w="269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DCC5A86">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图表展示最近一次缓存读数并打上“数据延迟”微标签</w:t>
            </w:r>
          </w:p>
        </w:tc>
      </w:tr>
      <w:tr w14:paraId="7B52234B">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A089216">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E_AUTH_RBAC_FORBIDDEN</w:t>
            </w:r>
          </w:p>
        </w:tc>
        <w:tc>
          <w:tcPr>
            <w:tcW w:w="127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FBE73D3">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403</w:t>
            </w:r>
          </w:p>
        </w:tc>
        <w:tc>
          <w:tcPr>
            <w:tcW w:w="73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BB626A3">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706D97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非授权角色（如P3）试图访问CBAM底表</w:t>
            </w:r>
          </w:p>
        </w:tc>
        <w:tc>
          <w:tcPr>
            <w:tcW w:w="269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6F50ABB">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拦截操作，展示无权访问提示并记录越权审计日志</w:t>
            </w:r>
          </w:p>
        </w:tc>
      </w:tr>
      <w:tr w14:paraId="422588C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B2078D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E_EXT_ETS_PRICE_STALE</w:t>
            </w:r>
          </w:p>
        </w:tc>
        <w:tc>
          <w:tcPr>
            <w:tcW w:w="127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5A08EBF">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200</w:t>
            </w:r>
          </w:p>
        </w:tc>
        <w:tc>
          <w:tcPr>
            <w:tcW w:w="736"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C7A7936">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81AF6E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CBAM 模拟时欧盟 ETS 价格超 24h 未更新</w:t>
            </w:r>
          </w:p>
        </w:tc>
        <w:tc>
          <w:tcPr>
            <w:tcW w:w="269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F6D2172">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测算结果上方以黄色提示框注明碳价滞后，提供手动拉取按钮</w:t>
            </w:r>
          </w:p>
        </w:tc>
      </w:tr>
      <w:tr w14:paraId="275295E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2BF2391">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E_SYS_DB_CONN_LOST</w:t>
            </w:r>
          </w:p>
        </w:tc>
        <w:tc>
          <w:tcPr>
            <w:tcW w:w="127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B830BA7">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503</w:t>
            </w:r>
          </w:p>
        </w:tc>
        <w:tc>
          <w:tcPr>
            <w:tcW w:w="736"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A45755D">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F1BC43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时序数仓或业务主库连接中断</w:t>
            </w:r>
          </w:p>
        </w:tc>
        <w:tc>
          <w:tcPr>
            <w:tcW w:w="269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00BD364">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双中心自动切换至只读备灾集群，触发 PagerDuty 报警</w:t>
            </w:r>
          </w:p>
        </w:tc>
      </w:tr>
      <w:tr w14:paraId="02841145">
        <w:tblPrEx>
          <w:tblCellMar>
            <w:top w:w="0" w:type="dxa"/>
            <w:left w:w="108" w:type="dxa"/>
            <w:bottom w:w="0" w:type="dxa"/>
            <w:right w:w="108" w:type="dxa"/>
          </w:tblCellMar>
        </w:tblPrEx>
        <w:trPr>
          <w:trHeight w:val="0" w:hRule="atLeast"/>
          <w:jc w:val="center"/>
        </w:trPr>
        <w:tc>
          <w:tcPr>
            <w:tcW w:w="2649"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FD9B04D">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E_QM_WHITE_LIST_MISS</w:t>
            </w:r>
          </w:p>
        </w:tc>
        <w:tc>
          <w:tcPr>
            <w:tcW w:w="127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1C1AE38">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200</w:t>
            </w:r>
          </w:p>
        </w:tc>
        <w:tc>
          <w:tcPr>
            <w:tcW w:w="736"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B689545">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P3</w:t>
            </w:r>
          </w:p>
        </w:tc>
        <w:tc>
          <w:tcPr>
            <w:tcW w:w="244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7F4C96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选中企业在关键工序对应表无映射工序</w:t>
            </w:r>
          </w:p>
        </w:tc>
        <w:tc>
          <w:tcPr>
            <w:tcW w:w="269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E1A40E0">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单行干练输出：暂无相关工序！，无空白卡片与说教文案</w:t>
            </w:r>
          </w:p>
        </w:tc>
      </w:tr>
    </w:tbl>
    <w:p w14:paraId="7A1E18C4">
      <w:pPr>
        <w:spacing w:after="60"/>
        <w:rPr>
          <w:rFonts w:hint="eastAsia" w:ascii="微软雅黑" w:hAnsi="微软雅黑" w:eastAsia="微软雅黑" w:cs="微软雅黑"/>
          <w:i w:val="0"/>
          <w:iCs w:val="0"/>
        </w:rPr>
      </w:pPr>
    </w:p>
    <w:p w14:paraId="5EEB032C">
      <w:pPr>
        <w:pStyle w:val="4"/>
        <w:keepNext/>
        <w:spacing w:before="260" w:after="100"/>
        <w:outlineLvl w:val="1"/>
        <w:rPr>
          <w:rFonts w:hint="eastAsia" w:ascii="微软雅黑" w:hAnsi="微软雅黑" w:eastAsia="微软雅黑" w:cs="微软雅黑"/>
          <w:i w:val="0"/>
          <w:iCs w:val="0"/>
        </w:rPr>
      </w:pPr>
      <w:bookmarkStart w:id="45" w:name="_Toc28679"/>
      <w:r>
        <w:rPr>
          <w:rFonts w:hint="eastAsia" w:ascii="微软雅黑" w:hAnsi="微软雅黑" w:eastAsia="微软雅黑" w:cs="微软雅黑"/>
          <w:b/>
          <w:i w:val="0"/>
          <w:iCs w:val="0"/>
          <w:color w:val="0284C7"/>
          <w:sz w:val="25"/>
          <w:lang w:val="en-US" w:eastAsia="zh-CN"/>
        </w:rPr>
        <w:t>五、</w:t>
      </w:r>
      <w:r>
        <w:rPr>
          <w:rFonts w:hint="eastAsia" w:ascii="微软雅黑" w:hAnsi="微软雅黑" w:eastAsia="微软雅黑" w:cs="微软雅黑"/>
          <w:b/>
          <w:i w:val="0"/>
          <w:iCs w:val="0"/>
          <w:color w:val="0284C7"/>
          <w:sz w:val="25"/>
        </w:rPr>
        <w:t>决策治理 RACI 责任矩阵</w:t>
      </w:r>
      <w:bookmarkEnd w:id="45"/>
    </w:p>
    <w:p w14:paraId="68E54993">
      <w:pPr>
        <w:spacing w:after="80" w:line="288" w:lineRule="auto"/>
        <w:ind w:left="0" w:leftChars="0" w:firstLine="440" w:firstLineChars="0"/>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9"/>
        </w:rPr>
        <w:t>明确关键决策点单一 A (唯一最终责任人)，杜绝职责推诿：</w:t>
      </w:r>
    </w:p>
    <w:tbl>
      <w:tblPr>
        <w:tblStyle w:val="36"/>
        <w:tblW w:w="9792" w:type="dxa"/>
        <w:jc w:val="center"/>
        <w:tblLayout w:type="autofit"/>
        <w:tblCellMar>
          <w:top w:w="0" w:type="dxa"/>
          <w:left w:w="108" w:type="dxa"/>
          <w:bottom w:w="0" w:type="dxa"/>
          <w:right w:w="108" w:type="dxa"/>
        </w:tblCellMar>
      </w:tblPr>
      <w:tblGrid>
        <w:gridCol w:w="3547"/>
        <w:gridCol w:w="1097"/>
        <w:gridCol w:w="1334"/>
        <w:gridCol w:w="1097"/>
        <w:gridCol w:w="652"/>
        <w:gridCol w:w="714"/>
        <w:gridCol w:w="623"/>
        <w:gridCol w:w="728"/>
      </w:tblGrid>
      <w:tr w14:paraId="74C67359">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783579D6">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核心决策事项</w:t>
            </w:r>
          </w:p>
        </w:tc>
        <w:tc>
          <w:tcPr>
            <w:tcW w:w="109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2466B3AB">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P1 集团</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592B44C3">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P4 碳专员</w:t>
            </w:r>
          </w:p>
        </w:tc>
        <w:tc>
          <w:tcPr>
            <w:tcW w:w="109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465E5FB8">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P5 报关</w:t>
            </w:r>
          </w:p>
        </w:tc>
        <w:tc>
          <w:tcPr>
            <w:tcW w:w="652"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4C5ABDA8">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PM</w:t>
            </w:r>
          </w:p>
        </w:tc>
        <w:tc>
          <w:tcPr>
            <w:tcW w:w="714"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3D6C3B89">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Dev</w:t>
            </w:r>
          </w:p>
        </w:tc>
        <w:tc>
          <w:tcPr>
            <w:tcW w:w="623"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1BD1B701">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QA</w:t>
            </w:r>
          </w:p>
        </w:tc>
        <w:tc>
          <w:tcPr>
            <w:tcW w:w="72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tcPr>
          <w:p w14:paraId="6EE9EF9D">
            <w:pPr>
              <w:snapToGrid w:val="0"/>
              <w:jc w:val="center"/>
              <w:rPr>
                <w:rFonts w:hint="eastAsia" w:ascii="微软雅黑" w:hAnsi="微软雅黑" w:eastAsia="微软雅黑" w:cs="微软雅黑"/>
                <w:i w:val="0"/>
                <w:iCs w:val="0"/>
              </w:rPr>
            </w:pPr>
            <w:r>
              <w:rPr>
                <w:rFonts w:hint="eastAsia" w:ascii="微软雅黑" w:hAnsi="微软雅黑" w:eastAsia="微软雅黑" w:cs="微软雅黑"/>
                <w:b/>
                <w:i w:val="0"/>
                <w:iCs w:val="0"/>
                <w:color w:val="FFFFFF"/>
                <w:sz w:val="18"/>
              </w:rPr>
              <w:t>法务</w:t>
            </w:r>
          </w:p>
        </w:tc>
      </w:tr>
      <w:tr w14:paraId="4E662567">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tcPr>
          <w:p w14:paraId="33C9A982">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北极星指标与业务范围定义</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4314FC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8DF87D9">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A904D62">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65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2867E9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R</w:t>
            </w:r>
          </w:p>
        </w:tc>
        <w:tc>
          <w:tcPr>
            <w:tcW w:w="71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740FA73">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62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0F419C4">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72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1D79B06">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r>
      <w:tr w14:paraId="64A2F174">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tcPr>
          <w:p w14:paraId="240EF248">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LCA 碳足迹报告正式对外签发</w:t>
            </w:r>
          </w:p>
        </w:tc>
        <w:tc>
          <w:tcPr>
            <w:tcW w:w="10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D85C92C">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3B95759">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c>
          <w:tcPr>
            <w:tcW w:w="10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64ABBC9">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65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AF5445E">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R</w:t>
            </w:r>
          </w:p>
        </w:tc>
        <w:tc>
          <w:tcPr>
            <w:tcW w:w="71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AE5519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62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0655245">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72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1CEBB86">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r>
      <w:tr w14:paraId="0E51E5AA">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tcPr>
          <w:p w14:paraId="4021EACA">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欧盟 CBAM 申报数据包终审报送</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C6A1184">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B5613A3">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5A3F6C9">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c>
          <w:tcPr>
            <w:tcW w:w="65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20E122B">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R</w:t>
            </w:r>
          </w:p>
        </w:tc>
        <w:tc>
          <w:tcPr>
            <w:tcW w:w="71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F607E66">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62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9760D8F">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72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1EB382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r>
      <w:tr w14:paraId="60F8D1B3">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tcPr>
          <w:p w14:paraId="708546E6">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月度基层数据关账与反冲审批</w:t>
            </w:r>
          </w:p>
        </w:tc>
        <w:tc>
          <w:tcPr>
            <w:tcW w:w="10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5B7406E">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2F9F4BC">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w:t>
            </w:r>
          </w:p>
        </w:tc>
        <w:tc>
          <w:tcPr>
            <w:tcW w:w="10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514B69A">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w:t>
            </w:r>
          </w:p>
        </w:tc>
        <w:tc>
          <w:tcPr>
            <w:tcW w:w="65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82C2671">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c>
          <w:tcPr>
            <w:tcW w:w="71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12DC88F">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R</w:t>
            </w:r>
          </w:p>
        </w:tc>
        <w:tc>
          <w:tcPr>
            <w:tcW w:w="62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80A39B8">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72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C8B6B2F">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r>
      <w:tr w14:paraId="551B4F7A">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tcPr>
          <w:p w14:paraId="4FA82F4C">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统一错误码与 API 契约变更</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86B5209">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0690918">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1A2005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65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11AF3C2">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c>
          <w:tcPr>
            <w:tcW w:w="71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40E6B0C">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R</w:t>
            </w:r>
          </w:p>
        </w:tc>
        <w:tc>
          <w:tcPr>
            <w:tcW w:w="62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1E90915">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72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2EDCEDC">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r>
      <w:tr w14:paraId="3081261B">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tcPr>
          <w:p w14:paraId="5F419184">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铁律修订</w:t>
            </w:r>
          </w:p>
        </w:tc>
        <w:tc>
          <w:tcPr>
            <w:tcW w:w="10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0FA382D">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A4A724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109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F567FDC">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65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5EF5752">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714"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BCBDC73">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c>
          <w:tcPr>
            <w:tcW w:w="62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D06D43A">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R</w:t>
            </w:r>
          </w:p>
        </w:tc>
        <w:tc>
          <w:tcPr>
            <w:tcW w:w="72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D507A75">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r>
      <w:tr w14:paraId="039F44A0">
        <w:tblPrEx>
          <w:tblCellMar>
            <w:top w:w="0" w:type="dxa"/>
            <w:left w:w="108" w:type="dxa"/>
            <w:bottom w:w="0" w:type="dxa"/>
            <w:right w:w="108" w:type="dxa"/>
          </w:tblCellMar>
        </w:tblPrEx>
        <w:trPr>
          <w:trHeight w:val="0" w:hRule="atLeast"/>
          <w:jc w:val="center"/>
        </w:trPr>
        <w:tc>
          <w:tcPr>
            <w:tcW w:w="354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tcPr>
          <w:p w14:paraId="754A7A4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权威工序白名单判定扩展</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3AA353B">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B1CAD11">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w:t>
            </w:r>
          </w:p>
        </w:tc>
        <w:tc>
          <w:tcPr>
            <w:tcW w:w="109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34A05BB">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w:t>
            </w:r>
          </w:p>
        </w:tc>
        <w:tc>
          <w:tcPr>
            <w:tcW w:w="652"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CAFFBC4">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C</w:t>
            </w:r>
          </w:p>
        </w:tc>
        <w:tc>
          <w:tcPr>
            <w:tcW w:w="714"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7BD3430">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R</w:t>
            </w:r>
          </w:p>
        </w:tc>
        <w:tc>
          <w:tcPr>
            <w:tcW w:w="62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1B5CAEB6">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A</w:t>
            </w:r>
          </w:p>
        </w:tc>
        <w:tc>
          <w:tcPr>
            <w:tcW w:w="72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70DD057">
            <w:pPr>
              <w:snapToGrid w:val="0"/>
              <w:jc w:val="center"/>
              <w:rPr>
                <w:rFonts w:hint="eastAsia" w:ascii="微软雅黑" w:hAnsi="微软雅黑" w:eastAsia="微软雅黑" w:cs="微软雅黑"/>
                <w:i w:val="0"/>
                <w:iCs w:val="0"/>
              </w:rPr>
            </w:pPr>
            <w:r>
              <w:rPr>
                <w:rFonts w:hint="eastAsia" w:ascii="微软雅黑" w:hAnsi="微软雅黑" w:eastAsia="微软雅黑" w:cs="微软雅黑"/>
                <w:i w:val="0"/>
                <w:iCs w:val="0"/>
                <w:color w:val="1F2937"/>
                <w:sz w:val="17"/>
              </w:rPr>
              <w:t>I</w:t>
            </w:r>
          </w:p>
        </w:tc>
      </w:tr>
    </w:tbl>
    <w:p w14:paraId="424B256B">
      <w:pPr>
        <w:spacing w:after="60"/>
        <w:rPr>
          <w:rFonts w:hint="eastAsia" w:ascii="微软雅黑" w:hAnsi="微软雅黑" w:eastAsia="微软雅黑" w:cs="微软雅黑"/>
          <w:i w:val="0"/>
          <w:iCs w:val="0"/>
        </w:rPr>
      </w:pPr>
    </w:p>
    <w:p w14:paraId="37057E42">
      <w:pPr>
        <w:pStyle w:val="4"/>
        <w:keepNext/>
        <w:spacing w:before="260" w:after="100"/>
        <w:outlineLvl w:val="0"/>
        <w:rPr>
          <w:rFonts w:hint="eastAsia" w:ascii="微软雅黑" w:hAnsi="微软雅黑" w:eastAsia="微软雅黑" w:cs="微软雅黑"/>
          <w:i w:val="0"/>
          <w:iCs w:val="0"/>
          <w:sz w:val="28"/>
          <w:szCs w:val="28"/>
        </w:rPr>
      </w:pPr>
      <w:bookmarkStart w:id="46" w:name="_Toc14813"/>
      <w:r>
        <w:rPr>
          <w:rFonts w:hint="eastAsia" w:ascii="微软雅黑" w:hAnsi="微软雅黑" w:eastAsia="微软雅黑" w:cs="微软雅黑"/>
          <w:b/>
          <w:i w:val="0"/>
          <w:iCs w:val="0"/>
          <w:color w:val="0284C7"/>
          <w:sz w:val="28"/>
          <w:szCs w:val="28"/>
        </w:rPr>
        <w:t>附录 A：现行国标 / 行标 / 欧标 法规映射表</w:t>
      </w:r>
      <w:bookmarkEnd w:id="46"/>
    </w:p>
    <w:tbl>
      <w:tblPr>
        <w:tblStyle w:val="36"/>
        <w:tblW w:w="9792" w:type="dxa"/>
        <w:jc w:val="center"/>
        <w:tblLayout w:type="autofit"/>
        <w:tblCellMar>
          <w:top w:w="0" w:type="dxa"/>
          <w:left w:w="108" w:type="dxa"/>
          <w:bottom w:w="0" w:type="dxa"/>
          <w:right w:w="108" w:type="dxa"/>
        </w:tblCellMar>
      </w:tblPr>
      <w:tblGrid>
        <w:gridCol w:w="1742"/>
        <w:gridCol w:w="2991"/>
        <w:gridCol w:w="3571"/>
        <w:gridCol w:w="1488"/>
      </w:tblGrid>
      <w:tr w14:paraId="65CCB085">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7A137019">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标准代号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2B704696">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标准名称</w:t>
            </w:r>
          </w:p>
        </w:tc>
        <w:tc>
          <w:tcPr>
            <w:tcW w:w="3571"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094DB264">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工程适用范围</w:t>
            </w:r>
          </w:p>
        </w:tc>
        <w:tc>
          <w:tcPr>
            <w:tcW w:w="1488"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349C9041">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PRD关联章节</w:t>
            </w:r>
          </w:p>
        </w:tc>
      </w:tr>
      <w:tr w14:paraId="76975453">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CF48537">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6E2F085">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综合能耗计算通则</w:t>
            </w:r>
          </w:p>
        </w:tc>
        <w:tc>
          <w:tcPr>
            <w:tcW w:w="357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281D17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全平台能耗折算、折标煤系数库</w:t>
            </w:r>
          </w:p>
        </w:tc>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9B1691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3、5、6、8 章</w:t>
            </w:r>
          </w:p>
        </w:tc>
      </w:tr>
      <w:tr w14:paraId="5F06D7DC">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23D4A15">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GB 17167-2006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F147AF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用能单位能源计量器具配备和管理通则</w:t>
            </w:r>
          </w:p>
        </w:tc>
        <w:tc>
          <w:tcPr>
            <w:tcW w:w="357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2D12A3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重点用能设备表计配备、物联点位布设</w:t>
            </w:r>
          </w:p>
        </w:tc>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E13C03F">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5、17 章</w:t>
            </w:r>
          </w:p>
        </w:tc>
      </w:tr>
      <w:tr w14:paraId="34F82A49">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6CBC876">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GB/T 32150-2015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434216F">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工业企业温室气体排放核算和报告通则</w:t>
            </w:r>
          </w:p>
        </w:tc>
        <w:tc>
          <w:tcPr>
            <w:tcW w:w="357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8054B22">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Scope 1 直接化石燃烧 + Scope 2 外购电热测算</w:t>
            </w:r>
          </w:p>
        </w:tc>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408D386">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5 章</w:t>
            </w:r>
          </w:p>
        </w:tc>
      </w:tr>
      <w:tr w14:paraId="0E8CBA5F">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218F08A">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3D6CC6F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温室气体 产品碳足迹 量化要求和指南</w:t>
            </w:r>
          </w:p>
        </w:tc>
        <w:tc>
          <w:tcPr>
            <w:tcW w:w="357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C624B76">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变压器/线缆生命周期评价与双语报告导出</w:t>
            </w:r>
          </w:p>
        </w:tc>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40D1F83">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12 章</w:t>
            </w:r>
          </w:p>
        </w:tc>
      </w:tr>
      <w:tr w14:paraId="4B355DE0">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A854F60">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ISO 14064-1:2018</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FCB0742">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组织层次上温室气体排放清单编制指南</w:t>
            </w:r>
          </w:p>
        </w:tc>
        <w:tc>
          <w:tcPr>
            <w:tcW w:w="357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B7CC010">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零碳园区全景碳盘查与减排抵消量核算</w:t>
            </w:r>
          </w:p>
        </w:tc>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A36CB49">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5 章</w:t>
            </w:r>
          </w:p>
        </w:tc>
      </w:tr>
      <w:tr w14:paraId="5E155F64">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744F8A8">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ISO 50001:2018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924A10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能源管理体系 要求及使用指南</w:t>
            </w:r>
          </w:p>
        </w:tc>
        <w:tc>
          <w:tcPr>
            <w:tcW w:w="357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79093B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零碳工厂自评估运营管理考核维度</w:t>
            </w:r>
          </w:p>
        </w:tc>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FFE2F1C">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7 章</w:t>
            </w:r>
          </w:p>
        </w:tc>
      </w:tr>
      <w:tr w14:paraId="58015BF7">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70F7DBF1">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EU CBAM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844B1C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欧盟碳边境调节机制正式条例</w:t>
            </w:r>
          </w:p>
        </w:tc>
        <w:tc>
          <w:tcPr>
            <w:tcW w:w="3571"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58147F8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欧盟海关税号映射、前驱物测算、XML导出</w:t>
            </w:r>
          </w:p>
        </w:tc>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ACEC51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13 章</w:t>
            </w:r>
          </w:p>
        </w:tc>
      </w:tr>
      <w:tr w14:paraId="09909B08">
        <w:tblPrEx>
          <w:tblCellMar>
            <w:top w:w="0" w:type="dxa"/>
            <w:left w:w="108" w:type="dxa"/>
            <w:bottom w:w="0" w:type="dxa"/>
            <w:right w:w="108" w:type="dxa"/>
          </w:tblCellMar>
        </w:tblPrEx>
        <w:trPr>
          <w:trHeight w:val="0" w:hRule="atLeast"/>
          <w:jc w:val="center"/>
        </w:trPr>
        <w:tc>
          <w:tcPr>
            <w:tcW w:w="1742"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3A1700A">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EU ETS 2003/87/EC</w:t>
            </w:r>
          </w:p>
        </w:tc>
        <w:tc>
          <w:tcPr>
            <w:tcW w:w="299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42F1C279">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欧盟温室气体排放配额交易体系指令</w:t>
            </w:r>
          </w:p>
        </w:tc>
        <w:tc>
          <w:tcPr>
            <w:tcW w:w="3571"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1A2DEE18">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CBAM 关税扣减测算联动实时 ETS 碳价</w:t>
            </w:r>
          </w:p>
        </w:tc>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2D69CBA">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第 13 章</w:t>
            </w:r>
          </w:p>
        </w:tc>
      </w:tr>
    </w:tbl>
    <w:p w14:paraId="6AD5DDDF">
      <w:pPr>
        <w:spacing w:after="60"/>
        <w:rPr>
          <w:rFonts w:hint="eastAsia" w:ascii="微软雅黑" w:hAnsi="微软雅黑" w:eastAsia="微软雅黑" w:cs="微软雅黑"/>
          <w:i w:val="0"/>
          <w:iCs w:val="0"/>
        </w:rPr>
      </w:pPr>
    </w:p>
    <w:p w14:paraId="5AD71751">
      <w:pPr>
        <w:pStyle w:val="4"/>
        <w:keepNext/>
        <w:spacing w:before="260" w:after="100"/>
        <w:outlineLvl w:val="0"/>
        <w:rPr>
          <w:rFonts w:hint="eastAsia" w:ascii="微软雅黑" w:hAnsi="微软雅黑" w:eastAsia="微软雅黑" w:cs="微软雅黑"/>
          <w:i w:val="0"/>
          <w:iCs w:val="0"/>
          <w:sz w:val="28"/>
          <w:szCs w:val="28"/>
        </w:rPr>
      </w:pPr>
      <w:bookmarkStart w:id="47" w:name="_Toc18358"/>
      <w:r>
        <w:rPr>
          <w:rFonts w:hint="eastAsia" w:ascii="微软雅黑" w:hAnsi="微软雅黑" w:eastAsia="微软雅黑" w:cs="微软雅黑"/>
          <w:b/>
          <w:i w:val="0"/>
          <w:iCs w:val="0"/>
          <w:color w:val="0284C7"/>
          <w:sz w:val="28"/>
          <w:szCs w:val="28"/>
        </w:rPr>
        <w:t>附录 B：反模式与反例对照治理清单</w:t>
      </w:r>
      <w:bookmarkEnd w:id="47"/>
    </w:p>
    <w:tbl>
      <w:tblPr>
        <w:tblStyle w:val="36"/>
        <w:tblW w:w="9792" w:type="dxa"/>
        <w:jc w:val="center"/>
        <w:tblLayout w:type="autofit"/>
        <w:tblCellMar>
          <w:top w:w="0" w:type="dxa"/>
          <w:left w:w="108" w:type="dxa"/>
          <w:bottom w:w="0" w:type="dxa"/>
          <w:right w:w="108" w:type="dxa"/>
        </w:tblCellMar>
      </w:tblPr>
      <w:tblGrid>
        <w:gridCol w:w="1447"/>
        <w:gridCol w:w="3832"/>
        <w:gridCol w:w="4513"/>
      </w:tblGrid>
      <w:tr w14:paraId="3D9CA8BB">
        <w:tblPrEx>
          <w:tblCellMar>
            <w:top w:w="0" w:type="dxa"/>
            <w:left w:w="108" w:type="dxa"/>
            <w:bottom w:w="0" w:type="dxa"/>
            <w:right w:w="108" w:type="dxa"/>
          </w:tblCellMar>
        </w:tblPrEx>
        <w:trPr>
          <w:trHeight w:val="0" w:hRule="atLeast"/>
          <w:tblHeader/>
          <w:jc w:val="center"/>
        </w:trPr>
        <w:tc>
          <w:tcPr>
            <w:tcW w:w="1447"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038354AC">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反模式类别</w:t>
            </w:r>
          </w:p>
        </w:tc>
        <w:tc>
          <w:tcPr>
            <w:tcW w:w="3833"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275BA0BE">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典型错误反例(严禁使用)</w:t>
            </w:r>
          </w:p>
        </w:tc>
        <w:tc>
          <w:tcPr>
            <w:tcW w:w="4513" w:type="dxa"/>
            <w:tcBorders>
              <w:top w:val="single" w:color="CBD5E1" w:sz="4" w:space="0"/>
              <w:left w:val="single" w:color="CBD5E1" w:sz="4" w:space="0"/>
              <w:bottom w:val="single" w:color="CBD5E1" w:sz="4" w:space="0"/>
              <w:right w:val="single" w:color="CBD5E1" w:sz="4" w:space="0"/>
            </w:tcBorders>
            <w:shd w:val="clear" w:color="auto" w:fill="1E3A8A"/>
            <w:tcMar>
              <w:top w:w="70" w:type="dxa"/>
              <w:left w:w="90" w:type="dxa"/>
              <w:bottom w:w="70" w:type="dxa"/>
              <w:right w:w="90" w:type="dxa"/>
            </w:tcMar>
            <w:vAlign w:val="center"/>
          </w:tcPr>
          <w:p w14:paraId="44CDE23A">
            <w:pPr>
              <w:snapToGrid w:val="0"/>
              <w:spacing w:line="240" w:lineRule="auto"/>
              <w:ind w:left="0" w:leftChars="0" w:right="0" w:rightChars="0" w:firstLine="0" w:firstLineChars="0"/>
              <w:jc w:val="center"/>
              <w:rPr>
                <w:rFonts w:hint="eastAsia" w:ascii="微软雅黑" w:hAnsi="微软雅黑" w:eastAsia="微软雅黑" w:cs="微软雅黑"/>
                <w:b/>
                <w:i w:val="0"/>
                <w:iCs w:val="0"/>
                <w:sz w:val="18"/>
              </w:rPr>
            </w:pPr>
            <w:r>
              <w:rPr>
                <w:rFonts w:hint="eastAsia" w:ascii="微软雅黑" w:hAnsi="微软雅黑" w:eastAsia="微软雅黑" w:cs="微软雅黑"/>
                <w:b/>
                <w:i w:val="0"/>
                <w:iCs w:val="0"/>
                <w:color w:val="FFFFFF"/>
                <w:sz w:val="18"/>
              </w:rPr>
              <w:t>工业级标准正例(强制执行)</w:t>
            </w:r>
          </w:p>
        </w:tc>
      </w:tr>
      <w:tr w14:paraId="472DFD3F">
        <w:tblPrEx>
          <w:tblCellMar>
            <w:top w:w="0" w:type="dxa"/>
            <w:left w:w="108" w:type="dxa"/>
            <w:bottom w:w="0" w:type="dxa"/>
            <w:right w:w="108" w:type="dxa"/>
          </w:tblCellMar>
        </w:tblPrEx>
        <w:trPr>
          <w:trHeight w:val="0" w:hRule="atLeast"/>
          <w:jc w:val="center"/>
        </w:trPr>
        <w:tc>
          <w:tcPr>
            <w:tcW w:w="144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BD13EC4">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主观定性评价</w:t>
            </w:r>
          </w:p>
        </w:tc>
        <w:tc>
          <w:tcPr>
            <w:tcW w:w="383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68873476">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该车间电能品质优良，运行表现极为欠佳，处于落后单位</w:t>
            </w:r>
          </w:p>
        </w:tc>
        <w:tc>
          <w:tcPr>
            <w:tcW w:w="451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4DA0502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功率因数 0.96，负荷率 68.5%，万元产值能耗同比 +5.2% ↑</w:t>
            </w:r>
          </w:p>
        </w:tc>
      </w:tr>
      <w:tr w14:paraId="73E6D0DE">
        <w:tblPrEx>
          <w:tblCellMar>
            <w:top w:w="0" w:type="dxa"/>
            <w:left w:w="108" w:type="dxa"/>
            <w:bottom w:w="0" w:type="dxa"/>
            <w:right w:w="108" w:type="dxa"/>
          </w:tblCellMar>
        </w:tblPrEx>
        <w:trPr>
          <w:trHeight w:val="0" w:hRule="atLeast"/>
          <w:jc w:val="center"/>
        </w:trPr>
        <w:tc>
          <w:tcPr>
            <w:tcW w:w="144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0A9849A3">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说教指责建议</w:t>
            </w:r>
          </w:p>
        </w:tc>
        <w:tc>
          <w:tcPr>
            <w:tcW w:w="383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788FFA25">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沈变厂处于领跑标杆；鲁缆公司能效偏低，需限期推进技改</w:t>
            </w:r>
          </w:p>
        </w:tc>
        <w:tc>
          <w:tcPr>
            <w:tcW w:w="451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293FDE47">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客观绘制行业先进基准虚线与集团历史平均线，数据位置自解释</w:t>
            </w:r>
          </w:p>
        </w:tc>
      </w:tr>
      <w:tr w14:paraId="3B541025">
        <w:tblPrEx>
          <w:tblCellMar>
            <w:top w:w="0" w:type="dxa"/>
            <w:left w:w="108" w:type="dxa"/>
            <w:bottom w:w="0" w:type="dxa"/>
            <w:right w:w="108" w:type="dxa"/>
          </w:tblCellMar>
        </w:tblPrEx>
        <w:trPr>
          <w:trHeight w:val="0" w:hRule="atLeast"/>
          <w:jc w:val="center"/>
        </w:trPr>
        <w:tc>
          <w:tcPr>
            <w:tcW w:w="144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0B500CF">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模糊状态标签</w:t>
            </w:r>
          </w:p>
        </w:tc>
        <w:tc>
          <w:tcPr>
            <w:tcW w:w="383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0D66267">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卡片右上角显示“已选中”、“图表正在联动中，请稍候”</w:t>
            </w:r>
          </w:p>
        </w:tc>
        <w:tc>
          <w:tcPr>
            <w:tcW w:w="451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34D1958E">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卡片边框高亮 (border-primary ring-2) 自解释，右上角纯留白</w:t>
            </w:r>
          </w:p>
        </w:tc>
      </w:tr>
      <w:tr w14:paraId="49D1D13B">
        <w:tblPrEx>
          <w:tblCellMar>
            <w:top w:w="0" w:type="dxa"/>
            <w:left w:w="108" w:type="dxa"/>
            <w:bottom w:w="0" w:type="dxa"/>
            <w:right w:w="108" w:type="dxa"/>
          </w:tblCellMar>
        </w:tblPrEx>
        <w:trPr>
          <w:trHeight w:val="0" w:hRule="atLeast"/>
          <w:jc w:val="center"/>
        </w:trPr>
        <w:tc>
          <w:tcPr>
            <w:tcW w:w="1447"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EB379F2">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大段解释判空</w:t>
            </w:r>
          </w:p>
        </w:tc>
        <w:tc>
          <w:tcPr>
            <w:tcW w:w="383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608B44C1">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未查到相关工序数据，请核对生产单位白名单配置或联系管理员</w:t>
            </w:r>
          </w:p>
        </w:tc>
        <w:tc>
          <w:tcPr>
            <w:tcW w:w="4513" w:type="dxa"/>
            <w:tcBorders>
              <w:top w:val="single" w:color="CBD5E1" w:sz="4" w:space="0"/>
              <w:left w:val="single" w:color="CBD5E1" w:sz="4" w:space="0"/>
              <w:bottom w:val="single" w:color="CBD5E1" w:sz="4" w:space="0"/>
              <w:right w:val="single" w:color="CBD5E1" w:sz="4" w:space="0"/>
            </w:tcBorders>
            <w:shd w:val="clear" w:color="auto" w:fill="F8FAFC"/>
            <w:tcMar>
              <w:top w:w="60" w:type="dxa"/>
              <w:left w:w="80" w:type="dxa"/>
              <w:bottom w:w="60" w:type="dxa"/>
              <w:right w:w="80" w:type="dxa"/>
            </w:tcMar>
            <w:vAlign w:val="center"/>
          </w:tcPr>
          <w:p w14:paraId="532C6CA3">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单行干练输出：暂无相关工序！</w:t>
            </w:r>
          </w:p>
        </w:tc>
      </w:tr>
      <w:tr w14:paraId="55935902">
        <w:tblPrEx>
          <w:tblCellMar>
            <w:top w:w="0" w:type="dxa"/>
            <w:left w:w="108" w:type="dxa"/>
            <w:bottom w:w="0" w:type="dxa"/>
            <w:right w:w="108" w:type="dxa"/>
          </w:tblCellMar>
        </w:tblPrEx>
        <w:trPr>
          <w:trHeight w:val="0" w:hRule="atLeast"/>
          <w:jc w:val="center"/>
        </w:trPr>
        <w:tc>
          <w:tcPr>
            <w:tcW w:w="1447"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B79E577">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负数非法吞没</w:t>
            </w:r>
          </w:p>
        </w:tc>
        <w:tc>
          <w:tcPr>
            <w:tcW w:w="383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010BA9B0">
            <w:pPr>
              <w:snapToGrid w:val="0"/>
              <w:spacing w:line="240" w:lineRule="auto"/>
              <w:ind w:left="0" w:leftChars="0" w:right="0" w:rightChars="0" w:firstLine="0" w:firstLineChars="0"/>
              <w:jc w:val="center"/>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录入 -500 kVA 产量前端静默通过或存入负数</w:t>
            </w:r>
          </w:p>
        </w:tc>
        <w:tc>
          <w:tcPr>
            <w:tcW w:w="4513" w:type="dxa"/>
            <w:tcBorders>
              <w:top w:val="single" w:color="CBD5E1" w:sz="4" w:space="0"/>
              <w:left w:val="single" w:color="CBD5E1" w:sz="4" w:space="0"/>
              <w:bottom w:val="single" w:color="CBD5E1" w:sz="4" w:space="0"/>
              <w:right w:val="single" w:color="CBD5E1" w:sz="4" w:space="0"/>
            </w:tcBorders>
            <w:shd w:val="clear" w:color="auto" w:fill="FFFFFF"/>
            <w:tcMar>
              <w:top w:w="60" w:type="dxa"/>
              <w:left w:w="80" w:type="dxa"/>
              <w:bottom w:w="60" w:type="dxa"/>
              <w:right w:w="80" w:type="dxa"/>
            </w:tcMar>
            <w:vAlign w:val="center"/>
          </w:tcPr>
          <w:p w14:paraId="27EA5BB4">
            <w:pPr>
              <w:snapToGrid w:val="0"/>
              <w:spacing w:line="240" w:lineRule="auto"/>
              <w:ind w:left="0" w:leftChars="0" w:right="0" w:rightChars="0" w:firstLine="0" w:firstLineChars="0"/>
              <w:jc w:val="left"/>
              <w:rPr>
                <w:rFonts w:hint="eastAsia" w:ascii="微软雅黑" w:hAnsi="微软雅黑" w:eastAsia="微软雅黑" w:cs="微软雅黑"/>
                <w:i w:val="0"/>
                <w:iCs w:val="0"/>
                <w:sz w:val="17"/>
              </w:rPr>
            </w:pPr>
            <w:r>
              <w:rPr>
                <w:rFonts w:hint="eastAsia" w:ascii="微软雅黑" w:hAnsi="微软雅黑" w:eastAsia="微软雅黑" w:cs="微软雅黑"/>
                <w:i w:val="0"/>
                <w:iCs w:val="0"/>
                <w:color w:val="1F2937"/>
                <w:sz w:val="17"/>
              </w:rPr>
              <w:t>触发 E_VAL_ENERGY_NEGATIVE，输入框红框拦截并提示请输入非负数</w:t>
            </w:r>
          </w:p>
        </w:tc>
      </w:tr>
    </w:tbl>
    <w:p w14:paraId="0950474B">
      <w:pPr>
        <w:spacing w:after="60"/>
        <w:rPr>
          <w:i w:val="0"/>
          <w:iCs w:val="0"/>
        </w:rPr>
      </w:pPr>
    </w:p>
    <w:p w14:paraId="439888EB">
      <w:pPr>
        <w:spacing w:after="60"/>
        <w:rPr>
          <w:i w:val="0"/>
          <w:iCs w:val="0"/>
        </w:rPr>
      </w:pPr>
    </w:p>
    <w:p w14:paraId="011B36DF">
      <w:pPr>
        <w:pStyle w:val="4"/>
        <w:keepNext/>
        <w:spacing w:before="260" w:after="100"/>
        <w:outlineLvl w:val="0"/>
        <w:rPr>
          <w:rFonts w:hint="default" w:ascii="微软雅黑" w:hAnsi="微软雅黑" w:eastAsia="微软雅黑" w:cs="微软雅黑"/>
          <w:b/>
          <w:i w:val="0"/>
          <w:iCs w:val="0"/>
          <w:color w:val="0284C7"/>
          <w:sz w:val="28"/>
          <w:szCs w:val="28"/>
          <w:lang w:val="en-US" w:eastAsia="zh-CN"/>
        </w:rPr>
      </w:pPr>
      <w:r>
        <w:rPr>
          <w:rFonts w:hint="eastAsia" w:ascii="微软雅黑" w:hAnsi="微软雅黑" w:eastAsia="微软雅黑" w:cs="微软雅黑"/>
          <w:b/>
          <w:i w:val="0"/>
          <w:iCs w:val="0"/>
          <w:color w:val="0284C7"/>
          <w:sz w:val="28"/>
          <w:szCs w:val="28"/>
          <w:lang w:val="en-US" w:eastAsia="zh-CN"/>
        </w:rPr>
        <w:t>附录C：企业组织结构树</w:t>
      </w:r>
    </w:p>
    <w:tbl>
      <w:tblPr>
        <w:tblStyle w:val="36"/>
        <w:tblW w:w="98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040"/>
        <w:gridCol w:w="1980"/>
        <w:gridCol w:w="1680"/>
        <w:gridCol w:w="3654"/>
        <w:gridCol w:w="1485"/>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tblHeader/>
          <w:jc w:val="center"/>
        </w:trPr>
        <w:tc>
          <w:tcPr>
            <w:tcW w:w="0" w:type="auto"/>
            <w:tcBorders>
              <w:top w:val="single" w:color="000000" w:sz="12" w:space="0"/>
              <w:left w:val="nil"/>
              <w:bottom w:val="nil"/>
              <w:right w:val="nil"/>
              <w:tl2br w:val="nil"/>
            </w:tcBorders>
            <w:shd w:val="clear" w:color="auto" w:fill="1E3A8A"/>
            <w:noWrap w:val="0"/>
            <w:tcMar>
              <w:top w:w="-1" w:type="dxa"/>
              <w:left w:w="-1" w:type="dxa"/>
              <w:bottom w:w="-1" w:type="dxa"/>
              <w:right w:w="-1" w:type="dxa"/>
            </w:tcMar>
            <w:vAlign w:val="center"/>
          </w:tcPr>
          <w:p w14:paraId="3CC13185">
            <w:pPr>
              <w:snapToGrid w:val="0"/>
              <w:spacing w:line="240" w:lineRule="auto"/>
              <w:ind w:left="0" w:leftChars="0" w:right="0" w:rightChars="0" w:firstLine="0" w:firstLineChars="0"/>
              <w:jc w:val="center"/>
              <w:rPr>
                <w:rFonts w:hint="eastAsia" w:ascii="微软雅黑" w:hAnsi="微软雅黑" w:eastAsia="微软雅黑" w:cs="微软雅黑"/>
                <w:b/>
                <w:i w:val="0"/>
                <w:iCs w:val="0"/>
                <w:color w:val="FFFFFF"/>
                <w:sz w:val="20"/>
                <w:szCs w:val="20"/>
              </w:rPr>
            </w:pPr>
            <w:r>
              <w:rPr>
                <w:rFonts w:hint="eastAsia" w:ascii="微软雅黑" w:hAnsi="微软雅黑" w:eastAsia="微软雅黑" w:cs="微软雅黑"/>
                <w:b/>
                <w:i w:val="0"/>
                <w:iCs w:val="0"/>
                <w:color w:val="FFFFFF"/>
                <w:sz w:val="20"/>
                <w:szCs w:val="20"/>
                <w:lang w:val="en-US" w:eastAsia="zh-CN"/>
              </w:rPr>
              <w:t>经营单位</w:t>
            </w:r>
          </w:p>
        </w:tc>
        <w:tc>
          <w:tcPr>
            <w:tcW w:w="0" w:type="auto"/>
            <w:tcBorders>
              <w:top w:val="single" w:color="000000" w:sz="12" w:space="0"/>
              <w:left w:val="nil"/>
              <w:bottom w:val="nil"/>
              <w:right w:val="nil"/>
            </w:tcBorders>
            <w:shd w:val="clear" w:color="auto" w:fill="1E3A8A"/>
            <w:noWrap w:val="0"/>
            <w:tcMar>
              <w:top w:w="-1" w:type="dxa"/>
              <w:left w:w="-1" w:type="dxa"/>
              <w:bottom w:w="-1" w:type="dxa"/>
              <w:right w:w="-1" w:type="dxa"/>
            </w:tcMar>
            <w:vAlign w:val="center"/>
          </w:tcPr>
          <w:p w14:paraId="5BE0912B">
            <w:pPr>
              <w:snapToGrid w:val="0"/>
              <w:spacing w:line="240" w:lineRule="auto"/>
              <w:ind w:left="0" w:leftChars="0" w:right="0" w:rightChars="0" w:firstLine="0" w:firstLineChars="0"/>
              <w:jc w:val="center"/>
              <w:rPr>
                <w:rFonts w:hint="eastAsia" w:ascii="微软雅黑" w:hAnsi="微软雅黑" w:eastAsia="微软雅黑" w:cs="微软雅黑"/>
                <w:b/>
                <w:i w:val="0"/>
                <w:iCs w:val="0"/>
                <w:color w:val="FFFFFF"/>
                <w:sz w:val="20"/>
                <w:szCs w:val="20"/>
              </w:rPr>
            </w:pPr>
            <w:r>
              <w:rPr>
                <w:rFonts w:hint="eastAsia" w:ascii="微软雅黑" w:hAnsi="微软雅黑" w:eastAsia="微软雅黑" w:cs="微软雅黑"/>
                <w:b/>
                <w:i w:val="0"/>
                <w:iCs w:val="0"/>
                <w:color w:val="FFFFFF"/>
                <w:sz w:val="20"/>
                <w:szCs w:val="20"/>
                <w:lang w:val="en-US" w:eastAsia="zh-CN"/>
              </w:rPr>
              <w:t>原表二级单位</w:t>
            </w:r>
          </w:p>
        </w:tc>
        <w:tc>
          <w:tcPr>
            <w:tcW w:w="0" w:type="auto"/>
            <w:tcBorders>
              <w:top w:val="single" w:color="000000" w:sz="12" w:space="0"/>
              <w:left w:val="nil"/>
              <w:bottom w:val="nil"/>
              <w:right w:val="nil"/>
            </w:tcBorders>
            <w:shd w:val="clear" w:color="auto" w:fill="1E3A8A"/>
            <w:noWrap w:val="0"/>
            <w:tcMar>
              <w:top w:w="-1" w:type="dxa"/>
              <w:left w:w="-1" w:type="dxa"/>
              <w:bottom w:w="-1" w:type="dxa"/>
              <w:right w:w="-1" w:type="dxa"/>
            </w:tcMar>
            <w:vAlign w:val="center"/>
          </w:tcPr>
          <w:p w14:paraId="0B995F58">
            <w:pPr>
              <w:snapToGrid w:val="0"/>
              <w:spacing w:line="240" w:lineRule="auto"/>
              <w:ind w:left="0" w:leftChars="0" w:right="0" w:rightChars="0" w:firstLine="0" w:firstLineChars="0"/>
              <w:jc w:val="center"/>
              <w:rPr>
                <w:rFonts w:hint="eastAsia" w:ascii="微软雅黑" w:hAnsi="微软雅黑" w:eastAsia="微软雅黑" w:cs="微软雅黑"/>
                <w:b/>
                <w:i w:val="0"/>
                <w:iCs w:val="0"/>
                <w:color w:val="FFFFFF"/>
                <w:sz w:val="20"/>
                <w:szCs w:val="20"/>
              </w:rPr>
            </w:pPr>
            <w:r>
              <w:rPr>
                <w:rFonts w:hint="eastAsia" w:ascii="微软雅黑" w:hAnsi="微软雅黑" w:eastAsia="微软雅黑" w:cs="微软雅黑"/>
                <w:b/>
                <w:i w:val="0"/>
                <w:iCs w:val="0"/>
                <w:color w:val="FFFFFF"/>
                <w:sz w:val="20"/>
                <w:szCs w:val="20"/>
                <w:lang w:val="en-US" w:eastAsia="zh-CN"/>
              </w:rPr>
              <w:t>原表主要产品</w:t>
            </w:r>
          </w:p>
        </w:tc>
        <w:tc>
          <w:tcPr>
            <w:tcW w:w="0" w:type="auto"/>
            <w:tcBorders>
              <w:top w:val="single" w:color="000000" w:sz="12" w:space="0"/>
              <w:left w:val="nil"/>
              <w:bottom w:val="nil"/>
              <w:right w:val="nil"/>
            </w:tcBorders>
            <w:shd w:val="clear" w:color="auto" w:fill="1E3A8A"/>
            <w:noWrap w:val="0"/>
            <w:tcMar>
              <w:top w:w="-1" w:type="dxa"/>
              <w:left w:w="-1" w:type="dxa"/>
              <w:bottom w:w="-1" w:type="dxa"/>
              <w:right w:w="-1" w:type="dxa"/>
            </w:tcMar>
            <w:vAlign w:val="center"/>
          </w:tcPr>
          <w:p w14:paraId="20CC4179">
            <w:pPr>
              <w:snapToGrid w:val="0"/>
              <w:spacing w:line="240" w:lineRule="auto"/>
              <w:ind w:left="0" w:leftChars="0" w:right="0" w:rightChars="0" w:firstLine="0" w:firstLineChars="0"/>
              <w:jc w:val="center"/>
              <w:rPr>
                <w:rFonts w:hint="eastAsia" w:ascii="微软雅黑" w:hAnsi="微软雅黑" w:eastAsia="微软雅黑" w:cs="微软雅黑"/>
                <w:b/>
                <w:i w:val="0"/>
                <w:iCs w:val="0"/>
                <w:color w:val="FFFFFF"/>
                <w:sz w:val="20"/>
                <w:szCs w:val="20"/>
              </w:rPr>
            </w:pPr>
            <w:r>
              <w:rPr>
                <w:rFonts w:hint="eastAsia" w:ascii="微软雅黑" w:hAnsi="微软雅黑" w:eastAsia="微软雅黑" w:cs="微软雅黑"/>
                <w:b/>
                <w:i w:val="0"/>
                <w:iCs w:val="0"/>
                <w:color w:val="FFFFFF"/>
                <w:sz w:val="20"/>
                <w:szCs w:val="20"/>
                <w:lang w:val="en-US" w:eastAsia="zh-CN"/>
              </w:rPr>
              <w:t>原表关键工序</w:t>
            </w:r>
          </w:p>
        </w:tc>
        <w:tc>
          <w:tcPr>
            <w:tcW w:w="1485" w:type="dxa"/>
            <w:tcBorders>
              <w:top w:val="single" w:color="000000" w:sz="12" w:space="0"/>
              <w:left w:val="nil"/>
              <w:bottom w:val="nil"/>
              <w:right w:val="nil"/>
            </w:tcBorders>
            <w:shd w:val="clear" w:color="auto" w:fill="1E3A8A"/>
            <w:noWrap w:val="0"/>
            <w:tcMar>
              <w:top w:w="-1" w:type="dxa"/>
              <w:left w:w="-1" w:type="dxa"/>
              <w:bottom w:w="-1" w:type="dxa"/>
              <w:right w:w="-1" w:type="dxa"/>
            </w:tcMar>
            <w:vAlign w:val="center"/>
          </w:tcPr>
          <w:p w14:paraId="57CD1618">
            <w:pPr>
              <w:snapToGrid w:val="0"/>
              <w:spacing w:line="240" w:lineRule="auto"/>
              <w:ind w:left="0" w:leftChars="0" w:right="0" w:rightChars="0" w:firstLine="0" w:firstLineChars="0"/>
              <w:jc w:val="center"/>
              <w:rPr>
                <w:rFonts w:hint="eastAsia" w:ascii="微软雅黑" w:hAnsi="微软雅黑" w:eastAsia="微软雅黑" w:cs="微软雅黑"/>
                <w:b/>
                <w:i w:val="0"/>
                <w:iCs w:val="0"/>
                <w:color w:val="FFFFFF"/>
                <w:sz w:val="20"/>
                <w:szCs w:val="20"/>
              </w:rPr>
            </w:pPr>
            <w:r>
              <w:rPr>
                <w:rFonts w:hint="eastAsia" w:ascii="微软雅黑" w:hAnsi="微软雅黑" w:eastAsia="微软雅黑" w:cs="微软雅黑"/>
                <w:b/>
                <w:i w:val="0"/>
                <w:iCs w:val="0"/>
                <w:color w:val="FFFFFF"/>
                <w:sz w:val="20"/>
                <w:szCs w:val="20"/>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restar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596E1C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沈变公司</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838A28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沈变本部</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1BED07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变压器-高压</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F14B75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①高压-干燥 ②试验</w:t>
            </w:r>
          </w:p>
        </w:tc>
        <w:tc>
          <w:tcPr>
            <w:tcW w:w="148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336E3D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22B1A655">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41C71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和新套管公司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9F38A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套管</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8505B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①套管-干燥</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708106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70B364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EC94F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①互感器-干燥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0537A95">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87523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智慧能源</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EF4E4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F68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20064B8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80EA1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616ED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F798DDC">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AD1B1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8"/>
                <w:rFonts w:hint="eastAsia" w:ascii="微软雅黑" w:hAnsi="微软雅黑" w:eastAsia="微软雅黑" w:cs="微软雅黑"/>
                <w:b w:val="0"/>
                <w:i w:val="0"/>
                <w:iCs w:val="0"/>
                <w:caps w:val="0"/>
                <w:color w:val="000000"/>
                <w:spacing w:val="0"/>
                <w:kern w:val="0"/>
                <w:sz w:val="20"/>
                <w:szCs w:val="20"/>
                <w:lang w:val="en-US" w:eastAsia="zh-CN" w:bidi="ar"/>
              </w:rPr>
              <w:t>露娜公司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390A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8D8DEC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51F7DAA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衡变公司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C2C53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变压器-高压</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D9117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①高压-干燥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BE7E40A">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8E70C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湖南电气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6915B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变压器-高压</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2FB0B3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①高压-干燥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51F09A6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38236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变压器-高压</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F4EA6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①高压-干燥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DCD4F79">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23E03C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云集电气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9098A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中低压开关柜</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035DF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①钣金加工 ②钣金喷涂</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7F36E9D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83F31F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中低压开关柜</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72217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①钣金加工 ②钣金喷涂</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E9BB44E">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C9207E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云集高压开关</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62206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GIS</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9BB8C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①抽真空 ②干燥 ③耐压 ④恒温</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159308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107AA7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干式电抗器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798EB7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①固化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0CE661C">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1ADD4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合容电力设备</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BE021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电容器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C8DBD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①卷绕 ②浸渍 ③喷漆 ④试验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2761B8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0475F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GIL</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CDDC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①螺旋焊管 ②绝缘子 ③测试</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1A21B83">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F814D9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南京电研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92302C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A81820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0911B8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CE5C5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FC575F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65A506">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786F72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柯贝尔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6ABC23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244C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605939B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新变厂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43DE3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变压器-高压</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E5736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①高压-干燥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0A54EB0">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2BA8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天变公司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F6B5E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变压器-干变</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247D3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①固化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5920639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39D530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变压器-干变</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A0416C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①固化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C3BCA28">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008E62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京津冀公司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BC816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变压器-油变</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FE0C3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①干燥 ②试验</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3DB33D9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FAA143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变压器-铁芯</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F3AE7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①退火 ②纵剪 ③叠装 ④大叠装</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226323A2">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DAC26B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智慧能源</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F0B61A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FE55AB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18DB402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41603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5BD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562430F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鲁缆公司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911B7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鲁缆本部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072EDC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线缆-高/中低压</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64EE2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①拉丝 ②交联(中低) ③交联(高压)</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1A641F9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47A0E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313DAE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FE3DE0D">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D42EF4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昭和公司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19638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0F284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3702107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AE1FA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线缆-特种电缆</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956CF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Style w:val="138"/>
                <w:rFonts w:hint="eastAsia" w:ascii="微软雅黑" w:hAnsi="微软雅黑" w:eastAsia="微软雅黑" w:cs="微软雅黑"/>
                <w:b w:val="0"/>
                <w:i w:val="0"/>
                <w:iCs w:val="0"/>
                <w:caps w:val="0"/>
                <w:color w:val="000000"/>
                <w:spacing w:val="0"/>
                <w:kern w:val="0"/>
                <w:sz w:val="20"/>
                <w:szCs w:val="20"/>
                <w:lang w:val="en-US" w:eastAsia="zh-CN" w:bidi="ar"/>
              </w:rPr>
              <w:t>(原表工序待定)</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075A87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新缆厂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54D36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新疆电缆有限公司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CE74FA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线缆-中低压</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A1B053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①拉丝 ②交联（干法）</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6C300F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0" w:type="auto"/>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napToGrid w:val="0"/>
              <w:spacing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AB956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线缆-中低压</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C6C0B9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①拉丝 ②交联（干法）</w:t>
            </w:r>
          </w:p>
        </w:tc>
        <w:tc>
          <w:tcPr>
            <w:tcW w:w="1485"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10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5F565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i w:val="0"/>
                <w:iCs w:val="0"/>
                <w:caps w:val="0"/>
                <w:color w:val="000000"/>
                <w:spacing w:val="0"/>
                <w:sz w:val="20"/>
                <w:szCs w:val="20"/>
              </w:rPr>
            </w:pPr>
            <w:r>
              <w:rPr>
                <w:rStyle w:val="137"/>
                <w:rFonts w:hint="eastAsia" w:ascii="微软雅黑" w:hAnsi="微软雅黑" w:eastAsia="微软雅黑" w:cs="微软雅黑"/>
                <w:b w:val="0"/>
                <w:bCs/>
                <w:i w:val="0"/>
                <w:iCs w:val="0"/>
                <w:caps w:val="0"/>
                <w:color w:val="000000"/>
                <w:spacing w:val="0"/>
                <w:kern w:val="0"/>
                <w:sz w:val="20"/>
                <w:szCs w:val="20"/>
                <w:lang w:val="en-US" w:eastAsia="zh-CN" w:bidi="ar"/>
              </w:rPr>
              <w:t>德缆公司</w:t>
            </w:r>
          </w:p>
        </w:tc>
        <w:tc>
          <w:tcPr>
            <w:tcW w:w="198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C83290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德缆股份有限公司</w:t>
            </w:r>
          </w:p>
        </w:tc>
        <w:tc>
          <w:tcPr>
            <w:tcW w:w="168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8D7922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线缆-中低压</w:t>
            </w:r>
          </w:p>
        </w:tc>
        <w:tc>
          <w:tcPr>
            <w:tcW w:w="365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557F7F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①拉丝 ②交联（干法）</w:t>
            </w:r>
          </w:p>
        </w:tc>
        <w:tc>
          <w:tcPr>
            <w:tcW w:w="148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86908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i w:val="0"/>
                <w:iCs w:val="0"/>
                <w:caps w:val="0"/>
                <w:color w:val="000000"/>
                <w:spacing w:val="0"/>
                <w:sz w:val="20"/>
                <w:szCs w:val="20"/>
              </w:rPr>
            </w:pPr>
            <w:r>
              <w:rPr>
                <w:rFonts w:hint="eastAsia" w:ascii="微软雅黑" w:hAnsi="微软雅黑" w:eastAsia="微软雅黑" w:cs="微软雅黑"/>
                <w:b w:val="0"/>
                <w:i w:val="0"/>
                <w:iCs w:val="0"/>
                <w:caps w:val="0"/>
                <w:color w:val="000000"/>
                <w:spacing w:val="0"/>
                <w:kern w:val="0"/>
                <w:sz w:val="20"/>
                <w:szCs w:val="20"/>
                <w:lang w:val="en-US" w:eastAsia="zh-CN" w:bidi="ar"/>
              </w:rPr>
              <w:t>电力、氮气</w:t>
            </w:r>
          </w:p>
        </w:tc>
      </w:tr>
    </w:tbl>
    <w:p w14:paraId="4D0D4B22">
      <w:pPr>
        <w:spacing w:after="60"/>
        <w:rPr>
          <w:rFonts w:hint="default" w:eastAsia="宋体"/>
          <w:i w:val="0"/>
          <w:iCs w:val="0"/>
          <w:lang w:val="en-US" w:eastAsia="zh-CN"/>
        </w:rPr>
      </w:pPr>
    </w:p>
    <w:p w14:paraId="079F9096">
      <w:pPr>
        <w:pStyle w:val="4"/>
        <w:keepNext/>
        <w:spacing w:before="260" w:after="100"/>
        <w:outlineLvl w:val="0"/>
        <w:rPr>
          <w:rFonts w:hint="eastAsia" w:ascii="微软雅黑" w:hAnsi="微软雅黑" w:eastAsia="微软雅黑" w:cs="微软雅黑"/>
          <w:b/>
          <w:i w:val="0"/>
          <w:iCs w:val="0"/>
          <w:color w:val="0284C7"/>
          <w:sz w:val="28"/>
          <w:szCs w:val="28"/>
          <w:lang w:val="en-US" w:eastAsia="zh-CN"/>
        </w:rPr>
      </w:pPr>
      <w:r>
        <w:rPr>
          <w:rFonts w:hint="eastAsia" w:ascii="微软雅黑" w:hAnsi="微软雅黑" w:eastAsia="微软雅黑" w:cs="微软雅黑"/>
          <w:b/>
          <w:i w:val="0"/>
          <w:iCs w:val="0"/>
          <w:color w:val="0284C7"/>
          <w:sz w:val="28"/>
          <w:szCs w:val="28"/>
          <w:lang w:val="en-US" w:eastAsia="zh-CN"/>
        </w:rPr>
        <w:t>附录D：园区组织结构树</w:t>
      </w:r>
    </w:p>
    <w:tbl>
      <w:tblPr>
        <w:tblStyle w:val="36"/>
        <w:tblW w:w="98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760"/>
        <w:gridCol w:w="3266"/>
        <w:gridCol w:w="3850"/>
        <w:gridCol w:w="1935"/>
      </w:tblGrid>
      <w:tr w14:paraId="23B9B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113" w:hRule="atLeast"/>
          <w:tblHeader/>
          <w:jc w:val="center"/>
        </w:trPr>
        <w:tc>
          <w:tcPr>
            <w:tcW w:w="760" w:type="dxa"/>
            <w:tcBorders>
              <w:top w:val="single" w:color="auto" w:sz="12" w:space="0"/>
              <w:left w:val="nil"/>
              <w:bottom w:val="nil"/>
              <w:right w:val="nil"/>
            </w:tcBorders>
            <w:shd w:val="clear" w:color="auto" w:fill="1E3A8A"/>
            <w:noWrap w:val="0"/>
            <w:tcMar>
              <w:top w:w="-1" w:type="dxa"/>
              <w:left w:w="-1" w:type="dxa"/>
              <w:bottom w:w="-1" w:type="dxa"/>
              <w:right w:w="-1" w:type="dxa"/>
            </w:tcMar>
            <w:vAlign w:val="center"/>
          </w:tcPr>
          <w:p w14:paraId="3266CABD">
            <w:pPr>
              <w:snapToGrid w:val="0"/>
              <w:spacing w:line="360" w:lineRule="auto"/>
              <w:ind w:left="0" w:leftChars="0" w:right="0" w:rightChars="0" w:firstLine="0" w:firstLineChars="0"/>
              <w:jc w:val="center"/>
              <w:rPr>
                <w:rFonts w:hint="eastAsia" w:ascii="微软雅黑" w:hAnsi="微软雅黑" w:eastAsia="微软雅黑" w:cs="微软雅黑"/>
                <w:b w:val="0"/>
                <w:bCs/>
                <w:i w:val="0"/>
                <w:iCs w:val="0"/>
                <w:color w:val="FFFFFF"/>
                <w:sz w:val="20"/>
                <w:szCs w:val="20"/>
                <w:lang w:val="en-US" w:eastAsia="zh-CN"/>
              </w:rPr>
            </w:pPr>
            <w:r>
              <w:rPr>
                <w:rFonts w:hint="eastAsia" w:ascii="微软雅黑" w:hAnsi="微软雅黑" w:eastAsia="微软雅黑" w:cs="微软雅黑"/>
                <w:b w:val="0"/>
                <w:bCs/>
                <w:i w:val="0"/>
                <w:iCs w:val="0"/>
                <w:color w:val="FFFFFF"/>
                <w:sz w:val="20"/>
                <w:szCs w:val="20"/>
                <w:lang w:val="en-US" w:eastAsia="zh-CN"/>
              </w:rPr>
              <w:t>序号</w:t>
            </w:r>
          </w:p>
        </w:tc>
        <w:tc>
          <w:tcPr>
            <w:tcW w:w="3266" w:type="dxa"/>
            <w:tcBorders>
              <w:top w:val="single" w:color="auto" w:sz="12" w:space="0"/>
              <w:left w:val="nil"/>
              <w:bottom w:val="nil"/>
              <w:right w:val="nil"/>
            </w:tcBorders>
            <w:shd w:val="clear" w:color="auto" w:fill="1E3A8A"/>
            <w:noWrap w:val="0"/>
            <w:tcMar>
              <w:top w:w="-1" w:type="dxa"/>
              <w:left w:w="-1" w:type="dxa"/>
              <w:bottom w:w="-1" w:type="dxa"/>
              <w:right w:w="-1" w:type="dxa"/>
            </w:tcMar>
            <w:vAlign w:val="center"/>
          </w:tcPr>
          <w:p w14:paraId="66CC7355">
            <w:pPr>
              <w:snapToGrid w:val="0"/>
              <w:spacing w:line="360" w:lineRule="auto"/>
              <w:ind w:left="0" w:leftChars="0" w:right="0" w:rightChars="0" w:firstLine="0" w:firstLineChars="0"/>
              <w:jc w:val="center"/>
              <w:rPr>
                <w:rFonts w:hint="eastAsia" w:ascii="微软雅黑" w:hAnsi="微软雅黑" w:eastAsia="微软雅黑" w:cs="微软雅黑"/>
                <w:b w:val="0"/>
                <w:bCs/>
                <w:i w:val="0"/>
                <w:iCs w:val="0"/>
                <w:color w:val="FFFFFF"/>
                <w:sz w:val="20"/>
                <w:szCs w:val="20"/>
                <w:lang w:val="en-US" w:eastAsia="zh-CN"/>
              </w:rPr>
            </w:pPr>
            <w:r>
              <w:rPr>
                <w:rFonts w:hint="eastAsia" w:ascii="微软雅黑" w:hAnsi="微软雅黑" w:eastAsia="微软雅黑" w:cs="微软雅黑"/>
                <w:b w:val="0"/>
                <w:bCs/>
                <w:i w:val="0"/>
                <w:iCs w:val="0"/>
                <w:color w:val="FFFFFF"/>
                <w:sz w:val="20"/>
                <w:szCs w:val="20"/>
                <w:lang w:val="en-US" w:eastAsia="zh-CN"/>
              </w:rPr>
              <w:t>零碳产业园区全称</w:t>
            </w:r>
          </w:p>
        </w:tc>
        <w:tc>
          <w:tcPr>
            <w:tcW w:w="3850" w:type="dxa"/>
            <w:tcBorders>
              <w:top w:val="single" w:color="auto" w:sz="12" w:space="0"/>
              <w:left w:val="nil"/>
              <w:bottom w:val="nil"/>
              <w:right w:val="nil"/>
            </w:tcBorders>
            <w:shd w:val="clear" w:color="auto" w:fill="1E3A8A"/>
            <w:noWrap w:val="0"/>
            <w:tcMar>
              <w:top w:w="-1" w:type="dxa"/>
              <w:left w:w="-1" w:type="dxa"/>
              <w:bottom w:w="-1" w:type="dxa"/>
              <w:right w:w="-1" w:type="dxa"/>
            </w:tcMar>
            <w:vAlign w:val="center"/>
          </w:tcPr>
          <w:p w14:paraId="2B50817E">
            <w:pPr>
              <w:snapToGrid w:val="0"/>
              <w:spacing w:line="360" w:lineRule="auto"/>
              <w:ind w:left="0" w:leftChars="0" w:right="0" w:rightChars="0" w:firstLine="0" w:firstLineChars="0"/>
              <w:jc w:val="center"/>
              <w:rPr>
                <w:rFonts w:hint="eastAsia" w:ascii="微软雅黑" w:hAnsi="微软雅黑" w:eastAsia="微软雅黑" w:cs="微软雅黑"/>
                <w:b/>
                <w:i w:val="0"/>
                <w:iCs w:val="0"/>
                <w:color w:val="FFFFFF"/>
                <w:sz w:val="20"/>
                <w:szCs w:val="20"/>
                <w:lang w:val="en-US" w:eastAsia="zh-CN"/>
              </w:rPr>
            </w:pPr>
            <w:r>
              <w:rPr>
                <w:rFonts w:hint="eastAsia" w:ascii="微软雅黑" w:hAnsi="微软雅黑" w:eastAsia="微软雅黑" w:cs="微软雅黑"/>
                <w:b/>
                <w:i w:val="0"/>
                <w:iCs w:val="0"/>
                <w:color w:val="FFFFFF"/>
                <w:sz w:val="20"/>
                <w:szCs w:val="20"/>
                <w:lang w:val="en-US" w:eastAsia="zh-CN"/>
              </w:rPr>
              <w:t>纳管直属二级工厂/车间</w:t>
            </w:r>
          </w:p>
        </w:tc>
        <w:tc>
          <w:tcPr>
            <w:tcW w:w="1935" w:type="dxa"/>
            <w:tcBorders>
              <w:top w:val="single" w:color="auto" w:sz="12" w:space="0"/>
              <w:left w:val="nil"/>
              <w:bottom w:val="nil"/>
              <w:right w:val="nil"/>
            </w:tcBorders>
            <w:shd w:val="clear" w:color="auto" w:fill="1E3A8A"/>
            <w:noWrap w:val="0"/>
            <w:tcMar>
              <w:top w:w="-1" w:type="dxa"/>
              <w:left w:w="-1" w:type="dxa"/>
              <w:bottom w:w="-1" w:type="dxa"/>
              <w:right w:w="-1" w:type="dxa"/>
            </w:tcMar>
            <w:vAlign w:val="center"/>
          </w:tcPr>
          <w:p w14:paraId="531D26C6">
            <w:pPr>
              <w:snapToGrid w:val="0"/>
              <w:spacing w:line="360" w:lineRule="auto"/>
              <w:ind w:left="0" w:leftChars="0" w:right="0" w:rightChars="0" w:firstLine="0" w:firstLineChars="0"/>
              <w:jc w:val="center"/>
              <w:rPr>
                <w:rFonts w:hint="eastAsia" w:ascii="微软雅黑" w:hAnsi="微软雅黑" w:eastAsia="微软雅黑" w:cs="微软雅黑"/>
                <w:b/>
                <w:i w:val="0"/>
                <w:iCs w:val="0"/>
                <w:color w:val="FFFFFF"/>
                <w:sz w:val="20"/>
                <w:szCs w:val="20"/>
                <w:lang w:val="en-US" w:eastAsia="zh-CN"/>
              </w:rPr>
            </w:pPr>
            <w:r>
              <w:rPr>
                <w:rFonts w:hint="eastAsia" w:ascii="微软雅黑" w:hAnsi="微软雅黑" w:eastAsia="微软雅黑" w:cs="微软雅黑"/>
                <w:b/>
                <w:i w:val="0"/>
                <w:iCs w:val="0"/>
                <w:color w:val="FFFFFF"/>
                <w:sz w:val="20"/>
                <w:szCs w:val="20"/>
                <w:lang w:val="en-US" w:eastAsia="zh-CN"/>
              </w:rPr>
              <w:t>三级细分</w:t>
            </w:r>
          </w:p>
        </w:tc>
      </w:tr>
      <w:tr w14:paraId="1B4FC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single" w:color="auto" w:sz="4" w:space="0"/>
              <w:left w:val="nil"/>
              <w:bottom w:val="nil"/>
              <w:right w:val="nil"/>
            </w:tcBorders>
            <w:shd w:val="clear" w:color="auto" w:fill="F9F9F9"/>
            <w:noWrap w:val="0"/>
            <w:tcMar>
              <w:top w:w="-1" w:type="dxa"/>
              <w:left w:w="-1" w:type="dxa"/>
              <w:bottom w:w="-1" w:type="dxa"/>
              <w:right w:w="-1" w:type="dxa"/>
            </w:tcMar>
            <w:vAlign w:val="center"/>
          </w:tcPr>
          <w:p w14:paraId="481B809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1</w:t>
            </w:r>
          </w:p>
        </w:tc>
        <w:tc>
          <w:tcPr>
            <w:tcW w:w="3266" w:type="dxa"/>
            <w:tcBorders>
              <w:top w:val="single" w:color="auto" w:sz="4" w:space="0"/>
              <w:left w:val="nil"/>
              <w:bottom w:val="nil"/>
              <w:right w:val="nil"/>
            </w:tcBorders>
            <w:shd w:val="clear" w:color="auto" w:fill="F9F9F9"/>
            <w:noWrap w:val="0"/>
            <w:tcMar>
              <w:top w:w="-1" w:type="dxa"/>
              <w:left w:w="-1" w:type="dxa"/>
              <w:bottom w:w="-1" w:type="dxa"/>
              <w:right w:w="-1" w:type="dxa"/>
            </w:tcMar>
            <w:vAlign w:val="center"/>
          </w:tcPr>
          <w:p w14:paraId="3929B9A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特变电工东北输变电产业园</w:t>
            </w:r>
          </w:p>
        </w:tc>
        <w:tc>
          <w:tcPr>
            <w:tcW w:w="3850" w:type="dxa"/>
            <w:tcBorders>
              <w:top w:val="single" w:color="auto" w:sz="4" w:space="0"/>
              <w:left w:val="nil"/>
              <w:bottom w:val="nil"/>
              <w:right w:val="nil"/>
            </w:tcBorders>
            <w:shd w:val="clear" w:color="auto" w:fill="F9F9F9"/>
            <w:noWrap w:val="0"/>
            <w:tcMar>
              <w:top w:w="-1" w:type="dxa"/>
              <w:left w:w="-1" w:type="dxa"/>
              <w:bottom w:w="-1" w:type="dxa"/>
              <w:right w:w="-1" w:type="dxa"/>
            </w:tcMar>
            <w:vAlign w:val="center"/>
          </w:tcPr>
          <w:p w14:paraId="2E1A54D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沈变本部</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② 智慧能源 (沈变)</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③ 和新套管公司</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④ 康嘉互感器</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⑤ 印能公司</w:t>
            </w:r>
          </w:p>
        </w:tc>
        <w:tc>
          <w:tcPr>
            <w:tcW w:w="1935" w:type="dxa"/>
            <w:tcBorders>
              <w:top w:val="single" w:color="auto" w:sz="4" w:space="0"/>
              <w:left w:val="nil"/>
              <w:bottom w:val="nil"/>
              <w:right w:val="nil"/>
            </w:tcBorders>
            <w:shd w:val="clear" w:color="auto" w:fill="F9F9F9"/>
            <w:noWrap w:val="0"/>
            <w:tcMar>
              <w:top w:w="-1" w:type="dxa"/>
              <w:left w:w="-1" w:type="dxa"/>
              <w:bottom w:w="-1" w:type="dxa"/>
              <w:right w:w="-1" w:type="dxa"/>
            </w:tcMar>
            <w:vAlign w:val="center"/>
          </w:tcPr>
          <w:p w14:paraId="71523E0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6B8B0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69E497B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2</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071EA97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特变电工南方输变电产业园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34108BC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衡变本部</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1AAE030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0AE62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6113C55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3</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6F00C1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特变电工二次产业园区</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4BE606C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南京电研</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3C4106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505CE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658FE21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4</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5BE7AA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特变电工云集5G科技产业园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7E6F281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云集电气</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② 湖南电气</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③ 云集高压开关 (GIS)</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297BF3A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7EE58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6FAD8AC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5</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4676005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特变电工智能电气产业园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6EFDB95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智能电气公司</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② 新疆自控</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533DBAF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76FFE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23EA163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6</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5CF08B4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特变电工湖南能源建设园区</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434700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特能建</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30D6A95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03968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5FAFD61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7</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2AD9BC8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特变电工西安智能装备产业园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13FD988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合容电气</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5A566C7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1. 合容电气股份</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2. 合容开关</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3. 合容电力设备</w:t>
            </w:r>
          </w:p>
        </w:tc>
      </w:tr>
      <w:tr w14:paraId="7674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523DCFE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8</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36A6642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特变电工GIL产业园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276EB99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赛杰爱迪</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796A27A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40606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5DF2E62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9</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362D68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特变电工输变电产业园 (新疆)</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2BABCD8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超高压公司</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② 特变电工新疆线缆厂</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6346487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14D5A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66594AA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10</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49EB173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特变电工天变产业园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1DC7D94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天变公司</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391CC68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1. 天变天津基地</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2. 天变智慧能源</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3. 天变智能科技</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4. 天变衡阳基地</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5. 天变沈阳基地</w:t>
            </w:r>
          </w:p>
        </w:tc>
      </w:tr>
      <w:tr w14:paraId="24614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19F4F28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11</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7073C3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特变电工京津冀智能科技产业园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22DF99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京津冀公司</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② 珠峰硅钢</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③ 智慧能源 (新变)</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④ 银利电气</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02A3785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3283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4F63282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12</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5452CA8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特变电工华东输变电科技产业园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470C157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鲁缆本部</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② 智缆公司</w:t>
            </w:r>
            <w:r>
              <w:rPr>
                <w:rFonts w:hint="eastAsia" w:ascii="微软雅黑" w:hAnsi="微软雅黑" w:eastAsia="微软雅黑" w:cs="微软雅黑"/>
                <w:i w:val="0"/>
                <w:iCs w:val="0"/>
                <w:caps w:val="0"/>
                <w:color w:val="101010"/>
                <w:spacing w:val="0"/>
                <w:kern w:val="0"/>
                <w:sz w:val="21"/>
                <w:szCs w:val="21"/>
                <w:lang w:val="en-US" w:eastAsia="zh-CN" w:bidi="ar"/>
              </w:rPr>
              <w:br w:type="textWrapping"/>
            </w:r>
            <w:r>
              <w:rPr>
                <w:rFonts w:hint="eastAsia" w:ascii="微软雅黑" w:hAnsi="微软雅黑" w:eastAsia="微软雅黑" w:cs="微软雅黑"/>
                <w:i w:val="0"/>
                <w:iCs w:val="0"/>
                <w:caps w:val="0"/>
                <w:color w:val="101010"/>
                <w:spacing w:val="0"/>
                <w:kern w:val="0"/>
                <w:sz w:val="21"/>
                <w:szCs w:val="21"/>
                <w:lang w:val="en-US" w:eastAsia="zh-CN" w:bidi="ar"/>
              </w:rPr>
              <w:t>③ 昭和公司</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76D56A1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67F49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59E2D88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13</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0CC3E6E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特变电工曙光电缆产业园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791A6B6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曙光公司</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6987ED9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75D03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nil"/>
              <w:left w:val="nil"/>
              <w:bottom w:val="nil"/>
              <w:right w:val="nil"/>
            </w:tcBorders>
            <w:shd w:val="clear" w:color="auto" w:fill="F9F9F9"/>
            <w:noWrap w:val="0"/>
            <w:tcMar>
              <w:top w:w="-1" w:type="dxa"/>
              <w:left w:w="-1" w:type="dxa"/>
              <w:bottom w:w="-1" w:type="dxa"/>
              <w:right w:w="-1" w:type="dxa"/>
            </w:tcMar>
            <w:vAlign w:val="center"/>
          </w:tcPr>
          <w:p w14:paraId="46B5FB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14</w:t>
            </w:r>
          </w:p>
        </w:tc>
        <w:tc>
          <w:tcPr>
            <w:tcW w:w="3266" w:type="dxa"/>
            <w:tcBorders>
              <w:top w:val="nil"/>
              <w:left w:val="nil"/>
              <w:bottom w:val="nil"/>
              <w:right w:val="nil"/>
            </w:tcBorders>
            <w:shd w:val="clear" w:color="auto" w:fill="F9F9F9"/>
            <w:noWrap w:val="0"/>
            <w:tcMar>
              <w:top w:w="-1" w:type="dxa"/>
              <w:left w:w="-1" w:type="dxa"/>
              <w:bottom w:w="-1" w:type="dxa"/>
              <w:right w:w="-1" w:type="dxa"/>
            </w:tcMar>
            <w:vAlign w:val="center"/>
          </w:tcPr>
          <w:p w14:paraId="079BF3C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特变电工新疆电缆产业园</w:t>
            </w:r>
          </w:p>
        </w:tc>
        <w:tc>
          <w:tcPr>
            <w:tcW w:w="3850" w:type="dxa"/>
            <w:tcBorders>
              <w:top w:val="nil"/>
              <w:left w:val="nil"/>
              <w:bottom w:val="nil"/>
              <w:right w:val="nil"/>
            </w:tcBorders>
            <w:shd w:val="clear" w:color="auto" w:fill="F9F9F9"/>
            <w:noWrap w:val="0"/>
            <w:tcMar>
              <w:top w:w="-1" w:type="dxa"/>
              <w:left w:w="-1" w:type="dxa"/>
              <w:bottom w:w="-1" w:type="dxa"/>
              <w:right w:w="-1" w:type="dxa"/>
            </w:tcMar>
            <w:vAlign w:val="center"/>
          </w:tcPr>
          <w:p w14:paraId="5E9A7C6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特变电工新疆电缆有限公司</w:t>
            </w:r>
          </w:p>
        </w:tc>
        <w:tc>
          <w:tcPr>
            <w:tcW w:w="1935" w:type="dxa"/>
            <w:tcBorders>
              <w:top w:val="nil"/>
              <w:left w:val="nil"/>
              <w:bottom w:val="nil"/>
              <w:right w:val="nil"/>
            </w:tcBorders>
            <w:shd w:val="clear" w:color="auto" w:fill="F9F9F9"/>
            <w:noWrap w:val="0"/>
            <w:tcMar>
              <w:top w:w="-1" w:type="dxa"/>
              <w:left w:w="-1" w:type="dxa"/>
              <w:bottom w:w="-1" w:type="dxa"/>
              <w:right w:w="-1" w:type="dxa"/>
            </w:tcMar>
            <w:vAlign w:val="center"/>
          </w:tcPr>
          <w:p w14:paraId="2C616A9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r w14:paraId="2014A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680" w:hRule="atLeast"/>
          <w:jc w:val="center"/>
        </w:trPr>
        <w:tc>
          <w:tcPr>
            <w:tcW w:w="760" w:type="dxa"/>
            <w:tcBorders>
              <w:top w:val="nil"/>
              <w:left w:val="nil"/>
              <w:bottom w:val="single" w:color="auto" w:sz="12" w:space="0"/>
              <w:right w:val="nil"/>
            </w:tcBorders>
            <w:shd w:val="clear" w:color="auto" w:fill="F9F9F9"/>
            <w:noWrap w:val="0"/>
            <w:tcMar>
              <w:top w:w="-1" w:type="dxa"/>
              <w:left w:w="-1" w:type="dxa"/>
              <w:bottom w:w="-1" w:type="dxa"/>
              <w:right w:w="-1" w:type="dxa"/>
            </w:tcMar>
            <w:vAlign w:val="center"/>
          </w:tcPr>
          <w:p w14:paraId="2ECD95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15</w:t>
            </w:r>
          </w:p>
        </w:tc>
        <w:tc>
          <w:tcPr>
            <w:tcW w:w="3266" w:type="dxa"/>
            <w:tcBorders>
              <w:top w:val="nil"/>
              <w:left w:val="nil"/>
              <w:bottom w:val="single" w:color="auto" w:sz="12" w:space="0"/>
              <w:right w:val="nil"/>
            </w:tcBorders>
            <w:shd w:val="clear" w:color="auto" w:fill="F9F9F9"/>
            <w:noWrap w:val="0"/>
            <w:tcMar>
              <w:top w:w="-1" w:type="dxa"/>
              <w:left w:w="-1" w:type="dxa"/>
              <w:bottom w:w="-1" w:type="dxa"/>
              <w:right w:w="-1" w:type="dxa"/>
            </w:tcMar>
            <w:vAlign w:val="center"/>
          </w:tcPr>
          <w:p w14:paraId="0F58A9C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b w:val="0"/>
                <w:bCs/>
                <w:i w:val="0"/>
                <w:iCs w:val="0"/>
                <w:caps w:val="0"/>
                <w:color w:val="101010"/>
                <w:spacing w:val="0"/>
                <w:sz w:val="21"/>
                <w:szCs w:val="21"/>
              </w:rPr>
            </w:pPr>
            <w:r>
              <w:rPr>
                <w:rStyle w:val="137"/>
                <w:rFonts w:hint="eastAsia" w:ascii="微软雅黑" w:hAnsi="微软雅黑" w:eastAsia="微软雅黑" w:cs="微软雅黑"/>
                <w:b w:val="0"/>
                <w:bCs/>
                <w:i w:val="0"/>
                <w:iCs w:val="0"/>
                <w:caps w:val="0"/>
                <w:color w:val="101010"/>
                <w:spacing w:val="0"/>
                <w:kern w:val="0"/>
                <w:sz w:val="21"/>
                <w:szCs w:val="21"/>
                <w:lang w:val="en-US" w:eastAsia="zh-CN" w:bidi="ar"/>
              </w:rPr>
              <w:t>特变电工(德阳)电缆园区</w:t>
            </w:r>
          </w:p>
        </w:tc>
        <w:tc>
          <w:tcPr>
            <w:tcW w:w="3850" w:type="dxa"/>
            <w:tcBorders>
              <w:top w:val="nil"/>
              <w:left w:val="nil"/>
              <w:bottom w:val="single" w:color="auto" w:sz="12" w:space="0"/>
              <w:right w:val="nil"/>
            </w:tcBorders>
            <w:shd w:val="clear" w:color="auto" w:fill="F9F9F9"/>
            <w:noWrap w:val="0"/>
            <w:tcMar>
              <w:top w:w="-1" w:type="dxa"/>
              <w:left w:w="-1" w:type="dxa"/>
              <w:bottom w:w="-1" w:type="dxa"/>
              <w:right w:w="-1" w:type="dxa"/>
            </w:tcMar>
            <w:vAlign w:val="center"/>
          </w:tcPr>
          <w:p w14:paraId="57E8B9E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r>
              <w:rPr>
                <w:rFonts w:hint="eastAsia" w:ascii="微软雅黑" w:hAnsi="微软雅黑" w:eastAsia="微软雅黑" w:cs="微软雅黑"/>
                <w:i w:val="0"/>
                <w:iCs w:val="0"/>
                <w:caps w:val="0"/>
                <w:color w:val="101010"/>
                <w:spacing w:val="0"/>
                <w:kern w:val="0"/>
                <w:sz w:val="21"/>
                <w:szCs w:val="21"/>
                <w:lang w:val="en-US" w:eastAsia="zh-CN" w:bidi="ar"/>
              </w:rPr>
              <w:t>① 特变电工（德阳）电缆股份有限公司</w:t>
            </w:r>
          </w:p>
        </w:tc>
        <w:tc>
          <w:tcPr>
            <w:tcW w:w="1935" w:type="dxa"/>
            <w:tcBorders>
              <w:top w:val="nil"/>
              <w:left w:val="nil"/>
              <w:bottom w:val="single" w:color="auto" w:sz="12" w:space="0"/>
              <w:right w:val="nil"/>
            </w:tcBorders>
            <w:shd w:val="clear" w:color="auto" w:fill="F9F9F9"/>
            <w:noWrap w:val="0"/>
            <w:tcMar>
              <w:top w:w="-1" w:type="dxa"/>
              <w:left w:w="-1" w:type="dxa"/>
              <w:bottom w:w="-1" w:type="dxa"/>
              <w:right w:w="-1" w:type="dxa"/>
            </w:tcMar>
            <w:vAlign w:val="center"/>
          </w:tcPr>
          <w:p w14:paraId="2D13217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微软雅黑" w:hAnsi="微软雅黑" w:eastAsia="微软雅黑" w:cs="微软雅黑"/>
                <w:i w:val="0"/>
                <w:iCs w:val="0"/>
                <w:caps w:val="0"/>
                <w:color w:val="101010"/>
                <w:spacing w:val="0"/>
                <w:sz w:val="21"/>
                <w:szCs w:val="21"/>
              </w:rPr>
            </w:pPr>
          </w:p>
        </w:tc>
      </w:tr>
    </w:tbl>
    <w:p w14:paraId="74F17B81">
      <w:pPr>
        <w:tabs>
          <w:tab w:val="left" w:pos="6243"/>
        </w:tabs>
        <w:bidi w:val="0"/>
        <w:jc w:val="left"/>
        <w:rPr>
          <w:rFonts w:hint="default"/>
          <w:i w:val="0"/>
          <w:iCs w:val="0"/>
          <w:lang w:val="en-US" w:eastAsia="zh-CN"/>
        </w:rPr>
      </w:pPr>
      <w:bookmarkStart w:id="48" w:name="_GoBack"/>
      <w:bookmarkEnd w:id="48"/>
    </w:p>
    <w:sectPr>
      <w:footerReference r:id="rId7" w:type="first"/>
      <w:headerReference r:id="rId5" w:type="default"/>
      <w:footerReference r:id="rId6" w:type="default"/>
      <w:pgSz w:w="12240" w:h="15840"/>
      <w:pgMar w:top="1224" w:right="1224" w:bottom="1224" w:left="1224"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FFont-Family"/>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00A33">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9442DA">
                          <w:pPr>
                            <w:pStyle w:val="25"/>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69442DA">
                    <w:pPr>
                      <w:pStyle w:val="25"/>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6EFC6">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E1AF5">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B5E1AF5">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22AEE">
    <w:pPr>
      <w:pStyle w:val="26"/>
      <w:jc w:val="right"/>
    </w:pPr>
    <w:r>
      <w:rPr>
        <w:rFonts w:ascii="微软雅黑" w:hAnsi="微软雅黑"/>
        <w:color w:val="64748B"/>
        <w:sz w:val="17"/>
      </w:rPr>
      <w:t>特变电工能碳数字化双中心 · 产品需求规格说明书 (PRD)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50E70"/>
    <w:multiLevelType w:val="singleLevel"/>
    <w:tmpl w:val="80150E70"/>
    <w:lvl w:ilvl="0" w:tentative="0">
      <w:start w:val="1"/>
      <w:numFmt w:val="decimal"/>
      <w:suff w:val="space"/>
      <w:lvlText w:val="%1."/>
      <w:lvlJc w:val="left"/>
    </w:lvl>
  </w:abstractNum>
  <w:abstractNum w:abstractNumId="1">
    <w:nsid w:val="93F39F83"/>
    <w:multiLevelType w:val="singleLevel"/>
    <w:tmpl w:val="93F39F83"/>
    <w:lvl w:ilvl="0" w:tentative="0">
      <w:start w:val="1"/>
      <w:numFmt w:val="decimal"/>
      <w:suff w:val="space"/>
      <w:lvlText w:val="%1."/>
      <w:lvlJc w:val="left"/>
    </w:lvl>
  </w:abstractNum>
  <w:abstractNum w:abstractNumId="2">
    <w:nsid w:val="948FFDBE"/>
    <w:multiLevelType w:val="singleLevel"/>
    <w:tmpl w:val="948FFDBE"/>
    <w:lvl w:ilvl="0" w:tentative="0">
      <w:start w:val="1"/>
      <w:numFmt w:val="decimal"/>
      <w:suff w:val="space"/>
      <w:lvlText w:val="%1."/>
      <w:lvlJc w:val="left"/>
    </w:lvl>
  </w:abstractNum>
  <w:abstractNum w:abstractNumId="3">
    <w:nsid w:val="CDC32D2C"/>
    <w:multiLevelType w:val="singleLevel"/>
    <w:tmpl w:val="CDC32D2C"/>
    <w:lvl w:ilvl="0" w:tentative="0">
      <w:start w:val="1"/>
      <w:numFmt w:val="decimal"/>
      <w:suff w:val="space"/>
      <w:lvlText w:val="%1."/>
      <w:lvlJc w:val="left"/>
    </w:lvl>
  </w:abstractNum>
  <w:abstractNum w:abstractNumId="4">
    <w:nsid w:val="EE84DB8A"/>
    <w:multiLevelType w:val="singleLevel"/>
    <w:tmpl w:val="EE84DB8A"/>
    <w:lvl w:ilvl="0" w:tentative="0">
      <w:start w:val="1"/>
      <w:numFmt w:val="decimal"/>
      <w:suff w:val="space"/>
      <w:lvlText w:val="%1."/>
      <w:lvlJc w:val="left"/>
    </w:lvl>
  </w:abstractNum>
  <w:abstractNum w:abstractNumId="5">
    <w:nsid w:val="FE0C3B16"/>
    <w:multiLevelType w:val="singleLevel"/>
    <w:tmpl w:val="FE0C3B16"/>
    <w:lvl w:ilvl="0" w:tentative="0">
      <w:start w:val="1"/>
      <w:numFmt w:val="decimal"/>
      <w:suff w:val="space"/>
      <w:lvlText w:val="%1."/>
      <w:lvlJc w:val="left"/>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2">
    <w:nsid w:val="00D2155A"/>
    <w:multiLevelType w:val="singleLevel"/>
    <w:tmpl w:val="00D2155A"/>
    <w:lvl w:ilvl="0" w:tentative="0">
      <w:start w:val="1"/>
      <w:numFmt w:val="decimal"/>
      <w:suff w:val="space"/>
      <w:lvlText w:val="%1."/>
      <w:lvlJc w:val="left"/>
    </w:lvl>
  </w:abstractNum>
  <w:abstractNum w:abstractNumId="13">
    <w:nsid w:val="076330CC"/>
    <w:multiLevelType w:val="singleLevel"/>
    <w:tmpl w:val="076330CC"/>
    <w:lvl w:ilvl="0" w:tentative="0">
      <w:start w:val="2"/>
      <w:numFmt w:val="decimal"/>
      <w:suff w:val="space"/>
      <w:lvlText w:val="%1."/>
      <w:lvlJc w:val="left"/>
    </w:lvl>
  </w:abstractNum>
  <w:abstractNum w:abstractNumId="14">
    <w:nsid w:val="07DD97DC"/>
    <w:multiLevelType w:val="singleLevel"/>
    <w:tmpl w:val="07DD97DC"/>
    <w:lvl w:ilvl="0" w:tentative="0">
      <w:start w:val="1"/>
      <w:numFmt w:val="decimal"/>
      <w:suff w:val="space"/>
      <w:lvlText w:val="%1."/>
      <w:lvlJc w:val="left"/>
    </w:lvl>
  </w:abstractNum>
  <w:abstractNum w:abstractNumId="15">
    <w:nsid w:val="1AEDEC77"/>
    <w:multiLevelType w:val="singleLevel"/>
    <w:tmpl w:val="1AEDEC77"/>
    <w:lvl w:ilvl="0" w:tentative="0">
      <w:start w:val="1"/>
      <w:numFmt w:val="decimal"/>
      <w:suff w:val="space"/>
      <w:lvlText w:val="%1."/>
      <w:lvlJc w:val="left"/>
    </w:lvl>
  </w:abstractNum>
  <w:abstractNum w:abstractNumId="16">
    <w:nsid w:val="24D51AE0"/>
    <w:multiLevelType w:val="singleLevel"/>
    <w:tmpl w:val="24D51AE0"/>
    <w:lvl w:ilvl="0" w:tentative="0">
      <w:start w:val="1"/>
      <w:numFmt w:val="decimal"/>
      <w:suff w:val="space"/>
      <w:lvlText w:val="%1."/>
      <w:lvlJc w:val="left"/>
    </w:lvl>
  </w:abstractNum>
  <w:abstractNum w:abstractNumId="17">
    <w:nsid w:val="29DEDEC9"/>
    <w:multiLevelType w:val="singleLevel"/>
    <w:tmpl w:val="29DEDEC9"/>
    <w:lvl w:ilvl="0" w:tentative="0">
      <w:start w:val="2"/>
      <w:numFmt w:val="decimal"/>
      <w:lvlText w:val="%1."/>
      <w:lvlJc w:val="left"/>
      <w:pPr>
        <w:tabs>
          <w:tab w:val="left" w:pos="312"/>
        </w:tabs>
      </w:pPr>
    </w:lvl>
  </w:abstractNum>
  <w:abstractNum w:abstractNumId="18">
    <w:nsid w:val="2F5A1C98"/>
    <w:multiLevelType w:val="singleLevel"/>
    <w:tmpl w:val="2F5A1C98"/>
    <w:lvl w:ilvl="0" w:tentative="0">
      <w:start w:val="1"/>
      <w:numFmt w:val="decimal"/>
      <w:suff w:val="space"/>
      <w:lvlText w:val="%1."/>
      <w:lvlJc w:val="left"/>
    </w:lvl>
  </w:abstractNum>
  <w:abstractNum w:abstractNumId="19">
    <w:nsid w:val="39A85401"/>
    <w:multiLevelType w:val="singleLevel"/>
    <w:tmpl w:val="39A85401"/>
    <w:lvl w:ilvl="0" w:tentative="0">
      <w:start w:val="1"/>
      <w:numFmt w:val="decimal"/>
      <w:suff w:val="space"/>
      <w:lvlText w:val="%1."/>
      <w:lvlJc w:val="left"/>
    </w:lvl>
  </w:abstractNum>
  <w:abstractNum w:abstractNumId="20">
    <w:nsid w:val="47D11809"/>
    <w:multiLevelType w:val="singleLevel"/>
    <w:tmpl w:val="47D11809"/>
    <w:lvl w:ilvl="0" w:tentative="0">
      <w:start w:val="1"/>
      <w:numFmt w:val="decimal"/>
      <w:suff w:val="space"/>
      <w:lvlText w:val="%1."/>
      <w:lvlJc w:val="left"/>
    </w:lvl>
  </w:abstractNum>
  <w:abstractNum w:abstractNumId="21">
    <w:nsid w:val="787939C3"/>
    <w:multiLevelType w:val="singleLevel"/>
    <w:tmpl w:val="787939C3"/>
    <w:lvl w:ilvl="0" w:tentative="0">
      <w:start w:val="1"/>
      <w:numFmt w:val="decimal"/>
      <w:suff w:val="space"/>
      <w:lvlText w:val="%1."/>
      <w:lvlJc w:val="left"/>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17"/>
  </w:num>
  <w:num w:numId="8">
    <w:abstractNumId w:val="15"/>
  </w:num>
  <w:num w:numId="9">
    <w:abstractNumId w:val="4"/>
  </w:num>
  <w:num w:numId="10">
    <w:abstractNumId w:val="13"/>
  </w:num>
  <w:num w:numId="11">
    <w:abstractNumId w:val="18"/>
  </w:num>
  <w:num w:numId="12">
    <w:abstractNumId w:val="3"/>
  </w:num>
  <w:num w:numId="13">
    <w:abstractNumId w:val="5"/>
  </w:num>
  <w:num w:numId="14">
    <w:abstractNumId w:val="20"/>
  </w:num>
  <w:num w:numId="15">
    <w:abstractNumId w:val="12"/>
  </w:num>
  <w:num w:numId="16">
    <w:abstractNumId w:val="16"/>
  </w:num>
  <w:num w:numId="17">
    <w:abstractNumId w:val="2"/>
  </w:num>
  <w:num w:numId="18">
    <w:abstractNumId w:val="14"/>
  </w:num>
  <w:num w:numId="19">
    <w:abstractNumId w:val="21"/>
  </w:num>
  <w:num w:numId="20">
    <w:abstractNumId w:val="19"/>
  </w:num>
  <w:num w:numId="21">
    <w:abstractNumId w:val="0"/>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41ADC"/>
    <w:rsid w:val="02124773"/>
    <w:rsid w:val="04AD04FC"/>
    <w:rsid w:val="05037796"/>
    <w:rsid w:val="06C66837"/>
    <w:rsid w:val="06F32700"/>
    <w:rsid w:val="0AF12517"/>
    <w:rsid w:val="10534F1D"/>
    <w:rsid w:val="118B5473"/>
    <w:rsid w:val="12AB56A1"/>
    <w:rsid w:val="16551BAC"/>
    <w:rsid w:val="18A36A71"/>
    <w:rsid w:val="18CF1FCF"/>
    <w:rsid w:val="196B16E7"/>
    <w:rsid w:val="1B0C6C17"/>
    <w:rsid w:val="1B862808"/>
    <w:rsid w:val="1C5C51E0"/>
    <w:rsid w:val="1C8819D3"/>
    <w:rsid w:val="1E7F54F0"/>
    <w:rsid w:val="1EB53B30"/>
    <w:rsid w:val="1FB21E1D"/>
    <w:rsid w:val="20DA482A"/>
    <w:rsid w:val="21DF2C72"/>
    <w:rsid w:val="2274487F"/>
    <w:rsid w:val="227E692E"/>
    <w:rsid w:val="251F2D5F"/>
    <w:rsid w:val="26483D49"/>
    <w:rsid w:val="26C23A77"/>
    <w:rsid w:val="27F8683B"/>
    <w:rsid w:val="28A30E9D"/>
    <w:rsid w:val="2B8054C5"/>
    <w:rsid w:val="30360C34"/>
    <w:rsid w:val="30865E1D"/>
    <w:rsid w:val="30B5176D"/>
    <w:rsid w:val="3270099F"/>
    <w:rsid w:val="32F64FD4"/>
    <w:rsid w:val="36851659"/>
    <w:rsid w:val="37F214F9"/>
    <w:rsid w:val="387F1B24"/>
    <w:rsid w:val="38FC344C"/>
    <w:rsid w:val="3912432E"/>
    <w:rsid w:val="3BDD7DCA"/>
    <w:rsid w:val="3E6F6E19"/>
    <w:rsid w:val="3F3C5659"/>
    <w:rsid w:val="41057500"/>
    <w:rsid w:val="438B29CA"/>
    <w:rsid w:val="447D44C0"/>
    <w:rsid w:val="4698326B"/>
    <w:rsid w:val="47146038"/>
    <w:rsid w:val="486F26F2"/>
    <w:rsid w:val="4876582E"/>
    <w:rsid w:val="4A4200BE"/>
    <w:rsid w:val="4B49547C"/>
    <w:rsid w:val="4D202F4A"/>
    <w:rsid w:val="4F2A7373"/>
    <w:rsid w:val="4F4B3C4B"/>
    <w:rsid w:val="50275F04"/>
    <w:rsid w:val="50E13A61"/>
    <w:rsid w:val="530A729F"/>
    <w:rsid w:val="56A943CB"/>
    <w:rsid w:val="5825158A"/>
    <w:rsid w:val="59A97927"/>
    <w:rsid w:val="5BAC2AF6"/>
    <w:rsid w:val="5CE40842"/>
    <w:rsid w:val="5F7C32D2"/>
    <w:rsid w:val="62A41849"/>
    <w:rsid w:val="642723A5"/>
    <w:rsid w:val="64610CE9"/>
    <w:rsid w:val="651144BD"/>
    <w:rsid w:val="6685680F"/>
    <w:rsid w:val="6A18009C"/>
    <w:rsid w:val="6A5915E4"/>
    <w:rsid w:val="6A907D7B"/>
    <w:rsid w:val="6B735ED1"/>
    <w:rsid w:val="6D632886"/>
    <w:rsid w:val="6F4F630E"/>
    <w:rsid w:val="71BC6597"/>
    <w:rsid w:val="763224E5"/>
    <w:rsid w:val="783A4C82"/>
    <w:rsid w:val="786B1CDE"/>
    <w:rsid w:val="79F23049"/>
    <w:rsid w:val="7D33726F"/>
    <w:rsid w:val="7D3A25C1"/>
    <w:rsid w:val="7FCE7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Ascii" w:hAnsiTheme="majorAsci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uiPriority w:val="99"/>
  </w:style>
  <w:style w:type="character" w:customStyle="1" w:styleId="140">
    <w:name w:val="Footer Char"/>
    <w:basedOn w:val="136"/>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Ascii" w:hAnsiTheme="majorAsci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3571</Words>
  <Characters>4659</Characters>
  <Lines>0</Lines>
  <Paragraphs>0</Paragraphs>
  <TotalTime>66</TotalTime>
  <ScaleCrop>false</ScaleCrop>
  <LinksUpToDate>false</LinksUpToDate>
  <CharactersWithSpaces>5122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王亮</cp:lastModifiedBy>
  <dcterms:modified xsi:type="dcterms:W3CDTF">2026-09-10T03:39:50Z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57610316FEFD4A29A7CFBF9CDDFB8E93_12</vt:lpwstr>
  </property>
</Properties>
</file>