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600"/>
        <w:jc w:val="right"/>
      </w:pPr>
      <w:r>
        <w:rPr>
          <w:rFonts w:ascii="微软雅黑" w:hAnsi="微软雅黑"/>
          <w:b/>
          <w:color w:val="DC2626"/>
          <w:sz w:val="20"/>
        </w:rPr>
        <w:t>密级：内部绝密 (Confidential)</w:t>
      </w:r>
    </w:p>
    <w:p>
      <w:pPr>
        <w:spacing w:before="800" w:after="200"/>
        <w:jc w:val="center"/>
      </w:pPr>
      <w:r>
        <w:rPr>
          <w:rFonts w:ascii="微软雅黑" w:hAnsi="微软雅黑"/>
          <w:b/>
          <w:color w:val="1E3A8A"/>
          <w:sz w:val="36"/>
        </w:rPr>
        <w:t>特变电工股份有限公司</w:t>
        <w:br/>
      </w:r>
      <w:r>
        <w:rPr>
          <w:rFonts w:ascii="微软雅黑" w:hAnsi="微软雅黑"/>
          <w:b/>
          <w:color w:val="1E3A8A"/>
          <w:sz w:val="52"/>
        </w:rPr>
        <w:t>能碳数字化“双中心”平台</w:t>
        <w:br/>
        <w:t>产品需求规格说明书 (PRD)</w:t>
      </w:r>
    </w:p>
    <w:p>
      <w:pPr>
        <w:spacing w:after="1000"/>
        <w:jc w:val="center"/>
      </w:pPr>
      <w:r>
        <w:rPr>
          <w:rFonts w:ascii="Calibri" w:hAnsi="Calibri"/>
          <w:color w:val="0284C7"/>
          <w:sz w:val="24"/>
        </w:rPr>
        <w:t>零碳园区集控中心 + 产品碳足迹集采中心 · 全景功能规格与验收基线</w:t>
        <w:br/>
        <w:t>Product Requirements Specification Document Release v1.0.0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3168"/>
            <w:shd w:fill="F1F5F9"/>
            <w:tcMar>
              <w:top w:w="90" w:type="dxa"/>
              <w:bottom w:w="90" w:type="dxa"/>
              <w:left w:w="130" w:type="dxa"/>
              <w:right w:w="130" w:type="dxa"/>
            </w:tcMa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jc w:val="right"/>
            </w:pPr>
            <w:r>
              <w:rPr>
                <w:rFonts w:ascii="微软雅黑" w:hAnsi="微软雅黑"/>
                <w:b/>
                <w:color w:val="1E3A8A"/>
                <w:sz w:val="19"/>
              </w:rPr>
              <w:t>文档受控编号</w:t>
            </w:r>
          </w:p>
        </w:tc>
        <w:tc>
          <w:tcPr>
            <w:tcW w:type="dxa" w:w="6480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jc w:val="left"/>
            </w:pPr>
            <w:r>
              <w:rPr>
                <w:rFonts w:ascii="微软雅黑" w:hAnsi="微软雅黑"/>
                <w:color w:val="1F2937"/>
                <w:sz w:val="19"/>
              </w:rPr>
              <w:t>TBEA-PRD-MASTER-2026-V1.0</w:t>
            </w:r>
          </w:p>
        </w:tc>
      </w:tr>
      <w:tr>
        <w:tc>
          <w:tcPr>
            <w:tcW w:type="dxa" w:w="3168"/>
            <w:shd w:fill="F1F5F9"/>
            <w:tcMar>
              <w:top w:w="90" w:type="dxa"/>
              <w:bottom w:w="90" w:type="dxa"/>
              <w:left w:w="130" w:type="dxa"/>
              <w:right w:w="130" w:type="dxa"/>
            </w:tcMa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jc w:val="right"/>
            </w:pPr>
            <w:r>
              <w:rPr>
                <w:rFonts w:ascii="微软雅黑" w:hAnsi="微软雅黑"/>
                <w:b/>
                <w:color w:val="1E3A8A"/>
                <w:sz w:val="19"/>
              </w:rPr>
              <w:t>系统基线版本</w:t>
            </w:r>
          </w:p>
        </w:tc>
        <w:tc>
          <w:tcPr>
            <w:tcW w:type="dxa" w:w="6480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jc w:val="left"/>
            </w:pPr>
            <w:r>
              <w:rPr>
                <w:rFonts w:ascii="微软雅黑" w:hAnsi="微软雅黑"/>
                <w:color w:val="1F2937"/>
                <w:sz w:val="19"/>
              </w:rPr>
              <w:t>Release v1.0.0 (生产基线详案完整版)</w:t>
            </w:r>
          </w:p>
        </w:tc>
      </w:tr>
      <w:tr>
        <w:tc>
          <w:tcPr>
            <w:tcW w:type="dxa" w:w="3168"/>
            <w:shd w:fill="F1F5F9"/>
            <w:tcMar>
              <w:top w:w="90" w:type="dxa"/>
              <w:bottom w:w="90" w:type="dxa"/>
              <w:left w:w="130" w:type="dxa"/>
              <w:right w:w="130" w:type="dxa"/>
            </w:tcMa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jc w:val="right"/>
            </w:pPr>
            <w:r>
              <w:rPr>
                <w:rFonts w:ascii="微软雅黑" w:hAnsi="微软雅黑"/>
                <w:b/>
                <w:color w:val="1E3A8A"/>
                <w:sz w:val="19"/>
              </w:rPr>
              <w:t>多角色协同编制</w:t>
            </w:r>
          </w:p>
        </w:tc>
        <w:tc>
          <w:tcPr>
            <w:tcW w:type="dxa" w:w="6480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jc w:val="left"/>
            </w:pPr>
            <w:r>
              <w:rPr>
                <w:rFonts w:ascii="微软雅黑" w:hAnsi="微软雅黑"/>
                <w:color w:val="1F2937"/>
                <w:sz w:val="19"/>
              </w:rPr>
              <w:t>产品管理部 (PM) × 数字化研发中心 (Architect/Dev) × 质量保障中心 (QA)</w:t>
            </w:r>
          </w:p>
        </w:tc>
      </w:tr>
      <w:tr>
        <w:tc>
          <w:tcPr>
            <w:tcW w:type="dxa" w:w="3168"/>
            <w:shd w:fill="F1F5F9"/>
            <w:tcMar>
              <w:top w:w="90" w:type="dxa"/>
              <w:bottom w:w="90" w:type="dxa"/>
              <w:left w:w="130" w:type="dxa"/>
              <w:right w:w="130" w:type="dxa"/>
            </w:tcMa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jc w:val="right"/>
            </w:pPr>
            <w:r>
              <w:rPr>
                <w:rFonts w:ascii="微软雅黑" w:hAnsi="微软雅黑"/>
                <w:b/>
                <w:color w:val="1E3A8A"/>
                <w:sz w:val="19"/>
              </w:rPr>
              <w:t>所属工程目录</w:t>
            </w:r>
          </w:p>
        </w:tc>
        <w:tc>
          <w:tcPr>
            <w:tcW w:type="dxa" w:w="6480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jc w:val="left"/>
            </w:pPr>
            <w:r>
              <w:rPr>
                <w:rFonts w:ascii="微软雅黑" w:hAnsi="微软雅黑"/>
                <w:color w:val="1F2937"/>
                <w:sz w:val="19"/>
              </w:rPr>
              <w:t>D:\Project\TJ-nengtan\PRD</w:t>
            </w:r>
          </w:p>
        </w:tc>
      </w:tr>
      <w:tr>
        <w:tc>
          <w:tcPr>
            <w:tcW w:type="dxa" w:w="3168"/>
            <w:shd w:fill="F1F5F9"/>
            <w:tcMar>
              <w:top w:w="90" w:type="dxa"/>
              <w:bottom w:w="90" w:type="dxa"/>
              <w:left w:w="130" w:type="dxa"/>
              <w:right w:w="130" w:type="dxa"/>
            </w:tcMa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jc w:val="right"/>
            </w:pPr>
            <w:r>
              <w:rPr>
                <w:rFonts w:ascii="微软雅黑" w:hAnsi="微软雅黑"/>
                <w:b/>
                <w:color w:val="1E3A8A"/>
                <w:sz w:val="19"/>
              </w:rPr>
              <w:t>核心设计规范</w:t>
            </w:r>
          </w:p>
        </w:tc>
        <w:tc>
          <w:tcPr>
            <w:tcW w:type="dxa" w:w="6480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jc w:val="left"/>
            </w:pPr>
            <w:r>
              <w:rPr>
                <w:rFonts w:ascii="微软雅黑" w:hAnsi="微软雅黑"/>
                <w:color w:val="1F2937"/>
                <w:sz w:val="19"/>
              </w:rPr>
              <w:t>tbea-industrial-design (44px高密 / 客观中立 / 白名单判定 / 双端同构)</w:t>
            </w:r>
          </w:p>
        </w:tc>
      </w:tr>
      <w:tr>
        <w:tc>
          <w:tcPr>
            <w:tcW w:type="dxa" w:w="3168"/>
            <w:shd w:fill="F1F5F9"/>
            <w:tcMar>
              <w:top w:w="90" w:type="dxa"/>
              <w:bottom w:w="90" w:type="dxa"/>
              <w:left w:w="130" w:type="dxa"/>
              <w:right w:w="130" w:type="dxa"/>
            </w:tcMa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jc w:val="right"/>
            </w:pPr>
            <w:r>
              <w:rPr>
                <w:rFonts w:ascii="微软雅黑" w:hAnsi="微软雅黑"/>
                <w:b/>
                <w:color w:val="1E3A8A"/>
                <w:sz w:val="19"/>
              </w:rPr>
              <w:t>生效与发布日期</w:t>
            </w:r>
          </w:p>
        </w:tc>
        <w:tc>
          <w:tcPr>
            <w:tcW w:type="dxa" w:w="6480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jc w:val="left"/>
            </w:pPr>
            <w:r>
              <w:rPr>
                <w:rFonts w:ascii="微软雅黑" w:hAnsi="微软雅黑"/>
                <w:color w:val="1F2937"/>
                <w:sz w:val="19"/>
              </w:rPr>
              <w:t>2026 年 09 月 08 日</w:t>
            </w:r>
          </w:p>
        </w:tc>
      </w:tr>
    </w:tbl>
    <w:p>
      <w:r>
        <w:br w:type="page"/>
      </w:r>
    </w:p>
    <w:p>
      <w:pPr>
        <w:pStyle w:val="Heading1"/>
        <w:keepNext/>
        <w:spacing w:before="360" w:after="160"/>
      </w:pPr>
      <w:r>
        <w:rPr>
          <w:rFonts w:ascii="微软雅黑" w:hAnsi="微软雅黑"/>
          <w:b/>
          <w:color w:val="1E3A8A"/>
          <w:sz w:val="32"/>
        </w:rPr>
        <w:t>【文档审签与版本演进记录】</w:t>
      </w:r>
    </w:p>
    <w:p>
      <w:pPr>
        <w:spacing w:after="100" w:line="288" w:lineRule="auto"/>
      </w:pPr>
      <w:r>
        <w:rPr>
          <w:rFonts w:ascii="微软雅黑" w:hAnsi="微软雅黑"/>
          <w:color w:val="1F2937"/>
          <w:sz w:val="19"/>
        </w:rPr>
        <w:t>本文档为特变电工能碳数字化双中心正式产品需求规格说明书（基线详案版），由产品管理部 (PM)、系统研发架构组 (Dev) 与测试质量中心 (QA) 三方闭环会签。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rPr>
          <w:tblHeader/>
        </w:trPr>
        <w:tc>
          <w:tcPr>
            <w:tcW w:type="dxa" w:w="1728"/>
            <w:shd w:fill="1E3A8A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jc w:val="center"/>
            </w:pPr>
            <w:r>
              <w:rPr>
                <w:rFonts w:ascii="微软雅黑" w:hAnsi="微软雅黑"/>
                <w:b/>
                <w:color w:val="FFFFFF"/>
                <w:sz w:val="18"/>
              </w:rPr>
              <w:t>角色职责</w:t>
            </w:r>
          </w:p>
        </w:tc>
        <w:tc>
          <w:tcPr>
            <w:tcW w:type="dxa" w:w="1584"/>
            <w:shd w:fill="1E3A8A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jc w:val="center"/>
            </w:pPr>
            <w:r>
              <w:rPr>
                <w:rFonts w:ascii="微软雅黑" w:hAnsi="微软雅黑"/>
                <w:b/>
                <w:color w:val="FFFFFF"/>
                <w:sz w:val="18"/>
              </w:rPr>
              <w:t>审签责任人</w:t>
            </w:r>
          </w:p>
        </w:tc>
        <w:tc>
          <w:tcPr>
            <w:tcW w:type="dxa" w:w="2304"/>
            <w:shd w:fill="1E3A8A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jc w:val="center"/>
            </w:pPr>
            <w:r>
              <w:rPr>
                <w:rFonts w:ascii="微软雅黑" w:hAnsi="微软雅黑"/>
                <w:b/>
                <w:color w:val="FFFFFF"/>
                <w:sz w:val="18"/>
              </w:rPr>
              <w:t>所属部门</w:t>
            </w:r>
          </w:p>
        </w:tc>
        <w:tc>
          <w:tcPr>
            <w:tcW w:type="dxa" w:w="2592"/>
            <w:shd w:fill="1E3A8A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jc w:val="center"/>
            </w:pPr>
            <w:r>
              <w:rPr>
                <w:rFonts w:ascii="微软雅黑" w:hAnsi="微软雅黑"/>
                <w:b/>
                <w:color w:val="FFFFFF"/>
                <w:sz w:val="18"/>
              </w:rPr>
              <w:t>评审结论</w:t>
            </w:r>
          </w:p>
        </w:tc>
        <w:tc>
          <w:tcPr>
            <w:tcW w:type="dxa" w:w="1440"/>
            <w:shd w:fill="1E3A8A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jc w:val="center"/>
            </w:pPr>
            <w:r>
              <w:rPr>
                <w:rFonts w:ascii="微软雅黑" w:hAnsi="微软雅黑"/>
                <w:b/>
                <w:color w:val="FFFFFF"/>
                <w:sz w:val="18"/>
              </w:rPr>
              <w:t>会签日期</w:t>
            </w:r>
          </w:p>
        </w:tc>
      </w:tr>
      <w:tr>
        <w:tc>
          <w:tcPr>
            <w:tcW w:type="dxa" w:w="172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jc w:val="center"/>
            </w:pPr>
            <w:r>
              <w:rPr>
                <w:rFonts w:ascii="微软雅黑" w:hAnsi="微软雅黑"/>
                <w:color w:val="1F2937"/>
                <w:sz w:val="17"/>
              </w:rPr>
              <w:t>PM 负责人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jc w:val="left"/>
            </w:pPr>
            <w:r>
              <w:rPr>
                <w:rFonts w:ascii="微软雅黑" w:hAnsi="微软雅黑"/>
                <w:color w:val="1F2937"/>
                <w:sz w:val="17"/>
              </w:rPr>
              <w:t>产品管理部代表</w:t>
            </w:r>
          </w:p>
        </w:tc>
        <w:tc>
          <w:tcPr>
            <w:tcW w:type="dxa" w:w="230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jc w:val="left"/>
            </w:pPr>
            <w:r>
              <w:rPr>
                <w:rFonts w:ascii="微软雅黑" w:hAnsi="微软雅黑"/>
                <w:color w:val="1F2937"/>
                <w:sz w:val="17"/>
              </w:rPr>
              <w:t>数字化产品规划部</w:t>
            </w:r>
          </w:p>
        </w:tc>
        <w:tc>
          <w:tcPr>
            <w:tcW w:type="dxa" w:w="259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jc w:val="left"/>
            </w:pPr>
            <w:r>
              <w:rPr>
                <w:rFonts w:ascii="微软雅黑" w:hAnsi="微软雅黑"/>
                <w:color w:val="1F2937"/>
                <w:sz w:val="17"/>
              </w:rPr>
              <w:t>通过 (主导航逐层展开/业务闭环)</w:t>
            </w:r>
          </w:p>
        </w:tc>
        <w:tc>
          <w:tcPr>
            <w:tcW w:type="dxa" w:w="144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jc w:val="left"/>
            </w:pPr>
            <w:r>
              <w:rPr>
                <w:rFonts w:ascii="微软雅黑" w:hAnsi="微软雅黑"/>
                <w:color w:val="1F2937"/>
                <w:sz w:val="17"/>
              </w:rPr>
              <w:t>2026-09-08</w:t>
            </w:r>
          </w:p>
        </w:tc>
      </w:tr>
      <w:tr>
        <w:tc>
          <w:tcPr>
            <w:tcW w:type="dxa" w:w="172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jc w:val="center"/>
            </w:pPr>
            <w:r>
              <w:rPr>
                <w:rFonts w:ascii="微软雅黑" w:hAnsi="微软雅黑"/>
                <w:color w:val="1F2937"/>
                <w:sz w:val="17"/>
              </w:rPr>
              <w:t>研发架构师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jc w:val="left"/>
            </w:pPr>
            <w:r>
              <w:rPr>
                <w:rFonts w:ascii="微软雅黑" w:hAnsi="微软雅黑"/>
                <w:color w:val="1F2937"/>
                <w:sz w:val="17"/>
              </w:rPr>
              <w:t>系统架构组代表</w:t>
            </w:r>
          </w:p>
        </w:tc>
        <w:tc>
          <w:tcPr>
            <w:tcW w:type="dxa" w:w="230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jc w:val="left"/>
            </w:pPr>
            <w:r>
              <w:rPr>
                <w:rFonts w:ascii="微软雅黑" w:hAnsi="微软雅黑"/>
                <w:color w:val="1F2937"/>
                <w:sz w:val="17"/>
              </w:rPr>
              <w:t>数字化研发中心架构部</w:t>
            </w:r>
          </w:p>
        </w:tc>
        <w:tc>
          <w:tcPr>
            <w:tcW w:type="dxa" w:w="259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jc w:val="left"/>
            </w:pPr>
            <w:r>
              <w:rPr>
                <w:rFonts w:ascii="微软雅黑" w:hAnsi="微软雅黑"/>
                <w:color w:val="1F2937"/>
                <w:sz w:val="17"/>
              </w:rPr>
              <w:t>通过 (44px表格/双端同构架构可行)</w:t>
            </w:r>
          </w:p>
        </w:tc>
        <w:tc>
          <w:tcPr>
            <w:tcW w:type="dxa" w:w="144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jc w:val="left"/>
            </w:pPr>
            <w:r>
              <w:rPr>
                <w:rFonts w:ascii="微软雅黑" w:hAnsi="微软雅黑"/>
                <w:color w:val="1F2937"/>
                <w:sz w:val="17"/>
              </w:rPr>
              <w:t>2026-09-08</w:t>
            </w:r>
          </w:p>
        </w:tc>
      </w:tr>
      <w:tr>
        <w:tc>
          <w:tcPr>
            <w:tcW w:type="dxa" w:w="172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jc w:val="center"/>
            </w:pPr>
            <w:r>
              <w:rPr>
                <w:rFonts w:ascii="微软雅黑" w:hAnsi="微软雅黑"/>
                <w:color w:val="1F2937"/>
                <w:sz w:val="17"/>
              </w:rPr>
              <w:t>QA 测试组长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jc w:val="left"/>
            </w:pPr>
            <w:r>
              <w:rPr>
                <w:rFonts w:ascii="微软雅黑" w:hAnsi="微软雅黑"/>
                <w:color w:val="1F2937"/>
                <w:sz w:val="17"/>
              </w:rPr>
              <w:t>质量保障组代表</w:t>
            </w:r>
          </w:p>
        </w:tc>
        <w:tc>
          <w:tcPr>
            <w:tcW w:type="dxa" w:w="230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jc w:val="left"/>
            </w:pPr>
            <w:r>
              <w:rPr>
                <w:rFonts w:ascii="微软雅黑" w:hAnsi="微软雅黑"/>
                <w:color w:val="1F2937"/>
                <w:sz w:val="17"/>
              </w:rPr>
              <w:t>质量保障中心测试部</w:t>
            </w:r>
          </w:p>
        </w:tc>
        <w:tc>
          <w:tcPr>
            <w:tcW w:type="dxa" w:w="259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jc w:val="left"/>
            </w:pPr>
            <w:r>
              <w:rPr>
                <w:rFonts w:ascii="微软雅黑" w:hAnsi="微软雅黑"/>
                <w:color w:val="1F2937"/>
                <w:sz w:val="17"/>
              </w:rPr>
              <w:t>通过 (白名单与BVA极限用例完备)</w:t>
            </w:r>
          </w:p>
        </w:tc>
        <w:tc>
          <w:tcPr>
            <w:tcW w:type="dxa" w:w="144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jc w:val="left"/>
            </w:pPr>
            <w:r>
              <w:rPr>
                <w:rFonts w:ascii="微软雅黑" w:hAnsi="微软雅黑"/>
                <w:color w:val="1F2937"/>
                <w:sz w:val="17"/>
              </w:rPr>
              <w:t>2026-09-08</w:t>
            </w:r>
          </w:p>
        </w:tc>
      </w:tr>
      <w:tr>
        <w:tc>
          <w:tcPr>
            <w:tcW w:type="dxa" w:w="172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jc w:val="center"/>
            </w:pPr>
            <w:r>
              <w:rPr>
                <w:rFonts w:ascii="微软雅黑" w:hAnsi="微软雅黑"/>
                <w:color w:val="1F2937"/>
                <w:sz w:val="17"/>
              </w:rPr>
              <w:t>项目总监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jc w:val="left"/>
            </w:pPr>
            <w:r>
              <w:rPr>
                <w:rFonts w:ascii="微软雅黑" w:hAnsi="微软雅黑"/>
                <w:color w:val="1F2937"/>
                <w:sz w:val="17"/>
              </w:rPr>
              <w:t>数字化项目总监</w:t>
            </w:r>
          </w:p>
        </w:tc>
        <w:tc>
          <w:tcPr>
            <w:tcW w:type="dxa" w:w="230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jc w:val="left"/>
            </w:pPr>
            <w:r>
              <w:rPr>
                <w:rFonts w:ascii="微软雅黑" w:hAnsi="微软雅黑"/>
                <w:color w:val="1F2937"/>
                <w:sz w:val="17"/>
              </w:rPr>
              <w:t>特变电工双碳项目组</w:t>
            </w:r>
          </w:p>
        </w:tc>
        <w:tc>
          <w:tcPr>
            <w:tcW w:type="dxa" w:w="259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jc w:val="left"/>
            </w:pPr>
            <w:r>
              <w:rPr>
                <w:rFonts w:ascii="微软雅黑" w:hAnsi="微软雅黑"/>
                <w:color w:val="1F2937"/>
                <w:sz w:val="17"/>
              </w:rPr>
              <w:t>批准作为生产基线全面实施</w:t>
            </w:r>
          </w:p>
        </w:tc>
        <w:tc>
          <w:tcPr>
            <w:tcW w:type="dxa" w:w="144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jc w:val="left"/>
            </w:pPr>
            <w:r>
              <w:rPr>
                <w:rFonts w:ascii="微软雅黑" w:hAnsi="微软雅黑"/>
                <w:color w:val="1F2937"/>
                <w:sz w:val="17"/>
              </w:rPr>
              <w:t>2026-09-08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  <w:keepNext/>
        <w:spacing w:before="360" w:after="160"/>
      </w:pPr>
      <w:r>
        <w:rPr>
          <w:rFonts w:ascii="微软雅黑" w:hAnsi="微软雅黑"/>
          <w:b/>
          <w:color w:val="1E3A8A"/>
          <w:sz w:val="32"/>
        </w:rPr>
        <w:t>第一篇：顶层业务架构与标准规范</w:t>
      </w:r>
    </w:p>
    <w:p>
      <w:pPr>
        <w:pStyle w:val="Heading2"/>
        <w:keepNext/>
        <w:spacing w:before="260" w:after="100"/>
      </w:pPr>
      <w:r>
        <w:rPr>
          <w:rFonts w:ascii="微软雅黑" w:hAnsi="微软雅黑"/>
          <w:b/>
          <w:color w:val="0284C7"/>
          <w:sz w:val="26"/>
        </w:rPr>
        <w:t>第 1 章 文档编制原则与多角色协同准则</w:t>
      </w:r>
    </w:p>
    <w:p>
      <w:pPr>
        <w:spacing w:after="100" w:line="288" w:lineRule="auto"/>
      </w:pPr>
      <w:r>
        <w:rPr>
          <w:rFonts w:ascii="微软雅黑" w:hAnsi="微软雅黑"/>
          <w:color w:val="1F2937"/>
          <w:sz w:val="19"/>
        </w:rPr>
        <w:t>本 PRD 严格执行 PM（业务逻辑/价值闭环）、Dev（高低分层/组件树/数据字典）与 QA（边界值/破坏性测试/白名单验证）三位一体协同规范。全书功能需求按主导航层级逐级展开，杜绝无序堆叠。</w:t>
      </w:r>
    </w:p>
    <w:p>
      <w:pPr>
        <w:pStyle w:val="Heading2"/>
        <w:keepNext/>
        <w:spacing w:before="260" w:after="100"/>
      </w:pPr>
      <w:r>
        <w:rPr>
          <w:rFonts w:ascii="微软雅黑" w:hAnsi="微软雅黑"/>
          <w:b/>
          <w:color w:val="0284C7"/>
          <w:sz w:val="26"/>
        </w:rPr>
        <w:t>第 2 章 6 大用户角色画像与使用场景矩阵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08"/>
        <w:gridCol w:w="1608"/>
        <w:gridCol w:w="1608"/>
        <w:gridCol w:w="1608"/>
        <w:gridCol w:w="1608"/>
        <w:gridCol w:w="1608"/>
      </w:tblGrid>
      <w:tr>
        <w:trPr>
          <w:tblHeader/>
        </w:trPr>
        <w:tc>
          <w:tcPr>
            <w:tcW w:type="dxa" w:w="720"/>
            <w:shd w:fill="1E3A8A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jc w:val="center"/>
            </w:pPr>
            <w:r>
              <w:rPr>
                <w:rFonts w:ascii="微软雅黑" w:hAnsi="微软雅黑"/>
                <w:b/>
                <w:color w:val="FFFFFF"/>
                <w:sz w:val="18"/>
              </w:rPr>
              <w:t>编号</w:t>
            </w:r>
          </w:p>
        </w:tc>
        <w:tc>
          <w:tcPr>
            <w:tcW w:type="dxa" w:w="1440"/>
            <w:shd w:fill="1E3A8A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jc w:val="center"/>
            </w:pPr>
            <w:r>
              <w:rPr>
                <w:rFonts w:ascii="微软雅黑" w:hAnsi="微软雅黑"/>
                <w:b/>
                <w:color w:val="FFFFFF"/>
                <w:sz w:val="18"/>
              </w:rPr>
              <w:t>角色名称</w:t>
            </w:r>
          </w:p>
        </w:tc>
        <w:tc>
          <w:tcPr>
            <w:tcW w:type="dxa" w:w="1728"/>
            <w:shd w:fill="1E3A8A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jc w:val="center"/>
            </w:pPr>
            <w:r>
              <w:rPr>
                <w:rFonts w:ascii="微软雅黑" w:hAnsi="微软雅黑"/>
                <w:b/>
                <w:color w:val="FFFFFF"/>
                <w:sz w:val="18"/>
              </w:rPr>
              <w:t>代表岗位</w:t>
            </w:r>
          </w:p>
        </w:tc>
        <w:tc>
          <w:tcPr>
            <w:tcW w:type="dxa" w:w="2160"/>
            <w:shd w:fill="1E3A8A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jc w:val="center"/>
            </w:pPr>
            <w:r>
              <w:rPr>
                <w:rFonts w:ascii="微软雅黑" w:hAnsi="微软雅黑"/>
                <w:b/>
                <w:color w:val="FFFFFF"/>
                <w:sz w:val="18"/>
              </w:rPr>
              <w:t>主导航主要操作路径</w:t>
            </w:r>
          </w:p>
        </w:tc>
        <w:tc>
          <w:tcPr>
            <w:tcW w:type="dxa" w:w="2304"/>
            <w:shd w:fill="1E3A8A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jc w:val="center"/>
            </w:pPr>
            <w:r>
              <w:rPr>
                <w:rFonts w:ascii="微软雅黑" w:hAnsi="微软雅黑"/>
                <w:b/>
                <w:color w:val="FFFFFF"/>
                <w:sz w:val="18"/>
              </w:rPr>
              <w:t>核心业务诉求</w:t>
            </w:r>
          </w:p>
        </w:tc>
        <w:tc>
          <w:tcPr>
            <w:tcW w:type="dxa" w:w="1296"/>
            <w:shd w:fill="1E3A8A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jc w:val="center"/>
            </w:pPr>
            <w:r>
              <w:rPr>
                <w:rFonts w:ascii="微软雅黑" w:hAnsi="微软雅黑"/>
                <w:b/>
                <w:color w:val="FFFFFF"/>
                <w:sz w:val="18"/>
              </w:rPr>
              <w:t>系统权限边界</w:t>
            </w:r>
          </w:p>
        </w:tc>
      </w:tr>
      <w:tr>
        <w:tc>
          <w:tcPr>
            <w:tcW w:type="dxa" w:w="72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jc w:val="center"/>
            </w:pPr>
            <w:r>
              <w:rPr>
                <w:rFonts w:ascii="微软雅黑" w:hAnsi="微软雅黑"/>
                <w:color w:val="1F2937"/>
                <w:sz w:val="17"/>
              </w:rPr>
              <w:t>P1</w:t>
            </w:r>
          </w:p>
        </w:tc>
        <w:tc>
          <w:tcPr>
            <w:tcW w:type="dxa" w:w="144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jc w:val="left"/>
            </w:pPr>
            <w:r>
              <w:rPr>
                <w:rFonts w:ascii="微软雅黑" w:hAnsi="微软雅黑"/>
                <w:color w:val="1F2937"/>
                <w:sz w:val="17"/>
              </w:rPr>
              <w:t>集团决策层</w:t>
            </w:r>
          </w:p>
        </w:tc>
        <w:tc>
          <w:tcPr>
            <w:tcW w:type="dxa" w:w="172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jc w:val="left"/>
            </w:pPr>
            <w:r>
              <w:rPr>
                <w:rFonts w:ascii="微软雅黑" w:hAnsi="微软雅黑"/>
                <w:color w:val="1F2937"/>
                <w:sz w:val="17"/>
              </w:rPr>
              <w:t>集团董事长/分管副总裁</w:t>
            </w:r>
          </w:p>
        </w:tc>
        <w:tc>
          <w:tcPr>
            <w:tcW w:type="dxa" w:w="216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jc w:val="left"/>
            </w:pPr>
            <w:r>
              <w:rPr>
                <w:rFonts w:ascii="微软雅黑" w:hAnsi="微软雅黑"/>
                <w:color w:val="1F2937"/>
                <w:sz w:val="17"/>
              </w:rPr>
              <w:t>集控大屏、碳足迹对外窗口</w:t>
            </w:r>
          </w:p>
        </w:tc>
        <w:tc>
          <w:tcPr>
            <w:tcW w:type="dxa" w:w="230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jc w:val="left"/>
            </w:pPr>
            <w:r>
              <w:rPr>
                <w:rFonts w:ascii="微软雅黑" w:hAnsi="微软雅黑"/>
                <w:color w:val="1F2937"/>
                <w:sz w:val="17"/>
              </w:rPr>
              <w:t>掌控全集团综合能耗趋势与国际碳关税合规态势</w:t>
            </w:r>
          </w:p>
        </w:tc>
        <w:tc>
          <w:tcPr>
            <w:tcW w:type="dxa" w:w="1296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jc w:val="left"/>
            </w:pPr>
            <w:r>
              <w:rPr>
                <w:rFonts w:ascii="微软雅黑" w:hAnsi="微软雅黑"/>
                <w:color w:val="1F2937"/>
                <w:sz w:val="17"/>
              </w:rPr>
              <w:t>全系统只读大盘、决策批示</w:t>
            </w:r>
          </w:p>
        </w:tc>
      </w:tr>
      <w:tr>
        <w:tc>
          <w:tcPr>
            <w:tcW w:type="dxa" w:w="72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jc w:val="center"/>
            </w:pPr>
            <w:r>
              <w:rPr>
                <w:rFonts w:ascii="微软雅黑" w:hAnsi="微软雅黑"/>
                <w:color w:val="1F2937"/>
                <w:sz w:val="17"/>
              </w:rPr>
              <w:t>P2</w:t>
            </w:r>
          </w:p>
        </w:tc>
        <w:tc>
          <w:tcPr>
            <w:tcW w:type="dxa" w:w="144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jc w:val="left"/>
            </w:pPr>
            <w:r>
              <w:rPr>
                <w:rFonts w:ascii="微软雅黑" w:hAnsi="微软雅黑"/>
                <w:color w:val="1F2937"/>
                <w:sz w:val="17"/>
              </w:rPr>
              <w:t>园区能碳专员</w:t>
            </w:r>
          </w:p>
        </w:tc>
        <w:tc>
          <w:tcPr>
            <w:tcW w:type="dxa" w:w="172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jc w:val="left"/>
            </w:pPr>
            <w:r>
              <w:rPr>
                <w:rFonts w:ascii="微软雅黑" w:hAnsi="微软雅黑"/>
                <w:color w:val="1F2937"/>
                <w:sz w:val="17"/>
              </w:rPr>
              <w:t>各基地动力处长/能源主管</w:t>
            </w:r>
          </w:p>
        </w:tc>
        <w:tc>
          <w:tcPr>
            <w:tcW w:type="dxa" w:w="216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jc w:val="left"/>
            </w:pPr>
            <w:r>
              <w:rPr>
                <w:rFonts w:ascii="微软雅黑" w:hAnsi="微软雅黑"/>
                <w:color w:val="1F2937"/>
                <w:sz w:val="17"/>
              </w:rPr>
              <w:t>集中监管、能耗能效分析、对标管理</w:t>
            </w:r>
          </w:p>
        </w:tc>
        <w:tc>
          <w:tcPr>
            <w:tcW w:type="dxa" w:w="230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jc w:val="left"/>
            </w:pPr>
            <w:r>
              <w:rPr>
                <w:rFonts w:ascii="微软雅黑" w:hAnsi="微软雅黑"/>
                <w:color w:val="1F2937"/>
                <w:sz w:val="17"/>
              </w:rPr>
              <w:t>穿透式排查工序用能跑冒滴漏，错峰用电降本</w:t>
            </w:r>
          </w:p>
        </w:tc>
        <w:tc>
          <w:tcPr>
            <w:tcW w:type="dxa" w:w="1296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jc w:val="left"/>
            </w:pPr>
            <w:r>
              <w:rPr>
                <w:rFonts w:ascii="微软雅黑" w:hAnsi="微软雅黑"/>
                <w:color w:val="1F2937"/>
                <w:sz w:val="17"/>
              </w:rPr>
              <w:t>所辖基地读写与全量导出</w:t>
            </w:r>
          </w:p>
        </w:tc>
      </w:tr>
      <w:tr>
        <w:tc>
          <w:tcPr>
            <w:tcW w:type="dxa" w:w="72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jc w:val="center"/>
            </w:pPr>
            <w:r>
              <w:rPr>
                <w:rFonts w:ascii="微软雅黑" w:hAnsi="微软雅黑"/>
                <w:color w:val="1F2937"/>
                <w:sz w:val="17"/>
              </w:rPr>
              <w:t>P3</w:t>
            </w:r>
          </w:p>
        </w:tc>
        <w:tc>
          <w:tcPr>
            <w:tcW w:type="dxa" w:w="144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jc w:val="left"/>
            </w:pPr>
            <w:r>
              <w:rPr>
                <w:rFonts w:ascii="微软雅黑" w:hAnsi="微软雅黑"/>
                <w:color w:val="1F2937"/>
                <w:sz w:val="17"/>
              </w:rPr>
              <w:t>车间填报员</w:t>
            </w:r>
          </w:p>
        </w:tc>
        <w:tc>
          <w:tcPr>
            <w:tcW w:type="dxa" w:w="172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jc w:val="left"/>
            </w:pPr>
            <w:r>
              <w:rPr>
                <w:rFonts w:ascii="微软雅黑" w:hAnsi="微软雅黑"/>
                <w:color w:val="1F2937"/>
                <w:sz w:val="17"/>
              </w:rPr>
              <w:t>车间统计员/动力值班员</w:t>
            </w:r>
          </w:p>
        </w:tc>
        <w:tc>
          <w:tcPr>
            <w:tcW w:type="dxa" w:w="216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jc w:val="left"/>
            </w:pPr>
            <w:r>
              <w:rPr>
                <w:rFonts w:ascii="微软雅黑" w:hAnsi="微软雅黑"/>
                <w:color w:val="1F2937"/>
                <w:sz w:val="17"/>
              </w:rPr>
              <w:t>基础管理 -&gt; 数据录入工作台</w:t>
            </w:r>
          </w:p>
        </w:tc>
        <w:tc>
          <w:tcPr>
            <w:tcW w:type="dxa" w:w="230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jc w:val="left"/>
            </w:pPr>
            <w:r>
              <w:rPr>
                <w:rFonts w:ascii="微软雅黑" w:hAnsi="微软雅黑"/>
                <w:color w:val="1F2937"/>
                <w:sz w:val="17"/>
              </w:rPr>
              <w:t>高密快速录入离线产量、能耗、相册与大事记</w:t>
            </w:r>
          </w:p>
        </w:tc>
        <w:tc>
          <w:tcPr>
            <w:tcW w:type="dxa" w:w="1296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jc w:val="left"/>
            </w:pPr>
            <w:r>
              <w:rPr>
                <w:rFonts w:ascii="微软雅黑" w:hAnsi="微软雅黑"/>
                <w:color w:val="1F2937"/>
                <w:sz w:val="17"/>
              </w:rPr>
              <w:t>44px 数据表录入/修改/纠错</w:t>
            </w:r>
          </w:p>
        </w:tc>
      </w:tr>
      <w:tr>
        <w:tc>
          <w:tcPr>
            <w:tcW w:type="dxa" w:w="72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jc w:val="center"/>
            </w:pPr>
            <w:r>
              <w:rPr>
                <w:rFonts w:ascii="微软雅黑" w:hAnsi="微软雅黑"/>
                <w:color w:val="1F2937"/>
                <w:sz w:val="17"/>
              </w:rPr>
              <w:t>P4</w:t>
            </w:r>
          </w:p>
        </w:tc>
        <w:tc>
          <w:tcPr>
            <w:tcW w:type="dxa" w:w="144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jc w:val="left"/>
            </w:pPr>
            <w:r>
              <w:rPr>
                <w:rFonts w:ascii="微软雅黑" w:hAnsi="微软雅黑"/>
                <w:color w:val="1F2937"/>
                <w:sz w:val="17"/>
              </w:rPr>
              <w:t>碳核算工程师</w:t>
            </w:r>
          </w:p>
        </w:tc>
        <w:tc>
          <w:tcPr>
            <w:tcW w:type="dxa" w:w="172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jc w:val="left"/>
            </w:pPr>
            <w:r>
              <w:rPr>
                <w:rFonts w:ascii="微软雅黑" w:hAnsi="微软雅黑"/>
                <w:color w:val="1F2937"/>
                <w:sz w:val="17"/>
              </w:rPr>
              <w:t>碳资产部/产品技术部</w:t>
            </w:r>
          </w:p>
        </w:tc>
        <w:tc>
          <w:tcPr>
            <w:tcW w:type="dxa" w:w="216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jc w:val="left"/>
            </w:pPr>
            <w:r>
              <w:rPr>
                <w:rFonts w:ascii="微软雅黑" w:hAnsi="微软雅黑"/>
                <w:color w:val="1F2937"/>
                <w:sz w:val="17"/>
              </w:rPr>
              <w:t>实景数据库、碳足迹核算、报告</w:t>
            </w:r>
          </w:p>
        </w:tc>
        <w:tc>
          <w:tcPr>
            <w:tcW w:type="dxa" w:w="230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jc w:val="left"/>
            </w:pPr>
            <w:r>
              <w:rPr>
                <w:rFonts w:ascii="微软雅黑" w:hAnsi="微软雅黑"/>
                <w:color w:val="1F2937"/>
                <w:sz w:val="17"/>
              </w:rPr>
              <w:t>展开产品 BOM 树，匹配本土实测因子，导出报告</w:t>
            </w:r>
          </w:p>
        </w:tc>
        <w:tc>
          <w:tcPr>
            <w:tcW w:type="dxa" w:w="1296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jc w:val="left"/>
            </w:pPr>
            <w:r>
              <w:rPr>
                <w:rFonts w:ascii="微软雅黑" w:hAnsi="微软雅黑"/>
                <w:color w:val="1F2937"/>
                <w:sz w:val="17"/>
              </w:rPr>
              <w:t>LCA 建模、因子库、碳标签</w:t>
            </w:r>
          </w:p>
        </w:tc>
      </w:tr>
      <w:tr>
        <w:tc>
          <w:tcPr>
            <w:tcW w:type="dxa" w:w="72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jc w:val="center"/>
            </w:pPr>
            <w:r>
              <w:rPr>
                <w:rFonts w:ascii="微软雅黑" w:hAnsi="微软雅黑"/>
                <w:color w:val="1F2937"/>
                <w:sz w:val="17"/>
              </w:rPr>
              <w:t>P5</w:t>
            </w:r>
          </w:p>
        </w:tc>
        <w:tc>
          <w:tcPr>
            <w:tcW w:type="dxa" w:w="144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jc w:val="left"/>
            </w:pPr>
            <w:r>
              <w:rPr>
                <w:rFonts w:ascii="微软雅黑" w:hAnsi="微软雅黑"/>
                <w:color w:val="1F2937"/>
                <w:sz w:val="17"/>
              </w:rPr>
              <w:t>国际关税专家</w:t>
            </w:r>
          </w:p>
        </w:tc>
        <w:tc>
          <w:tcPr>
            <w:tcW w:type="dxa" w:w="172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jc w:val="left"/>
            </w:pPr>
            <w:r>
              <w:rPr>
                <w:rFonts w:ascii="微软雅黑" w:hAnsi="微软雅黑"/>
                <w:color w:val="1F2937"/>
                <w:sz w:val="17"/>
              </w:rPr>
              <w:t>国际业务部/报关主管</w:t>
            </w:r>
          </w:p>
        </w:tc>
        <w:tc>
          <w:tcPr>
            <w:tcW w:type="dxa" w:w="216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jc w:val="left"/>
            </w:pPr>
            <w:r>
              <w:rPr>
                <w:rFonts w:ascii="微软雅黑" w:hAnsi="微软雅黑"/>
                <w:color w:val="1F2937"/>
                <w:sz w:val="17"/>
              </w:rPr>
              <w:t>CBAM管理(合规/申报模拟/知识库)</w:t>
            </w:r>
          </w:p>
        </w:tc>
        <w:tc>
          <w:tcPr>
            <w:tcW w:type="dxa" w:w="230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jc w:val="left"/>
            </w:pPr>
            <w:r>
              <w:rPr>
                <w:rFonts w:ascii="微软雅黑" w:hAnsi="微软雅黑"/>
                <w:color w:val="1F2937"/>
                <w:sz w:val="17"/>
              </w:rPr>
              <w:t>欧盟税号精准映射，测算关税成本并生成 XML</w:t>
            </w:r>
          </w:p>
        </w:tc>
        <w:tc>
          <w:tcPr>
            <w:tcW w:type="dxa" w:w="1296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jc w:val="left"/>
            </w:pPr>
            <w:r>
              <w:rPr>
                <w:rFonts w:ascii="微软雅黑" w:hAnsi="微软雅黑"/>
                <w:color w:val="1F2937"/>
                <w:sz w:val="17"/>
              </w:rPr>
              <w:t>CBAM 模块全配置与申报包</w:t>
            </w:r>
          </w:p>
        </w:tc>
      </w:tr>
      <w:tr>
        <w:tc>
          <w:tcPr>
            <w:tcW w:type="dxa" w:w="72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jc w:val="center"/>
            </w:pPr>
            <w:r>
              <w:rPr>
                <w:rFonts w:ascii="微软雅黑" w:hAnsi="微软雅黑"/>
                <w:color w:val="1F2937"/>
                <w:sz w:val="17"/>
              </w:rPr>
              <w:t>P6</w:t>
            </w:r>
          </w:p>
        </w:tc>
        <w:tc>
          <w:tcPr>
            <w:tcW w:type="dxa" w:w="144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jc w:val="left"/>
            </w:pPr>
            <w:r>
              <w:rPr>
                <w:rFonts w:ascii="微软雅黑" w:hAnsi="微软雅黑"/>
                <w:color w:val="1F2937"/>
                <w:sz w:val="17"/>
              </w:rPr>
              <w:t>外部审计机构</w:t>
            </w:r>
          </w:p>
        </w:tc>
        <w:tc>
          <w:tcPr>
            <w:tcW w:type="dxa" w:w="172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jc w:val="left"/>
            </w:pPr>
            <w:r>
              <w:rPr>
                <w:rFonts w:ascii="微软雅黑" w:hAnsi="微软雅黑"/>
                <w:color w:val="1F2937"/>
                <w:sz w:val="17"/>
              </w:rPr>
              <w:t>SGS/TÜV/方圆核查员</w:t>
            </w:r>
          </w:p>
        </w:tc>
        <w:tc>
          <w:tcPr>
            <w:tcW w:type="dxa" w:w="216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jc w:val="left"/>
            </w:pPr>
            <w:r>
              <w:rPr>
                <w:rFonts w:ascii="微软雅黑" w:hAnsi="微软雅黑"/>
                <w:color w:val="1F2937"/>
                <w:sz w:val="17"/>
              </w:rPr>
              <w:t>第三方认证管理、实景数据库</w:t>
            </w:r>
          </w:p>
        </w:tc>
        <w:tc>
          <w:tcPr>
            <w:tcW w:type="dxa" w:w="230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jc w:val="left"/>
            </w:pPr>
            <w:r>
              <w:rPr>
                <w:rFonts w:ascii="微软雅黑" w:hAnsi="微软雅黑"/>
                <w:color w:val="1F2937"/>
                <w:sz w:val="17"/>
              </w:rPr>
              <w:t>复核物料平衡、绿电凭证与碳因子溯源链条</w:t>
            </w:r>
          </w:p>
        </w:tc>
        <w:tc>
          <w:tcPr>
            <w:tcW w:type="dxa" w:w="1296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jc w:val="left"/>
            </w:pPr>
            <w:r>
              <w:rPr>
                <w:rFonts w:ascii="微软雅黑" w:hAnsi="微软雅黑"/>
                <w:color w:val="1F2937"/>
                <w:sz w:val="17"/>
              </w:rPr>
              <w:t>专有只读通道与原始存证核验</w:t>
            </w:r>
          </w:p>
        </w:tc>
      </w:tr>
    </w:tbl>
    <w:p>
      <w:pPr>
        <w:spacing w:after="80"/>
      </w:pPr>
    </w:p>
    <w:p>
      <w:pPr>
        <w:pStyle w:val="Heading2"/>
        <w:keepNext/>
        <w:spacing w:before="260" w:after="100"/>
      </w:pPr>
      <w:r>
        <w:rPr>
          <w:rFonts w:ascii="微软雅黑" w:hAnsi="微软雅黑"/>
          <w:b/>
          <w:color w:val="0284C7"/>
          <w:sz w:val="26"/>
        </w:rPr>
        <w:t>第 3 章 专属工业设计规范 (tbea-industrial-design) 核心铁律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fill="FEF2F2"/>
            <w:tcMar>
              <w:top w:w="120" w:type="dxa"/>
              <w:bottom w:w="120" w:type="dxa"/>
              <w:left w:w="150" w:type="dxa"/>
              <w:right w:w="150" w:type="dxa"/>
            </w:tcMar>
            <w:tcBorders>
              <w:top w:val="none"/>
              <w:left w:val="single" w:color="DC2626" w:sz="24"/>
              <w:bottom w:val="none"/>
              <w:right w:val="none"/>
            </w:tcBorders>
          </w:tcPr>
          <w:p>
            <w:pPr>
              <w:spacing w:after="40"/>
            </w:pPr>
            <w:r>
              <w:rPr>
                <w:rFonts w:ascii="微软雅黑" w:hAnsi="微软雅黑"/>
                <w:b/>
                <w:color w:val="DC2626"/>
                <w:sz w:val="19"/>
              </w:rPr>
              <w:t>📌 【tbea-industrial-design 工业设计硬性红线】</w:t>
              <w:br/>
            </w:r>
            <w:r>
              <w:rPr>
                <w:rFonts w:ascii="微软雅黑" w:hAnsi="微软雅黑"/>
                <w:color w:val="1F2937"/>
                <w:sz w:val="18"/>
              </w:rPr>
              <w:t>1. 表格行高强制 44px：全系统所有数据表格 &lt;tr&gt; 行高固定为 44px (h-[44px])，垂直居中无抖动；</w:t>
              <w:br/>
              <w:t>2. 绝对客观中立：严禁任何界面出现主观定性词句（如“表现优异”、“落后单位”、“运行欠佳”等），统一以客观时序对比（同比/环比/基准偏差）自解释呈现；</w:t>
              <w:br/>
              <w:t>3. 状态自解释：严禁在卡片上增加“图表联动中”、“已选中”等标签，激活态由蓝框高亮 (border-primary ring-2) 自解释；</w:t>
              <w:br/>
              <w:t>4. 单行干练判空：无工序单位严禁输出理由解释，统一单行干练输出：暂无相关工序！；</w:t>
              <w:br/>
              <w:t>5. 双端 100% 同构：暗黑科技蓝 (3000端口) 与浅色办公商务 (3001端口) 交互、数据、路由完全一致；</w:t>
              <w:br/>
              <w:t>6. 悬停游标微透蓝：柱状图游标统一为 rgba(56, 189, 248, 0.08)，浅色为 rgba(0, 0, 0, 0.04)，严禁纯白眩光。</w:t>
            </w:r>
          </w:p>
        </w:tc>
      </w:tr>
    </w:tbl>
    <w:p>
      <w:pPr>
        <w:spacing w:after="60"/>
      </w:pPr>
    </w:p>
    <w:p>
      <w:r>
        <w:br w:type="page"/>
      </w:r>
    </w:p>
    <w:p>
      <w:pPr>
        <w:pStyle w:val="Heading1"/>
        <w:keepNext/>
        <w:spacing w:before="360" w:after="160"/>
      </w:pPr>
      <w:r>
        <w:rPr>
          <w:rFonts w:ascii="微软雅黑" w:hAnsi="微软雅黑"/>
          <w:b/>
          <w:color w:val="1E3A8A"/>
          <w:sz w:val="32"/>
        </w:rPr>
        <w:t>第二篇：【平台一】零碳园区集控中心功能需求规格（逐层拆解）</w:t>
      </w:r>
    </w:p>
    <w:p>
      <w:pPr>
        <w:spacing w:after="100" w:line="288" w:lineRule="auto"/>
      </w:pPr>
      <w:r>
        <w:rPr>
          <w:rFonts w:ascii="微软雅黑" w:hAnsi="微软雅黑"/>
          <w:color w:val="1F2937"/>
          <w:sz w:val="19"/>
        </w:rPr>
        <w:t>本篇严格按照系统顶部切换至【零碳园区集控中心】时的 6 大一级主导航逐层进行功能需求详述。</w:t>
      </w:r>
    </w:p>
    <w:p>
      <w:pPr>
        <w:pStyle w:val="Heading2"/>
        <w:keepNext/>
        <w:spacing w:before="260" w:after="100"/>
      </w:pPr>
      <w:r>
        <w:rPr>
          <w:rFonts w:ascii="微软雅黑" w:hAnsi="微软雅黑"/>
          <w:b/>
          <w:color w:val="0284C7"/>
          <w:sz w:val="26"/>
        </w:rPr>
        <w:t>第 4 章 一级导航【集控中心大屏】(/zero-carbon/screen)</w:t>
      </w:r>
    </w:p>
    <w:p>
      <w:pPr>
        <w:pStyle w:val="Heading3"/>
        <w:keepNext/>
        <w:spacing w:before="180" w:after="60"/>
      </w:pPr>
      <w:r>
        <w:rPr>
          <w:rFonts w:ascii="微软雅黑" w:hAnsi="微软雅黑"/>
          <w:b/>
          <w:color w:val="1E3A8A"/>
          <w:sz w:val="22"/>
        </w:rPr>
        <w:t>4.1 二级导航：全景环幕大屏 (/zero-carbon/screen)</w:t>
      </w:r>
    </w:p>
    <w:p>
      <w:pPr>
        <w:spacing w:after="100" w:line="288" w:lineRule="auto"/>
      </w:pPr>
      <w:r>
        <w:rPr>
          <w:rFonts w:ascii="微软雅黑" w:hAnsi="微软雅黑"/>
          <w:b/>
          <w:color w:val="1E3A8A"/>
          <w:sz w:val="19"/>
        </w:rPr>
        <w:t>PM 业务场景：</w:t>
      </w:r>
      <w:r>
        <w:rPr>
          <w:rFonts w:ascii="微软雅黑" w:hAnsi="微软雅黑"/>
          <w:color w:val="1F2937"/>
          <w:sz w:val="19"/>
        </w:rPr>
        <w:t>支持 1920×1080 自适应矢量等比缩放的高保真宏观指挥看板，承载领导视察与全景调度。</w:t>
      </w:r>
    </w:p>
    <w:p>
      <w:pPr>
        <w:spacing w:after="100" w:line="288" w:lineRule="auto"/>
      </w:pPr>
      <w:r>
        <w:rPr>
          <w:rFonts w:ascii="微软雅黑" w:hAnsi="微软雅黑"/>
          <w:b/>
          <w:color w:val="1E3A8A"/>
          <w:sz w:val="19"/>
        </w:rPr>
        <w:t>功能交互规格：</w:t>
      </w:r>
      <w:r>
        <w:rPr>
          <w:rFonts w:ascii="微软雅黑" w:hAnsi="微软雅黑"/>
          <w:color w:val="1F2937"/>
          <w:sz w:val="19"/>
        </w:rPr>
        <w:t>1. 顶部 HUD 切角框架：动态气象组件、网络授时秒级时钟；</w:t>
        <w:br/>
        <w:t>2. 中央 3D 浮雕中国地图：标记特变在新疆、沈阳、衡阳、天津、山东、四川等产业基地，雷达脉冲光晕与折线引线动态流动；</w:t>
        <w:br/>
        <w:t>3. 左侧看板：双碳建设勋章环形进度（100% 达成率）、大事记时间轴、分布式光伏电站实时滚动表、实景相册自动轮播；</w:t>
        <w:br/>
        <w:t>4. 右侧穿透面板：基地级联下拉、5 家核心工厂胶囊 Tab、10 项核心指标 (5×2 环形矩阵) 看板、16:9 运营平台跳转入口。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rPr>
          <w:tblHeader/>
        </w:trPr>
        <w:tc>
          <w:tcPr>
            <w:tcW w:type="dxa" w:w="2016"/>
            <w:shd w:fill="1E3A8A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jc w:val="center"/>
            </w:pPr>
            <w:r>
              <w:rPr>
                <w:rFonts w:ascii="微软雅黑" w:hAnsi="微软雅黑"/>
                <w:b/>
                <w:color w:val="FFFFFF"/>
                <w:sz w:val="18"/>
              </w:rPr>
              <w:t>字段标识</w:t>
            </w:r>
          </w:p>
        </w:tc>
        <w:tc>
          <w:tcPr>
            <w:tcW w:type="dxa" w:w="2160"/>
            <w:shd w:fill="1E3A8A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jc w:val="center"/>
            </w:pPr>
            <w:r>
              <w:rPr>
                <w:rFonts w:ascii="微软雅黑" w:hAnsi="微软雅黑"/>
                <w:b/>
                <w:color w:val="FFFFFF"/>
                <w:sz w:val="18"/>
              </w:rPr>
              <w:t>字段名称</w:t>
            </w:r>
          </w:p>
        </w:tc>
        <w:tc>
          <w:tcPr>
            <w:tcW w:type="dxa" w:w="1728"/>
            <w:shd w:fill="1E3A8A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jc w:val="center"/>
            </w:pPr>
            <w:r>
              <w:rPr>
                <w:rFonts w:ascii="微软雅黑" w:hAnsi="微软雅黑"/>
                <w:b/>
                <w:color w:val="FFFFFF"/>
                <w:sz w:val="18"/>
              </w:rPr>
              <w:t>展示类型</w:t>
            </w:r>
          </w:p>
        </w:tc>
        <w:tc>
          <w:tcPr>
            <w:tcW w:type="dxa" w:w="1584"/>
            <w:shd w:fill="1E3A8A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jc w:val="center"/>
            </w:pPr>
            <w:r>
              <w:rPr>
                <w:rFonts w:ascii="微软雅黑" w:hAnsi="微软雅黑"/>
                <w:b/>
                <w:color w:val="FFFFFF"/>
                <w:sz w:val="18"/>
              </w:rPr>
              <w:t>量纲/单位</w:t>
            </w:r>
          </w:p>
        </w:tc>
        <w:tc>
          <w:tcPr>
            <w:tcW w:type="dxa" w:w="2160"/>
            <w:shd w:fill="1E3A8A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jc w:val="center"/>
            </w:pPr>
            <w:r>
              <w:rPr>
                <w:rFonts w:ascii="微软雅黑" w:hAnsi="微软雅黑"/>
                <w:b/>
                <w:color w:val="FFFFFF"/>
                <w:sz w:val="18"/>
              </w:rPr>
              <w:t>数据来源与更新频次</w:t>
            </w:r>
          </w:p>
        </w:tc>
      </w:tr>
      <w:tr>
        <w:tc>
          <w:tcPr>
            <w:tcW w:type="dxa" w:w="2016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jc w:val="center"/>
            </w:pPr>
            <w:r>
              <w:rPr>
                <w:rFonts w:ascii="微软雅黑" w:hAnsi="微软雅黑"/>
                <w:color w:val="1F2937"/>
                <w:sz w:val="17"/>
              </w:rPr>
              <w:t>total_energy_tce</w:t>
            </w:r>
          </w:p>
        </w:tc>
        <w:tc>
          <w:tcPr>
            <w:tcW w:type="dxa" w:w="216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jc w:val="left"/>
            </w:pPr>
            <w:r>
              <w:rPr>
                <w:rFonts w:ascii="微软雅黑" w:hAnsi="微软雅黑"/>
                <w:color w:val="1F2937"/>
                <w:sz w:val="17"/>
              </w:rPr>
              <w:t>集团综合能耗</w:t>
            </w:r>
          </w:p>
        </w:tc>
        <w:tc>
          <w:tcPr>
            <w:tcW w:type="dxa" w:w="172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jc w:val="left"/>
            </w:pPr>
            <w:r>
              <w:rPr>
                <w:rFonts w:ascii="微软雅黑" w:hAnsi="微软雅黑"/>
                <w:color w:val="1F2937"/>
                <w:sz w:val="17"/>
              </w:rPr>
              <w:t>环形进度卡片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jc w:val="left"/>
            </w:pPr>
            <w:r>
              <w:rPr>
                <w:rFonts w:ascii="微软雅黑" w:hAnsi="微软雅黑"/>
                <w:color w:val="1F2937"/>
                <w:sz w:val="17"/>
              </w:rPr>
              <w:t>tce (吨标煤)</w:t>
            </w:r>
          </w:p>
        </w:tc>
        <w:tc>
          <w:tcPr>
            <w:tcW w:type="dxa" w:w="216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jc w:val="left"/>
            </w:pPr>
            <w:r>
              <w:rPr>
                <w:rFonts w:ascii="微软雅黑" w:hAnsi="微软雅黑"/>
                <w:color w:val="1F2937"/>
                <w:sz w:val="17"/>
              </w:rPr>
              <w:t>ERP/MES/电表汇总，日度更新</w:t>
            </w:r>
          </w:p>
        </w:tc>
      </w:tr>
      <w:tr>
        <w:tc>
          <w:tcPr>
            <w:tcW w:type="dxa" w:w="2016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jc w:val="center"/>
            </w:pPr>
            <w:r>
              <w:rPr>
                <w:rFonts w:ascii="微软雅黑" w:hAnsi="微软雅黑"/>
                <w:color w:val="1F2937"/>
                <w:sz w:val="17"/>
              </w:rPr>
              <w:t>unit_output_tce</w:t>
            </w:r>
          </w:p>
        </w:tc>
        <w:tc>
          <w:tcPr>
            <w:tcW w:type="dxa" w:w="216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jc w:val="left"/>
            </w:pPr>
            <w:r>
              <w:rPr>
                <w:rFonts w:ascii="微软雅黑" w:hAnsi="微软雅黑"/>
                <w:color w:val="1F2937"/>
                <w:sz w:val="17"/>
              </w:rPr>
              <w:t>万元产值综合能耗</w:t>
            </w:r>
          </w:p>
        </w:tc>
        <w:tc>
          <w:tcPr>
            <w:tcW w:type="dxa" w:w="172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jc w:val="left"/>
            </w:pPr>
            <w:r>
              <w:rPr>
                <w:rFonts w:ascii="微软雅黑" w:hAnsi="微软雅黑"/>
                <w:color w:val="1F2937"/>
                <w:sz w:val="17"/>
              </w:rPr>
              <w:t>数值+环比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jc w:val="left"/>
            </w:pPr>
            <w:r>
              <w:rPr>
                <w:rFonts w:ascii="微软雅黑" w:hAnsi="微软雅黑"/>
                <w:color w:val="1F2937"/>
                <w:sz w:val="17"/>
              </w:rPr>
              <w:t>tce/万元</w:t>
            </w:r>
          </w:p>
        </w:tc>
        <w:tc>
          <w:tcPr>
            <w:tcW w:type="dxa" w:w="216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jc w:val="left"/>
            </w:pPr>
            <w:r>
              <w:rPr>
                <w:rFonts w:ascii="微软雅黑" w:hAnsi="微软雅黑"/>
                <w:color w:val="1F2937"/>
                <w:sz w:val="17"/>
              </w:rPr>
              <w:t>能耗总量 / 产值，月度更新</w:t>
            </w:r>
          </w:p>
        </w:tc>
      </w:tr>
      <w:tr>
        <w:tc>
          <w:tcPr>
            <w:tcW w:type="dxa" w:w="2016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jc w:val="center"/>
            </w:pPr>
            <w:r>
              <w:rPr>
                <w:rFonts w:ascii="微软雅黑" w:hAnsi="微软雅黑"/>
                <w:color w:val="1F2937"/>
                <w:sz w:val="17"/>
              </w:rPr>
              <w:t>green_ratio</w:t>
            </w:r>
          </w:p>
        </w:tc>
        <w:tc>
          <w:tcPr>
            <w:tcW w:type="dxa" w:w="216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jc w:val="left"/>
            </w:pPr>
            <w:r>
              <w:rPr>
                <w:rFonts w:ascii="微软雅黑" w:hAnsi="微软雅黑"/>
                <w:color w:val="1F2937"/>
                <w:sz w:val="17"/>
              </w:rPr>
              <w:t>综合绿电消纳率</w:t>
            </w:r>
          </w:p>
        </w:tc>
        <w:tc>
          <w:tcPr>
            <w:tcW w:type="dxa" w:w="172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jc w:val="left"/>
            </w:pPr>
            <w:r>
              <w:rPr>
                <w:rFonts w:ascii="微软雅黑" w:hAnsi="微软雅黑"/>
                <w:color w:val="1F2937"/>
                <w:sz w:val="17"/>
              </w:rPr>
              <w:t>圆环百分比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jc w:val="left"/>
            </w:pPr>
            <w:r>
              <w:rPr>
                <w:rFonts w:ascii="微软雅黑" w:hAnsi="微软雅黑"/>
                <w:color w:val="1F2937"/>
                <w:sz w:val="17"/>
              </w:rPr>
              <w:t>%</w:t>
            </w:r>
          </w:p>
        </w:tc>
        <w:tc>
          <w:tcPr>
            <w:tcW w:type="dxa" w:w="216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jc w:val="left"/>
            </w:pPr>
            <w:r>
              <w:rPr>
                <w:rFonts w:ascii="微软雅黑" w:hAnsi="微软雅黑"/>
                <w:color w:val="1F2937"/>
                <w:sz w:val="17"/>
              </w:rPr>
              <w:t>微电网+市场交易绿电，实时更新</w:t>
            </w:r>
          </w:p>
        </w:tc>
      </w:tr>
      <w:tr>
        <w:tc>
          <w:tcPr>
            <w:tcW w:type="dxa" w:w="2016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jc w:val="center"/>
            </w:pPr>
            <w:r>
              <w:rPr>
                <w:rFonts w:ascii="微软雅黑" w:hAnsi="微软雅黑"/>
                <w:color w:val="1F2937"/>
                <w:sz w:val="17"/>
              </w:rPr>
              <w:t>pv_power_kw</w:t>
            </w:r>
          </w:p>
        </w:tc>
        <w:tc>
          <w:tcPr>
            <w:tcW w:type="dxa" w:w="216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jc w:val="left"/>
            </w:pPr>
            <w:r>
              <w:rPr>
                <w:rFonts w:ascii="微软雅黑" w:hAnsi="微软雅黑"/>
                <w:color w:val="1F2937"/>
                <w:sz w:val="17"/>
              </w:rPr>
              <w:t>分布式光伏瞬时出力</w:t>
            </w:r>
          </w:p>
        </w:tc>
        <w:tc>
          <w:tcPr>
            <w:tcW w:type="dxa" w:w="172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jc w:val="left"/>
            </w:pPr>
            <w:r>
              <w:rPr>
                <w:rFonts w:ascii="微软雅黑" w:hAnsi="微软雅黑"/>
                <w:color w:val="1F2937"/>
                <w:sz w:val="17"/>
              </w:rPr>
              <w:t>实时数值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jc w:val="left"/>
            </w:pPr>
            <w:r>
              <w:rPr>
                <w:rFonts w:ascii="微软雅黑" w:hAnsi="微软雅黑"/>
                <w:color w:val="1F2937"/>
                <w:sz w:val="17"/>
              </w:rPr>
              <w:t>kW</w:t>
            </w:r>
          </w:p>
        </w:tc>
        <w:tc>
          <w:tcPr>
            <w:tcW w:type="dxa" w:w="216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jc w:val="left"/>
            </w:pPr>
            <w:r>
              <w:rPr>
                <w:rFonts w:ascii="微软雅黑" w:hAnsi="微软雅黑"/>
                <w:color w:val="1F2937"/>
                <w:sz w:val="17"/>
              </w:rPr>
              <w:t>光伏逆变器 SCADA，秒级遥测</w:t>
            </w:r>
          </w:p>
        </w:tc>
      </w:tr>
      <w:tr>
        <w:tc>
          <w:tcPr>
            <w:tcW w:type="dxa" w:w="2016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jc w:val="center"/>
            </w:pPr>
            <w:r>
              <w:rPr>
                <w:rFonts w:ascii="微软雅黑" w:hAnsi="微软雅黑"/>
                <w:color w:val="1F2937"/>
                <w:sz w:val="17"/>
              </w:rPr>
              <w:t>storage_soc</w:t>
            </w:r>
          </w:p>
        </w:tc>
        <w:tc>
          <w:tcPr>
            <w:tcW w:type="dxa" w:w="216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jc w:val="left"/>
            </w:pPr>
            <w:r>
              <w:rPr>
                <w:rFonts w:ascii="微软雅黑" w:hAnsi="微软雅黑"/>
                <w:color w:val="1F2937"/>
                <w:sz w:val="17"/>
              </w:rPr>
              <w:t>储能电站荷电状态</w:t>
            </w:r>
          </w:p>
        </w:tc>
        <w:tc>
          <w:tcPr>
            <w:tcW w:type="dxa" w:w="172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jc w:val="left"/>
            </w:pPr>
            <w:r>
              <w:rPr>
                <w:rFonts w:ascii="微软雅黑" w:hAnsi="微软雅黑"/>
                <w:color w:val="1F2937"/>
                <w:sz w:val="17"/>
              </w:rPr>
              <w:t>电池进度条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jc w:val="left"/>
            </w:pPr>
            <w:r>
              <w:rPr>
                <w:rFonts w:ascii="微软雅黑" w:hAnsi="微软雅黑"/>
                <w:color w:val="1F2937"/>
                <w:sz w:val="17"/>
              </w:rPr>
              <w:t>% (SOC)</w:t>
            </w:r>
          </w:p>
        </w:tc>
        <w:tc>
          <w:tcPr>
            <w:tcW w:type="dxa" w:w="216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jc w:val="left"/>
            </w:pPr>
            <w:r>
              <w:rPr>
                <w:rFonts w:ascii="微软雅黑" w:hAnsi="微软雅黑"/>
                <w:color w:val="1F2937"/>
                <w:sz w:val="17"/>
              </w:rPr>
              <w:t>BMS 电池管理系统，秒级遥测</w:t>
            </w:r>
          </w:p>
        </w:tc>
      </w:tr>
    </w:tbl>
    <w:p>
      <w:pPr>
        <w:spacing w:after="80"/>
      </w:pPr>
    </w:p>
    <w:p>
      <w:pPr>
        <w:pStyle w:val="Heading3"/>
        <w:keepNext/>
        <w:spacing w:before="180" w:after="60"/>
      </w:pPr>
      <w:r>
        <w:rPr>
          <w:rFonts w:ascii="微软雅黑" w:hAnsi="微软雅黑"/>
          <w:b/>
          <w:color w:val="1E3A8A"/>
          <w:sz w:val="22"/>
        </w:rPr>
        <w:t>4.2 二级导航：综合集控大屏 (16:9) (/screen/control-center)</w:t>
      </w:r>
    </w:p>
    <w:p>
      <w:pPr>
        <w:spacing w:after="100" w:line="288" w:lineRule="auto"/>
      </w:pPr>
      <w:r>
        <w:rPr>
          <w:rFonts w:ascii="微软雅黑" w:hAnsi="微软雅黑"/>
          <w:b/>
          <w:color w:val="1E3A8A"/>
          <w:sz w:val="19"/>
        </w:rPr>
        <w:t>功能概述：</w:t>
      </w:r>
      <w:r>
        <w:rPr>
          <w:rFonts w:ascii="微软雅黑" w:hAnsi="微软雅黑"/>
          <w:color w:val="1F2937"/>
          <w:sz w:val="19"/>
        </w:rPr>
        <w:t>标准 16:9 比例微电网与综合能效态势看板，集成全厂变配电一次图、潮流图及微电网拓扑调度图。</w:t>
      </w:r>
    </w:p>
    <w:p>
      <w:pPr>
        <w:pStyle w:val="Heading2"/>
        <w:keepNext/>
        <w:spacing w:before="260" w:after="100"/>
      </w:pPr>
      <w:r>
        <w:rPr>
          <w:rFonts w:ascii="微软雅黑" w:hAnsi="微软雅黑"/>
          <w:b/>
          <w:color w:val="0284C7"/>
          <w:sz w:val="26"/>
        </w:rPr>
        <w:t>第 5 章 一级导航【集中监管】(/zero-carbon/monitor)</w:t>
      </w:r>
    </w:p>
    <w:p>
      <w:pPr>
        <w:pStyle w:val="Heading3"/>
        <w:keepNext/>
        <w:spacing w:before="180" w:after="60"/>
      </w:pPr>
      <w:r>
        <w:rPr>
          <w:rFonts w:ascii="微软雅黑" w:hAnsi="微软雅黑"/>
          <w:b/>
          <w:color w:val="1E3A8A"/>
          <w:sz w:val="22"/>
        </w:rPr>
        <w:t>5.1 二级导航：指标管控 (/zero-carbon/monitor/indicator)</w:t>
      </w:r>
    </w:p>
    <w:p>
      <w:pPr>
        <w:spacing w:after="100" w:line="288" w:lineRule="auto"/>
      </w:pPr>
      <w:r>
        <w:rPr>
          <w:rFonts w:ascii="微软雅黑" w:hAnsi="微软雅黑"/>
          <w:b/>
          <w:color w:val="1E3A8A"/>
          <w:sz w:val="19"/>
        </w:rPr>
        <w:t>PM 业务定位：</w:t>
      </w:r>
      <w:r>
        <w:rPr>
          <w:rFonts w:ascii="微软雅黑" w:hAnsi="微软雅黑"/>
          <w:color w:val="1F2937"/>
          <w:sz w:val="19"/>
        </w:rPr>
        <w:t>集中监管的核心调度枢纽，全面落地 Mode A（宏观指标卡片矩阵）与 Mode B（深入分析详情内页）双模无缝穿透机制。</w:t>
      </w:r>
    </w:p>
    <w:p>
      <w:pPr>
        <w:spacing w:after="100" w:line="288" w:lineRule="auto"/>
      </w:pPr>
      <w:r>
        <w:rPr>
          <w:rFonts w:ascii="微软雅黑" w:hAnsi="微软雅黑"/>
          <w:color w:val="1F2937"/>
          <w:sz w:val="19"/>
        </w:rPr>
        <w:t>5.1.1 Mode A 宏观指标卡片矩阵：</w:t>
        <w:br/>
        <w:t>包含三大指标集群：</w:t>
        <w:br/>
        <w:t>1. 一、经营单位及项目公司整体指标 (前 10 项综合指标，如综合能源消费量 5,529.1 tce、万元产值综合能耗 0.0526 tce/万元、ESG 万元产值水耗 0.42 m³/万元、绿电消纳占比 36.8% 等)；</w:t>
        <w:br/>
        <w:t>2. 二、产品管控指标 (5 项标准单位产品指标：能耗 e=E/M、电耗 q_电=Q/M、蒸汽耗 q_汽=Q/M、天然气耗 q_气=Q/M、水耗 q_水=Q/M，卡片内置一键跳转至单位产品能耗分析页面)；</w:t>
        <w:br/>
        <w:t>3. 三、关键制造工序能耗管控指标 (覆盖全量 47 项工序，拉丝、绞线、干燥固化、钣金、喷砂、二次SMT等)。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fill="FEF2F2"/>
            <w:tcMar>
              <w:top w:w="120" w:type="dxa"/>
              <w:bottom w:w="120" w:type="dxa"/>
              <w:left w:w="150" w:type="dxa"/>
              <w:right w:w="150" w:type="dxa"/>
            </w:tcMar>
            <w:tcBorders>
              <w:top w:val="none"/>
              <w:left w:val="single" w:color="DC2626" w:sz="24"/>
              <w:bottom w:val="none"/>
              <w:right w:val="none"/>
            </w:tcBorders>
          </w:tcPr>
          <w:p>
            <w:pPr>
              <w:spacing w:after="40"/>
            </w:pPr>
            <w:r>
              <w:rPr>
                <w:rFonts w:ascii="微软雅黑" w:hAnsi="微软雅黑"/>
                <w:b/>
                <w:color w:val="DC2626"/>
                <w:sz w:val="19"/>
              </w:rPr>
              <w:t>📌 【工序白名单与客观判空铁律】</w:t>
              <w:br/>
            </w:r>
            <w:r>
              <w:rPr>
                <w:rFonts w:ascii="微软雅黑" w:hAnsi="微软雅黑"/>
                <w:color w:val="1F2937"/>
                <w:sz w:val="18"/>
              </w:rPr>
              <w:t>【权威工序表白名单硬性判定准则】</w:t>
              <w:br/>
              <w:t>严格依据《生产单位与涉及关键工序对应表(1).et》执行：</w:t>
              <w:br/>
              <w:t>1. 生产型基地（特变电工沈阳变压器、特变电工衡阳变压器、特变电工新疆变压器、特变电工山东鲁能泰山电缆等）：仅展示其业务真实涉及的制造工序（如线圈绕制、真空干燥等）；</w:t>
              <w:br/>
              <w:t>2. 无实体制造工序单位（沈变智慧能源、衡变智慧能源、新变智慧能源、鲁缆智慧能源等 10 家公司）：在第三部分必须精准单行判空输出：【暂无相关工序！】，严禁出现空白卡片或大段说明性废话；</w:t>
              <w:br/>
              <w:t>3. 状态自解释：严禁在卡片出现“已联动”、“当前选中”等胶囊标签。</w:t>
            </w:r>
          </w:p>
        </w:tc>
      </w:tr>
    </w:tbl>
    <w:p>
      <w:pPr>
        <w:spacing w:after="60"/>
      </w:pPr>
    </w:p>
    <w:p>
      <w:pPr>
        <w:spacing w:after="100" w:line="288" w:lineRule="auto"/>
      </w:pPr>
      <w:r>
        <w:rPr>
          <w:rFonts w:ascii="微软雅黑" w:hAnsi="微软雅黑"/>
          <w:color w:val="1F2937"/>
          <w:sz w:val="19"/>
        </w:rPr>
        <w:t>5.1.2 Mode B 深入分析详情内页规格：</w:t>
        <w:br/>
        <w:t>点击 Mode A 任意指标卡片，平滑滑入 Mode B 详情内页：</w:t>
        <w:br/>
        <w:t>1. 指标标准数学公式与定义：分子物理量定义与量值、分母物理量定义与量值、公式表达式（如 e = E / M）；</w:t>
        <w:br/>
        <w:t>2. 数据来源与采集路径：标明采集仪器表计、Modbus 点位、安装物理位置与折标系数；</w:t>
        <w:br/>
        <w:t>3. 近 12 个月历史走势折线图：展示逐月实际值、同比走势与环比走势；</w:t>
        <w:br/>
        <w:t>4. 底层能源介质历史台账：拆解近 12 个月水、电、燃气、外购蒸汽 4 大介质消耗明细与折标煤占比。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rPr>
          <w:tblHeader/>
        </w:trPr>
        <w:tc>
          <w:tcPr>
            <w:tcW w:type="dxa" w:w="1440"/>
            <w:shd w:fill="1E3A8A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jc w:val="center"/>
            </w:pPr>
            <w:r>
              <w:rPr>
                <w:rFonts w:ascii="微软雅黑" w:hAnsi="微软雅黑"/>
                <w:b/>
                <w:color w:val="FFFFFF"/>
                <w:sz w:val="18"/>
              </w:rPr>
              <w:t>用例编号</w:t>
            </w:r>
          </w:p>
        </w:tc>
        <w:tc>
          <w:tcPr>
            <w:tcW w:type="dxa" w:w="2016"/>
            <w:shd w:fill="1E3A8A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jc w:val="center"/>
            </w:pPr>
            <w:r>
              <w:rPr>
                <w:rFonts w:ascii="微软雅黑" w:hAnsi="微软雅黑"/>
                <w:b/>
                <w:color w:val="FFFFFF"/>
                <w:sz w:val="18"/>
              </w:rPr>
              <w:t>测试场景</w:t>
            </w:r>
          </w:p>
        </w:tc>
        <w:tc>
          <w:tcPr>
            <w:tcW w:type="dxa" w:w="2304"/>
            <w:shd w:fill="1E3A8A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jc w:val="center"/>
            </w:pPr>
            <w:r>
              <w:rPr>
                <w:rFonts w:ascii="微软雅黑" w:hAnsi="微软雅黑"/>
                <w:b/>
                <w:color w:val="FFFFFF"/>
                <w:sz w:val="18"/>
              </w:rPr>
              <w:t>操作前置与输入</w:t>
            </w:r>
          </w:p>
        </w:tc>
        <w:tc>
          <w:tcPr>
            <w:tcW w:type="dxa" w:w="2880"/>
            <w:shd w:fill="1E3A8A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jc w:val="center"/>
            </w:pPr>
            <w:r>
              <w:rPr>
                <w:rFonts w:ascii="微软雅黑" w:hAnsi="微软雅黑"/>
                <w:b/>
                <w:color w:val="FFFFFF"/>
                <w:sz w:val="18"/>
              </w:rPr>
              <w:t>期望输出</w:t>
            </w:r>
          </w:p>
        </w:tc>
        <w:tc>
          <w:tcPr>
            <w:tcW w:type="dxa" w:w="1008"/>
            <w:shd w:fill="1E3A8A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jc w:val="center"/>
            </w:pPr>
            <w:r>
              <w:rPr>
                <w:rFonts w:ascii="微软雅黑" w:hAnsi="微软雅黑"/>
                <w:b/>
                <w:color w:val="FFFFFF"/>
                <w:sz w:val="18"/>
              </w:rPr>
              <w:t>缺陷等级</w:t>
            </w:r>
          </w:p>
        </w:tc>
      </w:tr>
      <w:tr>
        <w:tc>
          <w:tcPr>
            <w:tcW w:type="dxa" w:w="144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jc w:val="center"/>
            </w:pPr>
            <w:r>
              <w:rPr>
                <w:rFonts w:ascii="微软雅黑" w:hAnsi="微软雅黑"/>
                <w:color w:val="1F2937"/>
                <w:sz w:val="17"/>
              </w:rPr>
              <w:t>TC-IND-001</w:t>
            </w:r>
          </w:p>
        </w:tc>
        <w:tc>
          <w:tcPr>
            <w:tcW w:type="dxa" w:w="2016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jc w:val="left"/>
            </w:pPr>
            <w:r>
              <w:rPr>
                <w:rFonts w:ascii="微软雅黑" w:hAnsi="微软雅黑"/>
                <w:color w:val="1F2937"/>
                <w:sz w:val="17"/>
              </w:rPr>
              <w:t>无工序单位精准判空</w:t>
            </w:r>
          </w:p>
        </w:tc>
        <w:tc>
          <w:tcPr>
            <w:tcW w:type="dxa" w:w="230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jc w:val="left"/>
            </w:pPr>
            <w:r>
              <w:rPr>
                <w:rFonts w:ascii="微软雅黑" w:hAnsi="微软雅黑"/>
                <w:color w:val="1F2937"/>
                <w:sz w:val="17"/>
              </w:rPr>
              <w:t>左侧组织树选中“沈变智慧能源”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jc w:val="left"/>
            </w:pPr>
            <w:r>
              <w:rPr>
                <w:rFonts w:ascii="微软雅黑" w:hAnsi="微软雅黑"/>
                <w:color w:val="1F2937"/>
                <w:sz w:val="17"/>
              </w:rPr>
              <w:t>工序指标区域整行仅输出单行“暂无相关工序！”，无卡片无大段解释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jc w:val="left"/>
            </w:pPr>
            <w:r>
              <w:rPr>
                <w:rFonts w:ascii="微软雅黑" w:hAnsi="微软雅黑"/>
                <w:color w:val="1F2937"/>
                <w:sz w:val="17"/>
              </w:rPr>
              <w:t>P0 (阻断)</w:t>
            </w:r>
          </w:p>
        </w:tc>
      </w:tr>
      <w:tr>
        <w:tc>
          <w:tcPr>
            <w:tcW w:type="dxa" w:w="144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jc w:val="center"/>
            </w:pPr>
            <w:r>
              <w:rPr>
                <w:rFonts w:ascii="微软雅黑" w:hAnsi="微软雅黑"/>
                <w:color w:val="1F2937"/>
                <w:sz w:val="17"/>
              </w:rPr>
              <w:t>TC-IND-002</w:t>
            </w:r>
          </w:p>
        </w:tc>
        <w:tc>
          <w:tcPr>
            <w:tcW w:type="dxa" w:w="2016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jc w:val="left"/>
            </w:pPr>
            <w:r>
              <w:rPr>
                <w:rFonts w:ascii="微软雅黑" w:hAnsi="微软雅黑"/>
                <w:color w:val="1F2937"/>
                <w:sz w:val="17"/>
              </w:rPr>
              <w:t>Mode B 双模切换</w:t>
            </w:r>
          </w:p>
        </w:tc>
        <w:tc>
          <w:tcPr>
            <w:tcW w:type="dxa" w:w="230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jc w:val="left"/>
            </w:pPr>
            <w:r>
              <w:rPr>
                <w:rFonts w:ascii="微软雅黑" w:hAnsi="微软雅黑"/>
                <w:color w:val="1F2937"/>
                <w:sz w:val="17"/>
              </w:rPr>
              <w:t>在 Mode A 点击“单位产品综合能耗”卡片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jc w:val="left"/>
            </w:pPr>
            <w:r>
              <w:rPr>
                <w:rFonts w:ascii="微软雅黑" w:hAnsi="微软雅黑"/>
                <w:color w:val="1F2937"/>
                <w:sz w:val="17"/>
              </w:rPr>
              <w:t>平滑进入 Mode B，显示公式 e=E/M、点位路径、12月折线及台账</w:t>
            </w:r>
          </w:p>
        </w:tc>
        <w:tc>
          <w:tcPr>
            <w:tcW w:type="dxa" w:w="100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jc w:val="left"/>
            </w:pPr>
            <w:r>
              <w:rPr>
                <w:rFonts w:ascii="微软雅黑" w:hAnsi="微软雅黑"/>
                <w:color w:val="1F2937"/>
                <w:sz w:val="17"/>
              </w:rPr>
              <w:t>P0</w:t>
            </w:r>
          </w:p>
        </w:tc>
      </w:tr>
      <w:tr>
        <w:tc>
          <w:tcPr>
            <w:tcW w:type="dxa" w:w="144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jc w:val="center"/>
            </w:pPr>
            <w:r>
              <w:rPr>
                <w:rFonts w:ascii="微软雅黑" w:hAnsi="微软雅黑"/>
                <w:color w:val="1F2937"/>
                <w:sz w:val="17"/>
              </w:rPr>
              <w:t>TC-IND-003</w:t>
            </w:r>
          </w:p>
        </w:tc>
        <w:tc>
          <w:tcPr>
            <w:tcW w:type="dxa" w:w="2016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jc w:val="left"/>
            </w:pPr>
            <w:r>
              <w:rPr>
                <w:rFonts w:ascii="微软雅黑" w:hAnsi="微软雅黑"/>
                <w:color w:val="1F2937"/>
                <w:sz w:val="17"/>
              </w:rPr>
              <w:t>产品指标跳转联动</w:t>
            </w:r>
          </w:p>
        </w:tc>
        <w:tc>
          <w:tcPr>
            <w:tcW w:type="dxa" w:w="230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jc w:val="left"/>
            </w:pPr>
            <w:r>
              <w:rPr>
                <w:rFonts w:ascii="微软雅黑" w:hAnsi="微软雅黑"/>
                <w:color w:val="1F2937"/>
                <w:sz w:val="17"/>
              </w:rPr>
              <w:t>点击产品管控卡片右上角跳转图标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jc w:val="left"/>
            </w:pPr>
            <w:r>
              <w:rPr>
                <w:rFonts w:ascii="微软雅黑" w:hAnsi="微软雅黑"/>
                <w:color w:val="1F2937"/>
                <w:sz w:val="17"/>
              </w:rPr>
              <w:t>携带所选公司参数直接路由至 /zero-carbon/energy/unit-product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jc w:val="left"/>
            </w:pPr>
            <w:r>
              <w:rPr>
                <w:rFonts w:ascii="微软雅黑" w:hAnsi="微软雅黑"/>
                <w:color w:val="1F2937"/>
                <w:sz w:val="17"/>
              </w:rPr>
              <w:t>P1</w:t>
            </w:r>
          </w:p>
        </w:tc>
      </w:tr>
      <w:tr>
        <w:tc>
          <w:tcPr>
            <w:tcW w:type="dxa" w:w="144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jc w:val="center"/>
            </w:pPr>
            <w:r>
              <w:rPr>
                <w:rFonts w:ascii="微软雅黑" w:hAnsi="微软雅黑"/>
                <w:color w:val="1F2937"/>
                <w:sz w:val="17"/>
              </w:rPr>
              <w:t>TC-IND-004</w:t>
            </w:r>
          </w:p>
        </w:tc>
        <w:tc>
          <w:tcPr>
            <w:tcW w:type="dxa" w:w="2016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jc w:val="left"/>
            </w:pPr>
            <w:r>
              <w:rPr>
                <w:rFonts w:ascii="微软雅黑" w:hAnsi="微软雅黑"/>
                <w:color w:val="1F2937"/>
                <w:sz w:val="17"/>
              </w:rPr>
              <w:t>客观中立性代码审查</w:t>
            </w:r>
          </w:p>
        </w:tc>
        <w:tc>
          <w:tcPr>
            <w:tcW w:type="dxa" w:w="230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jc w:val="left"/>
            </w:pPr>
            <w:r>
              <w:rPr>
                <w:rFonts w:ascii="微软雅黑" w:hAnsi="微软雅黑"/>
                <w:color w:val="1F2937"/>
                <w:sz w:val="17"/>
              </w:rPr>
              <w:t>代码全局 grep 扫描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jc w:val="left"/>
            </w:pPr>
            <w:r>
              <w:rPr>
                <w:rFonts w:ascii="微软雅黑" w:hAnsi="微软雅黑"/>
                <w:color w:val="1F2937"/>
                <w:sz w:val="17"/>
              </w:rPr>
              <w:t>零出现“优良/欠佳/表现突出/落后”等词，纯以同比环比呈现</w:t>
            </w:r>
          </w:p>
        </w:tc>
        <w:tc>
          <w:tcPr>
            <w:tcW w:type="dxa" w:w="100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jc w:val="left"/>
            </w:pPr>
            <w:r>
              <w:rPr>
                <w:rFonts w:ascii="微软雅黑" w:hAnsi="微软雅黑"/>
                <w:color w:val="1F2937"/>
                <w:sz w:val="17"/>
              </w:rPr>
              <w:t>P0 (阻断)</w:t>
            </w:r>
          </w:p>
        </w:tc>
      </w:tr>
    </w:tbl>
    <w:p>
      <w:pPr>
        <w:spacing w:after="80"/>
      </w:pPr>
    </w:p>
    <w:p>
      <w:pPr>
        <w:pStyle w:val="Heading3"/>
        <w:keepNext/>
        <w:spacing w:before="180" w:after="60"/>
      </w:pPr>
      <w:r>
        <w:rPr>
          <w:rFonts w:ascii="微软雅黑" w:hAnsi="微软雅黑"/>
          <w:b/>
          <w:color w:val="1E3A8A"/>
          <w:sz w:val="22"/>
        </w:rPr>
        <w:t>5.2 二级导航：用能在线监测 (/zero-carbon/monitor/online/usage)</w:t>
      </w:r>
    </w:p>
    <w:p>
      <w:pPr>
        <w:spacing w:after="100" w:line="288" w:lineRule="auto"/>
      </w:pPr>
      <w:r>
        <w:rPr>
          <w:rFonts w:ascii="微软雅黑" w:hAnsi="微软雅黑"/>
          <w:b/>
          <w:color w:val="1E3A8A"/>
          <w:sz w:val="19"/>
        </w:rPr>
        <w:t>PM 业务定位：</w:t>
      </w:r>
      <w:r>
        <w:rPr>
          <w:rFonts w:ascii="微软雅黑" w:hAnsi="微软雅黑"/>
          <w:color w:val="1F2937"/>
          <w:sz w:val="19"/>
        </w:rPr>
        <w:t>提供生产园区与车间秒级、分时负荷监测与时空结构穿透分析。</w:t>
      </w:r>
    </w:p>
    <w:p>
      <w:pPr>
        <w:spacing w:after="100" w:line="288" w:lineRule="auto"/>
      </w:pPr>
      <w:r>
        <w:rPr>
          <w:rFonts w:ascii="微软雅黑" w:hAnsi="微软雅黑"/>
          <w:b/>
          <w:color w:val="1E3A8A"/>
          <w:sz w:val="19"/>
        </w:rPr>
        <w:t>功能交互规格：</w:t>
      </w:r>
      <w:r>
        <w:rPr>
          <w:rFonts w:ascii="微软雅黑" w:hAnsi="微软雅黑"/>
          <w:color w:val="1F2937"/>
          <w:sz w:val="19"/>
        </w:rPr>
        <w:t>1. 拓扑树规范：左侧固定采用【园区 ➔ 企业】两级拓扑树，未接入单位纯置灰禁用（opacity-35, cursor-not-allowed）；</w:t>
        <w:br/>
        <w:t>2. 顶部全局控制：支持“日监测”与“跨月区间选择器”（如 2026年01月 至 2026年08月），下方折线图 X 轴随之联动为 1月份~8月份；</w:t>
        <w:br/>
        <w:t>3. 能源介质智能自适应与联动替换（双端同构铁律）：</w:t>
        <w:br/>
        <w:t xml:space="preserve">   - 选中电力介质（总用电量、市电量、直供绿电）：展示【用电峰平谷分时负荷与结构】（尖/峰/平/谷 2×2 卡片 + 逐时/逐日连续堆叠柱状图）；</w:t>
        <w:br/>
        <w:t xml:space="preserve">   - 选中非电介质（水资源、天然气、外购蒸汽、柴油、液氮）：彻底移除峰平谷字样与图表，100% 动态联动替换为【该介质重点工序/车间消耗结构与时段负荷分布】（左侧 4/12 重点工序圆环图，右侧 8/12 连续采样走势与额定设计基准对比）；</w:t>
        <w:br/>
        <w:t>4. 44px 工业高密数据表格：底部实时台账表格行高强制固定为 44px (h-[44px])，垂直居中。</w:t>
      </w:r>
    </w:p>
    <w:p>
      <w:pPr>
        <w:pStyle w:val="Heading3"/>
        <w:keepNext/>
        <w:spacing w:before="180" w:after="60"/>
      </w:pPr>
      <w:r>
        <w:rPr>
          <w:rFonts w:ascii="微软雅黑" w:hAnsi="微软雅黑"/>
          <w:b/>
          <w:color w:val="1E3A8A"/>
          <w:sz w:val="22"/>
        </w:rPr>
        <w:t>5.3 二级导航：设备在线监测 (/zero-carbon/monitor/online/equipment)</w:t>
      </w:r>
    </w:p>
    <w:p>
      <w:pPr>
        <w:spacing w:after="100" w:line="288" w:lineRule="auto"/>
      </w:pPr>
      <w:r>
        <w:rPr>
          <w:rFonts w:ascii="微软雅黑" w:hAnsi="微软雅黑"/>
          <w:b/>
          <w:color w:val="1E3A8A"/>
          <w:sz w:val="19"/>
        </w:rPr>
        <w:t>功能规则：</w:t>
      </w:r>
      <w:r>
        <w:rPr>
          <w:rFonts w:ascii="微软雅黑" w:hAnsi="微软雅黑"/>
          <w:color w:val="1F2937"/>
          <w:sz w:val="19"/>
        </w:rPr>
        <w:t>1. 左侧拓扑树：展示【企业 ➔ 设备】拓扑，设备节点前置介质图标（Zap/Flame），移除后方冗余胶囊标签；</w:t>
        <w:br/>
        <w:t>2. 设备指标卡片：客观对比维度统一采用“环比”（如负荷率环比 +1.8%），严禁定性评判词句；</w:t>
        <w:br/>
        <w:t>3. 原“管道工作压力”统一标准化更名为【蒸汽消耗量】。</w:t>
      </w:r>
    </w:p>
    <w:p>
      <w:pPr>
        <w:pStyle w:val="Heading3"/>
        <w:keepNext/>
        <w:spacing w:before="180" w:after="60"/>
      </w:pPr>
      <w:r>
        <w:rPr>
          <w:rFonts w:ascii="微软雅黑" w:hAnsi="微软雅黑"/>
          <w:b/>
          <w:color w:val="1E3A8A"/>
          <w:sz w:val="22"/>
        </w:rPr>
        <w:t>5.4 二级导航：工业微电网监测与能源碳排放监测</w:t>
      </w:r>
    </w:p>
    <w:p>
      <w:pPr>
        <w:spacing w:after="100" w:line="288" w:lineRule="auto"/>
      </w:pPr>
      <w:r>
        <w:rPr>
          <w:rFonts w:ascii="微软雅黑" w:hAnsi="微软雅黑"/>
          <w:b/>
          <w:color w:val="1E3A8A"/>
          <w:sz w:val="19"/>
        </w:rPr>
        <w:t>功能规则：</w:t>
      </w:r>
      <w:r>
        <w:rPr>
          <w:rFonts w:ascii="微软雅黑" w:hAnsi="微软雅黑"/>
          <w:color w:val="1F2937"/>
          <w:sz w:val="19"/>
        </w:rPr>
        <w:t>1. 工业微电网 (`/online/microgrid`)：包含分布式光伏出力、储能 SOC/充放电功率、市电并网/防逆流监测；</w:t>
        <w:br/>
        <w:t>2. 能源碳排放 (`/carbon-emission`)：核算 Scope 1（化石燃烧直接排放）与 Scope 2（外购电热间接排放），展示碳减排抵消量走势折线。</w:t>
      </w:r>
    </w:p>
    <w:p>
      <w:pPr>
        <w:pStyle w:val="Heading2"/>
        <w:keepNext/>
        <w:spacing w:before="260" w:after="100"/>
      </w:pPr>
      <w:r>
        <w:rPr>
          <w:rFonts w:ascii="微软雅黑" w:hAnsi="微软雅黑"/>
          <w:b/>
          <w:color w:val="0284C7"/>
          <w:sz w:val="26"/>
        </w:rPr>
        <w:t>第 6 章 一级导航【能耗能效分析】(/zero-carbon/energy)</w:t>
      </w:r>
    </w:p>
    <w:p>
      <w:pPr>
        <w:pStyle w:val="Heading3"/>
        <w:keepNext/>
        <w:spacing w:before="180" w:after="60"/>
      </w:pPr>
      <w:r>
        <w:rPr>
          <w:rFonts w:ascii="微软雅黑" w:hAnsi="微软雅黑"/>
          <w:b/>
          <w:color w:val="1E3A8A"/>
          <w:sz w:val="22"/>
        </w:rPr>
        <w:t>6.1 二级导航：用能结构分析与成本分析</w:t>
      </w:r>
    </w:p>
    <w:p>
      <w:pPr>
        <w:spacing w:after="100" w:line="288" w:lineRule="auto"/>
      </w:pPr>
      <w:r>
        <w:rPr>
          <w:rFonts w:ascii="微软雅黑" w:hAnsi="微软雅黑"/>
          <w:b/>
          <w:color w:val="1E3A8A"/>
          <w:sz w:val="19"/>
        </w:rPr>
        <w:t>功能说明：</w:t>
      </w:r>
      <w:r>
        <w:rPr>
          <w:rFonts w:ascii="微软雅黑" w:hAnsi="微软雅黑"/>
          <w:color w:val="1F2937"/>
          <w:sz w:val="19"/>
        </w:rPr>
        <w:t>1. 用能结构分析 (`/structure`)：绘制电、水、气、蒸汽多能互补能量流向桑基图 (Sankey) 与南丁格尔玫瑰图；</w:t>
        <w:br/>
        <w:t>2. 能源成本分析 (`/cost`)：TOU 尖峰平谷分时电费优化模型，折标综合单价横向条形图对比，提供需量申报优化与绿色降本策略。</w:t>
      </w:r>
    </w:p>
    <w:p>
      <w:pPr>
        <w:pStyle w:val="Heading3"/>
        <w:keepNext/>
        <w:spacing w:before="180" w:after="60"/>
      </w:pPr>
      <w:r>
        <w:rPr>
          <w:rFonts w:ascii="微软雅黑" w:hAnsi="微软雅黑"/>
          <w:b/>
          <w:color w:val="1E3A8A"/>
          <w:sz w:val="22"/>
        </w:rPr>
        <w:t>6.2 二级导航：单位产品能耗 (/zero-carbon/energy/unit-product)</w:t>
      </w:r>
    </w:p>
    <w:p>
      <w:pPr>
        <w:spacing w:after="100" w:line="288" w:lineRule="auto"/>
      </w:pPr>
      <w:r>
        <w:rPr>
          <w:rFonts w:ascii="微软雅黑" w:hAnsi="微软雅黑"/>
          <w:b/>
          <w:color w:val="1E3A8A"/>
          <w:sz w:val="19"/>
        </w:rPr>
        <w:t>核心业务模型：</w:t>
      </w:r>
      <w:r>
        <w:rPr>
          <w:rFonts w:ascii="微软雅黑" w:hAnsi="微软雅黑"/>
          <w:color w:val="1F2937"/>
          <w:sz w:val="19"/>
        </w:rPr>
        <w:t>【算法与物理分母隔离原则】：</w:t>
        <w:br/>
        <w:t>1. 变压器产业：以千伏安（kVA）为标准分母，计算综合单耗 e = E / 产量(kVA)（tce/kVA）；</w:t>
        <w:br/>
        <w:t>2. 线缆产业：以公里（km）为标准分母，计算综合单耗 e = E / 长度(km)（tce/km）；</w:t>
        <w:br/>
        <w:t>3. 纵向对比原则：各厂区仅与自身历史同期（同比）或上期（环比）对比，严禁跨厂虚假对抗；</w:t>
        <w:br/>
        <w:t>4. QA 极限防御：当月度产量录入为 0 时，系统拦截除以零异常，单耗显示“--”，禁止出现 NaN。</w:t>
      </w:r>
    </w:p>
    <w:p>
      <w:pPr>
        <w:pStyle w:val="Heading3"/>
        <w:keepNext/>
        <w:spacing w:before="180" w:after="60"/>
      </w:pPr>
      <w:r>
        <w:rPr>
          <w:rFonts w:ascii="微软雅黑" w:hAnsi="微软雅黑"/>
          <w:b/>
          <w:color w:val="1E3A8A"/>
          <w:sz w:val="22"/>
        </w:rPr>
        <w:t>6.3 二级导航：单位产值能耗与对标管理</w:t>
      </w:r>
    </w:p>
    <w:p>
      <w:pPr>
        <w:spacing w:after="100" w:line="288" w:lineRule="auto"/>
      </w:pPr>
      <w:r>
        <w:rPr>
          <w:rFonts w:ascii="微软雅黑" w:hAnsi="微软雅黑"/>
          <w:b/>
          <w:color w:val="1E3A8A"/>
          <w:sz w:val="19"/>
        </w:rPr>
        <w:t>功能说明：</w:t>
      </w:r>
      <w:r>
        <w:rPr>
          <w:rFonts w:ascii="微软雅黑" w:hAnsi="微软雅黑"/>
          <w:color w:val="1F2937"/>
          <w:sz w:val="19"/>
        </w:rPr>
        <w:t>1. 单位产值能耗 (`/unit-output`)：测算万元产值综合能耗（tce/万元）与综合水耗；</w:t>
        <w:br/>
        <w:t>2. 能效对标管理 (`/benchmark`)：国家先进值、国家准入值、企业领跑线对标模型。悬停游标强制微透科技蓝 rgba(56, 189, 248, 0.08)，严禁纯白眩光。</w:t>
      </w:r>
    </w:p>
    <w:p>
      <w:pPr>
        <w:pStyle w:val="Heading2"/>
        <w:keepNext/>
        <w:spacing w:before="260" w:after="100"/>
      </w:pPr>
      <w:r>
        <w:rPr>
          <w:rFonts w:ascii="微软雅黑" w:hAnsi="微软雅黑"/>
          <w:b/>
          <w:color w:val="0284C7"/>
          <w:sz w:val="26"/>
        </w:rPr>
        <w:t>第 7 章 一级导航【零碳项目评估】(/zero-carbon/project)</w:t>
      </w:r>
    </w:p>
    <w:p>
      <w:pPr>
        <w:pStyle w:val="Heading3"/>
        <w:keepNext/>
        <w:spacing w:before="180" w:after="60"/>
      </w:pPr>
      <w:r>
        <w:rPr>
          <w:rFonts w:ascii="微软雅黑" w:hAnsi="微软雅黑"/>
          <w:b/>
          <w:color w:val="1E3A8A"/>
          <w:sz w:val="22"/>
        </w:rPr>
        <w:t>7.1 二级导航：项目档案、实时监控与运行评估</w:t>
      </w:r>
    </w:p>
    <w:p>
      <w:pPr>
        <w:spacing w:after="100" w:line="288" w:lineRule="auto"/>
      </w:pPr>
      <w:r>
        <w:rPr>
          <w:rFonts w:ascii="微软雅黑" w:hAnsi="微软雅黑"/>
          <w:b/>
          <w:color w:val="1E3A8A"/>
          <w:sz w:val="19"/>
        </w:rPr>
        <w:t>功能说明：</w:t>
      </w:r>
      <w:r>
        <w:rPr>
          <w:rFonts w:ascii="微软雅黑" w:hAnsi="微软雅黑"/>
          <w:color w:val="1F2937"/>
          <w:sz w:val="19"/>
        </w:rPr>
        <w:t>1. 项目档案 (`/archive`)：立项信息、建设周期、投资概算台账；</w:t>
        <w:br/>
        <w:t>2. 实时监控 (`/monitoring`)：连接技改工程物联传感器，实时跟踪电流、功率工况；</w:t>
        <w:br/>
        <w:t>3. 项目运行评估 (`/benefit`)：依据 IPMVP 测量与验证 (M&amp;V) 规程，计算节能量、节约电费与动态投资回收期。</w:t>
      </w:r>
    </w:p>
    <w:p>
      <w:pPr>
        <w:pStyle w:val="Heading3"/>
        <w:keepNext/>
        <w:spacing w:before="180" w:after="60"/>
      </w:pPr>
      <w:r>
        <w:rPr>
          <w:rFonts w:ascii="微软雅黑" w:hAnsi="微软雅黑"/>
          <w:b/>
          <w:color w:val="1E3A8A"/>
          <w:sz w:val="22"/>
        </w:rPr>
        <w:t>7.2 二级导航：零碳工厂自评估 (/zero-carbon/project/self)</w:t>
      </w:r>
    </w:p>
    <w:p>
      <w:pPr>
        <w:spacing w:after="100" w:line="288" w:lineRule="auto"/>
      </w:pPr>
      <w:r>
        <w:rPr>
          <w:rFonts w:ascii="微软雅黑" w:hAnsi="微软雅黑"/>
          <w:b/>
          <w:color w:val="1E3A8A"/>
          <w:sz w:val="19"/>
        </w:rPr>
        <w:t>三层评估架构：</w:t>
      </w:r>
      <w:r>
        <w:rPr>
          <w:rFonts w:ascii="微软雅黑" w:hAnsi="微软雅黑"/>
          <w:color w:val="1F2937"/>
          <w:sz w:val="19"/>
        </w:rPr>
        <w:t>建立全集团三层自评估穿透架构：</w:t>
        <w:br/>
        <w:t>1. 第 1 层（集团宏观层）：全集团星级分布（三星/四星/五星）、得分率与综合雷达图；</w:t>
        <w:br/>
        <w:t>2. 第 2 层（二级公司层）：沈变、衡变、新变、鲁缆等分子公司总分与星级达标率；</w:t>
        <w:br/>
        <w:t>3. 第 3 层（具体工厂层）：6 大维度细化扣分项穿透与证明附件上传：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rPr>
          <w:tblHeader/>
        </w:trPr>
        <w:tc>
          <w:tcPr>
            <w:tcW w:type="dxa" w:w="1728"/>
            <w:shd w:fill="1E3A8A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jc w:val="center"/>
            </w:pPr>
            <w:r>
              <w:rPr>
                <w:rFonts w:ascii="微软雅黑" w:hAnsi="微软雅黑"/>
                <w:b/>
                <w:color w:val="FFFFFF"/>
                <w:sz w:val="18"/>
              </w:rPr>
              <w:t>维度名称</w:t>
            </w:r>
          </w:p>
        </w:tc>
        <w:tc>
          <w:tcPr>
            <w:tcW w:type="dxa" w:w="1440"/>
            <w:shd w:fill="1E3A8A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jc w:val="center"/>
            </w:pPr>
            <w:r>
              <w:rPr>
                <w:rFonts w:ascii="微软雅黑" w:hAnsi="微软雅黑"/>
                <w:b/>
                <w:color w:val="FFFFFF"/>
                <w:sz w:val="18"/>
              </w:rPr>
              <w:t>权重满分</w:t>
            </w:r>
          </w:p>
        </w:tc>
        <w:tc>
          <w:tcPr>
            <w:tcW w:type="dxa" w:w="3600"/>
            <w:shd w:fill="1E3A8A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jc w:val="center"/>
            </w:pPr>
            <w:r>
              <w:rPr>
                <w:rFonts w:ascii="微软雅黑" w:hAnsi="微软雅黑"/>
                <w:b/>
                <w:color w:val="FFFFFF"/>
                <w:sz w:val="18"/>
              </w:rPr>
              <w:t>核心评估条款举例</w:t>
            </w:r>
          </w:p>
        </w:tc>
        <w:tc>
          <w:tcPr>
            <w:tcW w:type="dxa" w:w="2880"/>
            <w:shd w:fill="1E3A8A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jc w:val="center"/>
            </w:pPr>
            <w:r>
              <w:rPr>
                <w:rFonts w:ascii="微软雅黑" w:hAnsi="微软雅黑"/>
                <w:b/>
                <w:color w:val="FFFFFF"/>
                <w:sz w:val="18"/>
              </w:rPr>
              <w:t>扣分与佐证要求</w:t>
            </w:r>
          </w:p>
        </w:tc>
      </w:tr>
      <w:tr>
        <w:tc>
          <w:tcPr>
            <w:tcW w:type="dxa" w:w="172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jc w:val="center"/>
            </w:pPr>
            <w:r>
              <w:rPr>
                <w:rFonts w:ascii="微软雅黑" w:hAnsi="微软雅黑"/>
                <w:color w:val="1F2937"/>
                <w:sz w:val="17"/>
              </w:rPr>
              <w:t>基础设施</w:t>
            </w:r>
          </w:p>
        </w:tc>
        <w:tc>
          <w:tcPr>
            <w:tcW w:type="dxa" w:w="144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jc w:val="left"/>
            </w:pPr>
            <w:r>
              <w:rPr>
                <w:rFonts w:ascii="微软雅黑" w:hAnsi="微软雅黑"/>
                <w:color w:val="1F2937"/>
                <w:sz w:val="17"/>
              </w:rPr>
              <w:t>15 分</w:t>
            </w:r>
          </w:p>
        </w:tc>
        <w:tc>
          <w:tcPr>
            <w:tcW w:type="dxa" w:w="360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jc w:val="left"/>
            </w:pPr>
            <w:r>
              <w:rPr>
                <w:rFonts w:ascii="微软雅黑" w:hAnsi="微软雅黑"/>
                <w:color w:val="1F2937"/>
                <w:sz w:val="17"/>
              </w:rPr>
              <w:t>绿色建筑标准、节能变压器普及率、厂房采光天窗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jc w:val="left"/>
            </w:pPr>
            <w:r>
              <w:rPr>
                <w:rFonts w:ascii="微软雅黑" w:hAnsi="微软雅黑"/>
                <w:color w:val="1F2937"/>
                <w:sz w:val="17"/>
              </w:rPr>
              <w:t>未达国标扣2分/项，需上传施工图纸</w:t>
            </w:r>
          </w:p>
        </w:tc>
      </w:tr>
      <w:tr>
        <w:tc>
          <w:tcPr>
            <w:tcW w:type="dxa" w:w="172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jc w:val="center"/>
            </w:pPr>
            <w:r>
              <w:rPr>
                <w:rFonts w:ascii="微软雅黑" w:hAnsi="微软雅黑"/>
                <w:color w:val="1F2937"/>
                <w:sz w:val="17"/>
              </w:rPr>
              <w:t>能源利用</w:t>
            </w:r>
          </w:p>
        </w:tc>
        <w:tc>
          <w:tcPr>
            <w:tcW w:type="dxa" w:w="144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jc w:val="left"/>
            </w:pPr>
            <w:r>
              <w:rPr>
                <w:rFonts w:ascii="微软雅黑" w:hAnsi="微软雅黑"/>
                <w:color w:val="1F2937"/>
                <w:sz w:val="17"/>
              </w:rPr>
              <w:t>30 分</w:t>
            </w:r>
          </w:p>
        </w:tc>
        <w:tc>
          <w:tcPr>
            <w:tcW w:type="dxa" w:w="360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jc w:val="left"/>
            </w:pPr>
            <w:r>
              <w:rPr>
                <w:rFonts w:ascii="微软雅黑" w:hAnsi="微软雅黑"/>
                <w:color w:val="1F2937"/>
                <w:sz w:val="17"/>
              </w:rPr>
              <w:t>分布式光伏自发自用比例、储能削峰填谷、余热回收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jc w:val="left"/>
            </w:pPr>
            <w:r>
              <w:rPr>
                <w:rFonts w:ascii="微软雅黑" w:hAnsi="微软雅黑"/>
                <w:color w:val="1F2937"/>
                <w:sz w:val="17"/>
              </w:rPr>
              <w:t>绿电消纳&lt;30%扣5分，系统自动采数</w:t>
            </w:r>
          </w:p>
        </w:tc>
      </w:tr>
      <w:tr>
        <w:tc>
          <w:tcPr>
            <w:tcW w:type="dxa" w:w="172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jc w:val="center"/>
            </w:pPr>
            <w:r>
              <w:rPr>
                <w:rFonts w:ascii="微软雅黑" w:hAnsi="微软雅黑"/>
                <w:color w:val="1F2937"/>
                <w:sz w:val="17"/>
              </w:rPr>
              <w:t>产品生态</w:t>
            </w:r>
          </w:p>
        </w:tc>
        <w:tc>
          <w:tcPr>
            <w:tcW w:type="dxa" w:w="144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jc w:val="left"/>
            </w:pPr>
            <w:r>
              <w:rPr>
                <w:rFonts w:ascii="微软雅黑" w:hAnsi="微软雅黑"/>
                <w:color w:val="1F2937"/>
                <w:sz w:val="17"/>
              </w:rPr>
              <w:t>20 分</w:t>
            </w:r>
          </w:p>
        </w:tc>
        <w:tc>
          <w:tcPr>
            <w:tcW w:type="dxa" w:w="360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jc w:val="left"/>
            </w:pPr>
            <w:r>
              <w:rPr>
                <w:rFonts w:ascii="微软雅黑" w:hAnsi="微软雅黑"/>
                <w:color w:val="1F2937"/>
                <w:sz w:val="17"/>
              </w:rPr>
              <w:t>产品全生命周期 LCA 碳足迹认证、绿色包装材料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jc w:val="left"/>
            </w:pPr>
            <w:r>
              <w:rPr>
                <w:rFonts w:ascii="微软雅黑" w:hAnsi="微软雅黑"/>
                <w:color w:val="1F2937"/>
                <w:sz w:val="17"/>
              </w:rPr>
              <w:t>出口产品无碳标签扣3分，需上传证书</w:t>
            </w:r>
          </w:p>
        </w:tc>
      </w:tr>
      <w:tr>
        <w:tc>
          <w:tcPr>
            <w:tcW w:type="dxa" w:w="172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jc w:val="center"/>
            </w:pPr>
            <w:r>
              <w:rPr>
                <w:rFonts w:ascii="微软雅黑" w:hAnsi="微软雅黑"/>
                <w:color w:val="1F2937"/>
                <w:sz w:val="17"/>
              </w:rPr>
              <w:t>温室气体</w:t>
            </w:r>
          </w:p>
        </w:tc>
        <w:tc>
          <w:tcPr>
            <w:tcW w:type="dxa" w:w="144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jc w:val="left"/>
            </w:pPr>
            <w:r>
              <w:rPr>
                <w:rFonts w:ascii="微软雅黑" w:hAnsi="微软雅黑"/>
                <w:color w:val="1F2937"/>
                <w:sz w:val="17"/>
              </w:rPr>
              <w:t>15 分</w:t>
            </w:r>
          </w:p>
        </w:tc>
        <w:tc>
          <w:tcPr>
            <w:tcW w:type="dxa" w:w="360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jc w:val="left"/>
            </w:pPr>
            <w:r>
              <w:rPr>
                <w:rFonts w:ascii="微软雅黑" w:hAnsi="微软雅黑"/>
                <w:color w:val="1F2937"/>
                <w:sz w:val="17"/>
              </w:rPr>
              <w:t>碳盘查报告 (ISO 14064)、减碳目标达成率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jc w:val="left"/>
            </w:pPr>
            <w:r>
              <w:rPr>
                <w:rFonts w:ascii="微软雅黑" w:hAnsi="微软雅黑"/>
                <w:color w:val="1F2937"/>
                <w:sz w:val="17"/>
              </w:rPr>
              <w:t>未按年编制报告扣5分，上传核查声明</w:t>
            </w:r>
          </w:p>
        </w:tc>
      </w:tr>
      <w:tr>
        <w:tc>
          <w:tcPr>
            <w:tcW w:type="dxa" w:w="172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jc w:val="center"/>
            </w:pPr>
            <w:r>
              <w:rPr>
                <w:rFonts w:ascii="微软雅黑" w:hAnsi="微软雅黑"/>
                <w:color w:val="1F2937"/>
                <w:sz w:val="17"/>
              </w:rPr>
              <w:t>碳抵消</w:t>
            </w:r>
          </w:p>
        </w:tc>
        <w:tc>
          <w:tcPr>
            <w:tcW w:type="dxa" w:w="144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jc w:val="left"/>
            </w:pPr>
            <w:r>
              <w:rPr>
                <w:rFonts w:ascii="微软雅黑" w:hAnsi="微软雅黑"/>
                <w:color w:val="1F2937"/>
                <w:sz w:val="17"/>
              </w:rPr>
              <w:t>10 分</w:t>
            </w:r>
          </w:p>
        </w:tc>
        <w:tc>
          <w:tcPr>
            <w:tcW w:type="dxa" w:w="360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jc w:val="left"/>
            </w:pPr>
            <w:r>
              <w:rPr>
                <w:rFonts w:ascii="微软雅黑" w:hAnsi="微软雅黑"/>
                <w:color w:val="1F2937"/>
                <w:sz w:val="17"/>
              </w:rPr>
              <w:t>绿证 (GEC) 核销、CCER 碳资产抵扣额度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jc w:val="left"/>
            </w:pPr>
            <w:r>
              <w:rPr>
                <w:rFonts w:ascii="微软雅黑" w:hAnsi="微软雅黑"/>
                <w:color w:val="1F2937"/>
                <w:sz w:val="17"/>
              </w:rPr>
              <w:t>需上传国家绿色电力证书核销凭单</w:t>
            </w:r>
          </w:p>
        </w:tc>
      </w:tr>
      <w:tr>
        <w:tc>
          <w:tcPr>
            <w:tcW w:type="dxa" w:w="172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jc w:val="center"/>
            </w:pPr>
            <w:r>
              <w:rPr>
                <w:rFonts w:ascii="微软雅黑" w:hAnsi="微软雅黑"/>
                <w:color w:val="1F2937"/>
                <w:sz w:val="17"/>
              </w:rPr>
              <w:t>运营管理</w:t>
            </w:r>
          </w:p>
        </w:tc>
        <w:tc>
          <w:tcPr>
            <w:tcW w:type="dxa" w:w="144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jc w:val="left"/>
            </w:pPr>
            <w:r>
              <w:rPr>
                <w:rFonts w:ascii="微软雅黑" w:hAnsi="微软雅黑"/>
                <w:color w:val="1F2937"/>
                <w:sz w:val="17"/>
              </w:rPr>
              <w:t>10 分</w:t>
            </w:r>
          </w:p>
        </w:tc>
        <w:tc>
          <w:tcPr>
            <w:tcW w:type="dxa" w:w="360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jc w:val="left"/>
            </w:pPr>
            <w:r>
              <w:rPr>
                <w:rFonts w:ascii="微软雅黑" w:hAnsi="微软雅黑"/>
                <w:color w:val="1F2937"/>
                <w:sz w:val="17"/>
              </w:rPr>
              <w:t>能源管理体系 (ISO 50001) 认证、数字化双中心覆盖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jc w:val="left"/>
            </w:pPr>
            <w:r>
              <w:rPr>
                <w:rFonts w:ascii="微软雅黑" w:hAnsi="微软雅黑"/>
                <w:color w:val="1F2937"/>
                <w:sz w:val="17"/>
              </w:rPr>
              <w:t>未建立专职能碳管理岗位扣2分</w:t>
            </w:r>
          </w:p>
        </w:tc>
      </w:tr>
    </w:tbl>
    <w:p>
      <w:pPr>
        <w:spacing w:after="80"/>
      </w:pPr>
    </w:p>
    <w:p>
      <w:pPr>
        <w:pStyle w:val="Heading2"/>
        <w:keepNext/>
        <w:spacing w:before="260" w:after="100"/>
      </w:pPr>
      <w:r>
        <w:rPr>
          <w:rFonts w:ascii="微软雅黑" w:hAnsi="微软雅黑"/>
          <w:b/>
          <w:color w:val="0284C7"/>
          <w:sz w:val="26"/>
        </w:rPr>
        <w:t>第 8 章 一级导航【统计报表】(/zero-carbon/reports)</w:t>
      </w:r>
    </w:p>
    <w:p>
      <w:pPr>
        <w:spacing w:after="100" w:line="288" w:lineRule="auto"/>
      </w:pPr>
      <w:r>
        <w:rPr>
          <w:rFonts w:ascii="微软雅黑" w:hAnsi="微软雅黑"/>
          <w:color w:val="1F2937"/>
          <w:sz w:val="19"/>
        </w:rPr>
        <w:t>涵盖用能报表 (`/usage`)、成本报表 (`/cost`)、单耗报表 (`/unit`) 3 大报表。</w:t>
      </w:r>
    </w:p>
    <w:p>
      <w:pPr>
        <w:spacing w:after="100" w:line="288" w:lineRule="auto"/>
      </w:pPr>
      <w:r>
        <w:rPr>
          <w:rFonts w:ascii="微软雅黑" w:hAnsi="微软雅黑"/>
          <w:b/>
          <w:color w:val="1E3A8A"/>
          <w:sz w:val="19"/>
        </w:rPr>
        <w:t>功能规范：</w:t>
      </w:r>
      <w:r>
        <w:rPr>
          <w:rFonts w:ascii="微软雅黑" w:hAnsi="微软雅黑"/>
          <w:color w:val="1F2937"/>
          <w:sz w:val="19"/>
        </w:rPr>
        <w:t>1. 44px 高密表格：全表行高强制固定为 44px (h-[44px])，垂直居中；</w:t>
        <w:br/>
        <w:t>2. 产业隔离统计：变压器产业（以 kVA 为分母）与线缆产业（以 km 为分母）分类隔离统计；</w:t>
        <w:br/>
        <w:t>3. 水印防伪导出：支持带操作员工号与时间戳水印的 Excel / CSV / PDF 导出，导出数据与前端 100% 吻合。</w:t>
      </w:r>
    </w:p>
    <w:p>
      <w:pPr>
        <w:pStyle w:val="Heading2"/>
        <w:keepNext/>
        <w:spacing w:before="260" w:after="100"/>
      </w:pPr>
      <w:r>
        <w:rPr>
          <w:rFonts w:ascii="微软雅黑" w:hAnsi="微软雅黑"/>
          <w:b/>
          <w:color w:val="0284C7"/>
          <w:sz w:val="26"/>
        </w:rPr>
        <w:t>第 9 章 一级导航【基础管理】(/zero-carbon/config/entry)</w:t>
      </w:r>
    </w:p>
    <w:p>
      <w:pPr>
        <w:pStyle w:val="Heading3"/>
        <w:keepNext/>
        <w:spacing w:before="180" w:after="60"/>
      </w:pPr>
      <w:r>
        <w:rPr>
          <w:rFonts w:ascii="微软雅黑" w:hAnsi="微软雅黑"/>
          <w:b/>
          <w:color w:val="1E3A8A"/>
          <w:sz w:val="22"/>
        </w:rPr>
        <w:t>9.1 二级导航：数据录入工作台 (/zero-carbon/config/entry)</w:t>
      </w:r>
    </w:p>
    <w:p>
      <w:pPr>
        <w:spacing w:after="100" w:line="288" w:lineRule="auto"/>
      </w:pPr>
      <w:r>
        <w:rPr>
          <w:rFonts w:ascii="微软雅黑" w:hAnsi="微软雅黑"/>
          <w:color w:val="1F2937"/>
          <w:sz w:val="19"/>
        </w:rPr>
        <w:t>收敛解决车间离线生产台账人工填报痛点，按标签页划分 4 大核心工作台：</w:t>
      </w:r>
    </w:p>
    <w:p>
      <w:pPr>
        <w:spacing w:after="100" w:line="288" w:lineRule="auto"/>
      </w:pPr>
      <w:r>
        <w:rPr>
          <w:rFonts w:ascii="微软雅黑" w:hAnsi="微软雅黑"/>
          <w:b/>
          <w:color w:val="1E3A8A"/>
          <w:sz w:val="19"/>
        </w:rPr>
        <w:t>Tab 详细规格：</w:t>
      </w:r>
      <w:r>
        <w:rPr>
          <w:rFonts w:ascii="微软雅黑" w:hAnsi="微软雅黑"/>
          <w:color w:val="1F2937"/>
          <w:sz w:val="19"/>
        </w:rPr>
        <w:t>1. Tab 1 (产品产量录入)：支持生产单位、工序、产品选择；同类型产品产量数据行跨行合并居中；弹窗新增联动单位（台/kVA/km/吨/件）；右下角极简操作按钮组；</w:t>
        <w:br/>
        <w:t>2. Tab 2 (能源消耗录入)：结构与产量 100% 同构，按能源介质分组合并展示，非负数值拦截校验；</w:t>
        <w:br/>
        <w:t>3. Tab 3 (园区相册维护)：各基地实景高清图上传、轮播展示序号配置与园区级联；</w:t>
        <w:br/>
        <w:t>4. Tab 4 (园区大事记维护)：时间轴节点式录入里程碑事件（光伏并网、零碳工厂获批等）。</w:t>
      </w:r>
    </w:p>
    <w:p>
      <w:r>
        <w:br w:type="page"/>
      </w:r>
    </w:p>
    <w:p>
      <w:pPr>
        <w:pStyle w:val="Heading1"/>
        <w:keepNext/>
        <w:spacing w:before="360" w:after="160"/>
      </w:pPr>
      <w:r>
        <w:rPr>
          <w:rFonts w:ascii="微软雅黑" w:hAnsi="微软雅黑"/>
          <w:b/>
          <w:color w:val="1E3A8A"/>
          <w:sz w:val="32"/>
        </w:rPr>
        <w:t>第三篇：【平台二】产品碳足迹集采中心功能需求规格（逐层拆解）</w:t>
      </w:r>
    </w:p>
    <w:p>
      <w:pPr>
        <w:spacing w:after="100" w:line="288" w:lineRule="auto"/>
      </w:pPr>
      <w:r>
        <w:rPr>
          <w:rFonts w:ascii="微软雅黑" w:hAnsi="微软雅黑"/>
          <w:color w:val="1F2937"/>
          <w:sz w:val="19"/>
        </w:rPr>
        <w:t>本篇严格按照系统顶部切换至【产品碳足迹集采中心】时的 6 大一级主导航逐层展开。</w:t>
      </w:r>
    </w:p>
    <w:p>
      <w:pPr>
        <w:pStyle w:val="Heading2"/>
        <w:keepNext/>
        <w:spacing w:before="260" w:after="100"/>
      </w:pPr>
      <w:r>
        <w:rPr>
          <w:rFonts w:ascii="微软雅黑" w:hAnsi="微软雅黑"/>
          <w:b/>
          <w:color w:val="0284C7"/>
          <w:sz w:val="26"/>
        </w:rPr>
        <w:t>第 10 章 一级导航【对外示范窗口】(/carbon-footprint/cockpit)</w:t>
      </w:r>
    </w:p>
    <w:p>
      <w:pPr>
        <w:spacing w:after="100" w:line="288" w:lineRule="auto"/>
      </w:pPr>
      <w:r>
        <w:rPr>
          <w:rFonts w:ascii="微软雅黑" w:hAnsi="微软雅黑"/>
          <w:b/>
          <w:color w:val="1E3A8A"/>
          <w:sz w:val="19"/>
        </w:rPr>
        <w:t>功能概述：</w:t>
      </w:r>
      <w:r>
        <w:rPr>
          <w:rFonts w:ascii="微软雅黑" w:hAnsi="微软雅黑"/>
          <w:color w:val="1F2937"/>
          <w:sz w:val="19"/>
        </w:rPr>
        <w:t>展示特变电工主力出口变压器与线缆全生命周期 LCA 碳足迹桑基图、二维码数字碳标签、绿电消纳贡献以及欧盟 CBAM 关税节省量化成果看板。</w:t>
      </w:r>
    </w:p>
    <w:p>
      <w:pPr>
        <w:pStyle w:val="Heading2"/>
        <w:keepNext/>
        <w:spacing w:before="260" w:after="100"/>
      </w:pPr>
      <w:r>
        <w:rPr>
          <w:rFonts w:ascii="微软雅黑" w:hAnsi="微软雅黑"/>
          <w:b/>
          <w:color w:val="0284C7"/>
          <w:sz w:val="26"/>
        </w:rPr>
        <w:t>第 11 章 一级导航【多维分析】(/carbon-footprint/analysis)</w:t>
      </w:r>
    </w:p>
    <w:p>
      <w:pPr>
        <w:spacing w:after="100" w:line="288" w:lineRule="auto"/>
      </w:pPr>
      <w:r>
        <w:rPr>
          <w:rFonts w:ascii="微软雅黑" w:hAnsi="微软雅黑"/>
          <w:b/>
          <w:color w:val="1E3A8A"/>
          <w:sz w:val="19"/>
        </w:rPr>
        <w:t>功能说明：</w:t>
      </w:r>
      <w:r>
        <w:rPr>
          <w:rFonts w:ascii="微软雅黑" w:hAnsi="微软雅黑"/>
          <w:color w:val="1F2937"/>
          <w:sz w:val="19"/>
        </w:rPr>
        <w:t>1. 横向对比 (`/compare`)：实现不同生产基地生产同规格产品各工序碳足迹横向对比，精准定位工艺差距；</w:t>
        <w:br/>
        <w:t>2. 纵向对比 (`/ranking`)：追踪同一产品历年各批次碳足迹演进走势，开展工序敏感性归因分析。</w:t>
      </w:r>
    </w:p>
    <w:p>
      <w:pPr>
        <w:pStyle w:val="Heading2"/>
        <w:keepNext/>
        <w:spacing w:before="260" w:after="100"/>
      </w:pPr>
      <w:r>
        <w:rPr>
          <w:rFonts w:ascii="微软雅黑" w:hAnsi="微软雅黑"/>
          <w:b/>
          <w:color w:val="0284C7"/>
          <w:sz w:val="26"/>
        </w:rPr>
        <w:t>第 12 章 一级导航【实景数据库】(/carbon-footprint/database)</w:t>
      </w:r>
    </w:p>
    <w:p>
      <w:pPr>
        <w:pStyle w:val="Heading3"/>
        <w:keepNext/>
        <w:spacing w:before="180" w:after="60"/>
      </w:pPr>
      <w:r>
        <w:rPr>
          <w:rFonts w:ascii="微软雅黑" w:hAnsi="微软雅黑"/>
          <w:b/>
          <w:color w:val="1E3A8A"/>
          <w:sz w:val="22"/>
        </w:rPr>
        <w:t>12.1 二级导航：实景数据库、碳足迹核算与报告</w:t>
      </w:r>
    </w:p>
    <w:p>
      <w:pPr>
        <w:spacing w:after="100" w:line="288" w:lineRule="auto"/>
      </w:pPr>
      <w:r>
        <w:rPr>
          <w:rFonts w:ascii="微软雅黑" w:hAnsi="微软雅黑"/>
          <w:b/>
          <w:color w:val="1E3A8A"/>
          <w:sz w:val="19"/>
        </w:rPr>
        <w:t>核心流程：</w:t>
      </w:r>
      <w:r>
        <w:rPr>
          <w:rFonts w:ascii="微软雅黑" w:hAnsi="微软雅黑"/>
          <w:color w:val="1F2937"/>
          <w:sz w:val="19"/>
        </w:rPr>
        <w:t>1. 实景数据库 (`/realscene`)：汇集硅钢片、电解铜、变压器油、绝缘纸等工业原料实测因子图谱；</w:t>
        <w:br/>
        <w:t>2. 碳足迹核算 (`/accounting`)：五大阶段 LCA 核算引擎（原材料获取 ➔ 上游运输 ➔ 制造加工 ➔ 厂内检测 ➔ 包装出厂），基于产品 BOM 树展开物料平衡；</w:t>
        <w:br/>
        <w:t>3. 碳足迹报告 (`/report`)：一键自动生成符合 ISO 14067 规范的双语核算报告与带防伪验证的二维码数字绿标。</w:t>
      </w:r>
    </w:p>
    <w:p>
      <w:pPr>
        <w:pStyle w:val="Heading2"/>
        <w:keepNext/>
        <w:spacing w:before="260" w:after="100"/>
      </w:pPr>
      <w:r>
        <w:rPr>
          <w:rFonts w:ascii="微软雅黑" w:hAnsi="微软雅黑"/>
          <w:b/>
          <w:color w:val="0284C7"/>
          <w:sz w:val="26"/>
        </w:rPr>
        <w:t>第 13 章 一级导航【CBAM管理】(/carbon-footprint/cbam)</w:t>
      </w:r>
    </w:p>
    <w:p>
      <w:pPr>
        <w:spacing w:after="100" w:line="288" w:lineRule="auto"/>
      </w:pPr>
      <w:r>
        <w:rPr>
          <w:rFonts w:ascii="微软雅黑" w:hAnsi="微软雅黑"/>
          <w:b/>
          <w:color w:val="1E3A8A"/>
          <w:sz w:val="19"/>
        </w:rPr>
        <w:t>关税与合规模型：</w:t>
      </w:r>
      <w:r>
        <w:rPr>
          <w:rFonts w:ascii="微软雅黑" w:hAnsi="微软雅黑"/>
          <w:color w:val="1F2937"/>
          <w:sz w:val="19"/>
        </w:rPr>
        <w:t>1. 合规管理 (`/compliance`)：欧盟海关 CN 税号（85042100/85042200/85444920等）智能映射，判定直接与间接排放边界；</w:t>
        <w:br/>
        <w:t>2. 申报模拟 (`/declaration`)：结合欧盟 ETS 实时碳价波动（€75~€95/tCO2e），扣除国内已支付碳成本，测算应缴 CBAM 凭证数量及预计关税，导出欧盟官方标准 XML 申报包；</w:t>
        <w:br/>
        <w:t>3. 知识库 (`/knowledge`)：收录欧盟委员会官方最新通报与填报指南。</w:t>
      </w:r>
    </w:p>
    <w:p>
      <w:pPr>
        <w:pStyle w:val="Heading2"/>
        <w:keepNext/>
        <w:spacing w:before="260" w:after="100"/>
      </w:pPr>
      <w:r>
        <w:rPr>
          <w:rFonts w:ascii="微软雅黑" w:hAnsi="微软雅黑"/>
          <w:b/>
          <w:color w:val="0284C7"/>
          <w:sz w:val="26"/>
        </w:rPr>
        <w:t>第 14 章 一级导航【第三方认证管理】与 第 15 章【因子库管理】</w:t>
      </w:r>
    </w:p>
    <w:p>
      <w:pPr>
        <w:spacing w:after="100" w:line="288" w:lineRule="auto"/>
      </w:pPr>
      <w:r>
        <w:rPr>
          <w:rFonts w:ascii="微软雅黑" w:hAnsi="微软雅黑"/>
          <w:b/>
          <w:color w:val="1E3A8A"/>
          <w:sz w:val="19"/>
        </w:rPr>
        <w:t>功能说明：</w:t>
      </w:r>
      <w:r>
        <w:rPr>
          <w:rFonts w:ascii="微软雅黑" w:hAnsi="微软雅黑"/>
          <w:color w:val="1F2937"/>
          <w:sz w:val="19"/>
        </w:rPr>
        <w:t>1. 第三方认证管理 (`/certification`)：实现认证资料维护 (`/material`)、向 SGS/TÜV/方圆发起认证申请 (`/apply`) 与认证证书存证 (`/result`)；</w:t>
        <w:br/>
        <w:t>2. 因子库管理 (`/factor`)：原材料碳因子 (`/material`)、全国及区域电网因子 (`/power`)、能源活动因子 (`/energy`) 与国家发改委标准折标煤系数库 (`/coal`) 的版本化维护与生效审计。</w:t>
      </w:r>
    </w:p>
    <w:p>
      <w:r>
        <w:br w:type="page"/>
      </w:r>
    </w:p>
    <w:p>
      <w:pPr>
        <w:pStyle w:val="Heading1"/>
        <w:keepNext/>
        <w:spacing w:before="360" w:after="160"/>
      </w:pPr>
      <w:r>
        <w:rPr>
          <w:rFonts w:ascii="微软雅黑" w:hAnsi="微软雅黑"/>
          <w:b/>
          <w:color w:val="1E3A8A"/>
          <w:sz w:val="32"/>
        </w:rPr>
        <w:t>第四篇：系统底座、接口契约与 QA 质量验收</w:t>
      </w:r>
    </w:p>
    <w:p>
      <w:pPr>
        <w:pStyle w:val="Heading2"/>
        <w:keepNext/>
        <w:spacing w:before="260" w:after="100"/>
      </w:pPr>
      <w:r>
        <w:rPr>
          <w:rFonts w:ascii="微软雅黑" w:hAnsi="微软雅黑"/>
          <w:b/>
          <w:color w:val="0284C7"/>
          <w:sz w:val="26"/>
        </w:rPr>
        <w:t>第 16 章 六级组织架构与细粒度鉴权模型</w:t>
      </w:r>
    </w:p>
    <w:p>
      <w:pPr>
        <w:spacing w:after="100" w:line="288" w:lineRule="auto"/>
      </w:pPr>
      <w:r>
        <w:rPr>
          <w:rFonts w:ascii="微软雅黑" w:hAnsi="微软雅黑"/>
          <w:color w:val="1F2937"/>
          <w:sz w:val="19"/>
        </w:rPr>
        <w:t>系统严格执行【特变电工集团 ➔ 产业集团 ➔ 二级公司 ➔ 生产园区 ➔ 制造车间 ➔ 用能设备】六级穿透鉴权与数据隔离。</w:t>
      </w:r>
    </w:p>
    <w:p>
      <w:pPr>
        <w:pStyle w:val="Heading2"/>
        <w:keepNext/>
        <w:spacing w:before="260" w:after="100"/>
      </w:pPr>
      <w:r>
        <w:rPr>
          <w:rFonts w:ascii="微软雅黑" w:hAnsi="微软雅黑"/>
          <w:b/>
          <w:color w:val="0284C7"/>
          <w:sz w:val="26"/>
        </w:rPr>
        <w:t>第 17 章 外部系统集成与 API 接口契约</w:t>
      </w:r>
    </w:p>
    <w:p>
      <w:pPr>
        <w:spacing w:after="100" w:line="288" w:lineRule="auto"/>
      </w:pPr>
      <w:r>
        <w:rPr>
          <w:rFonts w:ascii="微软雅黑" w:hAnsi="微软雅黑"/>
          <w:color w:val="1F2937"/>
          <w:sz w:val="19"/>
        </w:rPr>
        <w:t>1. IoT 物联采集：支持 Modbus-TCP / MQTT 协议高频遥测秒级写入时序数据库；</w:t>
        <w:br/>
        <w:t>2. 企业信息集成：遵循 OpenAPI 3.0 契约，支持与 ERP、MES 对接产品批次 BOM、产量报工与财务电费台账。</w:t>
      </w:r>
    </w:p>
    <w:p>
      <w:pPr>
        <w:pStyle w:val="Heading2"/>
        <w:keepNext/>
        <w:spacing w:before="260" w:after="100"/>
      </w:pPr>
      <w:r>
        <w:rPr>
          <w:rFonts w:ascii="微软雅黑" w:hAnsi="微软雅黑"/>
          <w:b/>
          <w:color w:val="0284C7"/>
          <w:sz w:val="26"/>
        </w:rPr>
        <w:t>第 18 章 质量保障体系与全量验收测试用例矩阵 (QA Matrix)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rPr>
          <w:tblHeader/>
        </w:trPr>
        <w:tc>
          <w:tcPr>
            <w:tcW w:type="dxa" w:w="1584"/>
            <w:shd w:fill="1E3A8A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jc w:val="center"/>
            </w:pPr>
            <w:r>
              <w:rPr>
                <w:rFonts w:ascii="微软雅黑" w:hAnsi="微软雅黑"/>
                <w:b/>
                <w:color w:val="FFFFFF"/>
                <w:sz w:val="18"/>
              </w:rPr>
              <w:t>用例分类</w:t>
            </w:r>
          </w:p>
        </w:tc>
        <w:tc>
          <w:tcPr>
            <w:tcW w:type="dxa" w:w="2016"/>
            <w:shd w:fill="1E3A8A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jc w:val="center"/>
            </w:pPr>
            <w:r>
              <w:rPr>
                <w:rFonts w:ascii="微软雅黑" w:hAnsi="微软雅黑"/>
                <w:b/>
                <w:color w:val="FFFFFF"/>
                <w:sz w:val="18"/>
              </w:rPr>
              <w:t>验证要点</w:t>
            </w:r>
          </w:p>
        </w:tc>
        <w:tc>
          <w:tcPr>
            <w:tcW w:type="dxa" w:w="2160"/>
            <w:shd w:fill="1E3A8A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jc w:val="center"/>
            </w:pPr>
            <w:r>
              <w:rPr>
                <w:rFonts w:ascii="微软雅黑" w:hAnsi="微软雅黑"/>
                <w:b/>
                <w:color w:val="FFFFFF"/>
                <w:sz w:val="18"/>
              </w:rPr>
              <w:t>测试输入与方法</w:t>
            </w:r>
          </w:p>
        </w:tc>
        <w:tc>
          <w:tcPr>
            <w:tcW w:type="dxa" w:w="2736"/>
            <w:shd w:fill="1E3A8A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jc w:val="center"/>
            </w:pPr>
            <w:r>
              <w:rPr>
                <w:rFonts w:ascii="微软雅黑" w:hAnsi="微软雅黑"/>
                <w:b/>
                <w:color w:val="FFFFFF"/>
                <w:sz w:val="18"/>
              </w:rPr>
              <w:t>期望输出与验收指标</w:t>
            </w:r>
          </w:p>
        </w:tc>
        <w:tc>
          <w:tcPr>
            <w:tcW w:type="dxa" w:w="1152"/>
            <w:shd w:fill="1E3A8A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jc w:val="center"/>
            </w:pPr>
            <w:r>
              <w:rPr>
                <w:rFonts w:ascii="微软雅黑" w:hAnsi="微软雅黑"/>
                <w:b/>
                <w:color w:val="FFFFFF"/>
                <w:sz w:val="18"/>
              </w:rPr>
              <w:t>阻断级别</w:t>
            </w:r>
          </w:p>
        </w:tc>
      </w:tr>
      <w:tr>
        <w:tc>
          <w:tcPr>
            <w:tcW w:type="dxa" w:w="158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jc w:val="center"/>
            </w:pPr>
            <w:r>
              <w:rPr>
                <w:rFonts w:ascii="微软雅黑" w:hAnsi="微软雅黑"/>
                <w:color w:val="1F2937"/>
                <w:sz w:val="17"/>
              </w:rPr>
              <w:t>44px 工业表格</w:t>
            </w:r>
          </w:p>
        </w:tc>
        <w:tc>
          <w:tcPr>
            <w:tcW w:type="dxa" w:w="2016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jc w:val="left"/>
            </w:pPr>
            <w:r>
              <w:rPr>
                <w:rFonts w:ascii="微软雅黑" w:hAnsi="微软雅黑"/>
                <w:color w:val="1F2937"/>
                <w:sz w:val="17"/>
              </w:rPr>
              <w:t>全系统数据表格行高</w:t>
            </w:r>
          </w:p>
        </w:tc>
        <w:tc>
          <w:tcPr>
            <w:tcW w:type="dxa" w:w="216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jc w:val="left"/>
            </w:pPr>
            <w:r>
              <w:rPr>
                <w:rFonts w:ascii="微软雅黑" w:hAnsi="微软雅黑"/>
                <w:color w:val="1F2937"/>
                <w:sz w:val="17"/>
              </w:rPr>
              <w:t>CSS 样式扫描 + 像素检查</w:t>
            </w:r>
          </w:p>
        </w:tc>
        <w:tc>
          <w:tcPr>
            <w:tcW w:type="dxa" w:w="2736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jc w:val="left"/>
            </w:pPr>
            <w:r>
              <w:rPr>
                <w:rFonts w:ascii="微软雅黑" w:hAnsi="微软雅黑"/>
                <w:color w:val="1F2937"/>
                <w:sz w:val="17"/>
              </w:rPr>
              <w:t>全站所有 &lt;tr&gt; 固定为 h-[44px]，垂直居中无抖动</w:t>
            </w:r>
          </w:p>
        </w:tc>
        <w:tc>
          <w:tcPr>
            <w:tcW w:type="dxa" w:w="115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jc w:val="left"/>
            </w:pPr>
            <w:r>
              <w:rPr>
                <w:rFonts w:ascii="微软雅黑" w:hAnsi="微软雅黑"/>
                <w:color w:val="1F2937"/>
                <w:sz w:val="17"/>
              </w:rPr>
              <w:t>阻断 (Red-Line)</w:t>
            </w:r>
          </w:p>
        </w:tc>
      </w:tr>
      <w:tr>
        <w:tc>
          <w:tcPr>
            <w:tcW w:type="dxa" w:w="15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jc w:val="center"/>
            </w:pPr>
            <w:r>
              <w:rPr>
                <w:rFonts w:ascii="微软雅黑" w:hAnsi="微软雅黑"/>
                <w:color w:val="1F2937"/>
                <w:sz w:val="17"/>
              </w:rPr>
              <w:t>双端 100% 同构</w:t>
            </w:r>
          </w:p>
        </w:tc>
        <w:tc>
          <w:tcPr>
            <w:tcW w:type="dxa" w:w="2016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jc w:val="left"/>
            </w:pPr>
            <w:r>
              <w:rPr>
                <w:rFonts w:ascii="微软雅黑" w:hAnsi="微软雅黑"/>
                <w:color w:val="1F2937"/>
                <w:sz w:val="17"/>
              </w:rPr>
              <w:t>暗黑端(3000)与浅色端(3001)一致性</w:t>
            </w:r>
          </w:p>
        </w:tc>
        <w:tc>
          <w:tcPr>
            <w:tcW w:type="dxa" w:w="216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jc w:val="left"/>
            </w:pPr>
            <w:r>
              <w:rPr>
                <w:rFonts w:ascii="微软雅黑" w:hAnsi="微软雅黑"/>
                <w:color w:val="1F2937"/>
                <w:sz w:val="17"/>
              </w:rPr>
              <w:t>自动化对标双端 76 路由</w:t>
            </w:r>
          </w:p>
        </w:tc>
        <w:tc>
          <w:tcPr>
            <w:tcW w:type="dxa" w:w="2736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jc w:val="left"/>
            </w:pPr>
            <w:r>
              <w:rPr>
                <w:rFonts w:ascii="微软雅黑" w:hAnsi="微软雅黑"/>
                <w:color w:val="1F2937"/>
                <w:sz w:val="17"/>
              </w:rPr>
              <w:t>双端功能、交互、图表与样式 100% 严格同构</w:t>
            </w:r>
          </w:p>
        </w:tc>
        <w:tc>
          <w:tcPr>
            <w:tcW w:type="dxa" w:w="115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jc w:val="left"/>
            </w:pPr>
            <w:r>
              <w:rPr>
                <w:rFonts w:ascii="微软雅黑" w:hAnsi="微软雅黑"/>
                <w:color w:val="1F2937"/>
                <w:sz w:val="17"/>
              </w:rPr>
              <w:t>阻断 (Red-Line)</w:t>
            </w:r>
          </w:p>
        </w:tc>
      </w:tr>
      <w:tr>
        <w:tc>
          <w:tcPr>
            <w:tcW w:type="dxa" w:w="158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jc w:val="center"/>
            </w:pPr>
            <w:r>
              <w:rPr>
                <w:rFonts w:ascii="微软雅黑" w:hAnsi="微软雅黑"/>
                <w:color w:val="1F2937"/>
                <w:sz w:val="17"/>
              </w:rPr>
              <w:t>工序白名单判定</w:t>
            </w:r>
          </w:p>
        </w:tc>
        <w:tc>
          <w:tcPr>
            <w:tcW w:type="dxa" w:w="2016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jc w:val="left"/>
            </w:pPr>
            <w:r>
              <w:rPr>
                <w:rFonts w:ascii="微软雅黑" w:hAnsi="微软雅黑"/>
                <w:color w:val="1F2937"/>
                <w:sz w:val="17"/>
              </w:rPr>
              <w:t>10 家无工序单位单行判空</w:t>
            </w:r>
          </w:p>
        </w:tc>
        <w:tc>
          <w:tcPr>
            <w:tcW w:type="dxa" w:w="216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jc w:val="left"/>
            </w:pPr>
            <w:r>
              <w:rPr>
                <w:rFonts w:ascii="微软雅黑" w:hAnsi="微软雅黑"/>
                <w:color w:val="1F2937"/>
                <w:sz w:val="17"/>
              </w:rPr>
              <w:t>选择沈变/鲁缆智慧能源等</w:t>
            </w:r>
          </w:p>
        </w:tc>
        <w:tc>
          <w:tcPr>
            <w:tcW w:type="dxa" w:w="2736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jc w:val="left"/>
            </w:pPr>
            <w:r>
              <w:rPr>
                <w:rFonts w:ascii="微软雅黑" w:hAnsi="微软雅黑"/>
                <w:color w:val="1F2937"/>
                <w:sz w:val="17"/>
              </w:rPr>
              <w:t>工序区域整行仅输出单行“暂无相关工序！”，无大段理由</w:t>
            </w:r>
          </w:p>
        </w:tc>
        <w:tc>
          <w:tcPr>
            <w:tcW w:type="dxa" w:w="115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jc w:val="left"/>
            </w:pPr>
            <w:r>
              <w:rPr>
                <w:rFonts w:ascii="微软雅黑" w:hAnsi="微软雅黑"/>
                <w:color w:val="1F2937"/>
                <w:sz w:val="17"/>
              </w:rPr>
              <w:t>阻断 (Red-Line)</w:t>
            </w:r>
          </w:p>
        </w:tc>
      </w:tr>
      <w:tr>
        <w:tc>
          <w:tcPr>
            <w:tcW w:type="dxa" w:w="15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jc w:val="center"/>
            </w:pPr>
            <w:r>
              <w:rPr>
                <w:rFonts w:ascii="微软雅黑" w:hAnsi="微软雅黑"/>
                <w:color w:val="1F2937"/>
                <w:sz w:val="17"/>
              </w:rPr>
              <w:t>客观中立纯洁度</w:t>
            </w:r>
          </w:p>
        </w:tc>
        <w:tc>
          <w:tcPr>
            <w:tcW w:type="dxa" w:w="2016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jc w:val="left"/>
            </w:pPr>
            <w:r>
              <w:rPr>
                <w:rFonts w:ascii="微软雅黑" w:hAnsi="微软雅黑"/>
                <w:color w:val="1F2937"/>
                <w:sz w:val="17"/>
              </w:rPr>
              <w:t>全系统文字定性词审计</w:t>
            </w:r>
          </w:p>
        </w:tc>
        <w:tc>
          <w:tcPr>
            <w:tcW w:type="dxa" w:w="216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jc w:val="left"/>
            </w:pPr>
            <w:r>
              <w:rPr>
                <w:rFonts w:ascii="微软雅黑" w:hAnsi="微软雅黑"/>
                <w:color w:val="1F2937"/>
                <w:sz w:val="17"/>
              </w:rPr>
              <w:t>全局正则扫描代码与文案</w:t>
            </w:r>
          </w:p>
        </w:tc>
        <w:tc>
          <w:tcPr>
            <w:tcW w:type="dxa" w:w="2736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jc w:val="left"/>
            </w:pPr>
            <w:r>
              <w:rPr>
                <w:rFonts w:ascii="微软雅黑" w:hAnsi="微软雅黑"/>
                <w:color w:val="1F2937"/>
                <w:sz w:val="17"/>
              </w:rPr>
              <w:t>零主观评价词汇（“表现优异/运行欠佳/落后单位”等）</w:t>
            </w:r>
          </w:p>
        </w:tc>
        <w:tc>
          <w:tcPr>
            <w:tcW w:type="dxa" w:w="115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jc w:val="left"/>
            </w:pPr>
            <w:r>
              <w:rPr>
                <w:rFonts w:ascii="微软雅黑" w:hAnsi="微软雅黑"/>
                <w:color w:val="1F2937"/>
                <w:sz w:val="17"/>
              </w:rPr>
              <w:t>阻断 (Red-Line)</w:t>
            </w:r>
          </w:p>
        </w:tc>
      </w:tr>
      <w:tr>
        <w:tc>
          <w:tcPr>
            <w:tcW w:type="dxa" w:w="158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jc w:val="center"/>
            </w:pPr>
            <w:r>
              <w:rPr>
                <w:rFonts w:ascii="微软雅黑" w:hAnsi="微软雅黑"/>
                <w:color w:val="1F2937"/>
                <w:sz w:val="17"/>
              </w:rPr>
              <w:t>极限数值边界</w:t>
            </w:r>
          </w:p>
        </w:tc>
        <w:tc>
          <w:tcPr>
            <w:tcW w:type="dxa" w:w="2016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jc w:val="left"/>
            </w:pPr>
            <w:r>
              <w:rPr>
                <w:rFonts w:ascii="微软雅黑" w:hAnsi="微软雅黑"/>
                <w:color w:val="1F2937"/>
                <w:sz w:val="17"/>
              </w:rPr>
              <w:t>产量为 0 时的单耗计算</w:t>
            </w:r>
          </w:p>
        </w:tc>
        <w:tc>
          <w:tcPr>
            <w:tcW w:type="dxa" w:w="216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jc w:val="left"/>
            </w:pPr>
            <w:r>
              <w:rPr>
                <w:rFonts w:ascii="微软雅黑" w:hAnsi="微软雅黑"/>
                <w:color w:val="1F2937"/>
                <w:sz w:val="17"/>
              </w:rPr>
              <w:t>BVA 极限边界输入 (M=0)</w:t>
            </w:r>
          </w:p>
        </w:tc>
        <w:tc>
          <w:tcPr>
            <w:tcW w:type="dxa" w:w="2736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jc w:val="left"/>
            </w:pPr>
            <w:r>
              <w:rPr>
                <w:rFonts w:ascii="微软雅黑" w:hAnsi="微软雅黑"/>
                <w:color w:val="1F2937"/>
                <w:sz w:val="17"/>
              </w:rPr>
              <w:t>自动拦截除以零异常，单耗显示“--”，严禁出现 NaN 或崩溃</w:t>
            </w:r>
          </w:p>
        </w:tc>
        <w:tc>
          <w:tcPr>
            <w:tcW w:type="dxa" w:w="115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jc w:val="left"/>
            </w:pPr>
            <w:r>
              <w:rPr>
                <w:rFonts w:ascii="微软雅黑" w:hAnsi="微软雅黑"/>
                <w:color w:val="1F2937"/>
                <w:sz w:val="17"/>
              </w:rPr>
              <w:t>阻断 (Red-Line)</w:t>
            </w:r>
          </w:p>
        </w:tc>
      </w:tr>
      <w:tr>
        <w:tc>
          <w:tcPr>
            <w:tcW w:type="dxa" w:w="15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jc w:val="center"/>
            </w:pPr>
            <w:r>
              <w:rPr>
                <w:rFonts w:ascii="微软雅黑" w:hAnsi="微软雅黑"/>
                <w:color w:val="1F2937"/>
                <w:sz w:val="17"/>
              </w:rPr>
              <w:t>并发防刷</w:t>
            </w:r>
          </w:p>
        </w:tc>
        <w:tc>
          <w:tcPr>
            <w:tcW w:type="dxa" w:w="2016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jc w:val="left"/>
            </w:pPr>
            <w:r>
              <w:rPr>
                <w:rFonts w:ascii="微软雅黑" w:hAnsi="微软雅黑"/>
                <w:color w:val="1F2937"/>
                <w:sz w:val="17"/>
              </w:rPr>
              <w:t>数据录入连续点击</w:t>
            </w:r>
          </w:p>
        </w:tc>
        <w:tc>
          <w:tcPr>
            <w:tcW w:type="dxa" w:w="216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jc w:val="left"/>
            </w:pPr>
            <w:r>
              <w:rPr>
                <w:rFonts w:ascii="微软雅黑" w:hAnsi="微软雅黑"/>
                <w:color w:val="1F2937"/>
                <w:sz w:val="17"/>
              </w:rPr>
              <w:t>100ms 内快速连续点击 3 次</w:t>
            </w:r>
          </w:p>
        </w:tc>
        <w:tc>
          <w:tcPr>
            <w:tcW w:type="dxa" w:w="2736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jc w:val="left"/>
            </w:pPr>
            <w:r>
              <w:rPr>
                <w:rFonts w:ascii="微软雅黑" w:hAnsi="微软雅黑"/>
                <w:color w:val="1F2937"/>
                <w:sz w:val="17"/>
              </w:rPr>
              <w:t>Token 幂等拦截，仅首笔提交，防止重复插入台账</w:t>
            </w:r>
          </w:p>
        </w:tc>
        <w:tc>
          <w:tcPr>
            <w:tcW w:type="dxa" w:w="115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jc w:val="left"/>
            </w:pPr>
            <w:r>
              <w:rPr>
                <w:rFonts w:ascii="微软雅黑" w:hAnsi="微软雅黑"/>
                <w:color w:val="1F2937"/>
                <w:sz w:val="17"/>
              </w:rPr>
              <w:t>阻断 (Red-Line)</w:t>
            </w:r>
          </w:p>
        </w:tc>
      </w:tr>
      <w:tr>
        <w:tc>
          <w:tcPr>
            <w:tcW w:type="dxa" w:w="158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jc w:val="center"/>
            </w:pPr>
            <w:r>
              <w:rPr>
                <w:rFonts w:ascii="微软雅黑" w:hAnsi="微软雅黑"/>
                <w:color w:val="1F2937"/>
                <w:sz w:val="17"/>
              </w:rPr>
              <w:t>非负防错校验</w:t>
            </w:r>
          </w:p>
        </w:tc>
        <w:tc>
          <w:tcPr>
            <w:tcW w:type="dxa" w:w="2016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jc w:val="left"/>
            </w:pPr>
            <w:r>
              <w:rPr>
                <w:rFonts w:ascii="微软雅黑" w:hAnsi="微软雅黑"/>
                <w:color w:val="1F2937"/>
                <w:sz w:val="17"/>
              </w:rPr>
              <w:t>录入工作台负数输入</w:t>
            </w:r>
          </w:p>
        </w:tc>
        <w:tc>
          <w:tcPr>
            <w:tcW w:type="dxa" w:w="216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jc w:val="left"/>
            </w:pPr>
            <w:r>
              <w:rPr>
                <w:rFonts w:ascii="微软雅黑" w:hAnsi="微软雅黑"/>
                <w:color w:val="1F2937"/>
                <w:sz w:val="17"/>
              </w:rPr>
              <w:t>输入产量为 -500 kVA</w:t>
            </w:r>
          </w:p>
        </w:tc>
        <w:tc>
          <w:tcPr>
            <w:tcW w:type="dxa" w:w="2736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jc w:val="left"/>
            </w:pPr>
            <w:r>
              <w:rPr>
                <w:rFonts w:ascii="微软雅黑" w:hAnsi="微软雅黑"/>
                <w:color w:val="1F2937"/>
                <w:sz w:val="17"/>
              </w:rPr>
              <w:t>前端即时拦截并红框高亮，禁止发送请求</w:t>
            </w:r>
          </w:p>
        </w:tc>
        <w:tc>
          <w:tcPr>
            <w:tcW w:type="dxa" w:w="115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jc w:val="left"/>
            </w:pPr>
            <w:r>
              <w:rPr>
                <w:rFonts w:ascii="微软雅黑" w:hAnsi="微软雅黑"/>
                <w:color w:val="1F2937"/>
                <w:sz w:val="17"/>
              </w:rPr>
              <w:t>阻断 (Red-Line)</w:t>
            </w:r>
          </w:p>
        </w:tc>
      </w:tr>
      <w:tr>
        <w:tc>
          <w:tcPr>
            <w:tcW w:type="dxa" w:w="15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jc w:val="center"/>
            </w:pPr>
            <w:r>
              <w:rPr>
                <w:rFonts w:ascii="微软雅黑" w:hAnsi="微软雅黑"/>
                <w:color w:val="1F2937"/>
                <w:sz w:val="17"/>
              </w:rPr>
              <w:t>网络容灾降级</w:t>
            </w:r>
          </w:p>
        </w:tc>
        <w:tc>
          <w:tcPr>
            <w:tcW w:type="dxa" w:w="2016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jc w:val="left"/>
            </w:pPr>
            <w:r>
              <w:rPr>
                <w:rFonts w:ascii="微软雅黑" w:hAnsi="微软雅黑"/>
                <w:color w:val="1F2937"/>
                <w:sz w:val="17"/>
              </w:rPr>
              <w:t>网络中断或后端服务超时</w:t>
            </w:r>
          </w:p>
        </w:tc>
        <w:tc>
          <w:tcPr>
            <w:tcW w:type="dxa" w:w="216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jc w:val="left"/>
            </w:pPr>
            <w:r>
              <w:rPr>
                <w:rFonts w:ascii="微软雅黑" w:hAnsi="微软雅黑"/>
                <w:color w:val="1F2937"/>
                <w:sz w:val="17"/>
              </w:rPr>
              <w:t>断网混沌工程故障注入</w:t>
            </w:r>
          </w:p>
        </w:tc>
        <w:tc>
          <w:tcPr>
            <w:tcW w:type="dxa" w:w="2736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jc w:val="left"/>
            </w:pPr>
            <w:r>
              <w:rPr>
                <w:rFonts w:ascii="微软雅黑" w:hAnsi="微软雅黑"/>
                <w:color w:val="1F2937"/>
                <w:sz w:val="17"/>
              </w:rPr>
              <w:t>优雅提示“网络连接异常”，恢复后支持一键重试刷新</w:t>
            </w:r>
          </w:p>
        </w:tc>
        <w:tc>
          <w:tcPr>
            <w:tcW w:type="dxa" w:w="115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jc w:val="left"/>
            </w:pPr>
            <w:r>
              <w:rPr>
                <w:rFonts w:ascii="微软雅黑" w:hAnsi="微软雅黑"/>
                <w:color w:val="1F2937"/>
                <w:sz w:val="17"/>
              </w:rPr>
              <w:t>高优先级</w:t>
            </w:r>
          </w:p>
        </w:tc>
      </w:tr>
    </w:tbl>
    <w:p>
      <w:pPr>
        <w:spacing w:after="8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296" w:right="1296" w:bottom="1296" w:left="1296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微软雅黑" w:hAnsi="微软雅黑"/>
        <w:color w:val="64748B"/>
        <w:sz w:val="17"/>
      </w:rPr>
      <w:t>特变电工股份有限公司 · 内部商密技术资料 严禁外传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微软雅黑" w:hAnsi="微软雅黑"/>
        <w:color w:val="64748B"/>
        <w:sz w:val="17"/>
      </w:rPr>
      <w:t>特变电工能碳数字化双中心 · 产品需求规格说明书 (PRD) v1.0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