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103F00">
      <w:pPr>
        <w:spacing w:before="700" w:after="160"/>
        <w:jc w:val="center"/>
        <w:rPr>
          <w:rFonts w:hint="eastAsia" w:ascii="黑体" w:hAnsi="黑体" w:eastAsia="黑体" w:cs="黑体"/>
          <w:b/>
          <w:color w:val="1E3A8A"/>
          <w:sz w:val="44"/>
          <w:szCs w:val="44"/>
        </w:rPr>
      </w:pPr>
    </w:p>
    <w:p w14:paraId="3C56F94D">
      <w:pPr>
        <w:spacing w:before="700" w:after="160"/>
        <w:jc w:val="center"/>
        <w:rPr>
          <w:rFonts w:hint="eastAsia" w:ascii="黑体" w:hAnsi="黑体" w:eastAsia="黑体" w:cs="黑体"/>
          <w:sz w:val="44"/>
          <w:szCs w:val="44"/>
        </w:rPr>
      </w:pPr>
      <w:r>
        <w:rPr>
          <w:rFonts w:hint="eastAsia" w:ascii="黑体" w:hAnsi="黑体" w:eastAsia="黑体" w:cs="黑体"/>
          <w:b/>
          <w:color w:val="1E3A8A"/>
          <w:sz w:val="44"/>
          <w:szCs w:val="44"/>
        </w:rPr>
        <w:t>特变电工股份有限公司</w:t>
      </w:r>
      <w:r>
        <w:rPr>
          <w:rFonts w:hint="eastAsia" w:ascii="黑体" w:hAnsi="黑体" w:eastAsia="黑体" w:cs="黑体"/>
          <w:b/>
          <w:color w:val="1E3A8A"/>
          <w:sz w:val="44"/>
          <w:szCs w:val="44"/>
        </w:rPr>
        <w:br w:type="textWrapping"/>
      </w:r>
      <w:r>
        <w:rPr>
          <w:rFonts w:hint="eastAsia" w:ascii="黑体" w:hAnsi="黑体" w:eastAsia="黑体" w:cs="黑体"/>
          <w:b/>
          <w:color w:val="1E3A8A"/>
          <w:sz w:val="44"/>
          <w:szCs w:val="44"/>
        </w:rPr>
        <w:t>能碳数字化“双中心”集成平台</w:t>
      </w:r>
      <w:r>
        <w:rPr>
          <w:rFonts w:hint="eastAsia" w:ascii="黑体" w:hAnsi="黑体" w:eastAsia="黑体" w:cs="黑体"/>
          <w:b/>
          <w:color w:val="1E3A8A"/>
          <w:sz w:val="44"/>
          <w:szCs w:val="44"/>
        </w:rPr>
        <w:br w:type="textWrapping"/>
      </w:r>
      <w:r>
        <w:rPr>
          <w:rFonts w:hint="eastAsia" w:ascii="黑体" w:hAnsi="黑体" w:eastAsia="黑体" w:cs="黑体"/>
          <w:b/>
          <w:color w:val="1E3A8A"/>
          <w:sz w:val="44"/>
          <w:szCs w:val="44"/>
        </w:rPr>
        <w:t>产品需求规格说明书 (PRD)</w:t>
      </w:r>
    </w:p>
    <w:p w14:paraId="615C836D">
      <w:pPr>
        <w:bidi w:val="0"/>
        <w:jc w:val="center"/>
      </w:pPr>
      <w:r>
        <w:t>零碳园区集控中心 + 产品碳足迹集采中心 · 全生命周期研发、测试与工程交付基线</w:t>
      </w:r>
    </w:p>
    <w:p w14:paraId="13CBB8F3">
      <w:pPr>
        <w:bidi w:val="0"/>
        <w:jc w:val="center"/>
      </w:pPr>
    </w:p>
    <w:p w14:paraId="78C79C4E">
      <w:pPr>
        <w:bidi w:val="0"/>
        <w:jc w:val="center"/>
      </w:pPr>
    </w:p>
    <w:p w14:paraId="44853650">
      <w:pPr>
        <w:bidi w:val="0"/>
        <w:jc w:val="center"/>
      </w:pPr>
    </w:p>
    <w:p w14:paraId="13E4506B">
      <w:pPr>
        <w:bidi w:val="0"/>
        <w:jc w:val="center"/>
      </w:pPr>
    </w:p>
    <w:tbl>
      <w:tblPr>
        <w:tblStyle w:val="35"/>
        <w:tblW w:w="8074" w:type="dxa"/>
        <w:jc w:val="center"/>
        <w:tblLayout w:type="autofit"/>
        <w:tblCellMar>
          <w:top w:w="0" w:type="dxa"/>
          <w:left w:w="108" w:type="dxa"/>
          <w:bottom w:w="0" w:type="dxa"/>
          <w:right w:w="108" w:type="dxa"/>
        </w:tblCellMar>
      </w:tblPr>
      <w:tblGrid>
        <w:gridCol w:w="1962"/>
        <w:gridCol w:w="6112"/>
      </w:tblGrid>
      <w:tr w14:paraId="12C88C35">
        <w:trPr>
          <w:trHeight w:val="288" w:hRule="atLeast"/>
          <w:tblHeader/>
          <w:jc w:val="center"/>
        </w:trPr>
        <w:tc>
          <w:tcPr>
            <w:tcW w:w="1962" w:type="dxa"/>
            <w:tcBorders>
              <w:top w:val="nil"/>
              <w:left w:val="nil"/>
              <w:bottom w:val="nil"/>
              <w:right w:val="nil"/>
              <w:tl2br w:val="nil"/>
            </w:tcBorders>
            <w:shd w:val="clear" w:color="auto" w:fill="FFFFFF"/>
            <w:noWrap w:val="0"/>
            <w:tcMar>
              <w:top w:w="80" w:type="dxa"/>
              <w:left w:w="120" w:type="dxa"/>
              <w:bottom w:w="80" w:type="dxa"/>
              <w:right w:w="120" w:type="dxa"/>
            </w:tcMar>
            <w:vAlign w:val="center"/>
          </w:tcPr>
          <w:p w14:paraId="5B4F2F5B">
            <w:pPr>
              <w:bidi w:val="0"/>
              <w:jc w:val="right"/>
              <w:rPr>
                <w:rFonts w:hint="eastAsia" w:eastAsia="宋体"/>
                <w:sz w:val="18"/>
                <w:szCs w:val="18"/>
                <w:lang w:eastAsia="zh-CN"/>
              </w:rPr>
            </w:pPr>
            <w:r>
              <w:rPr>
                <w:sz w:val="18"/>
                <w:szCs w:val="18"/>
              </w:rPr>
              <w:t>文档受控编号</w:t>
            </w:r>
            <w:r>
              <w:rPr>
                <w:rFonts w:hint="eastAsia" w:eastAsia="宋体"/>
                <w:sz w:val="18"/>
                <w:szCs w:val="18"/>
                <w:lang w:eastAsia="zh-CN"/>
              </w:rPr>
              <w:t>：</w:t>
            </w:r>
          </w:p>
        </w:tc>
        <w:tc>
          <w:tcPr>
            <w:tcW w:w="6112" w:type="dxa"/>
            <w:tcBorders>
              <w:top w:val="nil"/>
              <w:left w:val="nil"/>
              <w:bottom w:val="nil"/>
              <w:right w:val="nil"/>
            </w:tcBorders>
            <w:shd w:val="clear" w:color="auto" w:fill="FFFFFF"/>
            <w:noWrap w:val="0"/>
            <w:tcMar>
              <w:top w:w="80" w:type="dxa"/>
              <w:left w:w="120" w:type="dxa"/>
              <w:bottom w:w="80" w:type="dxa"/>
              <w:right w:w="120" w:type="dxa"/>
            </w:tcMar>
            <w:vAlign w:val="center"/>
          </w:tcPr>
          <w:p w14:paraId="1EB4645B">
            <w:pPr>
              <w:bidi w:val="0"/>
              <w:jc w:val="left"/>
              <w:rPr>
                <w:sz w:val="18"/>
                <w:szCs w:val="18"/>
              </w:rPr>
            </w:pPr>
            <w:r>
              <w:rPr>
                <w:sz w:val="18"/>
                <w:szCs w:val="18"/>
              </w:rPr>
              <w:t>TBEA-PRD-MASTER-2026-V1.1.0</w:t>
            </w:r>
          </w:p>
        </w:tc>
      </w:tr>
      <w:tr w14:paraId="4E0A7160">
        <w:tblPrEx>
          <w:tblCellMar>
            <w:top w:w="0" w:type="dxa"/>
            <w:left w:w="108" w:type="dxa"/>
            <w:bottom w:w="0" w:type="dxa"/>
            <w:right w:w="108" w:type="dxa"/>
          </w:tblCellMar>
        </w:tblPrEx>
        <w:trPr>
          <w:trHeight w:val="170" w:hRule="atLeast"/>
          <w:tblHeader/>
          <w:jc w:val="center"/>
        </w:trPr>
        <w:tc>
          <w:tcPr>
            <w:tcW w:w="1962" w:type="dxa"/>
            <w:tcBorders>
              <w:top w:val="nil"/>
              <w:left w:val="nil"/>
              <w:bottom w:val="nil"/>
              <w:right w:val="nil"/>
            </w:tcBorders>
            <w:shd w:val="clear" w:color="auto" w:fill="FFFFFF"/>
            <w:noWrap w:val="0"/>
            <w:tcMar>
              <w:top w:w="80" w:type="dxa"/>
              <w:left w:w="120" w:type="dxa"/>
              <w:bottom w:w="80" w:type="dxa"/>
              <w:right w:w="120" w:type="dxa"/>
            </w:tcMar>
            <w:vAlign w:val="center"/>
          </w:tcPr>
          <w:p w14:paraId="6169B75A">
            <w:pPr>
              <w:bidi w:val="0"/>
              <w:jc w:val="right"/>
              <w:rPr>
                <w:rFonts w:hint="eastAsia" w:eastAsia="宋体"/>
                <w:sz w:val="18"/>
                <w:szCs w:val="18"/>
                <w:lang w:eastAsia="zh-CN"/>
              </w:rPr>
            </w:pPr>
            <w:r>
              <w:rPr>
                <w:sz w:val="18"/>
                <w:szCs w:val="18"/>
              </w:rPr>
              <w:t>系统基线版本</w:t>
            </w:r>
            <w:r>
              <w:rPr>
                <w:rFonts w:hint="eastAsia" w:eastAsia="宋体"/>
                <w:sz w:val="18"/>
                <w:szCs w:val="18"/>
                <w:lang w:eastAsia="zh-CN"/>
              </w:rPr>
              <w:t>：</w:t>
            </w:r>
          </w:p>
        </w:tc>
        <w:tc>
          <w:tcPr>
            <w:tcW w:w="6112" w:type="dxa"/>
            <w:tcBorders>
              <w:top w:val="nil"/>
              <w:left w:val="nil"/>
              <w:bottom w:val="nil"/>
              <w:right w:val="nil"/>
            </w:tcBorders>
            <w:shd w:val="clear" w:color="auto" w:fill="FFFFFF"/>
            <w:noWrap w:val="0"/>
            <w:tcMar>
              <w:top w:w="80" w:type="dxa"/>
              <w:left w:w="120" w:type="dxa"/>
              <w:bottom w:w="80" w:type="dxa"/>
              <w:right w:w="120" w:type="dxa"/>
            </w:tcMar>
            <w:vAlign w:val="center"/>
          </w:tcPr>
          <w:p w14:paraId="2453050B">
            <w:pPr>
              <w:bidi w:val="0"/>
              <w:jc w:val="left"/>
              <w:rPr>
                <w:sz w:val="18"/>
                <w:szCs w:val="18"/>
              </w:rPr>
            </w:pPr>
            <w:r>
              <w:rPr>
                <w:sz w:val="18"/>
                <w:szCs w:val="18"/>
              </w:rPr>
              <w:t>Release v1.1.0 (生产基线全景工程详案版)</w:t>
            </w:r>
          </w:p>
        </w:tc>
      </w:tr>
      <w:tr w14:paraId="0C773A89">
        <w:tblPrEx>
          <w:tblCellMar>
            <w:top w:w="0" w:type="dxa"/>
            <w:left w:w="108" w:type="dxa"/>
            <w:bottom w:w="0" w:type="dxa"/>
            <w:right w:w="108" w:type="dxa"/>
          </w:tblCellMar>
        </w:tblPrEx>
        <w:trPr>
          <w:trHeight w:val="170" w:hRule="atLeast"/>
          <w:tblHeader/>
          <w:jc w:val="center"/>
        </w:trPr>
        <w:tc>
          <w:tcPr>
            <w:tcW w:w="1962" w:type="dxa"/>
            <w:tcBorders>
              <w:top w:val="nil"/>
              <w:left w:val="nil"/>
              <w:bottom w:val="nil"/>
              <w:right w:val="nil"/>
            </w:tcBorders>
            <w:shd w:val="clear" w:color="auto" w:fill="FFFFFF"/>
            <w:noWrap w:val="0"/>
            <w:tcMar>
              <w:top w:w="80" w:type="dxa"/>
              <w:left w:w="120" w:type="dxa"/>
              <w:bottom w:w="80" w:type="dxa"/>
              <w:right w:w="120" w:type="dxa"/>
            </w:tcMar>
            <w:vAlign w:val="center"/>
          </w:tcPr>
          <w:p w14:paraId="50A8AC7B">
            <w:pPr>
              <w:bidi w:val="0"/>
              <w:jc w:val="right"/>
              <w:rPr>
                <w:rFonts w:hint="eastAsia" w:eastAsia="宋体"/>
                <w:sz w:val="18"/>
                <w:szCs w:val="18"/>
                <w:lang w:eastAsia="zh-CN"/>
              </w:rPr>
            </w:pPr>
            <w:r>
              <w:rPr>
                <w:sz w:val="18"/>
                <w:szCs w:val="18"/>
              </w:rPr>
              <w:t>多角色会签团队</w:t>
            </w:r>
            <w:r>
              <w:rPr>
                <w:rFonts w:hint="eastAsia" w:eastAsia="宋体"/>
                <w:sz w:val="18"/>
                <w:szCs w:val="18"/>
                <w:lang w:eastAsia="zh-CN"/>
              </w:rPr>
              <w:t>：</w:t>
            </w:r>
          </w:p>
        </w:tc>
        <w:tc>
          <w:tcPr>
            <w:tcW w:w="6112" w:type="dxa"/>
            <w:tcBorders>
              <w:top w:val="nil"/>
              <w:left w:val="nil"/>
              <w:bottom w:val="nil"/>
              <w:right w:val="nil"/>
            </w:tcBorders>
            <w:shd w:val="clear" w:color="auto" w:fill="FFFFFF"/>
            <w:noWrap w:val="0"/>
            <w:tcMar>
              <w:top w:w="80" w:type="dxa"/>
              <w:left w:w="120" w:type="dxa"/>
              <w:bottom w:w="80" w:type="dxa"/>
              <w:right w:w="120" w:type="dxa"/>
            </w:tcMar>
            <w:vAlign w:val="center"/>
          </w:tcPr>
          <w:p w14:paraId="7A1685B7">
            <w:pPr>
              <w:bidi w:val="0"/>
              <w:jc w:val="left"/>
              <w:rPr>
                <w:sz w:val="18"/>
                <w:szCs w:val="18"/>
              </w:rPr>
            </w:pPr>
            <w:r>
              <w:rPr>
                <w:sz w:val="18"/>
                <w:szCs w:val="18"/>
              </w:rPr>
              <w:t>产品管理部 (PM) × 数字化研发中心 (Dev) × 质量保障中心 (QA)</w:t>
            </w:r>
          </w:p>
        </w:tc>
      </w:tr>
      <w:tr w14:paraId="7B3EE3A8">
        <w:tblPrEx>
          <w:tblCellMar>
            <w:top w:w="0" w:type="dxa"/>
            <w:left w:w="108" w:type="dxa"/>
            <w:bottom w:w="0" w:type="dxa"/>
            <w:right w:w="108" w:type="dxa"/>
          </w:tblCellMar>
        </w:tblPrEx>
        <w:trPr>
          <w:trHeight w:val="170" w:hRule="atLeast"/>
          <w:tblHeader/>
          <w:jc w:val="center"/>
        </w:trPr>
        <w:tc>
          <w:tcPr>
            <w:tcW w:w="1962" w:type="dxa"/>
            <w:tcBorders>
              <w:top w:val="nil"/>
              <w:left w:val="nil"/>
              <w:bottom w:val="nil"/>
              <w:right w:val="nil"/>
            </w:tcBorders>
            <w:shd w:val="clear" w:color="auto" w:fill="FFFFFF"/>
            <w:noWrap w:val="0"/>
            <w:tcMar>
              <w:top w:w="80" w:type="dxa"/>
              <w:left w:w="120" w:type="dxa"/>
              <w:bottom w:w="80" w:type="dxa"/>
              <w:right w:w="120" w:type="dxa"/>
            </w:tcMar>
            <w:vAlign w:val="center"/>
          </w:tcPr>
          <w:p w14:paraId="3F66F830">
            <w:pPr>
              <w:bidi w:val="0"/>
              <w:jc w:val="right"/>
              <w:rPr>
                <w:rFonts w:hint="eastAsia" w:eastAsia="宋体"/>
                <w:sz w:val="18"/>
                <w:szCs w:val="18"/>
                <w:lang w:eastAsia="zh-CN"/>
              </w:rPr>
            </w:pPr>
            <w:r>
              <w:rPr>
                <w:sz w:val="18"/>
                <w:szCs w:val="18"/>
              </w:rPr>
              <w:t>工程归档路径</w:t>
            </w:r>
            <w:r>
              <w:rPr>
                <w:rFonts w:hint="eastAsia" w:eastAsia="宋体"/>
                <w:sz w:val="18"/>
                <w:szCs w:val="18"/>
                <w:lang w:eastAsia="zh-CN"/>
              </w:rPr>
              <w:t>：</w:t>
            </w:r>
          </w:p>
        </w:tc>
        <w:tc>
          <w:tcPr>
            <w:tcW w:w="6112" w:type="dxa"/>
            <w:tcBorders>
              <w:top w:val="nil"/>
              <w:left w:val="nil"/>
              <w:bottom w:val="nil"/>
              <w:right w:val="nil"/>
            </w:tcBorders>
            <w:shd w:val="clear" w:color="auto" w:fill="FFFFFF"/>
            <w:noWrap w:val="0"/>
            <w:tcMar>
              <w:top w:w="80" w:type="dxa"/>
              <w:left w:w="120" w:type="dxa"/>
              <w:bottom w:w="80" w:type="dxa"/>
              <w:right w:w="120" w:type="dxa"/>
            </w:tcMar>
            <w:vAlign w:val="center"/>
          </w:tcPr>
          <w:p w14:paraId="6D86F7E1">
            <w:pPr>
              <w:bidi w:val="0"/>
              <w:jc w:val="left"/>
              <w:rPr>
                <w:sz w:val="18"/>
                <w:szCs w:val="18"/>
              </w:rPr>
            </w:pPr>
            <w:r>
              <w:rPr>
                <w:sz w:val="18"/>
                <w:szCs w:val="18"/>
              </w:rPr>
              <w:t>D:\Project\TJ-nengtan\PRD</w:t>
            </w:r>
          </w:p>
        </w:tc>
      </w:tr>
      <w:tr w14:paraId="7474CA7A">
        <w:tblPrEx>
          <w:tblCellMar>
            <w:top w:w="0" w:type="dxa"/>
            <w:left w:w="108" w:type="dxa"/>
            <w:bottom w:w="0" w:type="dxa"/>
            <w:right w:w="108" w:type="dxa"/>
          </w:tblCellMar>
        </w:tblPrEx>
        <w:trPr>
          <w:trHeight w:val="90" w:hRule="atLeast"/>
          <w:tblHeader/>
          <w:jc w:val="center"/>
        </w:trPr>
        <w:tc>
          <w:tcPr>
            <w:tcW w:w="1962" w:type="dxa"/>
            <w:tcBorders>
              <w:top w:val="nil"/>
              <w:left w:val="nil"/>
              <w:bottom w:val="nil"/>
              <w:right w:val="nil"/>
            </w:tcBorders>
            <w:shd w:val="clear" w:color="auto" w:fill="FFFFFF"/>
            <w:noWrap w:val="0"/>
            <w:tcMar>
              <w:top w:w="80" w:type="dxa"/>
              <w:left w:w="120" w:type="dxa"/>
              <w:bottom w:w="80" w:type="dxa"/>
              <w:right w:w="120" w:type="dxa"/>
            </w:tcMar>
            <w:vAlign w:val="center"/>
          </w:tcPr>
          <w:p w14:paraId="5E48CD13">
            <w:pPr>
              <w:bidi w:val="0"/>
              <w:jc w:val="right"/>
              <w:rPr>
                <w:rFonts w:hint="eastAsia" w:eastAsia="宋体"/>
                <w:sz w:val="18"/>
                <w:szCs w:val="18"/>
                <w:lang w:eastAsia="zh-CN"/>
              </w:rPr>
            </w:pPr>
            <w:r>
              <w:rPr>
                <w:sz w:val="18"/>
                <w:szCs w:val="18"/>
              </w:rPr>
              <w:t>正式生效日期</w:t>
            </w:r>
            <w:r>
              <w:rPr>
                <w:rFonts w:hint="eastAsia" w:eastAsia="宋体"/>
                <w:sz w:val="18"/>
                <w:szCs w:val="18"/>
                <w:lang w:eastAsia="zh-CN"/>
              </w:rPr>
              <w:t>：</w:t>
            </w:r>
          </w:p>
        </w:tc>
        <w:tc>
          <w:tcPr>
            <w:tcW w:w="6112" w:type="dxa"/>
            <w:tcBorders>
              <w:top w:val="nil"/>
              <w:left w:val="nil"/>
              <w:bottom w:val="nil"/>
              <w:right w:val="nil"/>
            </w:tcBorders>
            <w:shd w:val="clear" w:color="auto" w:fill="FFFFFF"/>
            <w:noWrap w:val="0"/>
            <w:tcMar>
              <w:top w:w="80" w:type="dxa"/>
              <w:left w:w="120" w:type="dxa"/>
              <w:bottom w:w="80" w:type="dxa"/>
              <w:right w:w="120" w:type="dxa"/>
            </w:tcMar>
            <w:vAlign w:val="center"/>
          </w:tcPr>
          <w:p w14:paraId="5881C9A7">
            <w:pPr>
              <w:bidi w:val="0"/>
              <w:jc w:val="left"/>
              <w:rPr>
                <w:sz w:val="18"/>
                <w:szCs w:val="18"/>
              </w:rPr>
            </w:pPr>
            <w:r>
              <w:rPr>
                <w:sz w:val="18"/>
                <w:szCs w:val="18"/>
              </w:rPr>
              <w:t>2026 年 09 月 08 日</w:t>
            </w:r>
          </w:p>
        </w:tc>
      </w:tr>
    </w:tbl>
    <w:p w14:paraId="432062E1">
      <w:r>
        <w:br w:type="page"/>
      </w:r>
    </w:p>
    <w:p w14:paraId="08210664">
      <w:pPr>
        <w:pStyle w:val="3"/>
        <w:keepNext/>
        <w:spacing w:before="360" w:after="160"/>
        <w:jc w:val="center"/>
        <w:outlineLvl w:val="9"/>
        <w:rPr>
          <w:sz w:val="22"/>
          <w:szCs w:val="22"/>
        </w:rPr>
      </w:pPr>
      <w:r>
        <w:rPr>
          <w:rFonts w:hint="eastAsia" w:ascii="微软雅黑" w:hAnsi="微软雅黑" w:eastAsia="宋体"/>
          <w:b/>
          <w:color w:val="1E3A8A"/>
          <w:sz w:val="24"/>
          <w:szCs w:val="22"/>
          <w:lang w:val="en-US" w:eastAsia="zh-CN"/>
        </w:rPr>
        <w:t>修改</w:t>
      </w:r>
      <w:r>
        <w:rPr>
          <w:rFonts w:ascii="微软雅黑" w:hAnsi="微软雅黑"/>
          <w:b/>
          <w:color w:val="1E3A8A"/>
          <w:sz w:val="24"/>
          <w:szCs w:val="22"/>
        </w:rPr>
        <w:t>记录</w:t>
      </w:r>
    </w:p>
    <w:p w14:paraId="6BFF80D4">
      <w:pPr>
        <w:spacing w:after="80" w:line="288" w:lineRule="auto"/>
        <w:ind w:firstLine="720" w:firstLineChars="0"/>
      </w:pPr>
      <w:r>
        <w:rPr>
          <w:rFonts w:ascii="微软雅黑" w:hAnsi="微软雅黑"/>
          <w:color w:val="1F2937"/>
          <w:sz w:val="19"/>
        </w:rPr>
        <w:t>本文档作为特变电工股份有限公司（电装集团）能碳数字化双中心（零碳园区集控中心 + 产品碳足迹集采中心）官方产品需求规格说明书，由产品管理部 (PM)、系统架构研发组 (Dev)、质量保障中心 (QA) 及项目总监共同签署生效。</w:t>
      </w:r>
    </w:p>
    <w:tbl>
      <w:tblPr>
        <w:tblStyle w:val="35"/>
        <w:tblW w:w="9790" w:type="dxa"/>
        <w:jc w:val="center"/>
        <w:tblLayout w:type="autofit"/>
        <w:tblCellMar>
          <w:top w:w="0" w:type="dxa"/>
          <w:left w:w="108" w:type="dxa"/>
          <w:bottom w:w="0" w:type="dxa"/>
          <w:right w:w="108" w:type="dxa"/>
        </w:tblCellMar>
      </w:tblPr>
      <w:tblGrid>
        <w:gridCol w:w="1489"/>
        <w:gridCol w:w="1413"/>
        <w:gridCol w:w="2481"/>
        <w:gridCol w:w="3250"/>
        <w:gridCol w:w="1157"/>
      </w:tblGrid>
      <w:tr w14:paraId="1F480076">
        <w:tblPrEx>
          <w:tblCellMar>
            <w:top w:w="0" w:type="dxa"/>
            <w:left w:w="108" w:type="dxa"/>
            <w:bottom w:w="0" w:type="dxa"/>
            <w:right w:w="108" w:type="dxa"/>
          </w:tblCellMar>
        </w:tblPrEx>
        <w:trPr>
          <w:trHeight w:val="0" w:hRule="atLeast"/>
          <w:tblHeader/>
          <w:jc w:val="center"/>
        </w:trPr>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7BE239A2">
            <w:pPr>
              <w:snapToGrid w:val="0"/>
              <w:spacing w:line="240" w:lineRule="auto"/>
              <w:ind w:left="0" w:leftChars="0" w:right="0" w:rightChars="0" w:firstLine="0" w:firstLineChars="0"/>
              <w:jc w:val="center"/>
              <w:rPr>
                <w:rFonts w:ascii="微软雅黑" w:eastAsia="ＭＳ 明朝"/>
                <w:b/>
                <w:sz w:val="18"/>
              </w:rPr>
            </w:pPr>
            <w:r>
              <w:rPr>
                <w:rFonts w:ascii="微软雅黑" w:hAnsi="微软雅黑" w:eastAsia="ＭＳ 明朝"/>
                <w:b/>
                <w:color w:val="FFFFFF"/>
                <w:sz w:val="18"/>
              </w:rPr>
              <w:t>审签角色</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7F5EA242">
            <w:pPr>
              <w:snapToGrid w:val="0"/>
              <w:spacing w:line="240" w:lineRule="auto"/>
              <w:ind w:left="0" w:leftChars="0" w:right="0" w:rightChars="0" w:firstLine="0" w:firstLineChars="0"/>
              <w:jc w:val="center"/>
              <w:rPr>
                <w:rFonts w:ascii="微软雅黑" w:eastAsia="ＭＳ 明朝"/>
                <w:b/>
                <w:sz w:val="18"/>
              </w:rPr>
            </w:pPr>
            <w:r>
              <w:rPr>
                <w:rFonts w:ascii="微软雅黑" w:hAnsi="微软雅黑" w:eastAsia="ＭＳ 明朝"/>
                <w:b/>
                <w:color w:val="FFFFFF"/>
                <w:sz w:val="18"/>
              </w:rPr>
              <w:t>责任人姓名</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0893D212">
            <w:pPr>
              <w:snapToGrid w:val="0"/>
              <w:spacing w:line="240" w:lineRule="auto"/>
              <w:ind w:left="0" w:leftChars="0" w:right="0" w:rightChars="0" w:firstLine="0" w:firstLineChars="0"/>
              <w:jc w:val="center"/>
              <w:rPr>
                <w:rFonts w:ascii="微软雅黑" w:eastAsia="ＭＳ 明朝"/>
                <w:b/>
                <w:sz w:val="18"/>
              </w:rPr>
            </w:pPr>
            <w:r>
              <w:rPr>
                <w:rFonts w:ascii="微软雅黑" w:hAnsi="微软雅黑" w:eastAsia="ＭＳ 明朝"/>
                <w:b/>
                <w:color w:val="FFFFFF"/>
                <w:sz w:val="18"/>
              </w:rPr>
              <w:t>部门/岗位</w:t>
            </w:r>
          </w:p>
        </w:tc>
        <w:tc>
          <w:tcPr>
            <w:tcW w:w="3250"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31FF76D2">
            <w:pPr>
              <w:snapToGrid w:val="0"/>
              <w:spacing w:line="240" w:lineRule="auto"/>
              <w:ind w:left="0" w:leftChars="0" w:right="0" w:rightChars="0" w:firstLine="0" w:firstLineChars="0"/>
              <w:jc w:val="center"/>
              <w:rPr>
                <w:rFonts w:ascii="微软雅黑" w:eastAsia="ＭＳ 明朝"/>
                <w:b/>
                <w:sz w:val="18"/>
              </w:rPr>
            </w:pPr>
            <w:r>
              <w:rPr>
                <w:rFonts w:ascii="微软雅黑" w:hAnsi="微软雅黑" w:eastAsia="ＭＳ 明朝"/>
                <w:b/>
                <w:color w:val="FFFFFF"/>
                <w:sz w:val="18"/>
              </w:rPr>
              <w:t>审签结论</w:t>
            </w:r>
          </w:p>
        </w:tc>
        <w:tc>
          <w:tcPr>
            <w:tcW w:w="1157"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33F1DC44">
            <w:pPr>
              <w:snapToGrid w:val="0"/>
              <w:spacing w:line="240" w:lineRule="auto"/>
              <w:ind w:left="0" w:leftChars="0" w:right="0" w:rightChars="0" w:firstLine="0" w:firstLineChars="0"/>
              <w:jc w:val="center"/>
              <w:rPr>
                <w:rFonts w:ascii="微软雅黑" w:eastAsia="ＭＳ 明朝"/>
                <w:b/>
                <w:sz w:val="18"/>
              </w:rPr>
            </w:pPr>
            <w:r>
              <w:rPr>
                <w:rFonts w:ascii="微软雅黑" w:hAnsi="微软雅黑" w:eastAsia="ＭＳ 明朝"/>
                <w:b/>
                <w:color w:val="FFFFFF"/>
                <w:sz w:val="18"/>
              </w:rPr>
              <w:t>签署日期</w:t>
            </w:r>
          </w:p>
        </w:tc>
      </w:tr>
      <w:tr w14:paraId="2EC9CA58">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A2CA767">
            <w:pPr>
              <w:snapToGrid w:val="0"/>
              <w:spacing w:line="240" w:lineRule="auto"/>
              <w:ind w:left="0" w:leftChars="0" w:right="0" w:rightChars="0" w:firstLine="0" w:firstLineChars="0"/>
              <w:jc w:val="left"/>
              <w:rPr>
                <w:rFonts w:ascii="微软雅黑" w:eastAsia="ＭＳ 明朝"/>
                <w:sz w:val="17"/>
              </w:rPr>
            </w:pPr>
            <w:r>
              <w:rPr>
                <w:rFonts w:ascii="微软雅黑" w:hAnsi="微软雅黑" w:eastAsia="ＭＳ 明朝"/>
                <w:color w:val="1F2937"/>
                <w:sz w:val="17"/>
              </w:rPr>
              <w:t>PM 负责人</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0A33929">
            <w:pPr>
              <w:snapToGrid w:val="0"/>
              <w:spacing w:line="240" w:lineRule="auto"/>
              <w:ind w:left="0" w:leftChars="0" w:right="0" w:rightChars="0" w:firstLine="0" w:firstLineChars="0"/>
              <w:jc w:val="center"/>
              <w:rPr>
                <w:rFonts w:ascii="微软雅黑" w:eastAsia="ＭＳ 明朝"/>
                <w:sz w:val="17"/>
              </w:rPr>
            </w:pPr>
            <w:r>
              <w:rPr>
                <w:rFonts w:ascii="微软雅黑" w:hAnsi="微软雅黑" w:eastAsia="ＭＳ 明朝"/>
                <w:color w:val="1F2937"/>
                <w:sz w:val="17"/>
              </w:rPr>
              <w:t>产品管理部代表</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AB7660D">
            <w:pPr>
              <w:snapToGrid w:val="0"/>
              <w:spacing w:line="240" w:lineRule="auto"/>
              <w:ind w:left="0" w:leftChars="0" w:right="0" w:rightChars="0" w:firstLine="0" w:firstLineChars="0"/>
              <w:jc w:val="left"/>
              <w:rPr>
                <w:rFonts w:ascii="微软雅黑" w:eastAsia="ＭＳ 明朝"/>
                <w:sz w:val="17"/>
              </w:rPr>
            </w:pPr>
            <w:r>
              <w:rPr>
                <w:rFonts w:ascii="微软雅黑" w:hAnsi="微软雅黑" w:eastAsia="ＭＳ 明朝"/>
                <w:color w:val="1F2937"/>
                <w:sz w:val="17"/>
              </w:rPr>
              <w:t>数字化产品规划部</w:t>
            </w:r>
          </w:p>
        </w:tc>
        <w:tc>
          <w:tcPr>
            <w:tcW w:w="325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7146BAA">
            <w:pPr>
              <w:snapToGrid w:val="0"/>
              <w:spacing w:line="240" w:lineRule="auto"/>
              <w:ind w:left="0" w:leftChars="0" w:right="0" w:rightChars="0" w:firstLine="0" w:firstLineChars="0"/>
              <w:jc w:val="left"/>
              <w:rPr>
                <w:rFonts w:ascii="微软雅黑" w:eastAsia="ＭＳ 明朝"/>
                <w:sz w:val="17"/>
              </w:rPr>
            </w:pPr>
            <w:r>
              <w:rPr>
                <w:rFonts w:ascii="微软雅黑" w:hAnsi="微软雅黑" w:eastAsia="ＭＳ 明朝"/>
                <w:color w:val="1F2937"/>
                <w:sz w:val="17"/>
              </w:rPr>
              <w:t>通过 (主导航逐层展开/业务闭环)</w:t>
            </w:r>
          </w:p>
        </w:tc>
        <w:tc>
          <w:tcPr>
            <w:tcW w:w="115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F778383">
            <w:pPr>
              <w:snapToGrid w:val="0"/>
              <w:spacing w:line="240" w:lineRule="auto"/>
              <w:ind w:left="0" w:leftChars="0" w:right="0" w:rightChars="0" w:firstLine="0" w:firstLineChars="0"/>
              <w:jc w:val="center"/>
              <w:rPr>
                <w:rFonts w:ascii="微软雅黑" w:eastAsia="ＭＳ 明朝"/>
                <w:sz w:val="17"/>
              </w:rPr>
            </w:pPr>
            <w:r>
              <w:rPr>
                <w:rFonts w:ascii="微软雅黑" w:hAnsi="微软雅黑" w:eastAsia="ＭＳ 明朝"/>
                <w:color w:val="1F2937"/>
                <w:sz w:val="17"/>
              </w:rPr>
              <w:t>2026-09-08</w:t>
            </w:r>
          </w:p>
        </w:tc>
      </w:tr>
      <w:tr w14:paraId="2956693E">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CBD6A81">
            <w:pPr>
              <w:snapToGrid w:val="0"/>
              <w:spacing w:line="240" w:lineRule="auto"/>
              <w:ind w:left="0" w:leftChars="0" w:right="0" w:rightChars="0" w:firstLine="0" w:firstLineChars="0"/>
              <w:jc w:val="left"/>
              <w:rPr>
                <w:rFonts w:ascii="微软雅黑" w:eastAsia="ＭＳ 明朝"/>
                <w:sz w:val="17"/>
              </w:rPr>
            </w:pPr>
            <w:r>
              <w:rPr>
                <w:rFonts w:ascii="微软雅黑" w:hAnsi="微软雅黑" w:eastAsia="ＭＳ 明朝"/>
                <w:color w:val="1F2937"/>
                <w:sz w:val="17"/>
              </w:rPr>
              <w:t>系统架构师</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BF733BA">
            <w:pPr>
              <w:snapToGrid w:val="0"/>
              <w:spacing w:line="240" w:lineRule="auto"/>
              <w:ind w:left="0" w:leftChars="0" w:right="0" w:rightChars="0" w:firstLine="0" w:firstLineChars="0"/>
              <w:jc w:val="center"/>
              <w:rPr>
                <w:rFonts w:ascii="微软雅黑" w:eastAsia="ＭＳ 明朝"/>
                <w:sz w:val="17"/>
              </w:rPr>
            </w:pPr>
            <w:r>
              <w:rPr>
                <w:rFonts w:ascii="微软雅黑" w:hAnsi="微软雅黑" w:eastAsia="ＭＳ 明朝"/>
                <w:color w:val="1F2937"/>
                <w:sz w:val="17"/>
              </w:rPr>
              <w:t>技术架构组代表</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A3134AA">
            <w:pPr>
              <w:snapToGrid w:val="0"/>
              <w:spacing w:line="240" w:lineRule="auto"/>
              <w:ind w:left="0" w:leftChars="0" w:right="0" w:rightChars="0" w:firstLine="0" w:firstLineChars="0"/>
              <w:jc w:val="left"/>
              <w:rPr>
                <w:rFonts w:ascii="微软雅黑" w:eastAsia="ＭＳ 明朝"/>
                <w:sz w:val="17"/>
              </w:rPr>
            </w:pPr>
            <w:r>
              <w:rPr>
                <w:rFonts w:ascii="微软雅黑" w:hAnsi="微软雅黑" w:eastAsia="ＭＳ 明朝"/>
                <w:color w:val="1F2937"/>
                <w:sz w:val="17"/>
              </w:rPr>
              <w:t>数字化研发中心架构部</w:t>
            </w:r>
          </w:p>
        </w:tc>
        <w:tc>
          <w:tcPr>
            <w:tcW w:w="325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4183FCD">
            <w:pPr>
              <w:snapToGrid w:val="0"/>
              <w:spacing w:line="240" w:lineRule="auto"/>
              <w:ind w:left="0" w:leftChars="0" w:right="0" w:rightChars="0" w:firstLine="0" w:firstLineChars="0"/>
              <w:jc w:val="left"/>
              <w:rPr>
                <w:rFonts w:ascii="微软雅黑" w:eastAsia="ＭＳ 明朝"/>
                <w:sz w:val="17"/>
              </w:rPr>
            </w:pPr>
            <w:r>
              <w:rPr>
                <w:rFonts w:ascii="微软雅黑" w:hAnsi="微软雅黑" w:eastAsia="ＭＳ 明朝"/>
                <w:color w:val="1F2937"/>
                <w:sz w:val="17"/>
              </w:rPr>
              <w:t>通过 (双数仓分离/双端100%同构)</w:t>
            </w:r>
          </w:p>
        </w:tc>
        <w:tc>
          <w:tcPr>
            <w:tcW w:w="115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F442D65">
            <w:pPr>
              <w:snapToGrid w:val="0"/>
              <w:spacing w:line="240" w:lineRule="auto"/>
              <w:ind w:left="0" w:leftChars="0" w:right="0" w:rightChars="0" w:firstLine="0" w:firstLineChars="0"/>
              <w:jc w:val="center"/>
              <w:rPr>
                <w:rFonts w:ascii="微软雅黑" w:eastAsia="ＭＳ 明朝"/>
                <w:sz w:val="17"/>
              </w:rPr>
            </w:pPr>
            <w:r>
              <w:rPr>
                <w:rFonts w:ascii="微软雅黑" w:hAnsi="微软雅黑" w:eastAsia="ＭＳ 明朝"/>
                <w:color w:val="1F2937"/>
                <w:sz w:val="17"/>
              </w:rPr>
              <w:t>2026-09-08</w:t>
            </w:r>
          </w:p>
        </w:tc>
      </w:tr>
      <w:tr w14:paraId="61E52C21">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6C6717E">
            <w:pPr>
              <w:snapToGrid w:val="0"/>
              <w:spacing w:line="240" w:lineRule="auto"/>
              <w:ind w:left="0" w:leftChars="0" w:right="0" w:rightChars="0" w:firstLine="0" w:firstLineChars="0"/>
              <w:jc w:val="left"/>
              <w:rPr>
                <w:rFonts w:ascii="微软雅黑" w:eastAsia="ＭＳ 明朝"/>
                <w:sz w:val="17"/>
              </w:rPr>
            </w:pPr>
            <w:r>
              <w:rPr>
                <w:rFonts w:ascii="微软雅黑" w:hAnsi="微软雅黑" w:eastAsia="ＭＳ 明朝"/>
                <w:color w:val="1F2937"/>
                <w:sz w:val="17"/>
              </w:rPr>
              <w:t>QA 组长</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8B5F2B1">
            <w:pPr>
              <w:snapToGrid w:val="0"/>
              <w:spacing w:line="240" w:lineRule="auto"/>
              <w:ind w:left="0" w:leftChars="0" w:right="0" w:rightChars="0" w:firstLine="0" w:firstLineChars="0"/>
              <w:jc w:val="center"/>
              <w:rPr>
                <w:rFonts w:ascii="微软雅黑" w:eastAsia="ＭＳ 明朝"/>
                <w:sz w:val="17"/>
              </w:rPr>
            </w:pPr>
            <w:r>
              <w:rPr>
                <w:rFonts w:ascii="微软雅黑" w:hAnsi="微软雅黑" w:eastAsia="ＭＳ 明朝"/>
                <w:color w:val="1F2937"/>
                <w:sz w:val="17"/>
              </w:rPr>
              <w:t>质量保障组代表</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BEAC3DA">
            <w:pPr>
              <w:snapToGrid w:val="0"/>
              <w:spacing w:line="240" w:lineRule="auto"/>
              <w:ind w:left="0" w:leftChars="0" w:right="0" w:rightChars="0" w:firstLine="0" w:firstLineChars="0"/>
              <w:jc w:val="left"/>
              <w:rPr>
                <w:rFonts w:ascii="微软雅黑" w:eastAsia="ＭＳ 明朝"/>
                <w:sz w:val="17"/>
              </w:rPr>
            </w:pPr>
            <w:r>
              <w:rPr>
                <w:rFonts w:ascii="微软雅黑" w:hAnsi="微软雅黑" w:eastAsia="ＭＳ 明朝"/>
                <w:color w:val="1F2937"/>
                <w:sz w:val="17"/>
              </w:rPr>
              <w:t>质量保障中心测试部</w:t>
            </w:r>
          </w:p>
        </w:tc>
        <w:tc>
          <w:tcPr>
            <w:tcW w:w="325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E6D66F8">
            <w:pPr>
              <w:snapToGrid w:val="0"/>
              <w:spacing w:line="240" w:lineRule="auto"/>
              <w:ind w:left="0" w:leftChars="0" w:right="0" w:rightChars="0" w:firstLine="0" w:firstLineChars="0"/>
              <w:jc w:val="left"/>
              <w:rPr>
                <w:rFonts w:ascii="微软雅黑" w:eastAsia="ＭＳ 明朝"/>
                <w:sz w:val="17"/>
              </w:rPr>
            </w:pPr>
            <w:r>
              <w:rPr>
                <w:rFonts w:ascii="微软雅黑" w:hAnsi="微软雅黑" w:eastAsia="ＭＳ 明朝"/>
                <w:color w:val="1F2937"/>
                <w:sz w:val="17"/>
              </w:rPr>
              <w:t>通过 (白名单与BVA极限测试矩阵完备)</w:t>
            </w:r>
          </w:p>
        </w:tc>
        <w:tc>
          <w:tcPr>
            <w:tcW w:w="115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110B0EC">
            <w:pPr>
              <w:snapToGrid w:val="0"/>
              <w:spacing w:line="240" w:lineRule="auto"/>
              <w:ind w:left="0" w:leftChars="0" w:right="0" w:rightChars="0" w:firstLine="0" w:firstLineChars="0"/>
              <w:jc w:val="center"/>
              <w:rPr>
                <w:rFonts w:ascii="微软雅黑" w:eastAsia="ＭＳ 明朝"/>
                <w:sz w:val="17"/>
              </w:rPr>
            </w:pPr>
            <w:r>
              <w:rPr>
                <w:rFonts w:ascii="微软雅黑" w:hAnsi="微软雅黑" w:eastAsia="ＭＳ 明朝"/>
                <w:color w:val="1F2937"/>
                <w:sz w:val="17"/>
              </w:rPr>
              <w:t>2026-09-08</w:t>
            </w:r>
          </w:p>
        </w:tc>
      </w:tr>
      <w:tr w14:paraId="68121ADA">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C99DDD8">
            <w:pPr>
              <w:snapToGrid w:val="0"/>
              <w:spacing w:line="240" w:lineRule="auto"/>
              <w:ind w:left="0" w:leftChars="0" w:right="0" w:rightChars="0" w:firstLine="0" w:firstLineChars="0"/>
              <w:jc w:val="left"/>
              <w:rPr>
                <w:rFonts w:ascii="微软雅黑" w:eastAsia="ＭＳ 明朝"/>
                <w:sz w:val="17"/>
              </w:rPr>
            </w:pPr>
            <w:r>
              <w:rPr>
                <w:rFonts w:ascii="微软雅黑" w:hAnsi="微软雅黑" w:eastAsia="ＭＳ 明朝"/>
                <w:color w:val="1F2937"/>
                <w:sz w:val="17"/>
              </w:rPr>
              <w:t>合规/安全负责人</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76D6DC3">
            <w:pPr>
              <w:snapToGrid w:val="0"/>
              <w:spacing w:line="240" w:lineRule="auto"/>
              <w:ind w:left="0" w:leftChars="0" w:right="0" w:rightChars="0" w:firstLine="0" w:firstLineChars="0"/>
              <w:jc w:val="center"/>
              <w:rPr>
                <w:rFonts w:ascii="微软雅黑" w:eastAsia="ＭＳ 明朝"/>
                <w:sz w:val="17"/>
              </w:rPr>
            </w:pPr>
            <w:r>
              <w:rPr>
                <w:rFonts w:ascii="微软雅黑" w:hAnsi="微软雅黑" w:eastAsia="ＭＳ 明朝"/>
                <w:color w:val="1F2937"/>
                <w:sz w:val="17"/>
              </w:rPr>
              <w:t>法务合规部代表</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5008D90">
            <w:pPr>
              <w:snapToGrid w:val="0"/>
              <w:spacing w:line="240" w:lineRule="auto"/>
              <w:ind w:left="0" w:leftChars="0" w:right="0" w:rightChars="0" w:firstLine="0" w:firstLineChars="0"/>
              <w:jc w:val="left"/>
              <w:rPr>
                <w:rFonts w:ascii="微软雅黑" w:eastAsia="ＭＳ 明朝"/>
                <w:sz w:val="17"/>
              </w:rPr>
            </w:pPr>
            <w:r>
              <w:rPr>
                <w:rFonts w:ascii="微软雅黑" w:hAnsi="微软雅黑" w:eastAsia="ＭＳ 明朝"/>
                <w:color w:val="1F2937"/>
                <w:sz w:val="17"/>
              </w:rPr>
              <w:t>集团合规与信息安全部</w:t>
            </w:r>
          </w:p>
        </w:tc>
        <w:tc>
          <w:tcPr>
            <w:tcW w:w="325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2406E89">
            <w:pPr>
              <w:snapToGrid w:val="0"/>
              <w:spacing w:line="240" w:lineRule="auto"/>
              <w:ind w:left="0" w:leftChars="0" w:right="0" w:rightChars="0" w:firstLine="0" w:firstLineChars="0"/>
              <w:jc w:val="left"/>
              <w:rPr>
                <w:rFonts w:ascii="微软雅黑" w:eastAsia="ＭＳ 明朝"/>
                <w:sz w:val="17"/>
              </w:rPr>
            </w:pPr>
            <w:r>
              <w:rPr>
                <w:rFonts w:ascii="微软雅黑" w:hAnsi="微软雅黑" w:eastAsia="ＭＳ 明朝"/>
                <w:color w:val="1F2937"/>
                <w:sz w:val="17"/>
              </w:rPr>
              <w:t>通过 (L0-L4数据脱敏与CBAM出海合规)</w:t>
            </w:r>
          </w:p>
        </w:tc>
        <w:tc>
          <w:tcPr>
            <w:tcW w:w="115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28B4223">
            <w:pPr>
              <w:snapToGrid w:val="0"/>
              <w:spacing w:line="240" w:lineRule="auto"/>
              <w:ind w:left="0" w:leftChars="0" w:right="0" w:rightChars="0" w:firstLine="0" w:firstLineChars="0"/>
              <w:jc w:val="center"/>
              <w:rPr>
                <w:rFonts w:ascii="微软雅黑" w:eastAsia="ＭＳ 明朝"/>
                <w:sz w:val="17"/>
              </w:rPr>
            </w:pPr>
            <w:r>
              <w:rPr>
                <w:rFonts w:ascii="微软雅黑" w:hAnsi="微软雅黑" w:eastAsia="ＭＳ 明朝"/>
                <w:color w:val="1F2937"/>
                <w:sz w:val="17"/>
              </w:rPr>
              <w:t>2026-09-08</w:t>
            </w:r>
          </w:p>
        </w:tc>
      </w:tr>
      <w:tr w14:paraId="01D76F25">
        <w:tblPrEx>
          <w:tblCellMar>
            <w:top w:w="0" w:type="dxa"/>
            <w:left w:w="108" w:type="dxa"/>
            <w:bottom w:w="0" w:type="dxa"/>
            <w:right w:w="108" w:type="dxa"/>
          </w:tblCellMar>
        </w:tblPrEx>
        <w:trPr>
          <w:trHeight w:val="0" w:hRule="atLeast"/>
          <w:jc w:val="center"/>
        </w:trPr>
        <w:tc>
          <w:tcPr>
            <w:tcW w:w="148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D38D5B9">
            <w:pPr>
              <w:snapToGrid w:val="0"/>
              <w:spacing w:line="240" w:lineRule="auto"/>
              <w:ind w:left="0" w:leftChars="0" w:right="0" w:rightChars="0" w:firstLine="0" w:firstLineChars="0"/>
              <w:jc w:val="left"/>
              <w:rPr>
                <w:rFonts w:ascii="微软雅黑" w:eastAsia="ＭＳ 明朝"/>
                <w:sz w:val="17"/>
              </w:rPr>
            </w:pPr>
            <w:r>
              <w:rPr>
                <w:rFonts w:ascii="微软雅黑" w:hAnsi="微软雅黑" w:eastAsia="ＭＳ 明朝"/>
                <w:color w:val="1F2937"/>
                <w:sz w:val="17"/>
              </w:rPr>
              <w:t>项目总监</w:t>
            </w:r>
          </w:p>
        </w:tc>
        <w:tc>
          <w:tcPr>
            <w:tcW w:w="141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3EFD0FD">
            <w:pPr>
              <w:snapToGrid w:val="0"/>
              <w:spacing w:line="240" w:lineRule="auto"/>
              <w:ind w:left="0" w:leftChars="0" w:right="0" w:rightChars="0" w:firstLine="0" w:firstLineChars="0"/>
              <w:jc w:val="center"/>
              <w:rPr>
                <w:rFonts w:ascii="微软雅黑" w:eastAsia="ＭＳ 明朝"/>
                <w:sz w:val="17"/>
              </w:rPr>
            </w:pPr>
            <w:r>
              <w:rPr>
                <w:rFonts w:ascii="微软雅黑" w:hAnsi="微软雅黑" w:eastAsia="ＭＳ 明朝"/>
                <w:color w:val="1F2937"/>
                <w:sz w:val="17"/>
              </w:rPr>
              <w:t>双中心项目总监</w:t>
            </w:r>
          </w:p>
        </w:tc>
        <w:tc>
          <w:tcPr>
            <w:tcW w:w="248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191E695">
            <w:pPr>
              <w:snapToGrid w:val="0"/>
              <w:spacing w:line="240" w:lineRule="auto"/>
              <w:ind w:left="0" w:leftChars="0" w:right="0" w:rightChars="0" w:firstLine="0" w:firstLineChars="0"/>
              <w:jc w:val="left"/>
              <w:rPr>
                <w:rFonts w:ascii="微软雅黑" w:eastAsia="ＭＳ 明朝"/>
                <w:sz w:val="17"/>
              </w:rPr>
            </w:pPr>
            <w:r>
              <w:rPr>
                <w:rFonts w:ascii="微软雅黑" w:hAnsi="微软雅黑" w:eastAsia="ＭＳ 明朝"/>
                <w:color w:val="1F2937"/>
                <w:sz w:val="17"/>
              </w:rPr>
              <w:t>特变电工数字化转型领导小组</w:t>
            </w:r>
          </w:p>
        </w:tc>
        <w:tc>
          <w:tcPr>
            <w:tcW w:w="325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A830055">
            <w:pPr>
              <w:snapToGrid w:val="0"/>
              <w:spacing w:line="240" w:lineRule="auto"/>
              <w:ind w:left="0" w:leftChars="0" w:right="0" w:rightChars="0" w:firstLine="0" w:firstLineChars="0"/>
              <w:jc w:val="left"/>
              <w:rPr>
                <w:rFonts w:ascii="微软雅黑" w:eastAsia="ＭＳ 明朝"/>
                <w:sz w:val="17"/>
              </w:rPr>
            </w:pPr>
            <w:r>
              <w:rPr>
                <w:rFonts w:ascii="微软雅黑" w:hAnsi="微软雅黑" w:eastAsia="ＭＳ 明朝"/>
                <w:color w:val="1F2937"/>
                <w:sz w:val="17"/>
              </w:rPr>
              <w:t>批准作为全生命周期生产基线</w:t>
            </w:r>
          </w:p>
        </w:tc>
        <w:tc>
          <w:tcPr>
            <w:tcW w:w="115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9E71546">
            <w:pPr>
              <w:snapToGrid w:val="0"/>
              <w:spacing w:line="240" w:lineRule="auto"/>
              <w:ind w:left="0" w:leftChars="0" w:right="0" w:rightChars="0" w:firstLine="0" w:firstLineChars="0"/>
              <w:jc w:val="center"/>
              <w:rPr>
                <w:rFonts w:ascii="微软雅黑" w:eastAsia="ＭＳ 明朝"/>
                <w:sz w:val="17"/>
              </w:rPr>
            </w:pPr>
            <w:r>
              <w:rPr>
                <w:rFonts w:ascii="微软雅黑" w:hAnsi="微软雅黑" w:eastAsia="ＭＳ 明朝"/>
                <w:color w:val="1F2937"/>
                <w:sz w:val="17"/>
              </w:rPr>
              <w:t>2026-09-08</w:t>
            </w:r>
          </w:p>
        </w:tc>
      </w:tr>
    </w:tbl>
    <w:p w14:paraId="4863B8B0">
      <w:pPr>
        <w:spacing w:after="60"/>
      </w:pPr>
    </w:p>
    <w:tbl>
      <w:tblPr>
        <w:tblStyle w:val="35"/>
        <w:tblW w:w="9790" w:type="dxa"/>
        <w:jc w:val="center"/>
        <w:tblLayout w:type="autofit"/>
        <w:tblCellMar>
          <w:top w:w="0" w:type="dxa"/>
          <w:left w:w="108" w:type="dxa"/>
          <w:bottom w:w="0" w:type="dxa"/>
          <w:right w:w="108" w:type="dxa"/>
        </w:tblCellMar>
      </w:tblPr>
      <w:tblGrid>
        <w:gridCol w:w="895"/>
        <w:gridCol w:w="1060"/>
        <w:gridCol w:w="5411"/>
        <w:gridCol w:w="1149"/>
        <w:gridCol w:w="1275"/>
      </w:tblGrid>
      <w:tr w14:paraId="4B6F8CB1">
        <w:tblPrEx>
          <w:tblCellMar>
            <w:top w:w="0" w:type="dxa"/>
            <w:left w:w="108" w:type="dxa"/>
            <w:bottom w:w="0" w:type="dxa"/>
            <w:right w:w="108" w:type="dxa"/>
          </w:tblCellMar>
        </w:tblPrEx>
        <w:trPr>
          <w:trHeight w:val="0" w:hRule="atLeast"/>
          <w:tblHeader/>
          <w:jc w:val="center"/>
        </w:trPr>
        <w:tc>
          <w:tcPr>
            <w:tcW w:w="895" w:type="dxa"/>
            <w:tcBorders>
              <w:top w:val="single" w:color="CBD5E1" w:sz="12" w:space="0"/>
              <w:left w:val="single" w:color="CBD5E1" w:sz="12" w:space="0"/>
              <w:bottom w:val="nil"/>
              <w:right w:val="nil"/>
            </w:tcBorders>
            <w:shd w:val="clear" w:color="auto" w:fill="1E3A8A"/>
            <w:noWrap w:val="0"/>
            <w:tcMar>
              <w:top w:w="70" w:type="dxa"/>
              <w:left w:w="90" w:type="dxa"/>
              <w:bottom w:w="70" w:type="dxa"/>
              <w:right w:w="90" w:type="dxa"/>
            </w:tcMar>
            <w:vAlign w:val="center"/>
          </w:tcPr>
          <w:p w14:paraId="2F14589D">
            <w:pPr>
              <w:snapToGrid w:val="0"/>
              <w:spacing w:line="240" w:lineRule="auto"/>
              <w:ind w:left="0" w:leftChars="0" w:right="0" w:rightChars="0" w:firstLine="0" w:firstLineChars="0"/>
              <w:jc w:val="center"/>
              <w:rPr>
                <w:rFonts w:ascii="微软雅黑" w:eastAsia="ＭＳ 明朝"/>
                <w:b/>
                <w:sz w:val="18"/>
              </w:rPr>
            </w:pPr>
            <w:r>
              <w:rPr>
                <w:rFonts w:ascii="微软雅黑" w:hAnsi="微软雅黑" w:eastAsia="ＭＳ 明朝"/>
                <w:b/>
                <w:color w:val="FFFFFF"/>
                <w:sz w:val="18"/>
              </w:rPr>
              <w:t>版本</w:t>
            </w:r>
          </w:p>
        </w:tc>
        <w:tc>
          <w:tcPr>
            <w:tcW w:w="1060" w:type="dxa"/>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70FD9F2A">
            <w:pPr>
              <w:snapToGrid w:val="0"/>
              <w:spacing w:line="240" w:lineRule="auto"/>
              <w:ind w:left="0" w:leftChars="0" w:right="0" w:rightChars="0" w:firstLine="0" w:firstLineChars="0"/>
              <w:jc w:val="center"/>
              <w:rPr>
                <w:rFonts w:ascii="微软雅黑" w:eastAsia="ＭＳ 明朝"/>
                <w:b/>
                <w:sz w:val="18"/>
              </w:rPr>
            </w:pPr>
            <w:r>
              <w:rPr>
                <w:rFonts w:ascii="微软雅黑" w:hAnsi="微软雅黑" w:eastAsia="ＭＳ 明朝"/>
                <w:b/>
                <w:color w:val="FFFFFF"/>
                <w:sz w:val="18"/>
              </w:rPr>
              <w:t>修订日期</w:t>
            </w:r>
          </w:p>
        </w:tc>
        <w:tc>
          <w:tcPr>
            <w:tcW w:w="5411" w:type="dxa"/>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530B4991">
            <w:pPr>
              <w:snapToGrid w:val="0"/>
              <w:spacing w:line="240" w:lineRule="auto"/>
              <w:ind w:left="0" w:leftChars="0" w:right="0" w:rightChars="0" w:firstLine="0" w:firstLineChars="0"/>
              <w:jc w:val="center"/>
              <w:rPr>
                <w:rFonts w:ascii="微软雅黑" w:eastAsia="ＭＳ 明朝"/>
                <w:b/>
                <w:sz w:val="18"/>
              </w:rPr>
            </w:pPr>
            <w:r>
              <w:rPr>
                <w:rFonts w:ascii="微软雅黑" w:hAnsi="微软雅黑" w:eastAsia="ＭＳ 明朝"/>
                <w:b/>
                <w:color w:val="FFFFFF"/>
                <w:sz w:val="18"/>
              </w:rPr>
              <w:t>主要修订内容与动因</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264C2FAF">
            <w:pPr>
              <w:snapToGrid w:val="0"/>
              <w:spacing w:line="240" w:lineRule="auto"/>
              <w:ind w:left="0" w:leftChars="0" w:right="0" w:rightChars="0" w:firstLine="0" w:firstLineChars="0"/>
              <w:jc w:val="center"/>
              <w:rPr>
                <w:rFonts w:ascii="微软雅黑" w:eastAsia="ＭＳ 明朝"/>
                <w:b/>
                <w:sz w:val="18"/>
              </w:rPr>
            </w:pPr>
            <w:r>
              <w:rPr>
                <w:rFonts w:ascii="微软雅黑" w:hAnsi="微软雅黑" w:eastAsia="ＭＳ 明朝"/>
                <w:b/>
                <w:color w:val="FFFFFF"/>
                <w:sz w:val="18"/>
              </w:rPr>
              <w:t>修订人</w:t>
            </w:r>
          </w:p>
        </w:tc>
        <w:tc>
          <w:tcPr>
            <w:tcW w:w="1275" w:type="dxa"/>
            <w:tcBorders>
              <w:top w:val="single" w:color="CBD5E1" w:sz="12" w:space="0"/>
              <w:left w:val="single" w:color="CBD5E1" w:sz="4" w:space="0"/>
              <w:bottom w:val="nil"/>
              <w:right w:val="single" w:color="CBD5E1" w:sz="12" w:space="0"/>
            </w:tcBorders>
            <w:shd w:val="clear" w:color="auto" w:fill="1E3A8A"/>
            <w:noWrap w:val="0"/>
            <w:tcMar>
              <w:top w:w="70" w:type="dxa"/>
              <w:left w:w="90" w:type="dxa"/>
              <w:bottom w:w="70" w:type="dxa"/>
              <w:right w:w="90" w:type="dxa"/>
            </w:tcMar>
            <w:vAlign w:val="center"/>
          </w:tcPr>
          <w:p w14:paraId="516F279C">
            <w:pPr>
              <w:snapToGrid w:val="0"/>
              <w:spacing w:line="240" w:lineRule="auto"/>
              <w:ind w:left="0" w:leftChars="0" w:right="0" w:rightChars="0" w:firstLine="0" w:firstLineChars="0"/>
              <w:jc w:val="center"/>
              <w:rPr>
                <w:rFonts w:ascii="微软雅黑" w:eastAsia="ＭＳ 明朝"/>
                <w:b/>
                <w:sz w:val="18"/>
              </w:rPr>
            </w:pPr>
            <w:r>
              <w:rPr>
                <w:rFonts w:ascii="微软雅黑" w:hAnsi="微软雅黑" w:eastAsia="ＭＳ 明朝"/>
                <w:b/>
                <w:color w:val="FFFFFF"/>
                <w:sz w:val="18"/>
              </w:rPr>
              <w:t>审核人</w:t>
            </w:r>
          </w:p>
        </w:tc>
      </w:tr>
      <w:tr w14:paraId="7EBB6726">
        <w:tblPrEx>
          <w:tblCellMar>
            <w:top w:w="0" w:type="dxa"/>
            <w:left w:w="108" w:type="dxa"/>
            <w:bottom w:w="0" w:type="dxa"/>
            <w:right w:w="108" w:type="dxa"/>
          </w:tblCellMar>
        </w:tblPrEx>
        <w:trPr>
          <w:trHeight w:val="0" w:hRule="atLeast"/>
          <w:jc w:val="center"/>
        </w:trPr>
        <w:tc>
          <w:tcPr>
            <w:tcW w:w="895" w:type="dxa"/>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16DC09FE">
            <w:pPr>
              <w:snapToGrid w:val="0"/>
              <w:spacing w:line="240" w:lineRule="auto"/>
              <w:ind w:left="0" w:leftChars="0" w:right="0" w:rightChars="0" w:firstLine="0" w:firstLineChars="0"/>
              <w:jc w:val="center"/>
              <w:rPr>
                <w:rFonts w:ascii="微软雅黑" w:eastAsia="ＭＳ 明朝"/>
                <w:sz w:val="17"/>
              </w:rPr>
            </w:pPr>
            <w:r>
              <w:rPr>
                <w:rFonts w:ascii="微软雅黑" w:hAnsi="微软雅黑" w:eastAsia="ＭＳ 明朝"/>
                <w:color w:val="1F2937"/>
                <w:sz w:val="17"/>
              </w:rPr>
              <w:t>v1.1.0</w:t>
            </w:r>
          </w:p>
        </w:tc>
        <w:tc>
          <w:tcPr>
            <w:tcW w:w="1060"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7F29FBD8">
            <w:pPr>
              <w:snapToGrid w:val="0"/>
              <w:spacing w:line="240" w:lineRule="auto"/>
              <w:ind w:left="0" w:leftChars="0" w:right="0" w:rightChars="0" w:firstLine="0" w:firstLineChars="0"/>
              <w:jc w:val="center"/>
              <w:rPr>
                <w:rFonts w:ascii="微软雅黑" w:eastAsia="ＭＳ 明朝"/>
                <w:sz w:val="17"/>
              </w:rPr>
            </w:pPr>
            <w:r>
              <w:rPr>
                <w:rFonts w:ascii="微软雅黑" w:hAnsi="微软雅黑" w:eastAsia="ＭＳ 明朝"/>
                <w:color w:val="1F2937"/>
                <w:sz w:val="17"/>
              </w:rPr>
              <w:t>2026-09-08</w:t>
            </w:r>
          </w:p>
        </w:tc>
        <w:tc>
          <w:tcPr>
            <w:tcW w:w="5411"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B3F15CE">
            <w:pPr>
              <w:snapToGrid w:val="0"/>
              <w:spacing w:line="240" w:lineRule="auto"/>
              <w:ind w:left="0" w:leftChars="0" w:right="0" w:rightChars="0" w:firstLine="0" w:firstLineChars="0"/>
              <w:jc w:val="left"/>
              <w:rPr>
                <w:rFonts w:ascii="微软雅黑" w:eastAsia="ＭＳ 明朝"/>
                <w:sz w:val="17"/>
              </w:rPr>
            </w:pPr>
            <w:r>
              <w:rPr>
                <w:rFonts w:ascii="微软雅黑" w:hAnsi="微软雅黑" w:eastAsia="ＭＳ 明朝"/>
                <w:color w:val="1F2937"/>
                <w:sz w:val="17"/>
              </w:rPr>
              <w:t>全面升版：补齐全量数据字典、数学公式、字段校验、控制流逻辑与 Gherkin 验收准则</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3F21923E">
            <w:pPr>
              <w:snapToGrid w:val="0"/>
              <w:spacing w:line="240" w:lineRule="auto"/>
              <w:ind w:left="0" w:leftChars="0" w:right="0" w:rightChars="0" w:firstLine="0" w:firstLineChars="0"/>
              <w:jc w:val="left"/>
              <w:rPr>
                <w:rFonts w:ascii="微软雅黑" w:eastAsia="ＭＳ 明朝"/>
                <w:sz w:val="17"/>
              </w:rPr>
            </w:pPr>
            <w:r>
              <w:rPr>
                <w:rFonts w:ascii="微软雅黑" w:hAnsi="微软雅黑" w:eastAsia="ＭＳ 明朝"/>
                <w:color w:val="1F2937"/>
                <w:sz w:val="17"/>
              </w:rPr>
              <w:t>联合项目组</w:t>
            </w:r>
          </w:p>
        </w:tc>
        <w:tc>
          <w:tcPr>
            <w:tcW w:w="1275"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5A527816">
            <w:pPr>
              <w:snapToGrid w:val="0"/>
              <w:spacing w:line="240" w:lineRule="auto"/>
              <w:ind w:left="0" w:leftChars="0" w:right="0" w:rightChars="0" w:firstLine="0" w:firstLineChars="0"/>
              <w:jc w:val="center"/>
              <w:rPr>
                <w:rFonts w:ascii="微软雅黑" w:eastAsia="ＭＳ 明朝"/>
                <w:sz w:val="17"/>
              </w:rPr>
            </w:pPr>
            <w:r>
              <w:rPr>
                <w:rFonts w:ascii="微软雅黑" w:hAnsi="微软雅黑" w:eastAsia="ＭＳ 明朝"/>
                <w:color w:val="1F2937"/>
                <w:sz w:val="17"/>
              </w:rPr>
              <w:t>项目总监</w:t>
            </w:r>
          </w:p>
        </w:tc>
      </w:tr>
      <w:tr w14:paraId="6ECA5A81">
        <w:tblPrEx>
          <w:tblCellMar>
            <w:top w:w="0" w:type="dxa"/>
            <w:left w:w="108" w:type="dxa"/>
            <w:bottom w:w="0" w:type="dxa"/>
            <w:right w:w="108" w:type="dxa"/>
          </w:tblCellMar>
        </w:tblPrEx>
        <w:trPr>
          <w:trHeight w:val="0" w:hRule="atLeast"/>
          <w:jc w:val="center"/>
        </w:trPr>
        <w:tc>
          <w:tcPr>
            <w:tcW w:w="895" w:type="dxa"/>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5951507E">
            <w:pPr>
              <w:snapToGrid w:val="0"/>
              <w:spacing w:line="240" w:lineRule="auto"/>
              <w:ind w:left="0" w:leftChars="0" w:right="0" w:rightChars="0" w:firstLine="0" w:firstLineChars="0"/>
              <w:jc w:val="center"/>
              <w:rPr>
                <w:rFonts w:ascii="微软雅黑" w:eastAsia="ＭＳ 明朝"/>
                <w:sz w:val="17"/>
              </w:rPr>
            </w:pPr>
          </w:p>
        </w:tc>
        <w:tc>
          <w:tcPr>
            <w:tcW w:w="1060"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4CD631B">
            <w:pPr>
              <w:snapToGrid w:val="0"/>
              <w:spacing w:line="240" w:lineRule="auto"/>
              <w:ind w:left="0" w:leftChars="0" w:right="0" w:rightChars="0" w:firstLine="0" w:firstLineChars="0"/>
              <w:jc w:val="center"/>
              <w:rPr>
                <w:rFonts w:ascii="微软雅黑" w:eastAsia="ＭＳ 明朝"/>
                <w:sz w:val="17"/>
              </w:rPr>
            </w:pPr>
          </w:p>
        </w:tc>
        <w:tc>
          <w:tcPr>
            <w:tcW w:w="5411"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9F25FE3">
            <w:pPr>
              <w:snapToGrid w:val="0"/>
              <w:spacing w:line="240" w:lineRule="auto"/>
              <w:ind w:left="0" w:leftChars="0" w:right="0" w:rightChars="0" w:firstLine="0" w:firstLineChars="0"/>
              <w:jc w:val="left"/>
              <w:rPr>
                <w:rFonts w:ascii="微软雅黑" w:eastAsia="ＭＳ 明朝"/>
                <w:sz w:val="17"/>
              </w:rPr>
            </w:pP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84BE593">
            <w:pPr>
              <w:snapToGrid w:val="0"/>
              <w:spacing w:line="240" w:lineRule="auto"/>
              <w:ind w:left="0" w:leftChars="0" w:right="0" w:rightChars="0" w:firstLine="0" w:firstLineChars="0"/>
              <w:jc w:val="left"/>
              <w:rPr>
                <w:rFonts w:ascii="微软雅黑" w:eastAsia="ＭＳ 明朝"/>
                <w:sz w:val="17"/>
              </w:rPr>
            </w:pPr>
          </w:p>
        </w:tc>
        <w:tc>
          <w:tcPr>
            <w:tcW w:w="1275"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5D9646E9">
            <w:pPr>
              <w:snapToGrid w:val="0"/>
              <w:spacing w:line="240" w:lineRule="auto"/>
              <w:ind w:left="0" w:leftChars="0" w:right="0" w:rightChars="0" w:firstLine="0" w:firstLineChars="0"/>
              <w:jc w:val="center"/>
              <w:rPr>
                <w:rFonts w:ascii="微软雅黑" w:eastAsia="ＭＳ 明朝"/>
                <w:sz w:val="17"/>
              </w:rPr>
            </w:pPr>
          </w:p>
        </w:tc>
      </w:tr>
      <w:tr w14:paraId="510F54DF">
        <w:tblPrEx>
          <w:tblCellMar>
            <w:top w:w="0" w:type="dxa"/>
            <w:left w:w="108" w:type="dxa"/>
            <w:bottom w:w="0" w:type="dxa"/>
            <w:right w:w="108" w:type="dxa"/>
          </w:tblCellMar>
        </w:tblPrEx>
        <w:trPr>
          <w:trHeight w:val="0" w:hRule="atLeast"/>
          <w:jc w:val="center"/>
        </w:trPr>
        <w:tc>
          <w:tcPr>
            <w:tcW w:w="895" w:type="dxa"/>
            <w:tcBorders>
              <w:top w:val="single" w:color="CBD5E1" w:sz="4" w:space="0"/>
              <w:left w:val="single" w:color="CBD5E1" w:sz="12" w:space="0"/>
              <w:bottom w:val="single" w:color="CBD5E1" w:sz="12" w:space="0"/>
              <w:right w:val="nil"/>
            </w:tcBorders>
            <w:shd w:val="clear" w:color="auto" w:fill="FFFFFF"/>
            <w:noWrap w:val="0"/>
            <w:tcMar>
              <w:top w:w="60" w:type="dxa"/>
              <w:left w:w="80" w:type="dxa"/>
              <w:bottom w:w="60" w:type="dxa"/>
              <w:right w:w="80" w:type="dxa"/>
            </w:tcMar>
            <w:vAlign w:val="center"/>
          </w:tcPr>
          <w:p w14:paraId="31DBAF6F">
            <w:pPr>
              <w:snapToGrid w:val="0"/>
              <w:spacing w:line="240" w:lineRule="auto"/>
              <w:ind w:left="0" w:leftChars="0" w:right="0" w:rightChars="0" w:firstLine="0" w:firstLineChars="0"/>
              <w:jc w:val="center"/>
              <w:rPr>
                <w:rFonts w:ascii="微软雅黑" w:eastAsia="ＭＳ 明朝"/>
                <w:sz w:val="17"/>
              </w:rPr>
            </w:pPr>
          </w:p>
        </w:tc>
        <w:tc>
          <w:tcPr>
            <w:tcW w:w="1060" w:type="dxa"/>
            <w:tcBorders>
              <w:top w:val="single" w:color="CBD5E1" w:sz="4" w:space="0"/>
              <w:left w:val="single" w:color="CBD5E1" w:sz="4" w:space="0"/>
              <w:bottom w:val="single" w:color="CBD5E1" w:sz="12" w:space="0"/>
              <w:right w:val="nil"/>
            </w:tcBorders>
            <w:shd w:val="clear" w:color="auto" w:fill="FFFFFF"/>
            <w:noWrap w:val="0"/>
            <w:tcMar>
              <w:top w:w="60" w:type="dxa"/>
              <w:left w:w="80" w:type="dxa"/>
              <w:bottom w:w="60" w:type="dxa"/>
              <w:right w:w="80" w:type="dxa"/>
            </w:tcMar>
            <w:vAlign w:val="center"/>
          </w:tcPr>
          <w:p w14:paraId="481C2566">
            <w:pPr>
              <w:snapToGrid w:val="0"/>
              <w:spacing w:line="240" w:lineRule="auto"/>
              <w:ind w:left="0" w:leftChars="0" w:right="0" w:rightChars="0" w:firstLine="0" w:firstLineChars="0"/>
              <w:jc w:val="center"/>
              <w:rPr>
                <w:rFonts w:ascii="微软雅黑" w:eastAsia="ＭＳ 明朝"/>
                <w:sz w:val="17"/>
              </w:rPr>
            </w:pPr>
          </w:p>
        </w:tc>
        <w:tc>
          <w:tcPr>
            <w:tcW w:w="5411" w:type="dxa"/>
            <w:tcBorders>
              <w:top w:val="single" w:color="CBD5E1" w:sz="4" w:space="0"/>
              <w:left w:val="single" w:color="CBD5E1" w:sz="4" w:space="0"/>
              <w:bottom w:val="single" w:color="CBD5E1" w:sz="12" w:space="0"/>
              <w:right w:val="nil"/>
            </w:tcBorders>
            <w:shd w:val="clear" w:color="auto" w:fill="FFFFFF"/>
            <w:noWrap w:val="0"/>
            <w:tcMar>
              <w:top w:w="60" w:type="dxa"/>
              <w:left w:w="80" w:type="dxa"/>
              <w:bottom w:w="60" w:type="dxa"/>
              <w:right w:w="80" w:type="dxa"/>
            </w:tcMar>
            <w:vAlign w:val="center"/>
          </w:tcPr>
          <w:p w14:paraId="4B6E54D2">
            <w:pPr>
              <w:snapToGrid w:val="0"/>
              <w:spacing w:line="240" w:lineRule="auto"/>
              <w:ind w:left="0" w:leftChars="0" w:right="0" w:rightChars="0" w:firstLine="0" w:firstLineChars="0"/>
              <w:jc w:val="left"/>
              <w:rPr>
                <w:rFonts w:ascii="微软雅黑" w:eastAsia="ＭＳ 明朝"/>
                <w:sz w:val="17"/>
              </w:rPr>
            </w:pPr>
          </w:p>
        </w:tc>
        <w:tc>
          <w:tcPr>
            <w:tcW w:w="1149" w:type="dxa"/>
            <w:tcBorders>
              <w:top w:val="single" w:color="CBD5E1" w:sz="4" w:space="0"/>
              <w:left w:val="single" w:color="CBD5E1" w:sz="4" w:space="0"/>
              <w:bottom w:val="single" w:color="CBD5E1" w:sz="12" w:space="0"/>
              <w:right w:val="nil"/>
            </w:tcBorders>
            <w:shd w:val="clear" w:color="auto" w:fill="FFFFFF"/>
            <w:noWrap w:val="0"/>
            <w:tcMar>
              <w:top w:w="60" w:type="dxa"/>
              <w:left w:w="80" w:type="dxa"/>
              <w:bottom w:w="60" w:type="dxa"/>
              <w:right w:w="80" w:type="dxa"/>
            </w:tcMar>
            <w:vAlign w:val="center"/>
          </w:tcPr>
          <w:p w14:paraId="10A0CBB6">
            <w:pPr>
              <w:snapToGrid w:val="0"/>
              <w:spacing w:line="240" w:lineRule="auto"/>
              <w:ind w:left="0" w:leftChars="0" w:right="0" w:rightChars="0" w:firstLine="0" w:firstLineChars="0"/>
              <w:jc w:val="left"/>
              <w:rPr>
                <w:rFonts w:ascii="微软雅黑" w:eastAsia="ＭＳ 明朝"/>
                <w:sz w:val="17"/>
              </w:rPr>
            </w:pPr>
          </w:p>
        </w:tc>
        <w:tc>
          <w:tcPr>
            <w:tcW w:w="1275" w:type="dxa"/>
            <w:tcBorders>
              <w:top w:val="single" w:color="CBD5E1" w:sz="4" w:space="0"/>
              <w:left w:val="single" w:color="CBD5E1" w:sz="4" w:space="0"/>
              <w:bottom w:val="single" w:color="CBD5E1" w:sz="12" w:space="0"/>
              <w:right w:val="single" w:color="CBD5E1" w:sz="12" w:space="0"/>
            </w:tcBorders>
            <w:shd w:val="clear" w:color="auto" w:fill="FFFFFF"/>
            <w:noWrap w:val="0"/>
            <w:tcMar>
              <w:top w:w="60" w:type="dxa"/>
              <w:left w:w="80" w:type="dxa"/>
              <w:bottom w:w="60" w:type="dxa"/>
              <w:right w:w="80" w:type="dxa"/>
            </w:tcMar>
            <w:vAlign w:val="center"/>
          </w:tcPr>
          <w:p w14:paraId="6CE3BF79">
            <w:pPr>
              <w:snapToGrid w:val="0"/>
              <w:spacing w:line="240" w:lineRule="auto"/>
              <w:ind w:left="0" w:leftChars="0" w:right="0" w:rightChars="0" w:firstLine="0" w:firstLineChars="0"/>
              <w:jc w:val="center"/>
              <w:rPr>
                <w:rFonts w:ascii="微软雅黑" w:eastAsia="ＭＳ 明朝"/>
                <w:sz w:val="17"/>
              </w:rPr>
            </w:pPr>
          </w:p>
        </w:tc>
      </w:tr>
    </w:tbl>
    <w:p w14:paraId="03383834">
      <w:pPr>
        <w:spacing w:after="60"/>
      </w:pPr>
    </w:p>
    <w:p w14:paraId="31CF7A8E">
      <w:pPr>
        <w:spacing w:after="200"/>
      </w:pPr>
      <w:r>
        <w:br w:type="page"/>
      </w:r>
    </w:p>
    <w:sdt>
      <w:sdtPr>
        <w:rPr>
          <w:rFonts w:ascii="宋体" w:hAnsi="宋体" w:eastAsia="宋体" w:cstheme="minorBidi"/>
          <w:sz w:val="24"/>
          <w:szCs w:val="28"/>
          <w:lang w:val="en-US" w:eastAsia="en-US" w:bidi="ar-SA"/>
        </w:rPr>
        <w:id w:val="147474049"/>
        <w15:color w:val="DBDBDB"/>
        <w:docPartObj>
          <w:docPartGallery w:val="Table of Contents"/>
          <w:docPartUnique/>
        </w:docPartObj>
      </w:sdtPr>
      <w:sdtContent>
        <w:p w14:paraId="1B924675">
          <w:pPr>
            <w:spacing w:before="0" w:beforeLines="0" w:after="0" w:afterLines="0" w:line="240" w:lineRule="auto"/>
            <w:ind w:left="0" w:leftChars="0" w:right="0" w:rightChars="0" w:firstLine="0" w:firstLineChars="0"/>
            <w:jc w:val="center"/>
            <w:rPr>
              <w:sz w:val="21"/>
              <w:szCs w:val="21"/>
            </w:rPr>
          </w:pPr>
          <w:r>
            <w:rPr>
              <w:rFonts w:ascii="宋体" w:hAnsi="宋体" w:eastAsia="宋体"/>
              <w:sz w:val="20"/>
              <w:szCs w:val="21"/>
            </w:rPr>
            <w:t>目</w:t>
          </w:r>
          <w:r>
            <w:rPr>
              <w:rFonts w:hint="eastAsia" w:ascii="宋体" w:hAnsi="宋体" w:eastAsia="宋体"/>
              <w:sz w:val="20"/>
              <w:szCs w:val="21"/>
              <w:lang w:val="en-US" w:eastAsia="zh-CN"/>
            </w:rPr>
            <w:t xml:space="preserve">  </w:t>
          </w:r>
          <w:r>
            <w:rPr>
              <w:rFonts w:ascii="宋体" w:hAnsi="宋体" w:eastAsia="宋体"/>
              <w:sz w:val="20"/>
              <w:szCs w:val="21"/>
            </w:rPr>
            <w:t>录</w:t>
          </w:r>
        </w:p>
        <w:p w14:paraId="1B8283EB">
          <w:pPr>
            <w:pStyle w:val="27"/>
            <w:tabs>
              <w:tab w:val="right" w:leader="dot" w:pos="9792"/>
            </w:tabs>
            <w:rPr>
              <w:sz w:val="18"/>
              <w:szCs w:val="18"/>
            </w:rPr>
          </w:pPr>
          <w:r>
            <w:rPr>
              <w:sz w:val="18"/>
              <w:szCs w:val="18"/>
            </w:rPr>
            <w:fldChar w:fldCharType="begin"/>
          </w:r>
          <w:r>
            <w:rPr>
              <w:sz w:val="18"/>
              <w:szCs w:val="18"/>
            </w:rPr>
            <w:instrText xml:space="preserve">TOC \o "1-3" \h \u </w:instrText>
          </w:r>
          <w:r>
            <w:rPr>
              <w:sz w:val="18"/>
              <w:szCs w:val="18"/>
            </w:rPr>
            <w:fldChar w:fldCharType="separate"/>
          </w:r>
          <w:r>
            <w:rPr>
              <w:sz w:val="18"/>
              <w:szCs w:val="18"/>
            </w:rPr>
            <w:fldChar w:fldCharType="begin"/>
          </w:r>
          <w:r>
            <w:rPr>
              <w:sz w:val="18"/>
              <w:szCs w:val="18"/>
            </w:rPr>
            <w:instrText xml:space="preserve"> HYPERLINK \l _Toc5397 </w:instrText>
          </w:r>
          <w:r>
            <w:rPr>
              <w:sz w:val="18"/>
              <w:szCs w:val="18"/>
            </w:rPr>
            <w:fldChar w:fldCharType="separate"/>
          </w:r>
          <w:r>
            <w:rPr>
              <w:rFonts w:ascii="微软雅黑" w:hAnsi="微软雅黑"/>
              <w:sz w:val="18"/>
              <w:szCs w:val="18"/>
            </w:rPr>
            <w:t>第一篇：顶层业务架构与标准规范</w:t>
          </w:r>
          <w:r>
            <w:rPr>
              <w:sz w:val="18"/>
              <w:szCs w:val="18"/>
            </w:rPr>
            <w:tab/>
          </w:r>
          <w:r>
            <w:rPr>
              <w:sz w:val="18"/>
              <w:szCs w:val="18"/>
            </w:rPr>
            <w:fldChar w:fldCharType="begin"/>
          </w:r>
          <w:r>
            <w:rPr>
              <w:sz w:val="18"/>
              <w:szCs w:val="18"/>
            </w:rPr>
            <w:instrText xml:space="preserve"> PAGEREF _Toc5397 \h </w:instrText>
          </w:r>
          <w:r>
            <w:rPr>
              <w:sz w:val="18"/>
              <w:szCs w:val="18"/>
            </w:rPr>
            <w:fldChar w:fldCharType="separate"/>
          </w:r>
          <w:r>
            <w:rPr>
              <w:sz w:val="18"/>
              <w:szCs w:val="18"/>
            </w:rPr>
            <w:t>7</w:t>
          </w:r>
          <w:r>
            <w:rPr>
              <w:sz w:val="18"/>
              <w:szCs w:val="18"/>
            </w:rPr>
            <w:fldChar w:fldCharType="end"/>
          </w:r>
          <w:r>
            <w:rPr>
              <w:sz w:val="18"/>
              <w:szCs w:val="18"/>
            </w:rPr>
            <w:fldChar w:fldCharType="end"/>
          </w:r>
        </w:p>
        <w:p w14:paraId="0D3A27A0">
          <w:pPr>
            <w:pStyle w:val="27"/>
            <w:tabs>
              <w:tab w:val="right" w:leader="dot" w:pos="9792"/>
            </w:tabs>
            <w:rPr>
              <w:sz w:val="18"/>
              <w:szCs w:val="18"/>
            </w:rPr>
          </w:pPr>
          <w:r>
            <w:rPr>
              <w:sz w:val="18"/>
              <w:szCs w:val="18"/>
            </w:rPr>
            <w:fldChar w:fldCharType="begin"/>
          </w:r>
          <w:r>
            <w:rPr>
              <w:sz w:val="18"/>
              <w:szCs w:val="18"/>
            </w:rPr>
            <w:instrText xml:space="preserve"> HYPERLINK \l _Toc12727 </w:instrText>
          </w:r>
          <w:r>
            <w:rPr>
              <w:sz w:val="18"/>
              <w:szCs w:val="18"/>
            </w:rPr>
            <w:fldChar w:fldCharType="separate"/>
          </w:r>
          <w:r>
            <w:rPr>
              <w:rFonts w:ascii="微软雅黑" w:hAnsi="微软雅黑"/>
              <w:sz w:val="18"/>
              <w:szCs w:val="18"/>
            </w:rPr>
            <w:t>第 1 章 编制原则与三方协同工作机制</w:t>
          </w:r>
          <w:r>
            <w:rPr>
              <w:sz w:val="18"/>
              <w:szCs w:val="18"/>
            </w:rPr>
            <w:tab/>
          </w:r>
          <w:r>
            <w:rPr>
              <w:sz w:val="18"/>
              <w:szCs w:val="18"/>
            </w:rPr>
            <w:fldChar w:fldCharType="begin"/>
          </w:r>
          <w:r>
            <w:rPr>
              <w:sz w:val="18"/>
              <w:szCs w:val="18"/>
            </w:rPr>
            <w:instrText xml:space="preserve"> PAGEREF _Toc12727 \h </w:instrText>
          </w:r>
          <w:r>
            <w:rPr>
              <w:sz w:val="18"/>
              <w:szCs w:val="18"/>
            </w:rPr>
            <w:fldChar w:fldCharType="separate"/>
          </w:r>
          <w:r>
            <w:rPr>
              <w:sz w:val="18"/>
              <w:szCs w:val="18"/>
            </w:rPr>
            <w:t>7</w:t>
          </w:r>
          <w:r>
            <w:rPr>
              <w:sz w:val="18"/>
              <w:szCs w:val="18"/>
            </w:rPr>
            <w:fldChar w:fldCharType="end"/>
          </w:r>
          <w:r>
            <w:rPr>
              <w:sz w:val="18"/>
              <w:szCs w:val="18"/>
            </w:rPr>
            <w:fldChar w:fldCharType="end"/>
          </w:r>
        </w:p>
        <w:p w14:paraId="224BF239">
          <w:pPr>
            <w:pStyle w:val="27"/>
            <w:tabs>
              <w:tab w:val="right" w:leader="dot" w:pos="9792"/>
            </w:tabs>
            <w:rPr>
              <w:sz w:val="18"/>
              <w:szCs w:val="18"/>
            </w:rPr>
          </w:pPr>
          <w:r>
            <w:rPr>
              <w:sz w:val="18"/>
              <w:szCs w:val="18"/>
            </w:rPr>
            <w:fldChar w:fldCharType="begin"/>
          </w:r>
          <w:r>
            <w:rPr>
              <w:sz w:val="18"/>
              <w:szCs w:val="18"/>
            </w:rPr>
            <w:instrText xml:space="preserve"> HYPERLINK \l _Toc21806 </w:instrText>
          </w:r>
          <w:r>
            <w:rPr>
              <w:sz w:val="18"/>
              <w:szCs w:val="18"/>
            </w:rPr>
            <w:fldChar w:fldCharType="separate"/>
          </w:r>
          <w:r>
            <w:rPr>
              <w:rFonts w:ascii="微软雅黑" w:hAnsi="微软雅黑"/>
              <w:sz w:val="18"/>
              <w:szCs w:val="18"/>
            </w:rPr>
            <w:t>第 2 章 业务背景、目标与 6 大用户角色画像矩阵</w:t>
          </w:r>
          <w:r>
            <w:rPr>
              <w:sz w:val="18"/>
              <w:szCs w:val="18"/>
            </w:rPr>
            <w:tab/>
          </w:r>
          <w:r>
            <w:rPr>
              <w:sz w:val="18"/>
              <w:szCs w:val="18"/>
            </w:rPr>
            <w:fldChar w:fldCharType="begin"/>
          </w:r>
          <w:r>
            <w:rPr>
              <w:sz w:val="18"/>
              <w:szCs w:val="18"/>
            </w:rPr>
            <w:instrText xml:space="preserve"> PAGEREF _Toc21806 \h </w:instrText>
          </w:r>
          <w:r>
            <w:rPr>
              <w:sz w:val="18"/>
              <w:szCs w:val="18"/>
            </w:rPr>
            <w:fldChar w:fldCharType="separate"/>
          </w:r>
          <w:r>
            <w:rPr>
              <w:sz w:val="18"/>
              <w:szCs w:val="18"/>
            </w:rPr>
            <w:t>7</w:t>
          </w:r>
          <w:r>
            <w:rPr>
              <w:sz w:val="18"/>
              <w:szCs w:val="18"/>
            </w:rPr>
            <w:fldChar w:fldCharType="end"/>
          </w:r>
          <w:r>
            <w:rPr>
              <w:sz w:val="18"/>
              <w:szCs w:val="18"/>
            </w:rPr>
            <w:fldChar w:fldCharType="end"/>
          </w:r>
        </w:p>
        <w:p w14:paraId="6D29FA86">
          <w:pPr>
            <w:pStyle w:val="27"/>
            <w:tabs>
              <w:tab w:val="right" w:leader="dot" w:pos="9792"/>
            </w:tabs>
            <w:rPr>
              <w:sz w:val="18"/>
              <w:szCs w:val="18"/>
            </w:rPr>
          </w:pPr>
          <w:r>
            <w:rPr>
              <w:sz w:val="18"/>
              <w:szCs w:val="18"/>
            </w:rPr>
            <w:fldChar w:fldCharType="begin"/>
          </w:r>
          <w:r>
            <w:rPr>
              <w:sz w:val="18"/>
              <w:szCs w:val="18"/>
            </w:rPr>
            <w:instrText xml:space="preserve"> HYPERLINK \l _Toc12320 </w:instrText>
          </w:r>
          <w:r>
            <w:rPr>
              <w:sz w:val="18"/>
              <w:szCs w:val="18"/>
            </w:rPr>
            <w:fldChar w:fldCharType="separate"/>
          </w:r>
          <w:r>
            <w:rPr>
              <w:rFonts w:ascii="微软雅黑" w:hAnsi="微软雅黑"/>
              <w:sz w:val="18"/>
              <w:szCs w:val="18"/>
            </w:rPr>
            <w:t>第 3 章 专属工业设计规范 (tbea-industrial-design) 6 大硬性铁律</w:t>
          </w:r>
          <w:r>
            <w:rPr>
              <w:sz w:val="18"/>
              <w:szCs w:val="18"/>
            </w:rPr>
            <w:tab/>
          </w:r>
          <w:r>
            <w:rPr>
              <w:sz w:val="18"/>
              <w:szCs w:val="18"/>
            </w:rPr>
            <w:fldChar w:fldCharType="begin"/>
          </w:r>
          <w:r>
            <w:rPr>
              <w:sz w:val="18"/>
              <w:szCs w:val="18"/>
            </w:rPr>
            <w:instrText xml:space="preserve"> PAGEREF _Toc12320 \h </w:instrText>
          </w:r>
          <w:r>
            <w:rPr>
              <w:sz w:val="18"/>
              <w:szCs w:val="18"/>
            </w:rPr>
            <w:fldChar w:fldCharType="separate"/>
          </w:r>
          <w:r>
            <w:rPr>
              <w:sz w:val="18"/>
              <w:szCs w:val="18"/>
            </w:rPr>
            <w:t>8</w:t>
          </w:r>
          <w:r>
            <w:rPr>
              <w:sz w:val="18"/>
              <w:szCs w:val="18"/>
            </w:rPr>
            <w:fldChar w:fldCharType="end"/>
          </w:r>
          <w:r>
            <w:rPr>
              <w:sz w:val="18"/>
              <w:szCs w:val="18"/>
            </w:rPr>
            <w:fldChar w:fldCharType="end"/>
          </w:r>
        </w:p>
        <w:p w14:paraId="4D55D8FF">
          <w:pPr>
            <w:pStyle w:val="27"/>
            <w:tabs>
              <w:tab w:val="right" w:leader="dot" w:pos="9792"/>
            </w:tabs>
            <w:rPr>
              <w:sz w:val="18"/>
              <w:szCs w:val="18"/>
            </w:rPr>
          </w:pPr>
          <w:r>
            <w:rPr>
              <w:sz w:val="18"/>
              <w:szCs w:val="18"/>
            </w:rPr>
            <w:fldChar w:fldCharType="begin"/>
          </w:r>
          <w:r>
            <w:rPr>
              <w:sz w:val="18"/>
              <w:szCs w:val="18"/>
            </w:rPr>
            <w:instrText xml:space="preserve"> HYPERLINK \l _Toc31478 </w:instrText>
          </w:r>
          <w:r>
            <w:rPr>
              <w:sz w:val="18"/>
              <w:szCs w:val="18"/>
            </w:rPr>
            <w:fldChar w:fldCharType="separate"/>
          </w:r>
          <w:r>
            <w:rPr>
              <w:rFonts w:ascii="微软雅黑" w:hAnsi="微软雅黑"/>
              <w:sz w:val="18"/>
              <w:szCs w:val="18"/>
            </w:rPr>
            <w:t>第二篇：【平台一】零碳园区集控中心功能需求规格（逐层拆解）</w:t>
          </w:r>
          <w:r>
            <w:rPr>
              <w:sz w:val="18"/>
              <w:szCs w:val="18"/>
            </w:rPr>
            <w:tab/>
          </w:r>
          <w:r>
            <w:rPr>
              <w:sz w:val="18"/>
              <w:szCs w:val="18"/>
            </w:rPr>
            <w:fldChar w:fldCharType="begin"/>
          </w:r>
          <w:r>
            <w:rPr>
              <w:sz w:val="18"/>
              <w:szCs w:val="18"/>
            </w:rPr>
            <w:instrText xml:space="preserve"> PAGEREF _Toc31478 \h </w:instrText>
          </w:r>
          <w:r>
            <w:rPr>
              <w:sz w:val="18"/>
              <w:szCs w:val="18"/>
            </w:rPr>
            <w:fldChar w:fldCharType="separate"/>
          </w:r>
          <w:r>
            <w:rPr>
              <w:sz w:val="18"/>
              <w:szCs w:val="18"/>
            </w:rPr>
            <w:t>9</w:t>
          </w:r>
          <w:r>
            <w:rPr>
              <w:sz w:val="18"/>
              <w:szCs w:val="18"/>
            </w:rPr>
            <w:fldChar w:fldCharType="end"/>
          </w:r>
          <w:r>
            <w:rPr>
              <w:sz w:val="18"/>
              <w:szCs w:val="18"/>
            </w:rPr>
            <w:fldChar w:fldCharType="end"/>
          </w:r>
        </w:p>
        <w:p w14:paraId="76C6FB3A">
          <w:pPr>
            <w:pStyle w:val="27"/>
            <w:tabs>
              <w:tab w:val="right" w:leader="dot" w:pos="9792"/>
            </w:tabs>
            <w:rPr>
              <w:sz w:val="18"/>
              <w:szCs w:val="18"/>
            </w:rPr>
          </w:pPr>
          <w:r>
            <w:rPr>
              <w:sz w:val="18"/>
              <w:szCs w:val="18"/>
            </w:rPr>
            <w:fldChar w:fldCharType="begin"/>
          </w:r>
          <w:r>
            <w:rPr>
              <w:sz w:val="18"/>
              <w:szCs w:val="18"/>
            </w:rPr>
            <w:instrText xml:space="preserve"> HYPERLINK \l _Toc17509 </w:instrText>
          </w:r>
          <w:r>
            <w:rPr>
              <w:sz w:val="18"/>
              <w:szCs w:val="18"/>
            </w:rPr>
            <w:fldChar w:fldCharType="separate"/>
          </w:r>
          <w:r>
            <w:rPr>
              <w:rFonts w:ascii="微软雅黑" w:hAnsi="微软雅黑"/>
              <w:sz w:val="18"/>
              <w:szCs w:val="18"/>
            </w:rPr>
            <w:t>第 4 章 一级导航【集控中心大屏】</w:t>
          </w:r>
          <w:r>
            <w:rPr>
              <w:sz w:val="18"/>
              <w:szCs w:val="18"/>
            </w:rPr>
            <w:tab/>
          </w:r>
          <w:r>
            <w:rPr>
              <w:sz w:val="18"/>
              <w:szCs w:val="18"/>
            </w:rPr>
            <w:fldChar w:fldCharType="begin"/>
          </w:r>
          <w:r>
            <w:rPr>
              <w:sz w:val="18"/>
              <w:szCs w:val="18"/>
            </w:rPr>
            <w:instrText xml:space="preserve"> PAGEREF _Toc17509 \h </w:instrText>
          </w:r>
          <w:r>
            <w:rPr>
              <w:sz w:val="18"/>
              <w:szCs w:val="18"/>
            </w:rPr>
            <w:fldChar w:fldCharType="separate"/>
          </w:r>
          <w:r>
            <w:rPr>
              <w:sz w:val="18"/>
              <w:szCs w:val="18"/>
            </w:rPr>
            <w:t>9</w:t>
          </w:r>
          <w:r>
            <w:rPr>
              <w:sz w:val="18"/>
              <w:szCs w:val="18"/>
            </w:rPr>
            <w:fldChar w:fldCharType="end"/>
          </w:r>
          <w:r>
            <w:rPr>
              <w:sz w:val="18"/>
              <w:szCs w:val="18"/>
            </w:rPr>
            <w:fldChar w:fldCharType="end"/>
          </w:r>
        </w:p>
        <w:p w14:paraId="0CE6E7C5">
          <w:pPr>
            <w:pStyle w:val="30"/>
            <w:tabs>
              <w:tab w:val="right" w:leader="dot" w:pos="9792"/>
            </w:tabs>
            <w:rPr>
              <w:sz w:val="18"/>
              <w:szCs w:val="18"/>
            </w:rPr>
          </w:pPr>
          <w:r>
            <w:rPr>
              <w:sz w:val="18"/>
              <w:szCs w:val="18"/>
            </w:rPr>
            <w:fldChar w:fldCharType="begin"/>
          </w:r>
          <w:r>
            <w:rPr>
              <w:sz w:val="18"/>
              <w:szCs w:val="18"/>
            </w:rPr>
            <w:instrText xml:space="preserve"> HYPERLINK \l _Toc29558 </w:instrText>
          </w:r>
          <w:r>
            <w:rPr>
              <w:sz w:val="18"/>
              <w:szCs w:val="18"/>
            </w:rPr>
            <w:fldChar w:fldCharType="separate"/>
          </w:r>
          <w:r>
            <w:rPr>
              <w:rFonts w:ascii="微软雅黑" w:hAnsi="微软雅黑"/>
              <w:sz w:val="18"/>
              <w:szCs w:val="18"/>
            </w:rPr>
            <w:t>4.1 全景环幕大屏 (NAV-ZC-SCR-PANORAMA · /zero-carbon/screen)</w:t>
          </w:r>
          <w:r>
            <w:rPr>
              <w:sz w:val="18"/>
              <w:szCs w:val="18"/>
            </w:rPr>
            <w:tab/>
          </w:r>
          <w:r>
            <w:rPr>
              <w:sz w:val="18"/>
              <w:szCs w:val="18"/>
            </w:rPr>
            <w:fldChar w:fldCharType="begin"/>
          </w:r>
          <w:r>
            <w:rPr>
              <w:sz w:val="18"/>
              <w:szCs w:val="18"/>
            </w:rPr>
            <w:instrText xml:space="preserve"> PAGEREF _Toc29558 \h </w:instrText>
          </w:r>
          <w:r>
            <w:rPr>
              <w:sz w:val="18"/>
              <w:szCs w:val="18"/>
            </w:rPr>
            <w:fldChar w:fldCharType="separate"/>
          </w:r>
          <w:r>
            <w:rPr>
              <w:sz w:val="18"/>
              <w:szCs w:val="18"/>
            </w:rPr>
            <w:t>9</w:t>
          </w:r>
          <w:r>
            <w:rPr>
              <w:sz w:val="18"/>
              <w:szCs w:val="18"/>
            </w:rPr>
            <w:fldChar w:fldCharType="end"/>
          </w:r>
          <w:r>
            <w:rPr>
              <w:sz w:val="18"/>
              <w:szCs w:val="18"/>
            </w:rPr>
            <w:fldChar w:fldCharType="end"/>
          </w:r>
        </w:p>
        <w:p w14:paraId="629A518B">
          <w:pPr>
            <w:pStyle w:val="30"/>
            <w:tabs>
              <w:tab w:val="right" w:leader="dot" w:pos="9792"/>
            </w:tabs>
            <w:rPr>
              <w:sz w:val="18"/>
              <w:szCs w:val="18"/>
            </w:rPr>
          </w:pPr>
          <w:r>
            <w:rPr>
              <w:sz w:val="18"/>
              <w:szCs w:val="18"/>
            </w:rPr>
            <w:fldChar w:fldCharType="begin"/>
          </w:r>
          <w:r>
            <w:rPr>
              <w:sz w:val="18"/>
              <w:szCs w:val="18"/>
            </w:rPr>
            <w:instrText xml:space="preserve"> HYPERLINK \l _Toc26776 </w:instrText>
          </w:r>
          <w:r>
            <w:rPr>
              <w:sz w:val="18"/>
              <w:szCs w:val="18"/>
            </w:rPr>
            <w:fldChar w:fldCharType="separate"/>
          </w:r>
          <w:r>
            <w:rPr>
              <w:rFonts w:ascii="微软雅黑" w:hAnsi="微软雅黑"/>
              <w:sz w:val="18"/>
              <w:szCs w:val="18"/>
            </w:rPr>
            <w:t>4.2 综合集控大屏 16:9 (NAV-ZC-SCR-169 · /screen/control-center)</w:t>
          </w:r>
          <w:r>
            <w:rPr>
              <w:sz w:val="18"/>
              <w:szCs w:val="18"/>
            </w:rPr>
            <w:tab/>
          </w:r>
          <w:r>
            <w:rPr>
              <w:sz w:val="18"/>
              <w:szCs w:val="18"/>
            </w:rPr>
            <w:fldChar w:fldCharType="begin"/>
          </w:r>
          <w:r>
            <w:rPr>
              <w:sz w:val="18"/>
              <w:szCs w:val="18"/>
            </w:rPr>
            <w:instrText xml:space="preserve"> PAGEREF _Toc26776 \h </w:instrText>
          </w:r>
          <w:r>
            <w:rPr>
              <w:sz w:val="18"/>
              <w:szCs w:val="18"/>
            </w:rPr>
            <w:fldChar w:fldCharType="separate"/>
          </w:r>
          <w:r>
            <w:rPr>
              <w:sz w:val="18"/>
              <w:szCs w:val="18"/>
            </w:rPr>
            <w:t>10</w:t>
          </w:r>
          <w:r>
            <w:rPr>
              <w:sz w:val="18"/>
              <w:szCs w:val="18"/>
            </w:rPr>
            <w:fldChar w:fldCharType="end"/>
          </w:r>
          <w:r>
            <w:rPr>
              <w:sz w:val="18"/>
              <w:szCs w:val="18"/>
            </w:rPr>
            <w:fldChar w:fldCharType="end"/>
          </w:r>
        </w:p>
        <w:p w14:paraId="021AFACE">
          <w:pPr>
            <w:pStyle w:val="27"/>
            <w:tabs>
              <w:tab w:val="right" w:leader="dot" w:pos="9792"/>
            </w:tabs>
            <w:rPr>
              <w:sz w:val="18"/>
              <w:szCs w:val="18"/>
            </w:rPr>
          </w:pPr>
          <w:r>
            <w:rPr>
              <w:sz w:val="18"/>
              <w:szCs w:val="18"/>
            </w:rPr>
            <w:fldChar w:fldCharType="begin"/>
          </w:r>
          <w:r>
            <w:rPr>
              <w:sz w:val="18"/>
              <w:szCs w:val="18"/>
            </w:rPr>
            <w:instrText xml:space="preserve"> HYPERLINK \l _Toc21730 </w:instrText>
          </w:r>
          <w:r>
            <w:rPr>
              <w:sz w:val="18"/>
              <w:szCs w:val="18"/>
            </w:rPr>
            <w:fldChar w:fldCharType="separate"/>
          </w:r>
          <w:r>
            <w:rPr>
              <w:rFonts w:ascii="微软雅黑" w:hAnsi="微软雅黑"/>
              <w:sz w:val="18"/>
              <w:szCs w:val="18"/>
            </w:rPr>
            <w:t>第 5 章 一级导航【集中监管】</w:t>
          </w:r>
          <w:r>
            <w:rPr>
              <w:sz w:val="18"/>
              <w:szCs w:val="18"/>
            </w:rPr>
            <w:tab/>
          </w:r>
          <w:r>
            <w:rPr>
              <w:sz w:val="18"/>
              <w:szCs w:val="18"/>
            </w:rPr>
            <w:fldChar w:fldCharType="begin"/>
          </w:r>
          <w:r>
            <w:rPr>
              <w:sz w:val="18"/>
              <w:szCs w:val="18"/>
            </w:rPr>
            <w:instrText xml:space="preserve"> PAGEREF _Toc21730 \h </w:instrText>
          </w:r>
          <w:r>
            <w:rPr>
              <w:sz w:val="18"/>
              <w:szCs w:val="18"/>
            </w:rPr>
            <w:fldChar w:fldCharType="separate"/>
          </w:r>
          <w:r>
            <w:rPr>
              <w:sz w:val="18"/>
              <w:szCs w:val="18"/>
            </w:rPr>
            <w:t>11</w:t>
          </w:r>
          <w:r>
            <w:rPr>
              <w:sz w:val="18"/>
              <w:szCs w:val="18"/>
            </w:rPr>
            <w:fldChar w:fldCharType="end"/>
          </w:r>
          <w:r>
            <w:rPr>
              <w:sz w:val="18"/>
              <w:szCs w:val="18"/>
            </w:rPr>
            <w:fldChar w:fldCharType="end"/>
          </w:r>
        </w:p>
        <w:p w14:paraId="3607E28E">
          <w:pPr>
            <w:pStyle w:val="30"/>
            <w:tabs>
              <w:tab w:val="right" w:leader="dot" w:pos="9792"/>
            </w:tabs>
            <w:rPr>
              <w:sz w:val="18"/>
              <w:szCs w:val="18"/>
            </w:rPr>
          </w:pPr>
          <w:r>
            <w:rPr>
              <w:sz w:val="18"/>
              <w:szCs w:val="18"/>
            </w:rPr>
            <w:fldChar w:fldCharType="begin"/>
          </w:r>
          <w:r>
            <w:rPr>
              <w:sz w:val="18"/>
              <w:szCs w:val="18"/>
            </w:rPr>
            <w:instrText xml:space="preserve"> HYPERLINK \l _Toc29920 </w:instrText>
          </w:r>
          <w:r>
            <w:rPr>
              <w:sz w:val="18"/>
              <w:szCs w:val="18"/>
            </w:rPr>
            <w:fldChar w:fldCharType="separate"/>
          </w:r>
          <w:r>
            <w:rPr>
              <w:rFonts w:ascii="微软雅黑" w:hAnsi="微软雅黑"/>
              <w:sz w:val="18"/>
              <w:szCs w:val="18"/>
            </w:rPr>
            <w:t>5.1 指标管控 (NAV-ZC-MON-IND · /zero-carbon/monitor/indicator)</w:t>
          </w:r>
          <w:r>
            <w:rPr>
              <w:sz w:val="18"/>
              <w:szCs w:val="18"/>
            </w:rPr>
            <w:tab/>
          </w:r>
          <w:r>
            <w:rPr>
              <w:sz w:val="18"/>
              <w:szCs w:val="18"/>
            </w:rPr>
            <w:fldChar w:fldCharType="begin"/>
          </w:r>
          <w:r>
            <w:rPr>
              <w:sz w:val="18"/>
              <w:szCs w:val="18"/>
            </w:rPr>
            <w:instrText xml:space="preserve"> PAGEREF _Toc29920 \h </w:instrText>
          </w:r>
          <w:r>
            <w:rPr>
              <w:sz w:val="18"/>
              <w:szCs w:val="18"/>
            </w:rPr>
            <w:fldChar w:fldCharType="separate"/>
          </w:r>
          <w:r>
            <w:rPr>
              <w:sz w:val="18"/>
              <w:szCs w:val="18"/>
            </w:rPr>
            <w:t>11</w:t>
          </w:r>
          <w:r>
            <w:rPr>
              <w:sz w:val="18"/>
              <w:szCs w:val="18"/>
            </w:rPr>
            <w:fldChar w:fldCharType="end"/>
          </w:r>
          <w:r>
            <w:rPr>
              <w:sz w:val="18"/>
              <w:szCs w:val="18"/>
            </w:rPr>
            <w:fldChar w:fldCharType="end"/>
          </w:r>
        </w:p>
        <w:p w14:paraId="6C54E5FE">
          <w:pPr>
            <w:pStyle w:val="24"/>
            <w:tabs>
              <w:tab w:val="right" w:leader="dot" w:pos="9792"/>
            </w:tabs>
            <w:rPr>
              <w:sz w:val="18"/>
              <w:szCs w:val="18"/>
            </w:rPr>
          </w:pPr>
          <w:r>
            <w:rPr>
              <w:sz w:val="18"/>
              <w:szCs w:val="18"/>
            </w:rPr>
            <w:fldChar w:fldCharType="begin"/>
          </w:r>
          <w:r>
            <w:rPr>
              <w:sz w:val="18"/>
              <w:szCs w:val="18"/>
            </w:rPr>
            <w:instrText xml:space="preserve"> HYPERLINK \l _Toc20097 </w:instrText>
          </w:r>
          <w:r>
            <w:rPr>
              <w:sz w:val="18"/>
              <w:szCs w:val="18"/>
            </w:rPr>
            <w:fldChar w:fldCharType="separate"/>
          </w:r>
          <w:r>
            <w:rPr>
              <w:rFonts w:ascii="微软雅黑" w:hAnsi="微软雅黑"/>
              <w:sz w:val="18"/>
              <w:szCs w:val="18"/>
            </w:rPr>
            <w:t>5.1.1 板块一：经营单位及项目公司整体指标 (10 项核心指标)</w:t>
          </w:r>
          <w:r>
            <w:rPr>
              <w:sz w:val="18"/>
              <w:szCs w:val="18"/>
            </w:rPr>
            <w:tab/>
          </w:r>
          <w:r>
            <w:rPr>
              <w:sz w:val="18"/>
              <w:szCs w:val="18"/>
            </w:rPr>
            <w:fldChar w:fldCharType="begin"/>
          </w:r>
          <w:r>
            <w:rPr>
              <w:sz w:val="18"/>
              <w:szCs w:val="18"/>
            </w:rPr>
            <w:instrText xml:space="preserve"> PAGEREF _Toc20097 \h </w:instrText>
          </w:r>
          <w:r>
            <w:rPr>
              <w:sz w:val="18"/>
              <w:szCs w:val="18"/>
            </w:rPr>
            <w:fldChar w:fldCharType="separate"/>
          </w:r>
          <w:r>
            <w:rPr>
              <w:sz w:val="18"/>
              <w:szCs w:val="18"/>
            </w:rPr>
            <w:t>11</w:t>
          </w:r>
          <w:r>
            <w:rPr>
              <w:sz w:val="18"/>
              <w:szCs w:val="18"/>
            </w:rPr>
            <w:fldChar w:fldCharType="end"/>
          </w:r>
          <w:r>
            <w:rPr>
              <w:sz w:val="18"/>
              <w:szCs w:val="18"/>
            </w:rPr>
            <w:fldChar w:fldCharType="end"/>
          </w:r>
        </w:p>
        <w:p w14:paraId="136027D1">
          <w:pPr>
            <w:pStyle w:val="24"/>
            <w:tabs>
              <w:tab w:val="right" w:leader="dot" w:pos="9792"/>
            </w:tabs>
            <w:rPr>
              <w:sz w:val="18"/>
              <w:szCs w:val="18"/>
            </w:rPr>
          </w:pPr>
          <w:r>
            <w:rPr>
              <w:sz w:val="18"/>
              <w:szCs w:val="18"/>
            </w:rPr>
            <w:fldChar w:fldCharType="begin"/>
          </w:r>
          <w:r>
            <w:rPr>
              <w:sz w:val="18"/>
              <w:szCs w:val="18"/>
            </w:rPr>
            <w:instrText xml:space="preserve"> HYPERLINK \l _Toc7229 </w:instrText>
          </w:r>
          <w:r>
            <w:rPr>
              <w:sz w:val="18"/>
              <w:szCs w:val="18"/>
            </w:rPr>
            <w:fldChar w:fldCharType="separate"/>
          </w:r>
          <w:r>
            <w:rPr>
              <w:rFonts w:ascii="微软雅黑" w:hAnsi="微软雅黑"/>
              <w:sz w:val="18"/>
              <w:szCs w:val="18"/>
            </w:rPr>
            <w:t>5.1.2 板块二：产品管控指标 (5 项产品单位产品能耗指标)</w:t>
          </w:r>
          <w:r>
            <w:rPr>
              <w:sz w:val="18"/>
              <w:szCs w:val="18"/>
            </w:rPr>
            <w:tab/>
          </w:r>
          <w:r>
            <w:rPr>
              <w:sz w:val="18"/>
              <w:szCs w:val="18"/>
            </w:rPr>
            <w:fldChar w:fldCharType="begin"/>
          </w:r>
          <w:r>
            <w:rPr>
              <w:sz w:val="18"/>
              <w:szCs w:val="18"/>
            </w:rPr>
            <w:instrText xml:space="preserve"> PAGEREF _Toc7229 \h </w:instrText>
          </w:r>
          <w:r>
            <w:rPr>
              <w:sz w:val="18"/>
              <w:szCs w:val="18"/>
            </w:rPr>
            <w:fldChar w:fldCharType="separate"/>
          </w:r>
          <w:r>
            <w:rPr>
              <w:sz w:val="18"/>
              <w:szCs w:val="18"/>
            </w:rPr>
            <w:t>12</w:t>
          </w:r>
          <w:r>
            <w:rPr>
              <w:sz w:val="18"/>
              <w:szCs w:val="18"/>
            </w:rPr>
            <w:fldChar w:fldCharType="end"/>
          </w:r>
          <w:r>
            <w:rPr>
              <w:sz w:val="18"/>
              <w:szCs w:val="18"/>
            </w:rPr>
            <w:fldChar w:fldCharType="end"/>
          </w:r>
        </w:p>
        <w:p w14:paraId="7738F6A3">
          <w:pPr>
            <w:pStyle w:val="24"/>
            <w:tabs>
              <w:tab w:val="right" w:leader="dot" w:pos="9792"/>
            </w:tabs>
            <w:rPr>
              <w:sz w:val="18"/>
              <w:szCs w:val="18"/>
            </w:rPr>
          </w:pPr>
          <w:r>
            <w:rPr>
              <w:sz w:val="18"/>
              <w:szCs w:val="18"/>
            </w:rPr>
            <w:fldChar w:fldCharType="begin"/>
          </w:r>
          <w:r>
            <w:rPr>
              <w:sz w:val="18"/>
              <w:szCs w:val="18"/>
            </w:rPr>
            <w:instrText xml:space="preserve"> HYPERLINK \l _Toc19677 </w:instrText>
          </w:r>
          <w:r>
            <w:rPr>
              <w:sz w:val="18"/>
              <w:szCs w:val="18"/>
            </w:rPr>
            <w:fldChar w:fldCharType="separate"/>
          </w:r>
          <w:r>
            <w:rPr>
              <w:rFonts w:ascii="微软雅黑" w:hAnsi="微软雅黑"/>
              <w:sz w:val="18"/>
              <w:szCs w:val="18"/>
            </w:rPr>
            <w:t>5.1.3 板块三：关键制造工序能耗管控指标 (47项工序白名单判定)</w:t>
          </w:r>
          <w:r>
            <w:rPr>
              <w:sz w:val="18"/>
              <w:szCs w:val="18"/>
            </w:rPr>
            <w:tab/>
          </w:r>
          <w:r>
            <w:rPr>
              <w:sz w:val="18"/>
              <w:szCs w:val="18"/>
            </w:rPr>
            <w:fldChar w:fldCharType="begin"/>
          </w:r>
          <w:r>
            <w:rPr>
              <w:sz w:val="18"/>
              <w:szCs w:val="18"/>
            </w:rPr>
            <w:instrText xml:space="preserve"> PAGEREF _Toc19677 \h </w:instrText>
          </w:r>
          <w:r>
            <w:rPr>
              <w:sz w:val="18"/>
              <w:szCs w:val="18"/>
            </w:rPr>
            <w:fldChar w:fldCharType="separate"/>
          </w:r>
          <w:r>
            <w:rPr>
              <w:sz w:val="18"/>
              <w:szCs w:val="18"/>
            </w:rPr>
            <w:t>13</w:t>
          </w:r>
          <w:r>
            <w:rPr>
              <w:sz w:val="18"/>
              <w:szCs w:val="18"/>
            </w:rPr>
            <w:fldChar w:fldCharType="end"/>
          </w:r>
          <w:r>
            <w:rPr>
              <w:sz w:val="18"/>
              <w:szCs w:val="18"/>
            </w:rPr>
            <w:fldChar w:fldCharType="end"/>
          </w:r>
        </w:p>
        <w:p w14:paraId="7AB33AA8">
          <w:pPr>
            <w:pStyle w:val="24"/>
            <w:tabs>
              <w:tab w:val="right" w:leader="dot" w:pos="9792"/>
            </w:tabs>
            <w:rPr>
              <w:sz w:val="18"/>
              <w:szCs w:val="18"/>
            </w:rPr>
          </w:pPr>
          <w:r>
            <w:rPr>
              <w:sz w:val="18"/>
              <w:szCs w:val="18"/>
            </w:rPr>
            <w:fldChar w:fldCharType="begin"/>
          </w:r>
          <w:r>
            <w:rPr>
              <w:sz w:val="18"/>
              <w:szCs w:val="18"/>
            </w:rPr>
            <w:instrText xml:space="preserve"> HYPERLINK \l _Toc12402 </w:instrText>
          </w:r>
          <w:r>
            <w:rPr>
              <w:sz w:val="18"/>
              <w:szCs w:val="18"/>
            </w:rPr>
            <w:fldChar w:fldCharType="separate"/>
          </w:r>
          <w:r>
            <w:rPr>
              <w:rFonts w:ascii="微软雅黑" w:hAnsi="微软雅黑"/>
              <w:sz w:val="18"/>
              <w:szCs w:val="18"/>
            </w:rPr>
            <w:t>5.1.4 Mode B 深入分析内页数据字典与台账结构</w:t>
          </w:r>
          <w:r>
            <w:rPr>
              <w:sz w:val="18"/>
              <w:szCs w:val="18"/>
            </w:rPr>
            <w:tab/>
          </w:r>
          <w:r>
            <w:rPr>
              <w:sz w:val="18"/>
              <w:szCs w:val="18"/>
            </w:rPr>
            <w:fldChar w:fldCharType="begin"/>
          </w:r>
          <w:r>
            <w:rPr>
              <w:sz w:val="18"/>
              <w:szCs w:val="18"/>
            </w:rPr>
            <w:instrText xml:space="preserve"> PAGEREF _Toc12402 \h </w:instrText>
          </w:r>
          <w:r>
            <w:rPr>
              <w:sz w:val="18"/>
              <w:szCs w:val="18"/>
            </w:rPr>
            <w:fldChar w:fldCharType="separate"/>
          </w:r>
          <w:r>
            <w:rPr>
              <w:sz w:val="18"/>
              <w:szCs w:val="18"/>
            </w:rPr>
            <w:t>13</w:t>
          </w:r>
          <w:r>
            <w:rPr>
              <w:sz w:val="18"/>
              <w:szCs w:val="18"/>
            </w:rPr>
            <w:fldChar w:fldCharType="end"/>
          </w:r>
          <w:r>
            <w:rPr>
              <w:sz w:val="18"/>
              <w:szCs w:val="18"/>
            </w:rPr>
            <w:fldChar w:fldCharType="end"/>
          </w:r>
        </w:p>
        <w:p w14:paraId="78693E73">
          <w:pPr>
            <w:pStyle w:val="30"/>
            <w:tabs>
              <w:tab w:val="right" w:leader="dot" w:pos="9792"/>
            </w:tabs>
            <w:rPr>
              <w:sz w:val="18"/>
              <w:szCs w:val="18"/>
            </w:rPr>
          </w:pPr>
          <w:r>
            <w:rPr>
              <w:sz w:val="18"/>
              <w:szCs w:val="18"/>
            </w:rPr>
            <w:fldChar w:fldCharType="begin"/>
          </w:r>
          <w:r>
            <w:rPr>
              <w:sz w:val="18"/>
              <w:szCs w:val="18"/>
            </w:rPr>
            <w:instrText xml:space="preserve"> HYPERLINK \l _Toc7304 </w:instrText>
          </w:r>
          <w:r>
            <w:rPr>
              <w:sz w:val="18"/>
              <w:szCs w:val="18"/>
            </w:rPr>
            <w:fldChar w:fldCharType="separate"/>
          </w:r>
          <w:r>
            <w:rPr>
              <w:rFonts w:ascii="微软雅黑" w:hAnsi="微软雅黑"/>
              <w:sz w:val="18"/>
              <w:szCs w:val="18"/>
            </w:rPr>
            <w:t>5.2 用能在线监测 (NAV-ZC-MON-USAGE · /zero-carbon/monitor/online/usage)</w:t>
          </w:r>
          <w:r>
            <w:rPr>
              <w:sz w:val="18"/>
              <w:szCs w:val="18"/>
            </w:rPr>
            <w:tab/>
          </w:r>
          <w:r>
            <w:rPr>
              <w:sz w:val="18"/>
              <w:szCs w:val="18"/>
            </w:rPr>
            <w:fldChar w:fldCharType="begin"/>
          </w:r>
          <w:r>
            <w:rPr>
              <w:sz w:val="18"/>
              <w:szCs w:val="18"/>
            </w:rPr>
            <w:instrText xml:space="preserve"> PAGEREF _Toc7304 \h </w:instrText>
          </w:r>
          <w:r>
            <w:rPr>
              <w:sz w:val="18"/>
              <w:szCs w:val="18"/>
            </w:rPr>
            <w:fldChar w:fldCharType="separate"/>
          </w:r>
          <w:r>
            <w:rPr>
              <w:sz w:val="18"/>
              <w:szCs w:val="18"/>
            </w:rPr>
            <w:t>13</w:t>
          </w:r>
          <w:r>
            <w:rPr>
              <w:sz w:val="18"/>
              <w:szCs w:val="18"/>
            </w:rPr>
            <w:fldChar w:fldCharType="end"/>
          </w:r>
          <w:r>
            <w:rPr>
              <w:sz w:val="18"/>
              <w:szCs w:val="18"/>
            </w:rPr>
            <w:fldChar w:fldCharType="end"/>
          </w:r>
        </w:p>
        <w:p w14:paraId="6F1E480B">
          <w:pPr>
            <w:pStyle w:val="30"/>
            <w:tabs>
              <w:tab w:val="right" w:leader="dot" w:pos="9792"/>
            </w:tabs>
            <w:rPr>
              <w:sz w:val="18"/>
              <w:szCs w:val="18"/>
            </w:rPr>
          </w:pPr>
          <w:r>
            <w:rPr>
              <w:sz w:val="18"/>
              <w:szCs w:val="18"/>
            </w:rPr>
            <w:fldChar w:fldCharType="begin"/>
          </w:r>
          <w:r>
            <w:rPr>
              <w:sz w:val="18"/>
              <w:szCs w:val="18"/>
            </w:rPr>
            <w:instrText xml:space="preserve"> HYPERLINK \l _Toc28218 </w:instrText>
          </w:r>
          <w:r>
            <w:rPr>
              <w:sz w:val="18"/>
              <w:szCs w:val="18"/>
            </w:rPr>
            <w:fldChar w:fldCharType="separate"/>
          </w:r>
          <w:r>
            <w:rPr>
              <w:rFonts w:ascii="微软雅黑" w:hAnsi="微软雅黑"/>
              <w:sz w:val="18"/>
              <w:szCs w:val="18"/>
            </w:rPr>
            <w:t>5.3 设备在线监测 (NAV-ZC-MON-EQP · /zero-carbon/monitor/online/equipment)</w:t>
          </w:r>
          <w:r>
            <w:rPr>
              <w:sz w:val="18"/>
              <w:szCs w:val="18"/>
            </w:rPr>
            <w:tab/>
          </w:r>
          <w:r>
            <w:rPr>
              <w:sz w:val="18"/>
              <w:szCs w:val="18"/>
            </w:rPr>
            <w:fldChar w:fldCharType="begin"/>
          </w:r>
          <w:r>
            <w:rPr>
              <w:sz w:val="18"/>
              <w:szCs w:val="18"/>
            </w:rPr>
            <w:instrText xml:space="preserve"> PAGEREF _Toc28218 \h </w:instrText>
          </w:r>
          <w:r>
            <w:rPr>
              <w:sz w:val="18"/>
              <w:szCs w:val="18"/>
            </w:rPr>
            <w:fldChar w:fldCharType="separate"/>
          </w:r>
          <w:r>
            <w:rPr>
              <w:sz w:val="18"/>
              <w:szCs w:val="18"/>
            </w:rPr>
            <w:t>15</w:t>
          </w:r>
          <w:r>
            <w:rPr>
              <w:sz w:val="18"/>
              <w:szCs w:val="18"/>
            </w:rPr>
            <w:fldChar w:fldCharType="end"/>
          </w:r>
          <w:r>
            <w:rPr>
              <w:sz w:val="18"/>
              <w:szCs w:val="18"/>
            </w:rPr>
            <w:fldChar w:fldCharType="end"/>
          </w:r>
        </w:p>
        <w:p w14:paraId="331097EE">
          <w:pPr>
            <w:pStyle w:val="30"/>
            <w:tabs>
              <w:tab w:val="right" w:leader="dot" w:pos="9792"/>
            </w:tabs>
            <w:rPr>
              <w:sz w:val="18"/>
              <w:szCs w:val="18"/>
            </w:rPr>
          </w:pPr>
          <w:r>
            <w:rPr>
              <w:sz w:val="18"/>
              <w:szCs w:val="18"/>
            </w:rPr>
            <w:fldChar w:fldCharType="begin"/>
          </w:r>
          <w:r>
            <w:rPr>
              <w:sz w:val="18"/>
              <w:szCs w:val="18"/>
            </w:rPr>
            <w:instrText xml:space="preserve"> HYPERLINK \l _Toc26615 </w:instrText>
          </w:r>
          <w:r>
            <w:rPr>
              <w:sz w:val="18"/>
              <w:szCs w:val="18"/>
            </w:rPr>
            <w:fldChar w:fldCharType="separate"/>
          </w:r>
          <w:r>
            <w:rPr>
              <w:rFonts w:ascii="微软雅黑" w:hAnsi="微软雅黑"/>
              <w:sz w:val="18"/>
              <w:szCs w:val="18"/>
            </w:rPr>
            <w:t>5.4 工业微电网与能源碳排放监测</w:t>
          </w:r>
          <w:r>
            <w:rPr>
              <w:sz w:val="18"/>
              <w:szCs w:val="18"/>
            </w:rPr>
            <w:tab/>
          </w:r>
          <w:r>
            <w:rPr>
              <w:sz w:val="18"/>
              <w:szCs w:val="18"/>
            </w:rPr>
            <w:fldChar w:fldCharType="begin"/>
          </w:r>
          <w:r>
            <w:rPr>
              <w:sz w:val="18"/>
              <w:szCs w:val="18"/>
            </w:rPr>
            <w:instrText xml:space="preserve"> PAGEREF _Toc26615 \h </w:instrText>
          </w:r>
          <w:r>
            <w:rPr>
              <w:sz w:val="18"/>
              <w:szCs w:val="18"/>
            </w:rPr>
            <w:fldChar w:fldCharType="separate"/>
          </w:r>
          <w:r>
            <w:rPr>
              <w:sz w:val="18"/>
              <w:szCs w:val="18"/>
            </w:rPr>
            <w:t>15</w:t>
          </w:r>
          <w:r>
            <w:rPr>
              <w:sz w:val="18"/>
              <w:szCs w:val="18"/>
            </w:rPr>
            <w:fldChar w:fldCharType="end"/>
          </w:r>
          <w:r>
            <w:rPr>
              <w:sz w:val="18"/>
              <w:szCs w:val="18"/>
            </w:rPr>
            <w:fldChar w:fldCharType="end"/>
          </w:r>
        </w:p>
        <w:p w14:paraId="5DD94275">
          <w:pPr>
            <w:pStyle w:val="24"/>
            <w:tabs>
              <w:tab w:val="right" w:leader="dot" w:pos="9792"/>
            </w:tabs>
            <w:rPr>
              <w:sz w:val="18"/>
              <w:szCs w:val="18"/>
            </w:rPr>
          </w:pPr>
          <w:r>
            <w:rPr>
              <w:sz w:val="18"/>
              <w:szCs w:val="18"/>
            </w:rPr>
            <w:fldChar w:fldCharType="begin"/>
          </w:r>
          <w:r>
            <w:rPr>
              <w:sz w:val="18"/>
              <w:szCs w:val="18"/>
            </w:rPr>
            <w:instrText xml:space="preserve"> HYPERLINK \l _Toc23606 </w:instrText>
          </w:r>
          <w:r>
            <w:rPr>
              <w:sz w:val="18"/>
              <w:szCs w:val="18"/>
            </w:rPr>
            <w:fldChar w:fldCharType="separate"/>
          </w:r>
          <w:r>
            <w:rPr>
              <w:rFonts w:ascii="微软雅黑" w:hAnsi="微软雅黑"/>
              <w:sz w:val="18"/>
              <w:szCs w:val="18"/>
            </w:rPr>
            <w:t>功能概述：1. 工业微电网监测 (NAV-ZC-MON-MICROGRID · /zero-carbon/monitor/online/microgrid)：</w:t>
          </w:r>
          <w:r>
            <w:rPr>
              <w:rFonts w:ascii="微软雅黑" w:hAnsi="微软雅黑"/>
              <w:sz w:val="18"/>
              <w:szCs w:val="18"/>
            </w:rPr>
            <w:t xml:space="preserve"> </w:t>
          </w:r>
          <w:r>
            <w:rPr>
              <w:rFonts w:ascii="微软雅黑" w:hAnsi="微软雅黑"/>
              <w:sz w:val="18"/>
              <w:szCs w:val="18"/>
            </w:rPr>
            <w:t xml:space="preserve">   - 汇聚屋顶分布式光伏、磷酸铁锂储能系统 (PCS+BMS) 及工业负荷构成交直流混合微电网；</w:t>
          </w:r>
          <w:r>
            <w:rPr>
              <w:rFonts w:ascii="微软雅黑" w:hAnsi="微软雅黑"/>
              <w:sz w:val="18"/>
              <w:szCs w:val="18"/>
            </w:rPr>
            <w:t xml:space="preserve"> </w:t>
          </w:r>
          <w:r>
            <w:rPr>
              <w:rFonts w:ascii="微软雅黑" w:hAnsi="微软雅黑"/>
              <w:sz w:val="18"/>
              <w:szCs w:val="18"/>
            </w:rPr>
            <w:t xml:space="preserve">   - 核心监控指标：光伏出力曲线 (24h走势)、储能充放电状态 (SOC/SOH/充放功率)、微电网绿电自发自用消纳率 R_micro；</w:t>
          </w:r>
          <w:r>
            <w:rPr>
              <w:rFonts w:ascii="微软雅黑" w:hAnsi="微软雅黑"/>
              <w:sz w:val="18"/>
              <w:szCs w:val="18"/>
            </w:rPr>
            <w:t xml:space="preserve"> </w:t>
          </w:r>
          <w:r>
            <w:rPr>
              <w:rFonts w:ascii="微软雅黑" w:hAnsi="微软雅黑"/>
              <w:sz w:val="18"/>
              <w:szCs w:val="18"/>
            </w:rPr>
            <w:t xml:space="preserve">   - 防逆流保护：实时计算下级负荷与光伏出力差额，当倒送电网功率 ≥ 10kW 时，微电网控制器毫秒级调节逆变器有功降额；</w:t>
          </w:r>
          <w:r>
            <w:rPr>
              <w:rFonts w:ascii="微软雅黑" w:hAnsi="微软雅黑"/>
              <w:sz w:val="18"/>
              <w:szCs w:val="18"/>
            </w:rPr>
            <w:t xml:space="preserve"> </w:t>
          </w:r>
          <w:r>
            <w:rPr>
              <w:rFonts w:ascii="微软雅黑" w:hAnsi="微软雅黑"/>
              <w:sz w:val="18"/>
              <w:szCs w:val="18"/>
            </w:rPr>
            <w:t>2. 能源碳排放监测 (NAV-ZC-MON-CARBON · /zero-carbon/monitor/carbon)：</w:t>
          </w:r>
          <w:r>
            <w:rPr>
              <w:rFonts w:ascii="微软雅黑" w:hAnsi="微软雅黑"/>
              <w:sz w:val="18"/>
              <w:szCs w:val="18"/>
            </w:rPr>
            <w:t xml:space="preserve"> </w:t>
          </w:r>
          <w:r>
            <w:rPr>
              <w:rFonts w:ascii="微软雅黑" w:hAnsi="微软雅黑"/>
              <w:sz w:val="18"/>
              <w:szCs w:val="18"/>
            </w:rPr>
            <w:t xml:space="preserve">   - Scope 1 化石燃烧直接排放：监测厂内退火炉天然气、备用发电机柴油等化石燃料燃烧产生的温室气体；</w:t>
          </w:r>
          <w:r>
            <w:rPr>
              <w:rFonts w:ascii="微软雅黑" w:hAnsi="微软雅黑"/>
              <w:sz w:val="18"/>
              <w:szCs w:val="18"/>
            </w:rPr>
            <w:t xml:space="preserve"> </w:t>
          </w:r>
          <w:r>
            <w:rPr>
              <w:rFonts w:ascii="微软雅黑" w:hAnsi="微软雅黑"/>
              <w:sz w:val="18"/>
              <w:szCs w:val="18"/>
            </w:rPr>
            <w:t xml:space="preserve">   - Scope 2 外购电热间接排放：监测外部电网输入电力及热网外购蒸汽隐含排放；</w:t>
          </w:r>
          <w:r>
            <w:rPr>
              <w:rFonts w:ascii="微软雅黑" w:hAnsi="微软雅黑"/>
              <w:sz w:val="18"/>
              <w:szCs w:val="18"/>
            </w:rPr>
            <w:t xml:space="preserve"> </w:t>
          </w:r>
          <w:r>
            <w:rPr>
              <w:rFonts w:ascii="微软雅黑" w:hAnsi="微软雅黑"/>
              <w:sz w:val="18"/>
              <w:szCs w:val="18"/>
            </w:rPr>
            <w:t xml:space="preserve">   - 碳减排抵消量：实时计算绿电使用折算的 CO2 减排当量并绘制走势图。</w:t>
          </w:r>
          <w:r>
            <w:rPr>
              <w:sz w:val="18"/>
              <w:szCs w:val="18"/>
            </w:rPr>
            <w:tab/>
          </w:r>
          <w:r>
            <w:rPr>
              <w:sz w:val="18"/>
              <w:szCs w:val="18"/>
            </w:rPr>
            <w:fldChar w:fldCharType="begin"/>
          </w:r>
          <w:r>
            <w:rPr>
              <w:sz w:val="18"/>
              <w:szCs w:val="18"/>
            </w:rPr>
            <w:instrText xml:space="preserve"> PAGEREF _Toc23606 \h </w:instrText>
          </w:r>
          <w:r>
            <w:rPr>
              <w:sz w:val="18"/>
              <w:szCs w:val="18"/>
            </w:rPr>
            <w:fldChar w:fldCharType="separate"/>
          </w:r>
          <w:r>
            <w:rPr>
              <w:sz w:val="18"/>
              <w:szCs w:val="18"/>
            </w:rPr>
            <w:t>15</w:t>
          </w:r>
          <w:r>
            <w:rPr>
              <w:sz w:val="18"/>
              <w:szCs w:val="18"/>
            </w:rPr>
            <w:fldChar w:fldCharType="end"/>
          </w:r>
          <w:r>
            <w:rPr>
              <w:sz w:val="18"/>
              <w:szCs w:val="18"/>
            </w:rPr>
            <w:fldChar w:fldCharType="end"/>
          </w:r>
        </w:p>
        <w:p w14:paraId="5D3B4F1C">
          <w:pPr>
            <w:pStyle w:val="27"/>
            <w:tabs>
              <w:tab w:val="right" w:leader="dot" w:pos="9792"/>
            </w:tabs>
            <w:rPr>
              <w:sz w:val="18"/>
              <w:szCs w:val="18"/>
            </w:rPr>
          </w:pPr>
          <w:r>
            <w:rPr>
              <w:sz w:val="18"/>
              <w:szCs w:val="18"/>
            </w:rPr>
            <w:fldChar w:fldCharType="begin"/>
          </w:r>
          <w:r>
            <w:rPr>
              <w:sz w:val="18"/>
              <w:szCs w:val="18"/>
            </w:rPr>
            <w:instrText xml:space="preserve"> HYPERLINK \l _Toc4417 </w:instrText>
          </w:r>
          <w:r>
            <w:rPr>
              <w:sz w:val="18"/>
              <w:szCs w:val="18"/>
            </w:rPr>
            <w:fldChar w:fldCharType="separate"/>
          </w:r>
          <w:r>
            <w:rPr>
              <w:rFonts w:ascii="微软雅黑" w:hAnsi="微软雅黑"/>
              <w:sz w:val="18"/>
              <w:szCs w:val="18"/>
            </w:rPr>
            <w:t>第 6 章 一级导航【能耗能效分析】</w:t>
          </w:r>
          <w:r>
            <w:rPr>
              <w:sz w:val="18"/>
              <w:szCs w:val="18"/>
            </w:rPr>
            <w:tab/>
          </w:r>
          <w:r>
            <w:rPr>
              <w:sz w:val="18"/>
              <w:szCs w:val="18"/>
            </w:rPr>
            <w:fldChar w:fldCharType="begin"/>
          </w:r>
          <w:r>
            <w:rPr>
              <w:sz w:val="18"/>
              <w:szCs w:val="18"/>
            </w:rPr>
            <w:instrText xml:space="preserve"> PAGEREF _Toc4417 \h </w:instrText>
          </w:r>
          <w:r>
            <w:rPr>
              <w:sz w:val="18"/>
              <w:szCs w:val="18"/>
            </w:rPr>
            <w:fldChar w:fldCharType="separate"/>
          </w:r>
          <w:r>
            <w:rPr>
              <w:sz w:val="18"/>
              <w:szCs w:val="18"/>
            </w:rPr>
            <w:t>16</w:t>
          </w:r>
          <w:r>
            <w:rPr>
              <w:sz w:val="18"/>
              <w:szCs w:val="18"/>
            </w:rPr>
            <w:fldChar w:fldCharType="end"/>
          </w:r>
          <w:r>
            <w:rPr>
              <w:sz w:val="18"/>
              <w:szCs w:val="18"/>
            </w:rPr>
            <w:fldChar w:fldCharType="end"/>
          </w:r>
        </w:p>
        <w:p w14:paraId="4D6D5F13">
          <w:pPr>
            <w:pStyle w:val="30"/>
            <w:tabs>
              <w:tab w:val="right" w:leader="dot" w:pos="9792"/>
            </w:tabs>
            <w:rPr>
              <w:sz w:val="18"/>
              <w:szCs w:val="18"/>
            </w:rPr>
          </w:pPr>
          <w:r>
            <w:rPr>
              <w:sz w:val="18"/>
              <w:szCs w:val="18"/>
            </w:rPr>
            <w:fldChar w:fldCharType="begin"/>
          </w:r>
          <w:r>
            <w:rPr>
              <w:sz w:val="18"/>
              <w:szCs w:val="18"/>
            </w:rPr>
            <w:instrText xml:space="preserve"> HYPERLINK \l _Toc23095 </w:instrText>
          </w:r>
          <w:r>
            <w:rPr>
              <w:sz w:val="18"/>
              <w:szCs w:val="18"/>
            </w:rPr>
            <w:fldChar w:fldCharType="separate"/>
          </w:r>
          <w:r>
            <w:rPr>
              <w:rFonts w:ascii="微软雅黑" w:hAnsi="微软雅黑"/>
              <w:sz w:val="18"/>
              <w:szCs w:val="18"/>
            </w:rPr>
            <w:t>6.1 用能结构分析与成本分析</w:t>
          </w:r>
          <w:r>
            <w:rPr>
              <w:sz w:val="18"/>
              <w:szCs w:val="18"/>
            </w:rPr>
            <w:tab/>
          </w:r>
          <w:r>
            <w:rPr>
              <w:sz w:val="18"/>
              <w:szCs w:val="18"/>
            </w:rPr>
            <w:fldChar w:fldCharType="begin"/>
          </w:r>
          <w:r>
            <w:rPr>
              <w:sz w:val="18"/>
              <w:szCs w:val="18"/>
            </w:rPr>
            <w:instrText xml:space="preserve"> PAGEREF _Toc23095 \h </w:instrText>
          </w:r>
          <w:r>
            <w:rPr>
              <w:sz w:val="18"/>
              <w:szCs w:val="18"/>
            </w:rPr>
            <w:fldChar w:fldCharType="separate"/>
          </w:r>
          <w:r>
            <w:rPr>
              <w:sz w:val="18"/>
              <w:szCs w:val="18"/>
            </w:rPr>
            <w:t>16</w:t>
          </w:r>
          <w:r>
            <w:rPr>
              <w:sz w:val="18"/>
              <w:szCs w:val="18"/>
            </w:rPr>
            <w:fldChar w:fldCharType="end"/>
          </w:r>
          <w:r>
            <w:rPr>
              <w:sz w:val="18"/>
              <w:szCs w:val="18"/>
            </w:rPr>
            <w:fldChar w:fldCharType="end"/>
          </w:r>
        </w:p>
        <w:p w14:paraId="0FF95EB1">
          <w:pPr>
            <w:pStyle w:val="30"/>
            <w:tabs>
              <w:tab w:val="right" w:leader="dot" w:pos="9792"/>
            </w:tabs>
            <w:rPr>
              <w:sz w:val="18"/>
              <w:szCs w:val="18"/>
            </w:rPr>
          </w:pPr>
          <w:r>
            <w:rPr>
              <w:sz w:val="18"/>
              <w:szCs w:val="18"/>
            </w:rPr>
            <w:fldChar w:fldCharType="begin"/>
          </w:r>
          <w:r>
            <w:rPr>
              <w:sz w:val="18"/>
              <w:szCs w:val="18"/>
            </w:rPr>
            <w:instrText xml:space="preserve"> HYPERLINK \l _Toc11971 </w:instrText>
          </w:r>
          <w:r>
            <w:rPr>
              <w:sz w:val="18"/>
              <w:szCs w:val="18"/>
            </w:rPr>
            <w:fldChar w:fldCharType="separate"/>
          </w:r>
          <w:r>
            <w:rPr>
              <w:rFonts w:ascii="微软雅黑" w:hAnsi="微软雅黑"/>
              <w:sz w:val="18"/>
              <w:szCs w:val="18"/>
            </w:rPr>
            <w:t>6.2 单位产品能耗 (NAV-ZC-ENG-PROD · /zero-carbon/energy/unit-product)</w:t>
          </w:r>
          <w:r>
            <w:rPr>
              <w:sz w:val="18"/>
              <w:szCs w:val="18"/>
            </w:rPr>
            <w:tab/>
          </w:r>
          <w:r>
            <w:rPr>
              <w:sz w:val="18"/>
              <w:szCs w:val="18"/>
            </w:rPr>
            <w:fldChar w:fldCharType="begin"/>
          </w:r>
          <w:r>
            <w:rPr>
              <w:sz w:val="18"/>
              <w:szCs w:val="18"/>
            </w:rPr>
            <w:instrText xml:space="preserve"> PAGEREF _Toc11971 \h </w:instrText>
          </w:r>
          <w:r>
            <w:rPr>
              <w:sz w:val="18"/>
              <w:szCs w:val="18"/>
            </w:rPr>
            <w:fldChar w:fldCharType="separate"/>
          </w:r>
          <w:r>
            <w:rPr>
              <w:sz w:val="18"/>
              <w:szCs w:val="18"/>
            </w:rPr>
            <w:t>17</w:t>
          </w:r>
          <w:r>
            <w:rPr>
              <w:sz w:val="18"/>
              <w:szCs w:val="18"/>
            </w:rPr>
            <w:fldChar w:fldCharType="end"/>
          </w:r>
          <w:r>
            <w:rPr>
              <w:sz w:val="18"/>
              <w:szCs w:val="18"/>
            </w:rPr>
            <w:fldChar w:fldCharType="end"/>
          </w:r>
        </w:p>
        <w:p w14:paraId="41CCC2E8">
          <w:pPr>
            <w:pStyle w:val="30"/>
            <w:tabs>
              <w:tab w:val="right" w:leader="dot" w:pos="9792"/>
            </w:tabs>
            <w:rPr>
              <w:sz w:val="18"/>
              <w:szCs w:val="18"/>
            </w:rPr>
          </w:pPr>
          <w:r>
            <w:rPr>
              <w:sz w:val="18"/>
              <w:szCs w:val="18"/>
            </w:rPr>
            <w:fldChar w:fldCharType="begin"/>
          </w:r>
          <w:r>
            <w:rPr>
              <w:sz w:val="18"/>
              <w:szCs w:val="18"/>
            </w:rPr>
            <w:instrText xml:space="preserve"> HYPERLINK \l _Toc11205 </w:instrText>
          </w:r>
          <w:r>
            <w:rPr>
              <w:sz w:val="18"/>
              <w:szCs w:val="18"/>
            </w:rPr>
            <w:fldChar w:fldCharType="separate"/>
          </w:r>
          <w:r>
            <w:rPr>
              <w:rFonts w:ascii="微软雅黑" w:hAnsi="微软雅黑"/>
              <w:sz w:val="18"/>
              <w:szCs w:val="18"/>
            </w:rPr>
            <w:t>6.3 单位产值能耗与对标管理</w:t>
          </w:r>
          <w:r>
            <w:rPr>
              <w:sz w:val="18"/>
              <w:szCs w:val="18"/>
            </w:rPr>
            <w:tab/>
          </w:r>
          <w:r>
            <w:rPr>
              <w:sz w:val="18"/>
              <w:szCs w:val="18"/>
            </w:rPr>
            <w:fldChar w:fldCharType="begin"/>
          </w:r>
          <w:r>
            <w:rPr>
              <w:sz w:val="18"/>
              <w:szCs w:val="18"/>
            </w:rPr>
            <w:instrText xml:space="preserve"> PAGEREF _Toc11205 \h </w:instrText>
          </w:r>
          <w:r>
            <w:rPr>
              <w:sz w:val="18"/>
              <w:szCs w:val="18"/>
            </w:rPr>
            <w:fldChar w:fldCharType="separate"/>
          </w:r>
          <w:r>
            <w:rPr>
              <w:sz w:val="18"/>
              <w:szCs w:val="18"/>
            </w:rPr>
            <w:t>18</w:t>
          </w:r>
          <w:r>
            <w:rPr>
              <w:sz w:val="18"/>
              <w:szCs w:val="18"/>
            </w:rPr>
            <w:fldChar w:fldCharType="end"/>
          </w:r>
          <w:r>
            <w:rPr>
              <w:sz w:val="18"/>
              <w:szCs w:val="18"/>
            </w:rPr>
            <w:fldChar w:fldCharType="end"/>
          </w:r>
        </w:p>
        <w:p w14:paraId="3116B55A">
          <w:pPr>
            <w:pStyle w:val="27"/>
            <w:tabs>
              <w:tab w:val="right" w:leader="dot" w:pos="9792"/>
            </w:tabs>
            <w:rPr>
              <w:sz w:val="18"/>
              <w:szCs w:val="18"/>
            </w:rPr>
          </w:pPr>
          <w:r>
            <w:rPr>
              <w:sz w:val="18"/>
              <w:szCs w:val="18"/>
            </w:rPr>
            <w:fldChar w:fldCharType="begin"/>
          </w:r>
          <w:r>
            <w:rPr>
              <w:sz w:val="18"/>
              <w:szCs w:val="18"/>
            </w:rPr>
            <w:instrText xml:space="preserve"> HYPERLINK \l _Toc27129 </w:instrText>
          </w:r>
          <w:r>
            <w:rPr>
              <w:sz w:val="18"/>
              <w:szCs w:val="18"/>
            </w:rPr>
            <w:fldChar w:fldCharType="separate"/>
          </w:r>
          <w:r>
            <w:rPr>
              <w:rFonts w:ascii="微软雅黑" w:hAnsi="微软雅黑"/>
              <w:sz w:val="18"/>
              <w:szCs w:val="18"/>
            </w:rPr>
            <w:t>第 7 章 一级导航【零碳项目评估】</w:t>
          </w:r>
          <w:r>
            <w:rPr>
              <w:sz w:val="18"/>
              <w:szCs w:val="18"/>
            </w:rPr>
            <w:tab/>
          </w:r>
          <w:r>
            <w:rPr>
              <w:sz w:val="18"/>
              <w:szCs w:val="18"/>
            </w:rPr>
            <w:fldChar w:fldCharType="begin"/>
          </w:r>
          <w:r>
            <w:rPr>
              <w:sz w:val="18"/>
              <w:szCs w:val="18"/>
            </w:rPr>
            <w:instrText xml:space="preserve"> PAGEREF _Toc27129 \h </w:instrText>
          </w:r>
          <w:r>
            <w:rPr>
              <w:sz w:val="18"/>
              <w:szCs w:val="18"/>
            </w:rPr>
            <w:fldChar w:fldCharType="separate"/>
          </w:r>
          <w:r>
            <w:rPr>
              <w:sz w:val="18"/>
              <w:szCs w:val="18"/>
            </w:rPr>
            <w:t>18</w:t>
          </w:r>
          <w:r>
            <w:rPr>
              <w:sz w:val="18"/>
              <w:szCs w:val="18"/>
            </w:rPr>
            <w:fldChar w:fldCharType="end"/>
          </w:r>
          <w:r>
            <w:rPr>
              <w:sz w:val="18"/>
              <w:szCs w:val="18"/>
            </w:rPr>
            <w:fldChar w:fldCharType="end"/>
          </w:r>
        </w:p>
        <w:p w14:paraId="246BEB8A">
          <w:pPr>
            <w:pStyle w:val="30"/>
            <w:tabs>
              <w:tab w:val="right" w:leader="dot" w:pos="9792"/>
            </w:tabs>
            <w:rPr>
              <w:sz w:val="18"/>
              <w:szCs w:val="18"/>
            </w:rPr>
          </w:pPr>
          <w:r>
            <w:rPr>
              <w:sz w:val="18"/>
              <w:szCs w:val="18"/>
            </w:rPr>
            <w:fldChar w:fldCharType="begin"/>
          </w:r>
          <w:r>
            <w:rPr>
              <w:sz w:val="18"/>
              <w:szCs w:val="18"/>
            </w:rPr>
            <w:instrText xml:space="preserve"> HYPERLINK \l _Toc24610 </w:instrText>
          </w:r>
          <w:r>
            <w:rPr>
              <w:sz w:val="18"/>
              <w:szCs w:val="18"/>
            </w:rPr>
            <w:fldChar w:fldCharType="separate"/>
          </w:r>
          <w:r>
            <w:rPr>
              <w:rFonts w:ascii="微软雅黑" w:hAnsi="微软雅黑"/>
              <w:sz w:val="18"/>
              <w:szCs w:val="18"/>
            </w:rPr>
            <w:t>7.1 项目档案、实时监控与节能效益评估</w:t>
          </w:r>
          <w:r>
            <w:rPr>
              <w:sz w:val="18"/>
              <w:szCs w:val="18"/>
            </w:rPr>
            <w:tab/>
          </w:r>
          <w:r>
            <w:rPr>
              <w:sz w:val="18"/>
              <w:szCs w:val="18"/>
            </w:rPr>
            <w:fldChar w:fldCharType="begin"/>
          </w:r>
          <w:r>
            <w:rPr>
              <w:sz w:val="18"/>
              <w:szCs w:val="18"/>
            </w:rPr>
            <w:instrText xml:space="preserve"> PAGEREF _Toc24610 \h </w:instrText>
          </w:r>
          <w:r>
            <w:rPr>
              <w:sz w:val="18"/>
              <w:szCs w:val="18"/>
            </w:rPr>
            <w:fldChar w:fldCharType="separate"/>
          </w:r>
          <w:r>
            <w:rPr>
              <w:sz w:val="18"/>
              <w:szCs w:val="18"/>
            </w:rPr>
            <w:t>18</w:t>
          </w:r>
          <w:r>
            <w:rPr>
              <w:sz w:val="18"/>
              <w:szCs w:val="18"/>
            </w:rPr>
            <w:fldChar w:fldCharType="end"/>
          </w:r>
          <w:r>
            <w:rPr>
              <w:sz w:val="18"/>
              <w:szCs w:val="18"/>
            </w:rPr>
            <w:fldChar w:fldCharType="end"/>
          </w:r>
        </w:p>
        <w:p w14:paraId="605C53E6">
          <w:pPr>
            <w:pStyle w:val="30"/>
            <w:tabs>
              <w:tab w:val="right" w:leader="dot" w:pos="9792"/>
            </w:tabs>
            <w:rPr>
              <w:sz w:val="18"/>
              <w:szCs w:val="18"/>
            </w:rPr>
          </w:pPr>
          <w:r>
            <w:rPr>
              <w:sz w:val="18"/>
              <w:szCs w:val="18"/>
            </w:rPr>
            <w:fldChar w:fldCharType="begin"/>
          </w:r>
          <w:r>
            <w:rPr>
              <w:sz w:val="18"/>
              <w:szCs w:val="18"/>
            </w:rPr>
            <w:instrText xml:space="preserve"> HYPERLINK \l _Toc14859 </w:instrText>
          </w:r>
          <w:r>
            <w:rPr>
              <w:sz w:val="18"/>
              <w:szCs w:val="18"/>
            </w:rPr>
            <w:fldChar w:fldCharType="separate"/>
          </w:r>
          <w:r>
            <w:rPr>
              <w:rFonts w:ascii="微软雅黑" w:hAnsi="微软雅黑"/>
              <w:sz w:val="18"/>
              <w:szCs w:val="18"/>
            </w:rPr>
            <w:t>7.2 零碳工厂自评估 (NAV-ZC-PRJ-SELF · /zero-carbon/project/self)</w:t>
          </w:r>
          <w:r>
            <w:rPr>
              <w:sz w:val="18"/>
              <w:szCs w:val="18"/>
            </w:rPr>
            <w:tab/>
          </w:r>
          <w:r>
            <w:rPr>
              <w:sz w:val="18"/>
              <w:szCs w:val="18"/>
            </w:rPr>
            <w:fldChar w:fldCharType="begin"/>
          </w:r>
          <w:r>
            <w:rPr>
              <w:sz w:val="18"/>
              <w:szCs w:val="18"/>
            </w:rPr>
            <w:instrText xml:space="preserve"> PAGEREF _Toc14859 \h </w:instrText>
          </w:r>
          <w:r>
            <w:rPr>
              <w:sz w:val="18"/>
              <w:szCs w:val="18"/>
            </w:rPr>
            <w:fldChar w:fldCharType="separate"/>
          </w:r>
          <w:r>
            <w:rPr>
              <w:sz w:val="18"/>
              <w:szCs w:val="18"/>
            </w:rPr>
            <w:t>18</w:t>
          </w:r>
          <w:r>
            <w:rPr>
              <w:sz w:val="18"/>
              <w:szCs w:val="18"/>
            </w:rPr>
            <w:fldChar w:fldCharType="end"/>
          </w:r>
          <w:r>
            <w:rPr>
              <w:sz w:val="18"/>
              <w:szCs w:val="18"/>
            </w:rPr>
            <w:fldChar w:fldCharType="end"/>
          </w:r>
        </w:p>
        <w:p w14:paraId="493B23B6">
          <w:pPr>
            <w:pStyle w:val="27"/>
            <w:tabs>
              <w:tab w:val="right" w:leader="dot" w:pos="9792"/>
            </w:tabs>
            <w:rPr>
              <w:sz w:val="18"/>
              <w:szCs w:val="18"/>
            </w:rPr>
          </w:pPr>
          <w:r>
            <w:rPr>
              <w:sz w:val="18"/>
              <w:szCs w:val="18"/>
            </w:rPr>
            <w:fldChar w:fldCharType="begin"/>
          </w:r>
          <w:r>
            <w:rPr>
              <w:sz w:val="18"/>
              <w:szCs w:val="18"/>
            </w:rPr>
            <w:instrText xml:space="preserve"> HYPERLINK \l _Toc19218 </w:instrText>
          </w:r>
          <w:r>
            <w:rPr>
              <w:sz w:val="18"/>
              <w:szCs w:val="18"/>
            </w:rPr>
            <w:fldChar w:fldCharType="separate"/>
          </w:r>
          <w:r>
            <w:rPr>
              <w:rFonts w:ascii="微软雅黑" w:hAnsi="微软雅黑"/>
              <w:sz w:val="18"/>
              <w:szCs w:val="18"/>
            </w:rPr>
            <w:t>第 8 章 一级导航【统计报表】</w:t>
          </w:r>
          <w:r>
            <w:rPr>
              <w:sz w:val="18"/>
              <w:szCs w:val="18"/>
            </w:rPr>
            <w:tab/>
          </w:r>
          <w:r>
            <w:rPr>
              <w:sz w:val="18"/>
              <w:szCs w:val="18"/>
            </w:rPr>
            <w:fldChar w:fldCharType="begin"/>
          </w:r>
          <w:r>
            <w:rPr>
              <w:sz w:val="18"/>
              <w:szCs w:val="18"/>
            </w:rPr>
            <w:instrText xml:space="preserve"> PAGEREF _Toc19218 \h </w:instrText>
          </w:r>
          <w:r>
            <w:rPr>
              <w:sz w:val="18"/>
              <w:szCs w:val="18"/>
            </w:rPr>
            <w:fldChar w:fldCharType="separate"/>
          </w:r>
          <w:r>
            <w:rPr>
              <w:sz w:val="18"/>
              <w:szCs w:val="18"/>
            </w:rPr>
            <w:t>19</w:t>
          </w:r>
          <w:r>
            <w:rPr>
              <w:sz w:val="18"/>
              <w:szCs w:val="18"/>
            </w:rPr>
            <w:fldChar w:fldCharType="end"/>
          </w:r>
          <w:r>
            <w:rPr>
              <w:sz w:val="18"/>
              <w:szCs w:val="18"/>
            </w:rPr>
            <w:fldChar w:fldCharType="end"/>
          </w:r>
        </w:p>
        <w:p w14:paraId="218F1958">
          <w:pPr>
            <w:pStyle w:val="27"/>
            <w:tabs>
              <w:tab w:val="right" w:leader="dot" w:pos="9792"/>
            </w:tabs>
            <w:rPr>
              <w:sz w:val="18"/>
              <w:szCs w:val="18"/>
            </w:rPr>
          </w:pPr>
          <w:r>
            <w:rPr>
              <w:sz w:val="18"/>
              <w:szCs w:val="18"/>
            </w:rPr>
            <w:fldChar w:fldCharType="begin"/>
          </w:r>
          <w:r>
            <w:rPr>
              <w:sz w:val="18"/>
              <w:szCs w:val="18"/>
            </w:rPr>
            <w:instrText xml:space="preserve"> HYPERLINK \l _Toc32739 </w:instrText>
          </w:r>
          <w:r>
            <w:rPr>
              <w:sz w:val="18"/>
              <w:szCs w:val="18"/>
            </w:rPr>
            <w:fldChar w:fldCharType="separate"/>
          </w:r>
          <w:r>
            <w:rPr>
              <w:rFonts w:ascii="微软雅黑" w:hAnsi="微软雅黑"/>
              <w:sz w:val="18"/>
              <w:szCs w:val="18"/>
            </w:rPr>
            <w:t>第 9 章 一级导航【基础管理】</w:t>
          </w:r>
          <w:r>
            <w:rPr>
              <w:sz w:val="18"/>
              <w:szCs w:val="18"/>
            </w:rPr>
            <w:tab/>
          </w:r>
          <w:r>
            <w:rPr>
              <w:sz w:val="18"/>
              <w:szCs w:val="18"/>
            </w:rPr>
            <w:fldChar w:fldCharType="begin"/>
          </w:r>
          <w:r>
            <w:rPr>
              <w:sz w:val="18"/>
              <w:szCs w:val="18"/>
            </w:rPr>
            <w:instrText xml:space="preserve"> PAGEREF _Toc32739 \h </w:instrText>
          </w:r>
          <w:r>
            <w:rPr>
              <w:sz w:val="18"/>
              <w:szCs w:val="18"/>
            </w:rPr>
            <w:fldChar w:fldCharType="separate"/>
          </w:r>
          <w:r>
            <w:rPr>
              <w:sz w:val="18"/>
              <w:szCs w:val="18"/>
            </w:rPr>
            <w:t>20</w:t>
          </w:r>
          <w:r>
            <w:rPr>
              <w:sz w:val="18"/>
              <w:szCs w:val="18"/>
            </w:rPr>
            <w:fldChar w:fldCharType="end"/>
          </w:r>
          <w:r>
            <w:rPr>
              <w:sz w:val="18"/>
              <w:szCs w:val="18"/>
            </w:rPr>
            <w:fldChar w:fldCharType="end"/>
          </w:r>
        </w:p>
        <w:p w14:paraId="4EFFBE69">
          <w:pPr>
            <w:pStyle w:val="30"/>
            <w:tabs>
              <w:tab w:val="right" w:leader="dot" w:pos="9792"/>
            </w:tabs>
            <w:rPr>
              <w:sz w:val="18"/>
              <w:szCs w:val="18"/>
            </w:rPr>
          </w:pPr>
          <w:r>
            <w:rPr>
              <w:sz w:val="18"/>
              <w:szCs w:val="18"/>
            </w:rPr>
            <w:fldChar w:fldCharType="begin"/>
          </w:r>
          <w:r>
            <w:rPr>
              <w:sz w:val="18"/>
              <w:szCs w:val="18"/>
            </w:rPr>
            <w:instrText xml:space="preserve"> HYPERLINK \l _Toc7471 </w:instrText>
          </w:r>
          <w:r>
            <w:rPr>
              <w:sz w:val="18"/>
              <w:szCs w:val="18"/>
            </w:rPr>
            <w:fldChar w:fldCharType="separate"/>
          </w:r>
          <w:r>
            <w:rPr>
              <w:rFonts w:ascii="微软雅黑" w:hAnsi="微软雅黑"/>
              <w:sz w:val="18"/>
              <w:szCs w:val="18"/>
            </w:rPr>
            <w:t>9.1 数据录入工作台 (NAV-ZC-CON-ENTRY · /zero-carbon/config/entry)</w:t>
          </w:r>
          <w:r>
            <w:rPr>
              <w:sz w:val="18"/>
              <w:szCs w:val="18"/>
            </w:rPr>
            <w:tab/>
          </w:r>
          <w:r>
            <w:rPr>
              <w:sz w:val="18"/>
              <w:szCs w:val="18"/>
            </w:rPr>
            <w:fldChar w:fldCharType="begin"/>
          </w:r>
          <w:r>
            <w:rPr>
              <w:sz w:val="18"/>
              <w:szCs w:val="18"/>
            </w:rPr>
            <w:instrText xml:space="preserve"> PAGEREF _Toc7471 \h </w:instrText>
          </w:r>
          <w:r>
            <w:rPr>
              <w:sz w:val="18"/>
              <w:szCs w:val="18"/>
            </w:rPr>
            <w:fldChar w:fldCharType="separate"/>
          </w:r>
          <w:r>
            <w:rPr>
              <w:sz w:val="18"/>
              <w:szCs w:val="18"/>
            </w:rPr>
            <w:t>20</w:t>
          </w:r>
          <w:r>
            <w:rPr>
              <w:sz w:val="18"/>
              <w:szCs w:val="18"/>
            </w:rPr>
            <w:fldChar w:fldCharType="end"/>
          </w:r>
          <w:r>
            <w:rPr>
              <w:sz w:val="18"/>
              <w:szCs w:val="18"/>
            </w:rPr>
            <w:fldChar w:fldCharType="end"/>
          </w:r>
        </w:p>
        <w:p w14:paraId="6E29B2A9">
          <w:pPr>
            <w:pStyle w:val="24"/>
            <w:tabs>
              <w:tab w:val="right" w:leader="dot" w:pos="9792"/>
            </w:tabs>
            <w:rPr>
              <w:sz w:val="18"/>
              <w:szCs w:val="18"/>
            </w:rPr>
          </w:pPr>
          <w:r>
            <w:rPr>
              <w:sz w:val="18"/>
              <w:szCs w:val="18"/>
            </w:rPr>
            <w:fldChar w:fldCharType="begin"/>
          </w:r>
          <w:r>
            <w:rPr>
              <w:sz w:val="18"/>
              <w:szCs w:val="18"/>
            </w:rPr>
            <w:instrText xml:space="preserve"> HYPERLINK \l _Toc30658 </w:instrText>
          </w:r>
          <w:r>
            <w:rPr>
              <w:sz w:val="18"/>
              <w:szCs w:val="18"/>
            </w:rPr>
            <w:fldChar w:fldCharType="separate"/>
          </w:r>
          <w:r>
            <w:rPr>
              <w:rFonts w:ascii="微软雅黑" w:hAnsi="微软雅黑"/>
              <w:sz w:val="18"/>
              <w:szCs w:val="18"/>
            </w:rPr>
            <w:t>9.1.1 Tab 1：产品产量录入 (Product Output Entry)</w:t>
          </w:r>
          <w:r>
            <w:rPr>
              <w:sz w:val="18"/>
              <w:szCs w:val="18"/>
            </w:rPr>
            <w:tab/>
          </w:r>
          <w:r>
            <w:rPr>
              <w:sz w:val="18"/>
              <w:szCs w:val="18"/>
            </w:rPr>
            <w:fldChar w:fldCharType="begin"/>
          </w:r>
          <w:r>
            <w:rPr>
              <w:sz w:val="18"/>
              <w:szCs w:val="18"/>
            </w:rPr>
            <w:instrText xml:space="preserve"> PAGEREF _Toc30658 \h </w:instrText>
          </w:r>
          <w:r>
            <w:rPr>
              <w:sz w:val="18"/>
              <w:szCs w:val="18"/>
            </w:rPr>
            <w:fldChar w:fldCharType="separate"/>
          </w:r>
          <w:r>
            <w:rPr>
              <w:sz w:val="18"/>
              <w:szCs w:val="18"/>
            </w:rPr>
            <w:t>20</w:t>
          </w:r>
          <w:r>
            <w:rPr>
              <w:sz w:val="18"/>
              <w:szCs w:val="18"/>
            </w:rPr>
            <w:fldChar w:fldCharType="end"/>
          </w:r>
          <w:r>
            <w:rPr>
              <w:sz w:val="18"/>
              <w:szCs w:val="18"/>
            </w:rPr>
            <w:fldChar w:fldCharType="end"/>
          </w:r>
        </w:p>
        <w:p w14:paraId="4A0C2EF6">
          <w:pPr>
            <w:pStyle w:val="24"/>
            <w:tabs>
              <w:tab w:val="right" w:leader="dot" w:pos="9792"/>
            </w:tabs>
            <w:rPr>
              <w:sz w:val="18"/>
              <w:szCs w:val="18"/>
            </w:rPr>
          </w:pPr>
          <w:r>
            <w:rPr>
              <w:sz w:val="18"/>
              <w:szCs w:val="18"/>
            </w:rPr>
            <w:fldChar w:fldCharType="begin"/>
          </w:r>
          <w:r>
            <w:rPr>
              <w:sz w:val="18"/>
              <w:szCs w:val="18"/>
            </w:rPr>
            <w:instrText xml:space="preserve"> HYPERLINK \l _Toc24467 </w:instrText>
          </w:r>
          <w:r>
            <w:rPr>
              <w:sz w:val="18"/>
              <w:szCs w:val="18"/>
            </w:rPr>
            <w:fldChar w:fldCharType="separate"/>
          </w:r>
          <w:r>
            <w:rPr>
              <w:rFonts w:ascii="微软雅黑" w:hAnsi="微软雅黑"/>
              <w:sz w:val="18"/>
              <w:szCs w:val="18"/>
            </w:rPr>
            <w:t>9.1.2 Tab 2：能源消耗录入 (Energy Consumption Entry)</w:t>
          </w:r>
          <w:r>
            <w:rPr>
              <w:sz w:val="18"/>
              <w:szCs w:val="18"/>
            </w:rPr>
            <w:tab/>
          </w:r>
          <w:r>
            <w:rPr>
              <w:sz w:val="18"/>
              <w:szCs w:val="18"/>
            </w:rPr>
            <w:fldChar w:fldCharType="begin"/>
          </w:r>
          <w:r>
            <w:rPr>
              <w:sz w:val="18"/>
              <w:szCs w:val="18"/>
            </w:rPr>
            <w:instrText xml:space="preserve"> PAGEREF _Toc24467 \h </w:instrText>
          </w:r>
          <w:r>
            <w:rPr>
              <w:sz w:val="18"/>
              <w:szCs w:val="18"/>
            </w:rPr>
            <w:fldChar w:fldCharType="separate"/>
          </w:r>
          <w:r>
            <w:rPr>
              <w:sz w:val="18"/>
              <w:szCs w:val="18"/>
            </w:rPr>
            <w:t>21</w:t>
          </w:r>
          <w:r>
            <w:rPr>
              <w:sz w:val="18"/>
              <w:szCs w:val="18"/>
            </w:rPr>
            <w:fldChar w:fldCharType="end"/>
          </w:r>
          <w:r>
            <w:rPr>
              <w:sz w:val="18"/>
              <w:szCs w:val="18"/>
            </w:rPr>
            <w:fldChar w:fldCharType="end"/>
          </w:r>
        </w:p>
        <w:p w14:paraId="14BDC741">
          <w:pPr>
            <w:pStyle w:val="24"/>
            <w:tabs>
              <w:tab w:val="right" w:leader="dot" w:pos="9792"/>
            </w:tabs>
            <w:rPr>
              <w:sz w:val="18"/>
              <w:szCs w:val="18"/>
            </w:rPr>
          </w:pPr>
          <w:r>
            <w:rPr>
              <w:sz w:val="18"/>
              <w:szCs w:val="18"/>
            </w:rPr>
            <w:fldChar w:fldCharType="begin"/>
          </w:r>
          <w:r>
            <w:rPr>
              <w:sz w:val="18"/>
              <w:szCs w:val="18"/>
            </w:rPr>
            <w:instrText xml:space="preserve"> HYPERLINK \l _Toc21680 </w:instrText>
          </w:r>
          <w:r>
            <w:rPr>
              <w:sz w:val="18"/>
              <w:szCs w:val="18"/>
            </w:rPr>
            <w:fldChar w:fldCharType="separate"/>
          </w:r>
          <w:r>
            <w:rPr>
              <w:rFonts w:ascii="微软雅黑" w:hAnsi="微软雅黑"/>
              <w:sz w:val="18"/>
              <w:szCs w:val="18"/>
            </w:rPr>
            <w:t>9.1.3 Tab 3：园区相册维护 与 Tab 4：园区大事记维护</w:t>
          </w:r>
          <w:r>
            <w:rPr>
              <w:sz w:val="18"/>
              <w:szCs w:val="18"/>
            </w:rPr>
            <w:tab/>
          </w:r>
          <w:r>
            <w:rPr>
              <w:sz w:val="18"/>
              <w:szCs w:val="18"/>
            </w:rPr>
            <w:fldChar w:fldCharType="begin"/>
          </w:r>
          <w:r>
            <w:rPr>
              <w:sz w:val="18"/>
              <w:szCs w:val="18"/>
            </w:rPr>
            <w:instrText xml:space="preserve"> PAGEREF _Toc21680 \h </w:instrText>
          </w:r>
          <w:r>
            <w:rPr>
              <w:sz w:val="18"/>
              <w:szCs w:val="18"/>
            </w:rPr>
            <w:fldChar w:fldCharType="separate"/>
          </w:r>
          <w:r>
            <w:rPr>
              <w:sz w:val="18"/>
              <w:szCs w:val="18"/>
            </w:rPr>
            <w:t>21</w:t>
          </w:r>
          <w:r>
            <w:rPr>
              <w:sz w:val="18"/>
              <w:szCs w:val="18"/>
            </w:rPr>
            <w:fldChar w:fldCharType="end"/>
          </w:r>
          <w:r>
            <w:rPr>
              <w:sz w:val="18"/>
              <w:szCs w:val="18"/>
            </w:rPr>
            <w:fldChar w:fldCharType="end"/>
          </w:r>
        </w:p>
        <w:p w14:paraId="40BE480D">
          <w:pPr>
            <w:pStyle w:val="30"/>
            <w:tabs>
              <w:tab w:val="right" w:leader="dot" w:pos="9792"/>
            </w:tabs>
            <w:rPr>
              <w:sz w:val="18"/>
              <w:szCs w:val="18"/>
            </w:rPr>
          </w:pPr>
          <w:r>
            <w:rPr>
              <w:sz w:val="18"/>
              <w:szCs w:val="18"/>
            </w:rPr>
            <w:fldChar w:fldCharType="begin"/>
          </w:r>
          <w:r>
            <w:rPr>
              <w:sz w:val="18"/>
              <w:szCs w:val="18"/>
            </w:rPr>
            <w:instrText xml:space="preserve"> HYPERLINK \l _Toc30237 </w:instrText>
          </w:r>
          <w:r>
            <w:rPr>
              <w:sz w:val="18"/>
              <w:szCs w:val="18"/>
            </w:rPr>
            <w:fldChar w:fldCharType="separate"/>
          </w:r>
          <w:r>
            <w:rPr>
              <w:rFonts w:ascii="微软雅黑" w:hAnsi="微软雅黑"/>
              <w:sz w:val="18"/>
              <w:szCs w:val="18"/>
            </w:rPr>
            <w:t>9.2 基础参数配置 (NAV-ZC-CON-PARAM)</w:t>
          </w:r>
          <w:r>
            <w:rPr>
              <w:sz w:val="18"/>
              <w:szCs w:val="18"/>
            </w:rPr>
            <w:tab/>
          </w:r>
          <w:r>
            <w:rPr>
              <w:sz w:val="18"/>
              <w:szCs w:val="18"/>
            </w:rPr>
            <w:fldChar w:fldCharType="begin"/>
          </w:r>
          <w:r>
            <w:rPr>
              <w:sz w:val="18"/>
              <w:szCs w:val="18"/>
            </w:rPr>
            <w:instrText xml:space="preserve"> PAGEREF _Toc30237 \h </w:instrText>
          </w:r>
          <w:r>
            <w:rPr>
              <w:sz w:val="18"/>
              <w:szCs w:val="18"/>
            </w:rPr>
            <w:fldChar w:fldCharType="separate"/>
          </w:r>
          <w:r>
            <w:rPr>
              <w:sz w:val="18"/>
              <w:szCs w:val="18"/>
            </w:rPr>
            <w:t>21</w:t>
          </w:r>
          <w:r>
            <w:rPr>
              <w:sz w:val="18"/>
              <w:szCs w:val="18"/>
            </w:rPr>
            <w:fldChar w:fldCharType="end"/>
          </w:r>
          <w:r>
            <w:rPr>
              <w:sz w:val="18"/>
              <w:szCs w:val="18"/>
            </w:rPr>
            <w:fldChar w:fldCharType="end"/>
          </w:r>
        </w:p>
        <w:p w14:paraId="2FD8B3AD">
          <w:pPr>
            <w:pStyle w:val="27"/>
            <w:tabs>
              <w:tab w:val="right" w:leader="dot" w:pos="9792"/>
            </w:tabs>
            <w:rPr>
              <w:sz w:val="18"/>
              <w:szCs w:val="18"/>
            </w:rPr>
          </w:pPr>
          <w:r>
            <w:rPr>
              <w:sz w:val="18"/>
              <w:szCs w:val="18"/>
            </w:rPr>
            <w:fldChar w:fldCharType="begin"/>
          </w:r>
          <w:r>
            <w:rPr>
              <w:sz w:val="18"/>
              <w:szCs w:val="18"/>
            </w:rPr>
            <w:instrText xml:space="preserve"> HYPERLINK \l _Toc15418 </w:instrText>
          </w:r>
          <w:r>
            <w:rPr>
              <w:sz w:val="18"/>
              <w:szCs w:val="18"/>
            </w:rPr>
            <w:fldChar w:fldCharType="separate"/>
          </w:r>
          <w:r>
            <w:rPr>
              <w:rFonts w:ascii="微软雅黑" w:hAnsi="微软雅黑"/>
              <w:sz w:val="18"/>
              <w:szCs w:val="18"/>
            </w:rPr>
            <w:t>第三篇：【平台二】产品碳足迹集采中心功能需求规格（逐层拆解）</w:t>
          </w:r>
          <w:r>
            <w:rPr>
              <w:sz w:val="18"/>
              <w:szCs w:val="18"/>
            </w:rPr>
            <w:tab/>
          </w:r>
          <w:r>
            <w:rPr>
              <w:sz w:val="18"/>
              <w:szCs w:val="18"/>
            </w:rPr>
            <w:fldChar w:fldCharType="begin"/>
          </w:r>
          <w:r>
            <w:rPr>
              <w:sz w:val="18"/>
              <w:szCs w:val="18"/>
            </w:rPr>
            <w:instrText xml:space="preserve"> PAGEREF _Toc15418 \h </w:instrText>
          </w:r>
          <w:r>
            <w:rPr>
              <w:sz w:val="18"/>
              <w:szCs w:val="18"/>
            </w:rPr>
            <w:fldChar w:fldCharType="separate"/>
          </w:r>
          <w:r>
            <w:rPr>
              <w:sz w:val="18"/>
              <w:szCs w:val="18"/>
            </w:rPr>
            <w:t>22</w:t>
          </w:r>
          <w:r>
            <w:rPr>
              <w:sz w:val="18"/>
              <w:szCs w:val="18"/>
            </w:rPr>
            <w:fldChar w:fldCharType="end"/>
          </w:r>
          <w:r>
            <w:rPr>
              <w:sz w:val="18"/>
              <w:szCs w:val="18"/>
            </w:rPr>
            <w:fldChar w:fldCharType="end"/>
          </w:r>
        </w:p>
        <w:p w14:paraId="65D23BA5">
          <w:pPr>
            <w:pStyle w:val="27"/>
            <w:tabs>
              <w:tab w:val="right" w:leader="dot" w:pos="9792"/>
            </w:tabs>
            <w:rPr>
              <w:sz w:val="18"/>
              <w:szCs w:val="18"/>
            </w:rPr>
          </w:pPr>
          <w:r>
            <w:rPr>
              <w:sz w:val="18"/>
              <w:szCs w:val="18"/>
            </w:rPr>
            <w:fldChar w:fldCharType="begin"/>
          </w:r>
          <w:r>
            <w:rPr>
              <w:sz w:val="18"/>
              <w:szCs w:val="18"/>
            </w:rPr>
            <w:instrText xml:space="preserve"> HYPERLINK \l _Toc9378 </w:instrText>
          </w:r>
          <w:r>
            <w:rPr>
              <w:sz w:val="18"/>
              <w:szCs w:val="18"/>
            </w:rPr>
            <w:fldChar w:fldCharType="separate"/>
          </w:r>
          <w:r>
            <w:rPr>
              <w:rFonts w:ascii="微软雅黑" w:hAnsi="微软雅黑"/>
              <w:sz w:val="18"/>
              <w:szCs w:val="18"/>
            </w:rPr>
            <w:t>第 10 章 一级导航【对外示范窗口】(NAV-CF-DEMO-COCKPIT · /carbon-footprint/cockpit)</w:t>
          </w:r>
          <w:r>
            <w:rPr>
              <w:sz w:val="18"/>
              <w:szCs w:val="18"/>
            </w:rPr>
            <w:tab/>
          </w:r>
          <w:r>
            <w:rPr>
              <w:sz w:val="18"/>
              <w:szCs w:val="18"/>
            </w:rPr>
            <w:fldChar w:fldCharType="begin"/>
          </w:r>
          <w:r>
            <w:rPr>
              <w:sz w:val="18"/>
              <w:szCs w:val="18"/>
            </w:rPr>
            <w:instrText xml:space="preserve"> PAGEREF _Toc9378 \h </w:instrText>
          </w:r>
          <w:r>
            <w:rPr>
              <w:sz w:val="18"/>
              <w:szCs w:val="18"/>
            </w:rPr>
            <w:fldChar w:fldCharType="separate"/>
          </w:r>
          <w:r>
            <w:rPr>
              <w:sz w:val="18"/>
              <w:szCs w:val="18"/>
            </w:rPr>
            <w:t>22</w:t>
          </w:r>
          <w:r>
            <w:rPr>
              <w:sz w:val="18"/>
              <w:szCs w:val="18"/>
            </w:rPr>
            <w:fldChar w:fldCharType="end"/>
          </w:r>
          <w:r>
            <w:rPr>
              <w:sz w:val="18"/>
              <w:szCs w:val="18"/>
            </w:rPr>
            <w:fldChar w:fldCharType="end"/>
          </w:r>
        </w:p>
        <w:p w14:paraId="15F79A78">
          <w:pPr>
            <w:pStyle w:val="27"/>
            <w:tabs>
              <w:tab w:val="right" w:leader="dot" w:pos="9792"/>
            </w:tabs>
            <w:rPr>
              <w:sz w:val="18"/>
              <w:szCs w:val="18"/>
            </w:rPr>
          </w:pPr>
          <w:r>
            <w:rPr>
              <w:sz w:val="18"/>
              <w:szCs w:val="18"/>
            </w:rPr>
            <w:fldChar w:fldCharType="begin"/>
          </w:r>
          <w:r>
            <w:rPr>
              <w:sz w:val="18"/>
              <w:szCs w:val="18"/>
            </w:rPr>
            <w:instrText xml:space="preserve"> HYPERLINK \l _Toc19807 </w:instrText>
          </w:r>
          <w:r>
            <w:rPr>
              <w:sz w:val="18"/>
              <w:szCs w:val="18"/>
            </w:rPr>
            <w:fldChar w:fldCharType="separate"/>
          </w:r>
          <w:r>
            <w:rPr>
              <w:rFonts w:ascii="微软雅黑" w:hAnsi="微软雅黑"/>
              <w:sz w:val="18"/>
              <w:szCs w:val="18"/>
            </w:rPr>
            <w:t>第 11 章 一级导航【多维分析】</w:t>
          </w:r>
          <w:r>
            <w:rPr>
              <w:sz w:val="18"/>
              <w:szCs w:val="18"/>
            </w:rPr>
            <w:tab/>
          </w:r>
          <w:r>
            <w:rPr>
              <w:sz w:val="18"/>
              <w:szCs w:val="18"/>
            </w:rPr>
            <w:fldChar w:fldCharType="begin"/>
          </w:r>
          <w:r>
            <w:rPr>
              <w:sz w:val="18"/>
              <w:szCs w:val="18"/>
            </w:rPr>
            <w:instrText xml:space="preserve"> PAGEREF _Toc19807 \h </w:instrText>
          </w:r>
          <w:r>
            <w:rPr>
              <w:sz w:val="18"/>
              <w:szCs w:val="18"/>
            </w:rPr>
            <w:fldChar w:fldCharType="separate"/>
          </w:r>
          <w:r>
            <w:rPr>
              <w:sz w:val="18"/>
              <w:szCs w:val="18"/>
            </w:rPr>
            <w:t>22</w:t>
          </w:r>
          <w:r>
            <w:rPr>
              <w:sz w:val="18"/>
              <w:szCs w:val="18"/>
            </w:rPr>
            <w:fldChar w:fldCharType="end"/>
          </w:r>
          <w:r>
            <w:rPr>
              <w:sz w:val="18"/>
              <w:szCs w:val="18"/>
            </w:rPr>
            <w:fldChar w:fldCharType="end"/>
          </w:r>
        </w:p>
        <w:p w14:paraId="0F00FE61">
          <w:pPr>
            <w:pStyle w:val="30"/>
            <w:tabs>
              <w:tab w:val="right" w:leader="dot" w:pos="9792"/>
            </w:tabs>
            <w:rPr>
              <w:sz w:val="18"/>
              <w:szCs w:val="18"/>
            </w:rPr>
          </w:pPr>
          <w:r>
            <w:rPr>
              <w:sz w:val="18"/>
              <w:szCs w:val="18"/>
            </w:rPr>
            <w:fldChar w:fldCharType="begin"/>
          </w:r>
          <w:r>
            <w:rPr>
              <w:sz w:val="18"/>
              <w:szCs w:val="18"/>
            </w:rPr>
            <w:instrText xml:space="preserve"> HYPERLINK \l _Toc14012 </w:instrText>
          </w:r>
          <w:r>
            <w:rPr>
              <w:sz w:val="18"/>
              <w:szCs w:val="18"/>
            </w:rPr>
            <w:fldChar w:fldCharType="separate"/>
          </w:r>
          <w:r>
            <w:rPr>
              <w:rFonts w:ascii="微软雅黑" w:hAnsi="微软雅黑"/>
              <w:sz w:val="18"/>
              <w:szCs w:val="18"/>
            </w:rPr>
            <w:t>11.1 横向对比分析 (NAV-CF-ANA-COMPARE · /carbon-footprint/analysis/compare)</w:t>
          </w:r>
          <w:r>
            <w:rPr>
              <w:sz w:val="18"/>
              <w:szCs w:val="18"/>
            </w:rPr>
            <w:tab/>
          </w:r>
          <w:r>
            <w:rPr>
              <w:sz w:val="18"/>
              <w:szCs w:val="18"/>
            </w:rPr>
            <w:fldChar w:fldCharType="begin"/>
          </w:r>
          <w:r>
            <w:rPr>
              <w:sz w:val="18"/>
              <w:szCs w:val="18"/>
            </w:rPr>
            <w:instrText xml:space="preserve"> PAGEREF _Toc14012 \h </w:instrText>
          </w:r>
          <w:r>
            <w:rPr>
              <w:sz w:val="18"/>
              <w:szCs w:val="18"/>
            </w:rPr>
            <w:fldChar w:fldCharType="separate"/>
          </w:r>
          <w:r>
            <w:rPr>
              <w:sz w:val="18"/>
              <w:szCs w:val="18"/>
            </w:rPr>
            <w:t>22</w:t>
          </w:r>
          <w:r>
            <w:rPr>
              <w:sz w:val="18"/>
              <w:szCs w:val="18"/>
            </w:rPr>
            <w:fldChar w:fldCharType="end"/>
          </w:r>
          <w:r>
            <w:rPr>
              <w:sz w:val="18"/>
              <w:szCs w:val="18"/>
            </w:rPr>
            <w:fldChar w:fldCharType="end"/>
          </w:r>
        </w:p>
        <w:p w14:paraId="2F7992B8">
          <w:pPr>
            <w:pStyle w:val="30"/>
            <w:tabs>
              <w:tab w:val="right" w:leader="dot" w:pos="9792"/>
            </w:tabs>
            <w:rPr>
              <w:sz w:val="18"/>
              <w:szCs w:val="18"/>
            </w:rPr>
          </w:pPr>
          <w:r>
            <w:rPr>
              <w:sz w:val="18"/>
              <w:szCs w:val="18"/>
            </w:rPr>
            <w:fldChar w:fldCharType="begin"/>
          </w:r>
          <w:r>
            <w:rPr>
              <w:sz w:val="18"/>
              <w:szCs w:val="18"/>
            </w:rPr>
            <w:instrText xml:space="preserve"> HYPERLINK \l _Toc29592 </w:instrText>
          </w:r>
          <w:r>
            <w:rPr>
              <w:sz w:val="18"/>
              <w:szCs w:val="18"/>
            </w:rPr>
            <w:fldChar w:fldCharType="separate"/>
          </w:r>
          <w:r>
            <w:rPr>
              <w:rFonts w:ascii="微软雅黑" w:hAnsi="微软雅黑"/>
              <w:sz w:val="18"/>
              <w:szCs w:val="18"/>
            </w:rPr>
            <w:t>11.2 纵向追溯分析 (NAV-CF-ANA-RANKING · /carbon-footprint/analysis/ranking)</w:t>
          </w:r>
          <w:r>
            <w:rPr>
              <w:sz w:val="18"/>
              <w:szCs w:val="18"/>
            </w:rPr>
            <w:tab/>
          </w:r>
          <w:r>
            <w:rPr>
              <w:sz w:val="18"/>
              <w:szCs w:val="18"/>
            </w:rPr>
            <w:fldChar w:fldCharType="begin"/>
          </w:r>
          <w:r>
            <w:rPr>
              <w:sz w:val="18"/>
              <w:szCs w:val="18"/>
            </w:rPr>
            <w:instrText xml:space="preserve"> PAGEREF _Toc29592 \h </w:instrText>
          </w:r>
          <w:r>
            <w:rPr>
              <w:sz w:val="18"/>
              <w:szCs w:val="18"/>
            </w:rPr>
            <w:fldChar w:fldCharType="separate"/>
          </w:r>
          <w:r>
            <w:rPr>
              <w:sz w:val="18"/>
              <w:szCs w:val="18"/>
            </w:rPr>
            <w:t>22</w:t>
          </w:r>
          <w:r>
            <w:rPr>
              <w:sz w:val="18"/>
              <w:szCs w:val="18"/>
            </w:rPr>
            <w:fldChar w:fldCharType="end"/>
          </w:r>
          <w:r>
            <w:rPr>
              <w:sz w:val="18"/>
              <w:szCs w:val="18"/>
            </w:rPr>
            <w:fldChar w:fldCharType="end"/>
          </w:r>
        </w:p>
        <w:p w14:paraId="571D1F22">
          <w:pPr>
            <w:pStyle w:val="27"/>
            <w:tabs>
              <w:tab w:val="right" w:leader="dot" w:pos="9792"/>
            </w:tabs>
            <w:rPr>
              <w:sz w:val="18"/>
              <w:szCs w:val="18"/>
            </w:rPr>
          </w:pPr>
          <w:r>
            <w:rPr>
              <w:sz w:val="18"/>
              <w:szCs w:val="18"/>
            </w:rPr>
            <w:fldChar w:fldCharType="begin"/>
          </w:r>
          <w:r>
            <w:rPr>
              <w:sz w:val="18"/>
              <w:szCs w:val="18"/>
            </w:rPr>
            <w:instrText xml:space="preserve"> HYPERLINK \l _Toc10018 </w:instrText>
          </w:r>
          <w:r>
            <w:rPr>
              <w:sz w:val="18"/>
              <w:szCs w:val="18"/>
            </w:rPr>
            <w:fldChar w:fldCharType="separate"/>
          </w:r>
          <w:r>
            <w:rPr>
              <w:rFonts w:ascii="微软雅黑" w:hAnsi="微软雅黑"/>
              <w:sz w:val="18"/>
              <w:szCs w:val="18"/>
            </w:rPr>
            <w:t>第 12 章 一级导航【实景数据库与碳足迹核算】</w:t>
          </w:r>
          <w:r>
            <w:rPr>
              <w:sz w:val="18"/>
              <w:szCs w:val="18"/>
            </w:rPr>
            <w:tab/>
          </w:r>
          <w:r>
            <w:rPr>
              <w:sz w:val="18"/>
              <w:szCs w:val="18"/>
            </w:rPr>
            <w:fldChar w:fldCharType="begin"/>
          </w:r>
          <w:r>
            <w:rPr>
              <w:sz w:val="18"/>
              <w:szCs w:val="18"/>
            </w:rPr>
            <w:instrText xml:space="preserve"> PAGEREF _Toc10018 \h </w:instrText>
          </w:r>
          <w:r>
            <w:rPr>
              <w:sz w:val="18"/>
              <w:szCs w:val="18"/>
            </w:rPr>
            <w:fldChar w:fldCharType="separate"/>
          </w:r>
          <w:r>
            <w:rPr>
              <w:sz w:val="18"/>
              <w:szCs w:val="18"/>
            </w:rPr>
            <w:t>23</w:t>
          </w:r>
          <w:r>
            <w:rPr>
              <w:sz w:val="18"/>
              <w:szCs w:val="18"/>
            </w:rPr>
            <w:fldChar w:fldCharType="end"/>
          </w:r>
          <w:r>
            <w:rPr>
              <w:sz w:val="18"/>
              <w:szCs w:val="18"/>
            </w:rPr>
            <w:fldChar w:fldCharType="end"/>
          </w:r>
        </w:p>
        <w:p w14:paraId="5CEDBB54">
          <w:pPr>
            <w:pStyle w:val="30"/>
            <w:tabs>
              <w:tab w:val="right" w:leader="dot" w:pos="9792"/>
            </w:tabs>
            <w:rPr>
              <w:sz w:val="18"/>
              <w:szCs w:val="18"/>
            </w:rPr>
          </w:pPr>
          <w:r>
            <w:rPr>
              <w:sz w:val="18"/>
              <w:szCs w:val="18"/>
            </w:rPr>
            <w:fldChar w:fldCharType="begin"/>
          </w:r>
          <w:r>
            <w:rPr>
              <w:sz w:val="18"/>
              <w:szCs w:val="18"/>
            </w:rPr>
            <w:instrText xml:space="preserve"> HYPERLINK \l _Toc3927 </w:instrText>
          </w:r>
          <w:r>
            <w:rPr>
              <w:sz w:val="18"/>
              <w:szCs w:val="18"/>
            </w:rPr>
            <w:fldChar w:fldCharType="separate"/>
          </w:r>
          <w:r>
            <w:rPr>
              <w:rFonts w:ascii="微软雅黑" w:hAnsi="微软雅黑"/>
              <w:sz w:val="18"/>
              <w:szCs w:val="18"/>
            </w:rPr>
            <w:t>12.1 工业实景数据库 (NAV-CF-DB-REALSCENE · /carbon-footprint/database/realscene)</w:t>
          </w:r>
          <w:r>
            <w:rPr>
              <w:sz w:val="18"/>
              <w:szCs w:val="18"/>
            </w:rPr>
            <w:tab/>
          </w:r>
          <w:r>
            <w:rPr>
              <w:sz w:val="18"/>
              <w:szCs w:val="18"/>
            </w:rPr>
            <w:fldChar w:fldCharType="begin"/>
          </w:r>
          <w:r>
            <w:rPr>
              <w:sz w:val="18"/>
              <w:szCs w:val="18"/>
            </w:rPr>
            <w:instrText xml:space="preserve"> PAGEREF _Toc3927 \h </w:instrText>
          </w:r>
          <w:r>
            <w:rPr>
              <w:sz w:val="18"/>
              <w:szCs w:val="18"/>
            </w:rPr>
            <w:fldChar w:fldCharType="separate"/>
          </w:r>
          <w:r>
            <w:rPr>
              <w:sz w:val="18"/>
              <w:szCs w:val="18"/>
            </w:rPr>
            <w:t>23</w:t>
          </w:r>
          <w:r>
            <w:rPr>
              <w:sz w:val="18"/>
              <w:szCs w:val="18"/>
            </w:rPr>
            <w:fldChar w:fldCharType="end"/>
          </w:r>
          <w:r>
            <w:rPr>
              <w:sz w:val="18"/>
              <w:szCs w:val="18"/>
            </w:rPr>
            <w:fldChar w:fldCharType="end"/>
          </w:r>
        </w:p>
        <w:p w14:paraId="5BD0BA73">
          <w:pPr>
            <w:pStyle w:val="30"/>
            <w:tabs>
              <w:tab w:val="right" w:leader="dot" w:pos="9792"/>
            </w:tabs>
            <w:rPr>
              <w:sz w:val="18"/>
              <w:szCs w:val="18"/>
            </w:rPr>
          </w:pPr>
          <w:r>
            <w:rPr>
              <w:sz w:val="18"/>
              <w:szCs w:val="18"/>
            </w:rPr>
            <w:fldChar w:fldCharType="begin"/>
          </w:r>
          <w:r>
            <w:rPr>
              <w:sz w:val="18"/>
              <w:szCs w:val="18"/>
            </w:rPr>
            <w:instrText xml:space="preserve"> HYPERLINK \l _Toc19116 </w:instrText>
          </w:r>
          <w:r>
            <w:rPr>
              <w:sz w:val="18"/>
              <w:szCs w:val="18"/>
            </w:rPr>
            <w:fldChar w:fldCharType="separate"/>
          </w:r>
          <w:r>
            <w:rPr>
              <w:rFonts w:ascii="微软雅黑" w:hAnsi="微软雅黑"/>
              <w:sz w:val="18"/>
              <w:szCs w:val="18"/>
            </w:rPr>
            <w:t>12.2 LCA 碳足迹核算引擎 (NAV-CF-DB-ACCOUNTING · /carbon-footprint/database/accounting)</w:t>
          </w:r>
          <w:r>
            <w:rPr>
              <w:sz w:val="18"/>
              <w:szCs w:val="18"/>
            </w:rPr>
            <w:tab/>
          </w:r>
          <w:r>
            <w:rPr>
              <w:sz w:val="18"/>
              <w:szCs w:val="18"/>
            </w:rPr>
            <w:fldChar w:fldCharType="begin"/>
          </w:r>
          <w:r>
            <w:rPr>
              <w:sz w:val="18"/>
              <w:szCs w:val="18"/>
            </w:rPr>
            <w:instrText xml:space="preserve"> PAGEREF _Toc19116 \h </w:instrText>
          </w:r>
          <w:r>
            <w:rPr>
              <w:sz w:val="18"/>
              <w:szCs w:val="18"/>
            </w:rPr>
            <w:fldChar w:fldCharType="separate"/>
          </w:r>
          <w:r>
            <w:rPr>
              <w:sz w:val="18"/>
              <w:szCs w:val="18"/>
            </w:rPr>
            <w:t>23</w:t>
          </w:r>
          <w:r>
            <w:rPr>
              <w:sz w:val="18"/>
              <w:szCs w:val="18"/>
            </w:rPr>
            <w:fldChar w:fldCharType="end"/>
          </w:r>
          <w:r>
            <w:rPr>
              <w:sz w:val="18"/>
              <w:szCs w:val="18"/>
            </w:rPr>
            <w:fldChar w:fldCharType="end"/>
          </w:r>
        </w:p>
        <w:p w14:paraId="3D165919">
          <w:pPr>
            <w:pStyle w:val="30"/>
            <w:tabs>
              <w:tab w:val="right" w:leader="dot" w:pos="9792"/>
            </w:tabs>
            <w:rPr>
              <w:sz w:val="18"/>
              <w:szCs w:val="18"/>
            </w:rPr>
          </w:pPr>
          <w:r>
            <w:rPr>
              <w:sz w:val="18"/>
              <w:szCs w:val="18"/>
            </w:rPr>
            <w:fldChar w:fldCharType="begin"/>
          </w:r>
          <w:r>
            <w:rPr>
              <w:sz w:val="18"/>
              <w:szCs w:val="18"/>
            </w:rPr>
            <w:instrText xml:space="preserve"> HYPERLINK \l _Toc1924 </w:instrText>
          </w:r>
          <w:r>
            <w:rPr>
              <w:sz w:val="18"/>
              <w:szCs w:val="18"/>
            </w:rPr>
            <w:fldChar w:fldCharType="separate"/>
          </w:r>
          <w:r>
            <w:rPr>
              <w:rFonts w:ascii="微软雅黑" w:hAnsi="微软雅黑"/>
              <w:sz w:val="18"/>
              <w:szCs w:val="18"/>
            </w:rPr>
            <w:t>12.3 碳足迹报告与数字碳标签 (NAV-CF-DB-REPORT · /carbon-footprint/database/report)</w:t>
          </w:r>
          <w:r>
            <w:rPr>
              <w:sz w:val="18"/>
              <w:szCs w:val="18"/>
            </w:rPr>
            <w:tab/>
          </w:r>
          <w:r>
            <w:rPr>
              <w:sz w:val="18"/>
              <w:szCs w:val="18"/>
            </w:rPr>
            <w:fldChar w:fldCharType="begin"/>
          </w:r>
          <w:r>
            <w:rPr>
              <w:sz w:val="18"/>
              <w:szCs w:val="18"/>
            </w:rPr>
            <w:instrText xml:space="preserve"> PAGEREF _Toc1924 \h </w:instrText>
          </w:r>
          <w:r>
            <w:rPr>
              <w:sz w:val="18"/>
              <w:szCs w:val="18"/>
            </w:rPr>
            <w:fldChar w:fldCharType="separate"/>
          </w:r>
          <w:r>
            <w:rPr>
              <w:sz w:val="18"/>
              <w:szCs w:val="18"/>
            </w:rPr>
            <w:t>24</w:t>
          </w:r>
          <w:r>
            <w:rPr>
              <w:sz w:val="18"/>
              <w:szCs w:val="18"/>
            </w:rPr>
            <w:fldChar w:fldCharType="end"/>
          </w:r>
          <w:r>
            <w:rPr>
              <w:sz w:val="18"/>
              <w:szCs w:val="18"/>
            </w:rPr>
            <w:fldChar w:fldCharType="end"/>
          </w:r>
        </w:p>
        <w:p w14:paraId="6D45EB6F">
          <w:pPr>
            <w:pStyle w:val="27"/>
            <w:tabs>
              <w:tab w:val="right" w:leader="dot" w:pos="9792"/>
            </w:tabs>
            <w:rPr>
              <w:sz w:val="18"/>
              <w:szCs w:val="18"/>
            </w:rPr>
          </w:pPr>
          <w:r>
            <w:rPr>
              <w:sz w:val="18"/>
              <w:szCs w:val="18"/>
            </w:rPr>
            <w:fldChar w:fldCharType="begin"/>
          </w:r>
          <w:r>
            <w:rPr>
              <w:sz w:val="18"/>
              <w:szCs w:val="18"/>
            </w:rPr>
            <w:instrText xml:space="preserve"> HYPERLINK \l _Toc25701 </w:instrText>
          </w:r>
          <w:r>
            <w:rPr>
              <w:sz w:val="18"/>
              <w:szCs w:val="18"/>
            </w:rPr>
            <w:fldChar w:fldCharType="separate"/>
          </w:r>
          <w:r>
            <w:rPr>
              <w:rFonts w:ascii="微软雅黑" w:hAnsi="微软雅黑"/>
              <w:sz w:val="18"/>
              <w:szCs w:val="18"/>
            </w:rPr>
            <w:t>第 13 章 一级导航【CBAM管理】</w:t>
          </w:r>
          <w:r>
            <w:rPr>
              <w:sz w:val="18"/>
              <w:szCs w:val="18"/>
            </w:rPr>
            <w:tab/>
          </w:r>
          <w:r>
            <w:rPr>
              <w:sz w:val="18"/>
              <w:szCs w:val="18"/>
            </w:rPr>
            <w:fldChar w:fldCharType="begin"/>
          </w:r>
          <w:r>
            <w:rPr>
              <w:sz w:val="18"/>
              <w:szCs w:val="18"/>
            </w:rPr>
            <w:instrText xml:space="preserve"> PAGEREF _Toc25701 \h </w:instrText>
          </w:r>
          <w:r>
            <w:rPr>
              <w:sz w:val="18"/>
              <w:szCs w:val="18"/>
            </w:rPr>
            <w:fldChar w:fldCharType="separate"/>
          </w:r>
          <w:r>
            <w:rPr>
              <w:sz w:val="18"/>
              <w:szCs w:val="18"/>
            </w:rPr>
            <w:t>24</w:t>
          </w:r>
          <w:r>
            <w:rPr>
              <w:sz w:val="18"/>
              <w:szCs w:val="18"/>
            </w:rPr>
            <w:fldChar w:fldCharType="end"/>
          </w:r>
          <w:r>
            <w:rPr>
              <w:sz w:val="18"/>
              <w:szCs w:val="18"/>
            </w:rPr>
            <w:fldChar w:fldCharType="end"/>
          </w:r>
        </w:p>
        <w:p w14:paraId="19D852F2">
          <w:pPr>
            <w:pStyle w:val="30"/>
            <w:tabs>
              <w:tab w:val="right" w:leader="dot" w:pos="9792"/>
            </w:tabs>
            <w:rPr>
              <w:sz w:val="18"/>
              <w:szCs w:val="18"/>
            </w:rPr>
          </w:pPr>
          <w:r>
            <w:rPr>
              <w:sz w:val="18"/>
              <w:szCs w:val="18"/>
            </w:rPr>
            <w:fldChar w:fldCharType="begin"/>
          </w:r>
          <w:r>
            <w:rPr>
              <w:sz w:val="18"/>
              <w:szCs w:val="18"/>
            </w:rPr>
            <w:instrText xml:space="preserve"> HYPERLINK \l _Toc13235 </w:instrText>
          </w:r>
          <w:r>
            <w:rPr>
              <w:sz w:val="18"/>
              <w:szCs w:val="18"/>
            </w:rPr>
            <w:fldChar w:fldCharType="separate"/>
          </w:r>
          <w:r>
            <w:rPr>
              <w:rFonts w:ascii="微软雅黑" w:hAnsi="微软雅黑"/>
              <w:sz w:val="18"/>
              <w:szCs w:val="18"/>
            </w:rPr>
            <w:t>13.1 欧盟合规管理 (NAV-CF-CBAM-COMPLIANCE · /carbon-footprint/cbam/compliance)</w:t>
          </w:r>
          <w:r>
            <w:rPr>
              <w:sz w:val="18"/>
              <w:szCs w:val="18"/>
            </w:rPr>
            <w:tab/>
          </w:r>
          <w:r>
            <w:rPr>
              <w:sz w:val="18"/>
              <w:szCs w:val="18"/>
            </w:rPr>
            <w:fldChar w:fldCharType="begin"/>
          </w:r>
          <w:r>
            <w:rPr>
              <w:sz w:val="18"/>
              <w:szCs w:val="18"/>
            </w:rPr>
            <w:instrText xml:space="preserve"> PAGEREF _Toc13235 \h </w:instrText>
          </w:r>
          <w:r>
            <w:rPr>
              <w:sz w:val="18"/>
              <w:szCs w:val="18"/>
            </w:rPr>
            <w:fldChar w:fldCharType="separate"/>
          </w:r>
          <w:r>
            <w:rPr>
              <w:sz w:val="18"/>
              <w:szCs w:val="18"/>
            </w:rPr>
            <w:t>24</w:t>
          </w:r>
          <w:r>
            <w:rPr>
              <w:sz w:val="18"/>
              <w:szCs w:val="18"/>
            </w:rPr>
            <w:fldChar w:fldCharType="end"/>
          </w:r>
          <w:r>
            <w:rPr>
              <w:sz w:val="18"/>
              <w:szCs w:val="18"/>
            </w:rPr>
            <w:fldChar w:fldCharType="end"/>
          </w:r>
        </w:p>
        <w:p w14:paraId="3CD9147E">
          <w:pPr>
            <w:pStyle w:val="30"/>
            <w:tabs>
              <w:tab w:val="right" w:leader="dot" w:pos="9792"/>
            </w:tabs>
            <w:rPr>
              <w:sz w:val="18"/>
              <w:szCs w:val="18"/>
            </w:rPr>
          </w:pPr>
          <w:r>
            <w:rPr>
              <w:sz w:val="18"/>
              <w:szCs w:val="18"/>
            </w:rPr>
            <w:fldChar w:fldCharType="begin"/>
          </w:r>
          <w:r>
            <w:rPr>
              <w:sz w:val="18"/>
              <w:szCs w:val="18"/>
            </w:rPr>
            <w:instrText xml:space="preserve"> HYPERLINK \l _Toc29543 </w:instrText>
          </w:r>
          <w:r>
            <w:rPr>
              <w:sz w:val="18"/>
              <w:szCs w:val="18"/>
            </w:rPr>
            <w:fldChar w:fldCharType="separate"/>
          </w:r>
          <w:r>
            <w:rPr>
              <w:rFonts w:ascii="微软雅黑" w:hAnsi="微软雅黑"/>
              <w:sz w:val="18"/>
              <w:szCs w:val="18"/>
            </w:rPr>
            <w:t>13.2 关税申报模拟器 (NAV-CF-CBAM-DECLARATION · /carbon-footprint/cbam/declaration)</w:t>
          </w:r>
          <w:r>
            <w:rPr>
              <w:sz w:val="18"/>
              <w:szCs w:val="18"/>
            </w:rPr>
            <w:tab/>
          </w:r>
          <w:r>
            <w:rPr>
              <w:sz w:val="18"/>
              <w:szCs w:val="18"/>
            </w:rPr>
            <w:fldChar w:fldCharType="begin"/>
          </w:r>
          <w:r>
            <w:rPr>
              <w:sz w:val="18"/>
              <w:szCs w:val="18"/>
            </w:rPr>
            <w:instrText xml:space="preserve"> PAGEREF _Toc29543 \h </w:instrText>
          </w:r>
          <w:r>
            <w:rPr>
              <w:sz w:val="18"/>
              <w:szCs w:val="18"/>
            </w:rPr>
            <w:fldChar w:fldCharType="separate"/>
          </w:r>
          <w:r>
            <w:rPr>
              <w:sz w:val="18"/>
              <w:szCs w:val="18"/>
            </w:rPr>
            <w:t>24</w:t>
          </w:r>
          <w:r>
            <w:rPr>
              <w:sz w:val="18"/>
              <w:szCs w:val="18"/>
            </w:rPr>
            <w:fldChar w:fldCharType="end"/>
          </w:r>
          <w:r>
            <w:rPr>
              <w:sz w:val="18"/>
              <w:szCs w:val="18"/>
            </w:rPr>
            <w:fldChar w:fldCharType="end"/>
          </w:r>
        </w:p>
        <w:p w14:paraId="71EC4E14">
          <w:pPr>
            <w:pStyle w:val="30"/>
            <w:tabs>
              <w:tab w:val="right" w:leader="dot" w:pos="9792"/>
            </w:tabs>
            <w:rPr>
              <w:sz w:val="18"/>
              <w:szCs w:val="18"/>
            </w:rPr>
          </w:pPr>
          <w:r>
            <w:rPr>
              <w:sz w:val="18"/>
              <w:szCs w:val="18"/>
            </w:rPr>
            <w:fldChar w:fldCharType="begin"/>
          </w:r>
          <w:r>
            <w:rPr>
              <w:sz w:val="18"/>
              <w:szCs w:val="18"/>
            </w:rPr>
            <w:instrText xml:space="preserve"> HYPERLINK \l _Toc19749 </w:instrText>
          </w:r>
          <w:r>
            <w:rPr>
              <w:sz w:val="18"/>
              <w:szCs w:val="18"/>
            </w:rPr>
            <w:fldChar w:fldCharType="separate"/>
          </w:r>
          <w:r>
            <w:rPr>
              <w:rFonts w:ascii="微软雅黑" w:hAnsi="微软雅黑"/>
              <w:sz w:val="18"/>
              <w:szCs w:val="18"/>
            </w:rPr>
            <w:t>13.3 CBAM 规则知识库 (NAV-CF-CBAM-KNOWLEDGE · /carbon-footprint/cbam/knowledge)</w:t>
          </w:r>
          <w:r>
            <w:rPr>
              <w:sz w:val="18"/>
              <w:szCs w:val="18"/>
            </w:rPr>
            <w:tab/>
          </w:r>
          <w:r>
            <w:rPr>
              <w:sz w:val="18"/>
              <w:szCs w:val="18"/>
            </w:rPr>
            <w:fldChar w:fldCharType="begin"/>
          </w:r>
          <w:r>
            <w:rPr>
              <w:sz w:val="18"/>
              <w:szCs w:val="18"/>
            </w:rPr>
            <w:instrText xml:space="preserve"> PAGEREF _Toc19749 \h </w:instrText>
          </w:r>
          <w:r>
            <w:rPr>
              <w:sz w:val="18"/>
              <w:szCs w:val="18"/>
            </w:rPr>
            <w:fldChar w:fldCharType="separate"/>
          </w:r>
          <w:r>
            <w:rPr>
              <w:sz w:val="18"/>
              <w:szCs w:val="18"/>
            </w:rPr>
            <w:t>25</w:t>
          </w:r>
          <w:r>
            <w:rPr>
              <w:sz w:val="18"/>
              <w:szCs w:val="18"/>
            </w:rPr>
            <w:fldChar w:fldCharType="end"/>
          </w:r>
          <w:r>
            <w:rPr>
              <w:sz w:val="18"/>
              <w:szCs w:val="18"/>
            </w:rPr>
            <w:fldChar w:fldCharType="end"/>
          </w:r>
        </w:p>
        <w:p w14:paraId="49F932AD">
          <w:pPr>
            <w:pStyle w:val="27"/>
            <w:tabs>
              <w:tab w:val="right" w:leader="dot" w:pos="9792"/>
            </w:tabs>
            <w:rPr>
              <w:sz w:val="18"/>
              <w:szCs w:val="18"/>
            </w:rPr>
          </w:pPr>
          <w:r>
            <w:rPr>
              <w:sz w:val="18"/>
              <w:szCs w:val="18"/>
            </w:rPr>
            <w:fldChar w:fldCharType="begin"/>
          </w:r>
          <w:r>
            <w:rPr>
              <w:sz w:val="18"/>
              <w:szCs w:val="18"/>
            </w:rPr>
            <w:instrText xml:space="preserve"> HYPERLINK \l _Toc20557 </w:instrText>
          </w:r>
          <w:r>
            <w:rPr>
              <w:sz w:val="18"/>
              <w:szCs w:val="18"/>
            </w:rPr>
            <w:fldChar w:fldCharType="separate"/>
          </w:r>
          <w:r>
            <w:rPr>
              <w:rFonts w:ascii="微软雅黑" w:hAnsi="微软雅黑"/>
              <w:sz w:val="18"/>
              <w:szCs w:val="18"/>
            </w:rPr>
            <w:t>第 14 章 一级导航【第三方认证管理】(NAV-CF-CERT-MAIN · /carbon-footprint/certification)</w:t>
          </w:r>
          <w:r>
            <w:rPr>
              <w:sz w:val="18"/>
              <w:szCs w:val="18"/>
            </w:rPr>
            <w:tab/>
          </w:r>
          <w:r>
            <w:rPr>
              <w:sz w:val="18"/>
              <w:szCs w:val="18"/>
            </w:rPr>
            <w:fldChar w:fldCharType="begin"/>
          </w:r>
          <w:r>
            <w:rPr>
              <w:sz w:val="18"/>
              <w:szCs w:val="18"/>
            </w:rPr>
            <w:instrText xml:space="preserve"> PAGEREF _Toc20557 \h </w:instrText>
          </w:r>
          <w:r>
            <w:rPr>
              <w:sz w:val="18"/>
              <w:szCs w:val="18"/>
            </w:rPr>
            <w:fldChar w:fldCharType="separate"/>
          </w:r>
          <w:r>
            <w:rPr>
              <w:sz w:val="18"/>
              <w:szCs w:val="18"/>
            </w:rPr>
            <w:t>25</w:t>
          </w:r>
          <w:r>
            <w:rPr>
              <w:sz w:val="18"/>
              <w:szCs w:val="18"/>
            </w:rPr>
            <w:fldChar w:fldCharType="end"/>
          </w:r>
          <w:r>
            <w:rPr>
              <w:sz w:val="18"/>
              <w:szCs w:val="18"/>
            </w:rPr>
            <w:fldChar w:fldCharType="end"/>
          </w:r>
        </w:p>
        <w:p w14:paraId="2E1A9FC3">
          <w:pPr>
            <w:pStyle w:val="27"/>
            <w:tabs>
              <w:tab w:val="right" w:leader="dot" w:pos="9792"/>
            </w:tabs>
            <w:rPr>
              <w:sz w:val="18"/>
              <w:szCs w:val="18"/>
            </w:rPr>
          </w:pPr>
          <w:r>
            <w:rPr>
              <w:sz w:val="18"/>
              <w:szCs w:val="18"/>
            </w:rPr>
            <w:fldChar w:fldCharType="begin"/>
          </w:r>
          <w:r>
            <w:rPr>
              <w:sz w:val="18"/>
              <w:szCs w:val="18"/>
            </w:rPr>
            <w:instrText xml:space="preserve"> HYPERLINK \l _Toc17629 </w:instrText>
          </w:r>
          <w:r>
            <w:rPr>
              <w:sz w:val="18"/>
              <w:szCs w:val="18"/>
            </w:rPr>
            <w:fldChar w:fldCharType="separate"/>
          </w:r>
          <w:r>
            <w:rPr>
              <w:rFonts w:ascii="微软雅黑" w:hAnsi="微软雅黑"/>
              <w:sz w:val="18"/>
              <w:szCs w:val="18"/>
            </w:rPr>
            <w:t>第 15 章 一级导航【因子库管理】(NAV-CF-FAC-MAIN · /carbon-footprint/factor)</w:t>
          </w:r>
          <w:r>
            <w:rPr>
              <w:sz w:val="18"/>
              <w:szCs w:val="18"/>
            </w:rPr>
            <w:tab/>
          </w:r>
          <w:r>
            <w:rPr>
              <w:sz w:val="18"/>
              <w:szCs w:val="18"/>
            </w:rPr>
            <w:fldChar w:fldCharType="begin"/>
          </w:r>
          <w:r>
            <w:rPr>
              <w:sz w:val="18"/>
              <w:szCs w:val="18"/>
            </w:rPr>
            <w:instrText xml:space="preserve"> PAGEREF _Toc17629 \h </w:instrText>
          </w:r>
          <w:r>
            <w:rPr>
              <w:sz w:val="18"/>
              <w:szCs w:val="18"/>
            </w:rPr>
            <w:fldChar w:fldCharType="separate"/>
          </w:r>
          <w:r>
            <w:rPr>
              <w:sz w:val="18"/>
              <w:szCs w:val="18"/>
            </w:rPr>
            <w:t>25</w:t>
          </w:r>
          <w:r>
            <w:rPr>
              <w:sz w:val="18"/>
              <w:szCs w:val="18"/>
            </w:rPr>
            <w:fldChar w:fldCharType="end"/>
          </w:r>
          <w:r>
            <w:rPr>
              <w:sz w:val="18"/>
              <w:szCs w:val="18"/>
            </w:rPr>
            <w:fldChar w:fldCharType="end"/>
          </w:r>
        </w:p>
        <w:p w14:paraId="517C4B9D">
          <w:pPr>
            <w:pStyle w:val="27"/>
            <w:tabs>
              <w:tab w:val="right" w:leader="dot" w:pos="9792"/>
            </w:tabs>
            <w:rPr>
              <w:sz w:val="18"/>
              <w:szCs w:val="18"/>
            </w:rPr>
          </w:pPr>
          <w:r>
            <w:rPr>
              <w:sz w:val="18"/>
              <w:szCs w:val="18"/>
            </w:rPr>
            <w:fldChar w:fldCharType="begin"/>
          </w:r>
          <w:r>
            <w:rPr>
              <w:sz w:val="18"/>
              <w:szCs w:val="18"/>
            </w:rPr>
            <w:instrText xml:space="preserve"> HYPERLINK \l _Toc8065 </w:instrText>
          </w:r>
          <w:r>
            <w:rPr>
              <w:sz w:val="18"/>
              <w:szCs w:val="18"/>
            </w:rPr>
            <w:fldChar w:fldCharType="separate"/>
          </w:r>
          <w:r>
            <w:rPr>
              <w:rFonts w:ascii="微软雅黑" w:hAnsi="微软雅黑"/>
              <w:sz w:val="18"/>
              <w:szCs w:val="18"/>
            </w:rPr>
            <w:t>第四篇：系统底座、接口契约与 QA 质量验收</w:t>
          </w:r>
          <w:r>
            <w:rPr>
              <w:sz w:val="18"/>
              <w:szCs w:val="18"/>
            </w:rPr>
            <w:tab/>
          </w:r>
          <w:r>
            <w:rPr>
              <w:sz w:val="18"/>
              <w:szCs w:val="18"/>
            </w:rPr>
            <w:fldChar w:fldCharType="begin"/>
          </w:r>
          <w:r>
            <w:rPr>
              <w:sz w:val="18"/>
              <w:szCs w:val="18"/>
            </w:rPr>
            <w:instrText xml:space="preserve"> PAGEREF _Toc8065 \h </w:instrText>
          </w:r>
          <w:r>
            <w:rPr>
              <w:sz w:val="18"/>
              <w:szCs w:val="18"/>
            </w:rPr>
            <w:fldChar w:fldCharType="separate"/>
          </w:r>
          <w:r>
            <w:rPr>
              <w:sz w:val="18"/>
              <w:szCs w:val="18"/>
            </w:rPr>
            <w:t>27</w:t>
          </w:r>
          <w:r>
            <w:rPr>
              <w:sz w:val="18"/>
              <w:szCs w:val="18"/>
            </w:rPr>
            <w:fldChar w:fldCharType="end"/>
          </w:r>
          <w:r>
            <w:rPr>
              <w:sz w:val="18"/>
              <w:szCs w:val="18"/>
            </w:rPr>
            <w:fldChar w:fldCharType="end"/>
          </w:r>
        </w:p>
        <w:p w14:paraId="46A16517">
          <w:pPr>
            <w:pStyle w:val="27"/>
            <w:tabs>
              <w:tab w:val="right" w:leader="dot" w:pos="9792"/>
            </w:tabs>
            <w:rPr>
              <w:sz w:val="18"/>
              <w:szCs w:val="18"/>
            </w:rPr>
          </w:pPr>
          <w:r>
            <w:rPr>
              <w:sz w:val="18"/>
              <w:szCs w:val="18"/>
            </w:rPr>
            <w:fldChar w:fldCharType="begin"/>
          </w:r>
          <w:r>
            <w:rPr>
              <w:sz w:val="18"/>
              <w:szCs w:val="18"/>
            </w:rPr>
            <w:instrText xml:space="preserve"> HYPERLINK \l _Toc3916 </w:instrText>
          </w:r>
          <w:r>
            <w:rPr>
              <w:sz w:val="18"/>
              <w:szCs w:val="18"/>
            </w:rPr>
            <w:fldChar w:fldCharType="separate"/>
          </w:r>
          <w:r>
            <w:rPr>
              <w:rFonts w:ascii="微软雅黑" w:hAnsi="微软雅黑"/>
              <w:sz w:val="18"/>
              <w:szCs w:val="18"/>
            </w:rPr>
            <w:t>第 16 章 六级组织架构与穿透鉴权体系</w:t>
          </w:r>
          <w:r>
            <w:rPr>
              <w:sz w:val="18"/>
              <w:szCs w:val="18"/>
            </w:rPr>
            <w:tab/>
          </w:r>
          <w:r>
            <w:rPr>
              <w:sz w:val="18"/>
              <w:szCs w:val="18"/>
            </w:rPr>
            <w:fldChar w:fldCharType="begin"/>
          </w:r>
          <w:r>
            <w:rPr>
              <w:sz w:val="18"/>
              <w:szCs w:val="18"/>
            </w:rPr>
            <w:instrText xml:space="preserve"> PAGEREF _Toc3916 \h </w:instrText>
          </w:r>
          <w:r>
            <w:rPr>
              <w:sz w:val="18"/>
              <w:szCs w:val="18"/>
            </w:rPr>
            <w:fldChar w:fldCharType="separate"/>
          </w:r>
          <w:r>
            <w:rPr>
              <w:sz w:val="18"/>
              <w:szCs w:val="18"/>
            </w:rPr>
            <w:t>27</w:t>
          </w:r>
          <w:r>
            <w:rPr>
              <w:sz w:val="18"/>
              <w:szCs w:val="18"/>
            </w:rPr>
            <w:fldChar w:fldCharType="end"/>
          </w:r>
          <w:r>
            <w:rPr>
              <w:sz w:val="18"/>
              <w:szCs w:val="18"/>
            </w:rPr>
            <w:fldChar w:fldCharType="end"/>
          </w:r>
        </w:p>
        <w:p w14:paraId="06BB28E5">
          <w:pPr>
            <w:pStyle w:val="27"/>
            <w:tabs>
              <w:tab w:val="right" w:leader="dot" w:pos="9792"/>
            </w:tabs>
            <w:rPr>
              <w:sz w:val="18"/>
              <w:szCs w:val="18"/>
            </w:rPr>
          </w:pPr>
          <w:r>
            <w:rPr>
              <w:sz w:val="18"/>
              <w:szCs w:val="18"/>
            </w:rPr>
            <w:fldChar w:fldCharType="begin"/>
          </w:r>
          <w:r>
            <w:rPr>
              <w:sz w:val="18"/>
              <w:szCs w:val="18"/>
            </w:rPr>
            <w:instrText xml:space="preserve"> HYPERLINK \l _Toc1714 </w:instrText>
          </w:r>
          <w:r>
            <w:rPr>
              <w:sz w:val="18"/>
              <w:szCs w:val="18"/>
            </w:rPr>
            <w:fldChar w:fldCharType="separate"/>
          </w:r>
          <w:r>
            <w:rPr>
              <w:rFonts w:ascii="微软雅黑" w:hAnsi="微软雅黑"/>
              <w:sz w:val="18"/>
              <w:szCs w:val="18"/>
            </w:rPr>
            <w:t>第 17 章 外部系统集成与 API 契约 (OpenAPI 3.0 &amp; IoT)</w:t>
          </w:r>
          <w:r>
            <w:rPr>
              <w:sz w:val="18"/>
              <w:szCs w:val="18"/>
            </w:rPr>
            <w:tab/>
          </w:r>
          <w:r>
            <w:rPr>
              <w:sz w:val="18"/>
              <w:szCs w:val="18"/>
            </w:rPr>
            <w:fldChar w:fldCharType="begin"/>
          </w:r>
          <w:r>
            <w:rPr>
              <w:sz w:val="18"/>
              <w:szCs w:val="18"/>
            </w:rPr>
            <w:instrText xml:space="preserve"> PAGEREF _Toc1714 \h </w:instrText>
          </w:r>
          <w:r>
            <w:rPr>
              <w:sz w:val="18"/>
              <w:szCs w:val="18"/>
            </w:rPr>
            <w:fldChar w:fldCharType="separate"/>
          </w:r>
          <w:r>
            <w:rPr>
              <w:sz w:val="18"/>
              <w:szCs w:val="18"/>
            </w:rPr>
            <w:t>27</w:t>
          </w:r>
          <w:r>
            <w:rPr>
              <w:sz w:val="18"/>
              <w:szCs w:val="18"/>
            </w:rPr>
            <w:fldChar w:fldCharType="end"/>
          </w:r>
          <w:r>
            <w:rPr>
              <w:sz w:val="18"/>
              <w:szCs w:val="18"/>
            </w:rPr>
            <w:fldChar w:fldCharType="end"/>
          </w:r>
        </w:p>
        <w:p w14:paraId="18DC736F">
          <w:pPr>
            <w:pStyle w:val="27"/>
            <w:tabs>
              <w:tab w:val="right" w:leader="dot" w:pos="9792"/>
            </w:tabs>
            <w:rPr>
              <w:sz w:val="18"/>
              <w:szCs w:val="18"/>
            </w:rPr>
          </w:pPr>
          <w:r>
            <w:rPr>
              <w:sz w:val="18"/>
              <w:szCs w:val="18"/>
            </w:rPr>
            <w:fldChar w:fldCharType="begin"/>
          </w:r>
          <w:r>
            <w:rPr>
              <w:sz w:val="18"/>
              <w:szCs w:val="18"/>
            </w:rPr>
            <w:instrText xml:space="preserve"> HYPERLINK \l _Toc14942 </w:instrText>
          </w:r>
          <w:r>
            <w:rPr>
              <w:sz w:val="18"/>
              <w:szCs w:val="18"/>
            </w:rPr>
            <w:fldChar w:fldCharType="separate"/>
          </w:r>
          <w:r>
            <w:rPr>
              <w:rFonts w:ascii="微软雅黑" w:hAnsi="微软雅黑"/>
              <w:sz w:val="18"/>
              <w:szCs w:val="18"/>
            </w:rPr>
            <w:t>第 18 章 质量保障体系与全量验收测试用例矩阵 (QA Matrix)</w:t>
          </w:r>
          <w:r>
            <w:rPr>
              <w:sz w:val="18"/>
              <w:szCs w:val="18"/>
            </w:rPr>
            <w:tab/>
          </w:r>
          <w:r>
            <w:rPr>
              <w:sz w:val="18"/>
              <w:szCs w:val="18"/>
            </w:rPr>
            <w:fldChar w:fldCharType="begin"/>
          </w:r>
          <w:r>
            <w:rPr>
              <w:sz w:val="18"/>
              <w:szCs w:val="18"/>
            </w:rPr>
            <w:instrText xml:space="preserve"> PAGEREF _Toc14942 \h </w:instrText>
          </w:r>
          <w:r>
            <w:rPr>
              <w:sz w:val="18"/>
              <w:szCs w:val="18"/>
            </w:rPr>
            <w:fldChar w:fldCharType="separate"/>
          </w:r>
          <w:r>
            <w:rPr>
              <w:sz w:val="18"/>
              <w:szCs w:val="18"/>
            </w:rPr>
            <w:t>27</w:t>
          </w:r>
          <w:r>
            <w:rPr>
              <w:sz w:val="18"/>
              <w:szCs w:val="18"/>
            </w:rPr>
            <w:fldChar w:fldCharType="end"/>
          </w:r>
          <w:r>
            <w:rPr>
              <w:sz w:val="18"/>
              <w:szCs w:val="18"/>
            </w:rPr>
            <w:fldChar w:fldCharType="end"/>
          </w:r>
        </w:p>
        <w:p w14:paraId="66B7B52D">
          <w:pPr>
            <w:pStyle w:val="27"/>
            <w:tabs>
              <w:tab w:val="right" w:leader="dot" w:pos="9792"/>
            </w:tabs>
            <w:rPr>
              <w:sz w:val="18"/>
              <w:szCs w:val="18"/>
            </w:rPr>
          </w:pPr>
          <w:r>
            <w:rPr>
              <w:sz w:val="18"/>
              <w:szCs w:val="18"/>
            </w:rPr>
            <w:fldChar w:fldCharType="begin"/>
          </w:r>
          <w:r>
            <w:rPr>
              <w:sz w:val="18"/>
              <w:szCs w:val="18"/>
            </w:rPr>
            <w:instrText xml:space="preserve"> HYPERLINK \l _Toc18223 </w:instrText>
          </w:r>
          <w:r>
            <w:rPr>
              <w:sz w:val="18"/>
              <w:szCs w:val="18"/>
            </w:rPr>
            <w:fldChar w:fldCharType="separate"/>
          </w:r>
          <w:r>
            <w:rPr>
              <w:rFonts w:ascii="微软雅黑" w:hAnsi="微软雅黑"/>
              <w:sz w:val="18"/>
              <w:szCs w:val="18"/>
            </w:rPr>
            <w:t>第五篇：工程治理、状态机与合规保障体系 (v1.1.0 补强专篇)</w:t>
          </w:r>
          <w:r>
            <w:rPr>
              <w:sz w:val="18"/>
              <w:szCs w:val="18"/>
            </w:rPr>
            <w:tab/>
          </w:r>
          <w:r>
            <w:rPr>
              <w:sz w:val="18"/>
              <w:szCs w:val="18"/>
            </w:rPr>
            <w:fldChar w:fldCharType="begin"/>
          </w:r>
          <w:r>
            <w:rPr>
              <w:sz w:val="18"/>
              <w:szCs w:val="18"/>
            </w:rPr>
            <w:instrText xml:space="preserve"> PAGEREF _Toc18223 \h </w:instrText>
          </w:r>
          <w:r>
            <w:rPr>
              <w:sz w:val="18"/>
              <w:szCs w:val="18"/>
            </w:rPr>
            <w:fldChar w:fldCharType="separate"/>
          </w:r>
          <w:r>
            <w:rPr>
              <w:sz w:val="18"/>
              <w:szCs w:val="18"/>
            </w:rPr>
            <w:t>29</w:t>
          </w:r>
          <w:r>
            <w:rPr>
              <w:sz w:val="18"/>
              <w:szCs w:val="18"/>
            </w:rPr>
            <w:fldChar w:fldCharType="end"/>
          </w:r>
          <w:r>
            <w:rPr>
              <w:sz w:val="18"/>
              <w:szCs w:val="18"/>
            </w:rPr>
            <w:fldChar w:fldCharType="end"/>
          </w:r>
        </w:p>
        <w:p w14:paraId="34404C6E">
          <w:pPr>
            <w:pStyle w:val="27"/>
            <w:tabs>
              <w:tab w:val="right" w:leader="dot" w:pos="9792"/>
            </w:tabs>
            <w:rPr>
              <w:sz w:val="18"/>
              <w:szCs w:val="18"/>
            </w:rPr>
          </w:pPr>
          <w:r>
            <w:rPr>
              <w:sz w:val="18"/>
              <w:szCs w:val="18"/>
            </w:rPr>
            <w:fldChar w:fldCharType="begin"/>
          </w:r>
          <w:r>
            <w:rPr>
              <w:sz w:val="18"/>
              <w:szCs w:val="18"/>
            </w:rPr>
            <w:instrText xml:space="preserve"> HYPERLINK \l _Toc2287 </w:instrText>
          </w:r>
          <w:r>
            <w:rPr>
              <w:sz w:val="18"/>
              <w:szCs w:val="18"/>
            </w:rPr>
            <w:fldChar w:fldCharType="separate"/>
          </w:r>
          <w:r>
            <w:rPr>
              <w:rFonts w:ascii="微软雅黑" w:hAnsi="微软雅黑"/>
              <w:sz w:val="18"/>
              <w:szCs w:val="18"/>
            </w:rPr>
            <w:t>第 19 章 数据治理与商密合规 (Data Governance &amp; Confidentiality)</w:t>
          </w:r>
          <w:r>
            <w:rPr>
              <w:sz w:val="18"/>
              <w:szCs w:val="18"/>
            </w:rPr>
            <w:tab/>
          </w:r>
          <w:r>
            <w:rPr>
              <w:sz w:val="18"/>
              <w:szCs w:val="18"/>
            </w:rPr>
            <w:fldChar w:fldCharType="begin"/>
          </w:r>
          <w:r>
            <w:rPr>
              <w:sz w:val="18"/>
              <w:szCs w:val="18"/>
            </w:rPr>
            <w:instrText xml:space="preserve"> PAGEREF _Toc2287 \h </w:instrText>
          </w:r>
          <w:r>
            <w:rPr>
              <w:sz w:val="18"/>
              <w:szCs w:val="18"/>
            </w:rPr>
            <w:fldChar w:fldCharType="separate"/>
          </w:r>
          <w:r>
            <w:rPr>
              <w:sz w:val="18"/>
              <w:szCs w:val="18"/>
            </w:rPr>
            <w:t>29</w:t>
          </w:r>
          <w:r>
            <w:rPr>
              <w:sz w:val="18"/>
              <w:szCs w:val="18"/>
            </w:rPr>
            <w:fldChar w:fldCharType="end"/>
          </w:r>
          <w:r>
            <w:rPr>
              <w:sz w:val="18"/>
              <w:szCs w:val="18"/>
            </w:rPr>
            <w:fldChar w:fldCharType="end"/>
          </w:r>
        </w:p>
        <w:p w14:paraId="53EA951F">
          <w:pPr>
            <w:pStyle w:val="27"/>
            <w:tabs>
              <w:tab w:val="right" w:leader="dot" w:pos="9792"/>
            </w:tabs>
            <w:rPr>
              <w:sz w:val="18"/>
              <w:szCs w:val="18"/>
            </w:rPr>
          </w:pPr>
          <w:r>
            <w:rPr>
              <w:sz w:val="18"/>
              <w:szCs w:val="18"/>
            </w:rPr>
            <w:fldChar w:fldCharType="begin"/>
          </w:r>
          <w:r>
            <w:rPr>
              <w:sz w:val="18"/>
              <w:szCs w:val="18"/>
            </w:rPr>
            <w:instrText xml:space="preserve"> HYPERLINK \l _Toc11268 </w:instrText>
          </w:r>
          <w:r>
            <w:rPr>
              <w:sz w:val="18"/>
              <w:szCs w:val="18"/>
            </w:rPr>
            <w:fldChar w:fldCharType="separate"/>
          </w:r>
          <w:r>
            <w:rPr>
              <w:rFonts w:ascii="微软雅黑" w:hAnsi="微软雅黑"/>
              <w:sz w:val="18"/>
              <w:szCs w:val="18"/>
            </w:rPr>
            <w:t>第 20 章 关键业务长流程状态机图谱 (Business State Machines)</w:t>
          </w:r>
          <w:r>
            <w:rPr>
              <w:sz w:val="18"/>
              <w:szCs w:val="18"/>
            </w:rPr>
            <w:tab/>
          </w:r>
          <w:r>
            <w:rPr>
              <w:sz w:val="18"/>
              <w:szCs w:val="18"/>
            </w:rPr>
            <w:fldChar w:fldCharType="begin"/>
          </w:r>
          <w:r>
            <w:rPr>
              <w:sz w:val="18"/>
              <w:szCs w:val="18"/>
            </w:rPr>
            <w:instrText xml:space="preserve"> PAGEREF _Toc11268 \h </w:instrText>
          </w:r>
          <w:r>
            <w:rPr>
              <w:sz w:val="18"/>
              <w:szCs w:val="18"/>
            </w:rPr>
            <w:fldChar w:fldCharType="separate"/>
          </w:r>
          <w:r>
            <w:rPr>
              <w:sz w:val="18"/>
              <w:szCs w:val="18"/>
            </w:rPr>
            <w:t>29</w:t>
          </w:r>
          <w:r>
            <w:rPr>
              <w:sz w:val="18"/>
              <w:szCs w:val="18"/>
            </w:rPr>
            <w:fldChar w:fldCharType="end"/>
          </w:r>
          <w:r>
            <w:rPr>
              <w:sz w:val="18"/>
              <w:szCs w:val="18"/>
            </w:rPr>
            <w:fldChar w:fldCharType="end"/>
          </w:r>
        </w:p>
        <w:p w14:paraId="65549339">
          <w:pPr>
            <w:pStyle w:val="27"/>
            <w:tabs>
              <w:tab w:val="right" w:leader="dot" w:pos="9792"/>
            </w:tabs>
            <w:rPr>
              <w:sz w:val="18"/>
              <w:szCs w:val="18"/>
            </w:rPr>
          </w:pPr>
          <w:r>
            <w:rPr>
              <w:sz w:val="18"/>
              <w:szCs w:val="18"/>
            </w:rPr>
            <w:fldChar w:fldCharType="begin"/>
          </w:r>
          <w:r>
            <w:rPr>
              <w:sz w:val="18"/>
              <w:szCs w:val="18"/>
            </w:rPr>
            <w:instrText xml:space="preserve"> HYPERLINK \l _Toc26356 </w:instrText>
          </w:r>
          <w:r>
            <w:rPr>
              <w:sz w:val="18"/>
              <w:szCs w:val="18"/>
            </w:rPr>
            <w:fldChar w:fldCharType="separate"/>
          </w:r>
          <w:r>
            <w:rPr>
              <w:rFonts w:ascii="微软雅黑" w:hAnsi="微软雅黑"/>
              <w:sz w:val="18"/>
              <w:szCs w:val="18"/>
            </w:rPr>
            <w:t>第 21 章 术语表与缩略语大全 (Glossary &amp; Abbreviations)</w:t>
          </w:r>
          <w:r>
            <w:rPr>
              <w:sz w:val="18"/>
              <w:szCs w:val="18"/>
            </w:rPr>
            <w:tab/>
          </w:r>
          <w:r>
            <w:rPr>
              <w:sz w:val="18"/>
              <w:szCs w:val="18"/>
            </w:rPr>
            <w:fldChar w:fldCharType="begin"/>
          </w:r>
          <w:r>
            <w:rPr>
              <w:sz w:val="18"/>
              <w:szCs w:val="18"/>
            </w:rPr>
            <w:instrText xml:space="preserve"> PAGEREF _Toc26356 \h </w:instrText>
          </w:r>
          <w:r>
            <w:rPr>
              <w:sz w:val="18"/>
              <w:szCs w:val="18"/>
            </w:rPr>
            <w:fldChar w:fldCharType="separate"/>
          </w:r>
          <w:r>
            <w:rPr>
              <w:sz w:val="18"/>
              <w:szCs w:val="18"/>
            </w:rPr>
            <w:t>30</w:t>
          </w:r>
          <w:r>
            <w:rPr>
              <w:sz w:val="18"/>
              <w:szCs w:val="18"/>
            </w:rPr>
            <w:fldChar w:fldCharType="end"/>
          </w:r>
          <w:r>
            <w:rPr>
              <w:sz w:val="18"/>
              <w:szCs w:val="18"/>
            </w:rPr>
            <w:fldChar w:fldCharType="end"/>
          </w:r>
        </w:p>
        <w:p w14:paraId="6813A784">
          <w:pPr>
            <w:pStyle w:val="27"/>
            <w:tabs>
              <w:tab w:val="right" w:leader="dot" w:pos="9792"/>
            </w:tabs>
            <w:rPr>
              <w:sz w:val="18"/>
              <w:szCs w:val="18"/>
            </w:rPr>
          </w:pPr>
          <w:r>
            <w:rPr>
              <w:sz w:val="18"/>
              <w:szCs w:val="18"/>
            </w:rPr>
            <w:fldChar w:fldCharType="begin"/>
          </w:r>
          <w:r>
            <w:rPr>
              <w:sz w:val="18"/>
              <w:szCs w:val="18"/>
            </w:rPr>
            <w:instrText xml:space="preserve"> HYPERLINK \l _Toc29191 </w:instrText>
          </w:r>
          <w:r>
            <w:rPr>
              <w:sz w:val="18"/>
              <w:szCs w:val="18"/>
            </w:rPr>
            <w:fldChar w:fldCharType="separate"/>
          </w:r>
          <w:r>
            <w:rPr>
              <w:rFonts w:ascii="微软雅黑" w:hAnsi="微软雅黑"/>
              <w:sz w:val="18"/>
              <w:szCs w:val="18"/>
            </w:rPr>
            <w:t>第 22 章 标准化错误码字典与异常分级 (Error Code Catalog)</w:t>
          </w:r>
          <w:r>
            <w:rPr>
              <w:sz w:val="18"/>
              <w:szCs w:val="18"/>
            </w:rPr>
            <w:tab/>
          </w:r>
          <w:r>
            <w:rPr>
              <w:sz w:val="18"/>
              <w:szCs w:val="18"/>
            </w:rPr>
            <w:fldChar w:fldCharType="begin"/>
          </w:r>
          <w:r>
            <w:rPr>
              <w:sz w:val="18"/>
              <w:szCs w:val="18"/>
            </w:rPr>
            <w:instrText xml:space="preserve"> PAGEREF _Toc29191 \h </w:instrText>
          </w:r>
          <w:r>
            <w:rPr>
              <w:sz w:val="18"/>
              <w:szCs w:val="18"/>
            </w:rPr>
            <w:fldChar w:fldCharType="separate"/>
          </w:r>
          <w:r>
            <w:rPr>
              <w:sz w:val="18"/>
              <w:szCs w:val="18"/>
            </w:rPr>
            <w:t>31</w:t>
          </w:r>
          <w:r>
            <w:rPr>
              <w:sz w:val="18"/>
              <w:szCs w:val="18"/>
            </w:rPr>
            <w:fldChar w:fldCharType="end"/>
          </w:r>
          <w:r>
            <w:rPr>
              <w:sz w:val="18"/>
              <w:szCs w:val="18"/>
            </w:rPr>
            <w:fldChar w:fldCharType="end"/>
          </w:r>
        </w:p>
        <w:p w14:paraId="4E267595">
          <w:pPr>
            <w:pStyle w:val="27"/>
            <w:tabs>
              <w:tab w:val="right" w:leader="dot" w:pos="9792"/>
            </w:tabs>
            <w:rPr>
              <w:sz w:val="18"/>
              <w:szCs w:val="18"/>
            </w:rPr>
          </w:pPr>
          <w:r>
            <w:rPr>
              <w:sz w:val="18"/>
              <w:szCs w:val="18"/>
            </w:rPr>
            <w:fldChar w:fldCharType="begin"/>
          </w:r>
          <w:r>
            <w:rPr>
              <w:sz w:val="18"/>
              <w:szCs w:val="18"/>
            </w:rPr>
            <w:instrText xml:space="preserve"> HYPERLINK \l _Toc25562 </w:instrText>
          </w:r>
          <w:r>
            <w:rPr>
              <w:sz w:val="18"/>
              <w:szCs w:val="18"/>
            </w:rPr>
            <w:fldChar w:fldCharType="separate"/>
          </w:r>
          <w:r>
            <w:rPr>
              <w:rFonts w:ascii="微软雅黑" w:hAnsi="微软雅黑"/>
              <w:sz w:val="18"/>
              <w:szCs w:val="18"/>
            </w:rPr>
            <w:t>第 23 章 决策治理 RACI 责任矩阵</w:t>
          </w:r>
          <w:r>
            <w:rPr>
              <w:sz w:val="18"/>
              <w:szCs w:val="18"/>
            </w:rPr>
            <w:tab/>
          </w:r>
          <w:r>
            <w:rPr>
              <w:sz w:val="18"/>
              <w:szCs w:val="18"/>
            </w:rPr>
            <w:fldChar w:fldCharType="begin"/>
          </w:r>
          <w:r>
            <w:rPr>
              <w:sz w:val="18"/>
              <w:szCs w:val="18"/>
            </w:rPr>
            <w:instrText xml:space="preserve"> PAGEREF _Toc25562 \h </w:instrText>
          </w:r>
          <w:r>
            <w:rPr>
              <w:sz w:val="18"/>
              <w:szCs w:val="18"/>
            </w:rPr>
            <w:fldChar w:fldCharType="separate"/>
          </w:r>
          <w:r>
            <w:rPr>
              <w:sz w:val="18"/>
              <w:szCs w:val="18"/>
            </w:rPr>
            <w:t>32</w:t>
          </w:r>
          <w:r>
            <w:rPr>
              <w:sz w:val="18"/>
              <w:szCs w:val="18"/>
            </w:rPr>
            <w:fldChar w:fldCharType="end"/>
          </w:r>
          <w:r>
            <w:rPr>
              <w:sz w:val="18"/>
              <w:szCs w:val="18"/>
            </w:rPr>
            <w:fldChar w:fldCharType="end"/>
          </w:r>
        </w:p>
        <w:p w14:paraId="30A77759">
          <w:pPr>
            <w:pStyle w:val="27"/>
            <w:tabs>
              <w:tab w:val="right" w:leader="dot" w:pos="9792"/>
            </w:tabs>
            <w:rPr>
              <w:sz w:val="18"/>
              <w:szCs w:val="18"/>
            </w:rPr>
          </w:pPr>
          <w:r>
            <w:rPr>
              <w:sz w:val="18"/>
              <w:szCs w:val="18"/>
            </w:rPr>
            <w:fldChar w:fldCharType="begin"/>
          </w:r>
          <w:r>
            <w:rPr>
              <w:sz w:val="18"/>
              <w:szCs w:val="18"/>
            </w:rPr>
            <w:instrText xml:space="preserve"> HYPERLINK \l _Toc16690 </w:instrText>
          </w:r>
          <w:r>
            <w:rPr>
              <w:sz w:val="18"/>
              <w:szCs w:val="18"/>
            </w:rPr>
            <w:fldChar w:fldCharType="separate"/>
          </w:r>
          <w:r>
            <w:rPr>
              <w:rFonts w:ascii="微软雅黑" w:hAnsi="微软雅黑"/>
              <w:sz w:val="18"/>
              <w:szCs w:val="18"/>
            </w:rPr>
            <w:t>第 24 章 Skill 依赖契约与降级策略</w:t>
          </w:r>
          <w:r>
            <w:rPr>
              <w:sz w:val="18"/>
              <w:szCs w:val="18"/>
            </w:rPr>
            <w:tab/>
          </w:r>
          <w:r>
            <w:rPr>
              <w:sz w:val="18"/>
              <w:szCs w:val="18"/>
            </w:rPr>
            <w:fldChar w:fldCharType="begin"/>
          </w:r>
          <w:r>
            <w:rPr>
              <w:sz w:val="18"/>
              <w:szCs w:val="18"/>
            </w:rPr>
            <w:instrText xml:space="preserve"> PAGEREF _Toc16690 \h </w:instrText>
          </w:r>
          <w:r>
            <w:rPr>
              <w:sz w:val="18"/>
              <w:szCs w:val="18"/>
            </w:rPr>
            <w:fldChar w:fldCharType="separate"/>
          </w:r>
          <w:r>
            <w:rPr>
              <w:sz w:val="18"/>
              <w:szCs w:val="18"/>
            </w:rPr>
            <w:t>32</w:t>
          </w:r>
          <w:r>
            <w:rPr>
              <w:sz w:val="18"/>
              <w:szCs w:val="18"/>
            </w:rPr>
            <w:fldChar w:fldCharType="end"/>
          </w:r>
          <w:r>
            <w:rPr>
              <w:sz w:val="18"/>
              <w:szCs w:val="18"/>
            </w:rPr>
            <w:fldChar w:fldCharType="end"/>
          </w:r>
        </w:p>
        <w:p w14:paraId="6D39621A">
          <w:pPr>
            <w:pStyle w:val="27"/>
            <w:tabs>
              <w:tab w:val="right" w:leader="dot" w:pos="9792"/>
            </w:tabs>
            <w:rPr>
              <w:sz w:val="18"/>
              <w:szCs w:val="18"/>
            </w:rPr>
          </w:pPr>
          <w:r>
            <w:rPr>
              <w:sz w:val="18"/>
              <w:szCs w:val="18"/>
            </w:rPr>
            <w:fldChar w:fldCharType="begin"/>
          </w:r>
          <w:r>
            <w:rPr>
              <w:sz w:val="18"/>
              <w:szCs w:val="18"/>
            </w:rPr>
            <w:instrText xml:space="preserve"> HYPERLINK \l _Toc3301 </w:instrText>
          </w:r>
          <w:r>
            <w:rPr>
              <w:sz w:val="18"/>
              <w:szCs w:val="18"/>
            </w:rPr>
            <w:fldChar w:fldCharType="separate"/>
          </w:r>
          <w:r>
            <w:rPr>
              <w:rFonts w:ascii="微软雅黑" w:hAnsi="微软雅黑"/>
              <w:sz w:val="18"/>
              <w:szCs w:val="18"/>
            </w:rPr>
            <w:t>附录 A：现行国标 / 行标 / 欧标 法规映射表</w:t>
          </w:r>
          <w:r>
            <w:rPr>
              <w:sz w:val="18"/>
              <w:szCs w:val="18"/>
            </w:rPr>
            <w:tab/>
          </w:r>
          <w:r>
            <w:rPr>
              <w:sz w:val="18"/>
              <w:szCs w:val="18"/>
            </w:rPr>
            <w:fldChar w:fldCharType="begin"/>
          </w:r>
          <w:r>
            <w:rPr>
              <w:sz w:val="18"/>
              <w:szCs w:val="18"/>
            </w:rPr>
            <w:instrText xml:space="preserve"> PAGEREF _Toc3301 \h </w:instrText>
          </w:r>
          <w:r>
            <w:rPr>
              <w:sz w:val="18"/>
              <w:szCs w:val="18"/>
            </w:rPr>
            <w:fldChar w:fldCharType="separate"/>
          </w:r>
          <w:r>
            <w:rPr>
              <w:sz w:val="18"/>
              <w:szCs w:val="18"/>
            </w:rPr>
            <w:t>33</w:t>
          </w:r>
          <w:r>
            <w:rPr>
              <w:sz w:val="18"/>
              <w:szCs w:val="18"/>
            </w:rPr>
            <w:fldChar w:fldCharType="end"/>
          </w:r>
          <w:r>
            <w:rPr>
              <w:sz w:val="18"/>
              <w:szCs w:val="18"/>
            </w:rPr>
            <w:fldChar w:fldCharType="end"/>
          </w:r>
        </w:p>
        <w:p w14:paraId="5930F66B">
          <w:pPr>
            <w:pStyle w:val="27"/>
            <w:tabs>
              <w:tab w:val="right" w:leader="dot" w:pos="9792"/>
            </w:tabs>
            <w:rPr>
              <w:sz w:val="18"/>
              <w:szCs w:val="18"/>
            </w:rPr>
          </w:pPr>
          <w:r>
            <w:rPr>
              <w:sz w:val="18"/>
              <w:szCs w:val="18"/>
            </w:rPr>
            <w:fldChar w:fldCharType="begin"/>
          </w:r>
          <w:r>
            <w:rPr>
              <w:sz w:val="18"/>
              <w:szCs w:val="18"/>
            </w:rPr>
            <w:instrText xml:space="preserve"> HYPERLINK \l _Toc18950 </w:instrText>
          </w:r>
          <w:r>
            <w:rPr>
              <w:sz w:val="18"/>
              <w:szCs w:val="18"/>
            </w:rPr>
            <w:fldChar w:fldCharType="separate"/>
          </w:r>
          <w:r>
            <w:rPr>
              <w:rFonts w:ascii="微软雅黑" w:hAnsi="微软雅黑"/>
              <w:sz w:val="18"/>
              <w:szCs w:val="18"/>
            </w:rPr>
            <w:t>附录 B：反模式与反例对照治理清单</w:t>
          </w:r>
          <w:r>
            <w:rPr>
              <w:sz w:val="18"/>
              <w:szCs w:val="18"/>
            </w:rPr>
            <w:tab/>
          </w:r>
          <w:r>
            <w:rPr>
              <w:sz w:val="18"/>
              <w:szCs w:val="18"/>
            </w:rPr>
            <w:fldChar w:fldCharType="begin"/>
          </w:r>
          <w:r>
            <w:rPr>
              <w:sz w:val="18"/>
              <w:szCs w:val="18"/>
            </w:rPr>
            <w:instrText xml:space="preserve"> PAGEREF _Toc18950 \h </w:instrText>
          </w:r>
          <w:r>
            <w:rPr>
              <w:sz w:val="18"/>
              <w:szCs w:val="18"/>
            </w:rPr>
            <w:fldChar w:fldCharType="separate"/>
          </w:r>
          <w:r>
            <w:rPr>
              <w:sz w:val="18"/>
              <w:szCs w:val="18"/>
            </w:rPr>
            <w:t>33</w:t>
          </w:r>
          <w:r>
            <w:rPr>
              <w:sz w:val="18"/>
              <w:szCs w:val="18"/>
            </w:rPr>
            <w:fldChar w:fldCharType="end"/>
          </w:r>
          <w:r>
            <w:rPr>
              <w:sz w:val="18"/>
              <w:szCs w:val="18"/>
            </w:rPr>
            <w:fldChar w:fldCharType="end"/>
          </w:r>
        </w:p>
        <w:p w14:paraId="2E6B4865">
          <w:r>
            <w:rPr>
              <w:sz w:val="15"/>
              <w:szCs w:val="15"/>
            </w:rPr>
            <w:fldChar w:fldCharType="end"/>
          </w:r>
        </w:p>
      </w:sdtContent>
    </w:sdt>
    <w:p w14:paraId="3FECA900"/>
    <w:p w14:paraId="6FF35C0C">
      <w:pPr>
        <w:rPr>
          <w:rFonts w:ascii="微软雅黑" w:hAnsi="微软雅黑"/>
          <w:b/>
          <w:color w:val="1E3A8A"/>
          <w:sz w:val="31"/>
        </w:rPr>
      </w:pPr>
      <w:r>
        <w:rPr>
          <w:rFonts w:ascii="微软雅黑" w:hAnsi="微软雅黑"/>
          <w:b/>
          <w:color w:val="1E3A8A"/>
          <w:sz w:val="31"/>
        </w:rPr>
        <w:br w:type="page"/>
      </w:r>
    </w:p>
    <w:p w14:paraId="6C64100C">
      <w:pPr>
        <w:pStyle w:val="3"/>
        <w:keepNext/>
        <w:spacing w:before="360" w:after="160"/>
        <w:rPr>
          <w:rFonts w:hint="eastAsia" w:ascii="微软雅黑" w:hAnsi="微软雅黑" w:eastAsia="微软雅黑" w:cs="微软雅黑"/>
          <w:sz w:val="28"/>
          <w:szCs w:val="28"/>
        </w:rPr>
      </w:pPr>
      <w:bookmarkStart w:id="0" w:name="_Toc5397"/>
      <w:r>
        <w:rPr>
          <w:rFonts w:hint="eastAsia" w:ascii="微软雅黑" w:hAnsi="微软雅黑" w:eastAsia="微软雅黑" w:cs="微软雅黑"/>
          <w:b/>
          <w:color w:val="1E3A8A"/>
          <w:sz w:val="28"/>
          <w:szCs w:val="28"/>
        </w:rPr>
        <w:t>第一篇：顶层业务架构与标准规范</w:t>
      </w:r>
      <w:bookmarkEnd w:id="0"/>
    </w:p>
    <w:p w14:paraId="4D26037D">
      <w:pPr>
        <w:pStyle w:val="4"/>
        <w:keepNext/>
        <w:spacing w:before="260" w:after="100"/>
        <w:outlineLvl w:val="1"/>
        <w:rPr>
          <w:rFonts w:hint="eastAsia" w:ascii="微软雅黑" w:hAnsi="微软雅黑" w:eastAsia="微软雅黑" w:cs="微软雅黑"/>
          <w:sz w:val="21"/>
          <w:szCs w:val="21"/>
        </w:rPr>
      </w:pPr>
      <w:bookmarkStart w:id="1" w:name="_Toc12727"/>
      <w:r>
        <w:rPr>
          <w:rFonts w:hint="eastAsia" w:ascii="微软雅黑" w:hAnsi="微软雅黑" w:eastAsia="微软雅黑" w:cs="微软雅黑"/>
          <w:b/>
          <w:color w:val="0284C7"/>
          <w:sz w:val="21"/>
          <w:szCs w:val="21"/>
        </w:rPr>
        <w:t>第 1 章 编制原则与三方协同工作机制</w:t>
      </w:r>
      <w:bookmarkEnd w:id="1"/>
    </w:p>
    <w:p w14:paraId="3B9756F5">
      <w:pPr>
        <w:spacing w:after="80" w:line="288" w:lineRule="auto"/>
        <w:ind w:firstLine="720" w:firstLineChars="0"/>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特变电工能碳数字化双中心平台承载着集团从传统装备制造迈向全球绿色零碳制造标杆转型的战略重任。本 PRD 彻底消除传统软件开发中需求、研发与测试脱节的弊病，执行 PM、Dev 与 QA 三方闭环机制：</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1. PM 产品角色：所有需求均以 INVEST 原则分解，通过 Gherkin 语法书写 Given-When-Then 验收准则，明确北极星指标与业务闭环；</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2. Dev 研发角色：明确双端（暗黑 3000 / 浅色 3001 端口）100% 同构契约，时序数仓（IoT 秒级高频读数）与关系数仓（ERP/MES/BOM）物理隔离；</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3. QA 测试角色：践行破坏性测试思维与极限边界防护网（EQP/BVA/Chaos），执行权威工序表白名单判定矩阵与客观中立性代码审查。</w:t>
      </w:r>
    </w:p>
    <w:p w14:paraId="27FB3197">
      <w:pPr>
        <w:pStyle w:val="4"/>
        <w:keepNext/>
        <w:spacing w:before="260" w:after="100"/>
        <w:outlineLvl w:val="1"/>
        <w:rPr>
          <w:rFonts w:hint="eastAsia" w:ascii="微软雅黑" w:hAnsi="微软雅黑" w:eastAsia="微软雅黑" w:cs="微软雅黑"/>
          <w:sz w:val="21"/>
          <w:szCs w:val="21"/>
        </w:rPr>
      </w:pPr>
      <w:bookmarkStart w:id="2" w:name="_Toc21806"/>
      <w:r>
        <w:rPr>
          <w:rFonts w:hint="eastAsia" w:ascii="微软雅黑" w:hAnsi="微软雅黑" w:eastAsia="微软雅黑" w:cs="微软雅黑"/>
          <w:b/>
          <w:color w:val="0284C7"/>
          <w:sz w:val="21"/>
          <w:szCs w:val="21"/>
        </w:rPr>
        <w:t>第 2 章 业务背景、目标与 6 大用户角色画像矩阵</w:t>
      </w:r>
      <w:bookmarkEnd w:id="2"/>
    </w:p>
    <w:p w14:paraId="21E27EE5">
      <w:pPr>
        <w:spacing w:after="80" w:line="288" w:lineRule="auto"/>
        <w:ind w:firstLine="720" w:firstLineChars="0"/>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【核心痛点】：全产业链（变压器、电缆、硅基材料等）综合能耗穿透难、基层离线数据填报分散杂乱、出海产品面临欧盟 CBAM 碳关税壁垒。</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lang w:val="en-US" w:eastAsia="zh-CN"/>
        </w:rPr>
        <w:tab/>
      </w:r>
      <w:r>
        <w:rPr>
          <w:rFonts w:hint="eastAsia" w:ascii="微软雅黑" w:hAnsi="微软雅黑" w:eastAsia="微软雅黑" w:cs="微软雅黑"/>
          <w:color w:val="1F2937"/>
          <w:sz w:val="21"/>
          <w:szCs w:val="21"/>
        </w:rPr>
        <w:t>【北极星指标】：万元产值综合能耗下降率（目标年降 3.5%）、关键制造工序能效提升比、出口产品碳足迹认证覆盖率 (100%)、CBAM 关税成本最低化。</w:t>
      </w:r>
    </w:p>
    <w:tbl>
      <w:tblPr>
        <w:tblStyle w:val="35"/>
        <w:tblW w:w="0" w:type="auto"/>
        <w:jc w:val="center"/>
        <w:tblLayout w:type="fixed"/>
        <w:tblCellMar>
          <w:top w:w="0" w:type="dxa"/>
          <w:left w:w="108" w:type="dxa"/>
          <w:bottom w:w="0" w:type="dxa"/>
          <w:right w:w="108" w:type="dxa"/>
        </w:tblCellMar>
      </w:tblPr>
      <w:tblGrid>
        <w:gridCol w:w="1632"/>
        <w:gridCol w:w="1632"/>
        <w:gridCol w:w="1632"/>
        <w:gridCol w:w="1632"/>
        <w:gridCol w:w="1632"/>
        <w:gridCol w:w="1632"/>
      </w:tblGrid>
      <w:tr w14:paraId="64635D8A">
        <w:tblPrEx>
          <w:tblCellMar>
            <w:top w:w="0" w:type="dxa"/>
            <w:left w:w="108" w:type="dxa"/>
            <w:bottom w:w="0" w:type="dxa"/>
            <w:right w:w="108" w:type="dxa"/>
          </w:tblCellMar>
        </w:tblPrEx>
        <w:trPr>
          <w:tblHeader/>
          <w:jc w:val="center"/>
        </w:trPr>
        <w:tc>
          <w:tcPr>
            <w:tcW w:w="720"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tcPr>
          <w:p w14:paraId="5D64F392">
            <w:pPr>
              <w:jc w:val="center"/>
              <w:rPr>
                <w:rFonts w:hint="eastAsia" w:ascii="微软雅黑" w:hAnsi="微软雅黑" w:eastAsia="微软雅黑" w:cs="微软雅黑"/>
                <w:sz w:val="21"/>
                <w:szCs w:val="21"/>
              </w:rPr>
            </w:pPr>
            <w:r>
              <w:rPr>
                <w:rFonts w:hint="eastAsia" w:ascii="微软雅黑" w:hAnsi="微软雅黑" w:eastAsia="微软雅黑" w:cs="微软雅黑"/>
                <w:b/>
                <w:color w:val="FFFFFF"/>
                <w:sz w:val="21"/>
                <w:szCs w:val="21"/>
              </w:rPr>
              <w:t>编号</w:t>
            </w:r>
          </w:p>
        </w:tc>
        <w:tc>
          <w:tcPr>
            <w:tcW w:w="1440"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tcPr>
          <w:p w14:paraId="05A49BD3">
            <w:pPr>
              <w:jc w:val="center"/>
              <w:rPr>
                <w:rFonts w:hint="eastAsia" w:ascii="微软雅黑" w:hAnsi="微软雅黑" w:eastAsia="微软雅黑" w:cs="微软雅黑"/>
                <w:sz w:val="21"/>
                <w:szCs w:val="21"/>
              </w:rPr>
            </w:pPr>
            <w:r>
              <w:rPr>
                <w:rFonts w:hint="eastAsia" w:ascii="微软雅黑" w:hAnsi="微软雅黑" w:eastAsia="微软雅黑" w:cs="微软雅黑"/>
                <w:b/>
                <w:color w:val="FFFFFF"/>
                <w:sz w:val="21"/>
                <w:szCs w:val="21"/>
              </w:rPr>
              <w:t>角色名称</w:t>
            </w:r>
          </w:p>
        </w:tc>
        <w:tc>
          <w:tcPr>
            <w:tcW w:w="1728"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tcPr>
          <w:p w14:paraId="6527D1B6">
            <w:pPr>
              <w:jc w:val="center"/>
              <w:rPr>
                <w:rFonts w:hint="eastAsia" w:ascii="微软雅黑" w:hAnsi="微软雅黑" w:eastAsia="微软雅黑" w:cs="微软雅黑"/>
                <w:sz w:val="21"/>
                <w:szCs w:val="21"/>
              </w:rPr>
            </w:pPr>
            <w:r>
              <w:rPr>
                <w:rFonts w:hint="eastAsia" w:ascii="微软雅黑" w:hAnsi="微软雅黑" w:eastAsia="微软雅黑" w:cs="微软雅黑"/>
                <w:b/>
                <w:color w:val="FFFFFF"/>
                <w:sz w:val="21"/>
                <w:szCs w:val="21"/>
              </w:rPr>
              <w:t>代表岗位</w:t>
            </w:r>
          </w:p>
        </w:tc>
        <w:tc>
          <w:tcPr>
            <w:tcW w:w="2160"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tcPr>
          <w:p w14:paraId="7B69C15C">
            <w:pPr>
              <w:jc w:val="center"/>
              <w:rPr>
                <w:rFonts w:hint="eastAsia" w:ascii="微软雅黑" w:hAnsi="微软雅黑" w:eastAsia="微软雅黑" w:cs="微软雅黑"/>
                <w:sz w:val="21"/>
                <w:szCs w:val="21"/>
              </w:rPr>
            </w:pPr>
            <w:r>
              <w:rPr>
                <w:rFonts w:hint="eastAsia" w:ascii="微软雅黑" w:hAnsi="微软雅黑" w:eastAsia="微软雅黑" w:cs="微软雅黑"/>
                <w:b/>
                <w:color w:val="FFFFFF"/>
                <w:sz w:val="21"/>
                <w:szCs w:val="21"/>
              </w:rPr>
              <w:t>主导航主要操作路径</w:t>
            </w:r>
          </w:p>
        </w:tc>
        <w:tc>
          <w:tcPr>
            <w:tcW w:w="2304"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tcPr>
          <w:p w14:paraId="715A24D9">
            <w:pPr>
              <w:jc w:val="center"/>
              <w:rPr>
                <w:rFonts w:hint="eastAsia" w:ascii="微软雅黑" w:hAnsi="微软雅黑" w:eastAsia="微软雅黑" w:cs="微软雅黑"/>
                <w:sz w:val="21"/>
                <w:szCs w:val="21"/>
              </w:rPr>
            </w:pPr>
            <w:r>
              <w:rPr>
                <w:rFonts w:hint="eastAsia" w:ascii="微软雅黑" w:hAnsi="微软雅黑" w:eastAsia="微软雅黑" w:cs="微软雅黑"/>
                <w:b/>
                <w:color w:val="FFFFFF"/>
                <w:sz w:val="21"/>
                <w:szCs w:val="21"/>
              </w:rPr>
              <w:t>核心业务诉求</w:t>
            </w:r>
          </w:p>
        </w:tc>
        <w:tc>
          <w:tcPr>
            <w:tcW w:w="1296"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tcPr>
          <w:p w14:paraId="365E72E8">
            <w:pPr>
              <w:jc w:val="center"/>
              <w:rPr>
                <w:rFonts w:hint="eastAsia" w:ascii="微软雅黑" w:hAnsi="微软雅黑" w:eastAsia="微软雅黑" w:cs="微软雅黑"/>
                <w:sz w:val="21"/>
                <w:szCs w:val="21"/>
              </w:rPr>
            </w:pPr>
            <w:r>
              <w:rPr>
                <w:rFonts w:hint="eastAsia" w:ascii="微软雅黑" w:hAnsi="微软雅黑" w:eastAsia="微软雅黑" w:cs="微软雅黑"/>
                <w:b/>
                <w:color w:val="FFFFFF"/>
                <w:sz w:val="21"/>
                <w:szCs w:val="21"/>
              </w:rPr>
              <w:t>系统权限边界</w:t>
            </w:r>
          </w:p>
        </w:tc>
      </w:tr>
      <w:tr w14:paraId="61E2EC1C">
        <w:tblPrEx>
          <w:tblCellMar>
            <w:top w:w="0" w:type="dxa"/>
            <w:left w:w="108" w:type="dxa"/>
            <w:bottom w:w="0" w:type="dxa"/>
            <w:right w:w="108" w:type="dxa"/>
          </w:tblCellMar>
        </w:tblPrEx>
        <w:trPr>
          <w:jc w:val="center"/>
        </w:trPr>
        <w:tc>
          <w:tcPr>
            <w:tcW w:w="72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7942A28B">
            <w:pPr>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P1</w:t>
            </w:r>
          </w:p>
        </w:tc>
        <w:tc>
          <w:tcPr>
            <w:tcW w:w="144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7F98B791">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集团决策层</w:t>
            </w:r>
          </w:p>
        </w:tc>
        <w:tc>
          <w:tcPr>
            <w:tcW w:w="172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0F10E18A">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董事长/分管副总裁</w:t>
            </w:r>
          </w:p>
        </w:tc>
        <w:tc>
          <w:tcPr>
            <w:tcW w:w="216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003119AB">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集控大屏、碳足迹对外窗口</w:t>
            </w:r>
          </w:p>
        </w:tc>
        <w:tc>
          <w:tcPr>
            <w:tcW w:w="230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3186BDB8">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掌控全集团综合能耗趋势与国际碳关税合规态势</w:t>
            </w:r>
          </w:p>
        </w:tc>
        <w:tc>
          <w:tcPr>
            <w:tcW w:w="129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2998EE0F">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全系统只读大盘、战略批示</w:t>
            </w:r>
          </w:p>
        </w:tc>
      </w:tr>
      <w:tr w14:paraId="429E8ED2">
        <w:tblPrEx>
          <w:tblCellMar>
            <w:top w:w="0" w:type="dxa"/>
            <w:left w:w="108" w:type="dxa"/>
            <w:bottom w:w="0" w:type="dxa"/>
            <w:right w:w="108" w:type="dxa"/>
          </w:tblCellMar>
        </w:tblPrEx>
        <w:trPr>
          <w:jc w:val="center"/>
        </w:trPr>
        <w:tc>
          <w:tcPr>
            <w:tcW w:w="72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17646CED">
            <w:pPr>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P2</w:t>
            </w:r>
          </w:p>
        </w:tc>
        <w:tc>
          <w:tcPr>
            <w:tcW w:w="144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26747FF3">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园区能碳专员</w:t>
            </w:r>
          </w:p>
        </w:tc>
        <w:tc>
          <w:tcPr>
            <w:tcW w:w="172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4F857D05">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各基地动力处长/能源主管</w:t>
            </w:r>
          </w:p>
        </w:tc>
        <w:tc>
          <w:tcPr>
            <w:tcW w:w="216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7D60B9E7">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集中监管、能耗能效分析、对标管理</w:t>
            </w:r>
          </w:p>
        </w:tc>
        <w:tc>
          <w:tcPr>
            <w:tcW w:w="2304"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13161CB5">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穿透式排查工序用能跑冒滴漏，错峰用电降本</w:t>
            </w:r>
          </w:p>
        </w:tc>
        <w:tc>
          <w:tcPr>
            <w:tcW w:w="1296"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2134790F">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所辖基地读写与全量导出</w:t>
            </w:r>
          </w:p>
        </w:tc>
      </w:tr>
      <w:tr w14:paraId="6AAF71F3">
        <w:tblPrEx>
          <w:tblCellMar>
            <w:top w:w="0" w:type="dxa"/>
            <w:left w:w="108" w:type="dxa"/>
            <w:bottom w:w="0" w:type="dxa"/>
            <w:right w:w="108" w:type="dxa"/>
          </w:tblCellMar>
        </w:tblPrEx>
        <w:trPr>
          <w:jc w:val="center"/>
        </w:trPr>
        <w:tc>
          <w:tcPr>
            <w:tcW w:w="72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47C16A41">
            <w:pPr>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P3</w:t>
            </w:r>
          </w:p>
        </w:tc>
        <w:tc>
          <w:tcPr>
            <w:tcW w:w="144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579688A9">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车间填报员</w:t>
            </w:r>
          </w:p>
        </w:tc>
        <w:tc>
          <w:tcPr>
            <w:tcW w:w="172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1FC5E864">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车间统计员/动力值班员</w:t>
            </w:r>
          </w:p>
        </w:tc>
        <w:tc>
          <w:tcPr>
            <w:tcW w:w="216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2B8D1887">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基础管理 -&gt; 数据录入工作台</w:t>
            </w:r>
          </w:p>
        </w:tc>
        <w:tc>
          <w:tcPr>
            <w:tcW w:w="230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3E869599">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高密快速录入离线产量、能耗、相册与大事记</w:t>
            </w:r>
          </w:p>
        </w:tc>
        <w:tc>
          <w:tcPr>
            <w:tcW w:w="129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5484D386">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44px 数据表录入/修改/纠错</w:t>
            </w:r>
          </w:p>
        </w:tc>
      </w:tr>
      <w:tr w14:paraId="6DF4E6AE">
        <w:tblPrEx>
          <w:tblCellMar>
            <w:top w:w="0" w:type="dxa"/>
            <w:left w:w="108" w:type="dxa"/>
            <w:bottom w:w="0" w:type="dxa"/>
            <w:right w:w="108" w:type="dxa"/>
          </w:tblCellMar>
        </w:tblPrEx>
        <w:trPr>
          <w:jc w:val="center"/>
        </w:trPr>
        <w:tc>
          <w:tcPr>
            <w:tcW w:w="72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1617327A">
            <w:pPr>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P4</w:t>
            </w:r>
          </w:p>
        </w:tc>
        <w:tc>
          <w:tcPr>
            <w:tcW w:w="144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40E7E6CC">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碳核算工程师</w:t>
            </w:r>
          </w:p>
        </w:tc>
        <w:tc>
          <w:tcPr>
            <w:tcW w:w="172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063CAE0F">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碳资产部/产品技术部</w:t>
            </w:r>
          </w:p>
        </w:tc>
        <w:tc>
          <w:tcPr>
            <w:tcW w:w="216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7095399F">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实景数据库、碳足迹核算、报告</w:t>
            </w:r>
          </w:p>
        </w:tc>
        <w:tc>
          <w:tcPr>
            <w:tcW w:w="2304"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2C84E5C6">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展开产品 BOM 树，匹配本土实测因子，导出报告</w:t>
            </w:r>
          </w:p>
        </w:tc>
        <w:tc>
          <w:tcPr>
            <w:tcW w:w="1296"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6B43DC4F">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LCA 建模、因子库、碳标签</w:t>
            </w:r>
          </w:p>
        </w:tc>
      </w:tr>
      <w:tr w14:paraId="680B5322">
        <w:tblPrEx>
          <w:tblCellMar>
            <w:top w:w="0" w:type="dxa"/>
            <w:left w:w="108" w:type="dxa"/>
            <w:bottom w:w="0" w:type="dxa"/>
            <w:right w:w="108" w:type="dxa"/>
          </w:tblCellMar>
        </w:tblPrEx>
        <w:trPr>
          <w:jc w:val="center"/>
        </w:trPr>
        <w:tc>
          <w:tcPr>
            <w:tcW w:w="72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5ACE0CCD">
            <w:pPr>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P5</w:t>
            </w:r>
          </w:p>
        </w:tc>
        <w:tc>
          <w:tcPr>
            <w:tcW w:w="144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5B42585B">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国际关税专家</w:t>
            </w:r>
          </w:p>
        </w:tc>
        <w:tc>
          <w:tcPr>
            <w:tcW w:w="172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6F0CFFB1">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国际业务部/报关主管</w:t>
            </w:r>
          </w:p>
        </w:tc>
        <w:tc>
          <w:tcPr>
            <w:tcW w:w="216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32A3E6E3">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CBAM管理(合规/申报模拟/知识库)</w:t>
            </w:r>
          </w:p>
        </w:tc>
        <w:tc>
          <w:tcPr>
            <w:tcW w:w="230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7F0BBF4A">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欧盟税号精准映射，测算关税成本并生成 XML</w:t>
            </w:r>
          </w:p>
        </w:tc>
        <w:tc>
          <w:tcPr>
            <w:tcW w:w="129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2E3619CE">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CBAM 模块全配置与申报包</w:t>
            </w:r>
          </w:p>
        </w:tc>
      </w:tr>
      <w:tr w14:paraId="7A7F92A4">
        <w:tblPrEx>
          <w:tblCellMar>
            <w:top w:w="0" w:type="dxa"/>
            <w:left w:w="108" w:type="dxa"/>
            <w:bottom w:w="0" w:type="dxa"/>
            <w:right w:w="108" w:type="dxa"/>
          </w:tblCellMar>
        </w:tblPrEx>
        <w:trPr>
          <w:jc w:val="center"/>
        </w:trPr>
        <w:tc>
          <w:tcPr>
            <w:tcW w:w="72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00D1E3D0">
            <w:pPr>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P6</w:t>
            </w:r>
          </w:p>
        </w:tc>
        <w:tc>
          <w:tcPr>
            <w:tcW w:w="144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7DC54D1A">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外部审计机构</w:t>
            </w:r>
          </w:p>
        </w:tc>
        <w:tc>
          <w:tcPr>
            <w:tcW w:w="172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229BCC20">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SGS/TÜV/方圆核查员</w:t>
            </w:r>
          </w:p>
        </w:tc>
        <w:tc>
          <w:tcPr>
            <w:tcW w:w="216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60A4155F">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第三方认证管理、实景数据库</w:t>
            </w:r>
          </w:p>
        </w:tc>
        <w:tc>
          <w:tcPr>
            <w:tcW w:w="2304"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46159B43">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复核物料平衡、绿电凭证与碳因子溯源链条</w:t>
            </w:r>
          </w:p>
        </w:tc>
        <w:tc>
          <w:tcPr>
            <w:tcW w:w="1296"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6190BB0C">
            <w:pPr>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专有只读通道与原始存证核验</w:t>
            </w:r>
          </w:p>
        </w:tc>
      </w:tr>
    </w:tbl>
    <w:p w14:paraId="3D05E269">
      <w:pPr>
        <w:spacing w:after="60"/>
        <w:rPr>
          <w:rFonts w:hint="eastAsia" w:ascii="微软雅黑" w:hAnsi="微软雅黑" w:eastAsia="微软雅黑" w:cs="微软雅黑"/>
          <w:sz w:val="21"/>
          <w:szCs w:val="21"/>
        </w:rPr>
      </w:pPr>
    </w:p>
    <w:p w14:paraId="42817262">
      <w:pPr>
        <w:pStyle w:val="4"/>
        <w:keepNext/>
        <w:spacing w:before="260" w:after="100"/>
        <w:outlineLvl w:val="1"/>
        <w:rPr>
          <w:rFonts w:hint="eastAsia" w:ascii="微软雅黑" w:hAnsi="微软雅黑" w:eastAsia="微软雅黑" w:cs="微软雅黑"/>
          <w:sz w:val="21"/>
          <w:szCs w:val="21"/>
        </w:rPr>
      </w:pPr>
      <w:bookmarkStart w:id="3" w:name="_Toc12320"/>
      <w:r>
        <w:rPr>
          <w:rFonts w:hint="eastAsia" w:ascii="微软雅黑" w:hAnsi="微软雅黑" w:eastAsia="微软雅黑" w:cs="微软雅黑"/>
          <w:b/>
          <w:color w:val="0284C7"/>
          <w:sz w:val="21"/>
          <w:szCs w:val="21"/>
        </w:rPr>
        <w:t>第 3 章 专属工业设计规范6 大硬性铁律</w:t>
      </w:r>
      <w:bookmarkEnd w:id="3"/>
    </w:p>
    <w:tbl>
      <w:tblPr>
        <w:tblStyle w:val="35"/>
        <w:tblW w:w="0" w:type="auto"/>
        <w:jc w:val="center"/>
        <w:tblLayout w:type="fixed"/>
        <w:tblCellMar>
          <w:top w:w="0" w:type="dxa"/>
          <w:left w:w="108" w:type="dxa"/>
          <w:bottom w:w="0" w:type="dxa"/>
          <w:right w:w="108" w:type="dxa"/>
        </w:tblCellMar>
      </w:tblPr>
      <w:tblGrid>
        <w:gridCol w:w="9792"/>
      </w:tblGrid>
      <w:tr w14:paraId="4F10DFA6">
        <w:tblPrEx>
          <w:tblCellMar>
            <w:top w:w="0" w:type="dxa"/>
            <w:left w:w="108" w:type="dxa"/>
            <w:bottom w:w="0" w:type="dxa"/>
            <w:right w:w="108" w:type="dxa"/>
          </w:tblCellMar>
        </w:tblPrEx>
        <w:trPr>
          <w:jc w:val="center"/>
        </w:trPr>
        <w:tc>
          <w:tcPr>
            <w:tcW w:w="9648" w:type="dxa"/>
            <w:tcBorders>
              <w:top w:val="nil"/>
              <w:left w:val="single" w:color="DC2626" w:sz="24" w:space="0"/>
              <w:bottom w:val="nil"/>
              <w:right w:val="nil"/>
            </w:tcBorders>
            <w:shd w:val="clear" w:color="auto" w:fill="FEF2F2"/>
            <w:tcMar>
              <w:top w:w="100" w:type="dxa"/>
              <w:left w:w="140" w:type="dxa"/>
              <w:bottom w:w="100" w:type="dxa"/>
              <w:right w:w="140" w:type="dxa"/>
            </w:tcMar>
          </w:tcPr>
          <w:p w14:paraId="0EBBD495">
            <w:pPr>
              <w:spacing w:after="40"/>
              <w:rPr>
                <w:rFonts w:hint="eastAsia" w:ascii="微软雅黑" w:hAnsi="微软雅黑" w:eastAsia="微软雅黑" w:cs="微软雅黑"/>
                <w:sz w:val="21"/>
                <w:szCs w:val="21"/>
              </w:rPr>
            </w:pPr>
            <w:r>
              <w:rPr>
                <w:rFonts w:hint="eastAsia" w:ascii="微软雅黑" w:hAnsi="微软雅黑" w:eastAsia="微软雅黑" w:cs="微软雅黑"/>
                <w:b/>
                <w:color w:val="DC2626"/>
                <w:sz w:val="21"/>
                <w:szCs w:val="21"/>
              </w:rPr>
              <w:t>📌 【tbea-industrial-design 工业设计硬性红线】</w:t>
            </w:r>
            <w:r>
              <w:rPr>
                <w:rFonts w:hint="eastAsia" w:ascii="微软雅黑" w:hAnsi="微软雅黑" w:eastAsia="微软雅黑" w:cs="微软雅黑"/>
                <w:b/>
                <w:color w:val="DC2626"/>
                <w:sz w:val="21"/>
                <w:szCs w:val="21"/>
              </w:rPr>
              <w:br w:type="textWrapping"/>
            </w:r>
            <w:r>
              <w:rPr>
                <w:rFonts w:hint="eastAsia" w:ascii="微软雅黑" w:hAnsi="微软雅黑" w:eastAsia="微软雅黑" w:cs="微软雅黑"/>
                <w:color w:val="1F2937"/>
                <w:sz w:val="21"/>
                <w:szCs w:val="21"/>
              </w:rPr>
              <w:t>1. 表格行高强制 44px：全系统所有数据表格 &lt;tr&gt; 行高固定为 44px (h-[44px])，垂直居中无抖动；</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2. 绝对客观中立：严禁任何界面出现主观评价、定性评判与说教词汇（如“表现优异”、“落后单位”、“运行欠佳”等），统一以客观时序对比（同比/环比/基准偏差）自解释呈现；</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3. 状态自解释：严禁在卡片上增加“图表联动中”、“已选中”等标签，激活态由蓝框高亮 (border-primary ring-2) 自解释；</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4. 单行干练判空：无工序单位严禁输出大段解释说明，统一单行干练输出：暂无相关工序！；</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5. 双端 100% 同构：暗黑科技蓝 (3000端口) 与浅色办公商务 (3001端口) 交互、数据、路由完全一致；</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6. 悬停游标微透蓝：柱状图游标统一为 rgba(56, 189, 248, 0.08)，浅色为 rgba(0, 0, 0, 0.04)，严禁纯白眩光。</w:t>
            </w:r>
          </w:p>
        </w:tc>
      </w:tr>
    </w:tbl>
    <w:p w14:paraId="0BCE7223">
      <w:pPr>
        <w:spacing w:after="40"/>
        <w:rPr>
          <w:rFonts w:hint="eastAsia" w:ascii="微软雅黑" w:hAnsi="微软雅黑" w:eastAsia="微软雅黑" w:cs="微软雅黑"/>
          <w:sz w:val="21"/>
          <w:szCs w:val="21"/>
        </w:rPr>
      </w:pPr>
    </w:p>
    <w:p w14:paraId="15C1F9FD">
      <w:pPr>
        <w:rPr>
          <w:rFonts w:hint="eastAsia" w:ascii="微软雅黑" w:hAnsi="微软雅黑" w:eastAsia="微软雅黑" w:cs="微软雅黑"/>
          <w:sz w:val="21"/>
          <w:szCs w:val="21"/>
        </w:rPr>
      </w:pPr>
      <w:r>
        <w:rPr>
          <w:rFonts w:hint="eastAsia" w:ascii="微软雅黑" w:hAnsi="微软雅黑" w:eastAsia="微软雅黑" w:cs="微软雅黑"/>
          <w:sz w:val="21"/>
          <w:szCs w:val="21"/>
        </w:rPr>
        <w:br w:type="page"/>
      </w:r>
    </w:p>
    <w:p w14:paraId="5B785249">
      <w:pPr>
        <w:pStyle w:val="3"/>
        <w:keepNext/>
        <w:spacing w:before="360" w:after="160"/>
        <w:rPr>
          <w:rFonts w:hint="eastAsia" w:ascii="微软雅黑" w:hAnsi="微软雅黑" w:eastAsia="微软雅黑" w:cs="微软雅黑"/>
          <w:sz w:val="28"/>
          <w:szCs w:val="28"/>
        </w:rPr>
      </w:pPr>
      <w:bookmarkStart w:id="4" w:name="_Toc31478"/>
      <w:r>
        <w:rPr>
          <w:rFonts w:hint="eastAsia" w:ascii="微软雅黑" w:hAnsi="微软雅黑" w:eastAsia="微软雅黑" w:cs="微软雅黑"/>
          <w:b/>
          <w:color w:val="1E3A8A"/>
          <w:sz w:val="28"/>
          <w:szCs w:val="28"/>
        </w:rPr>
        <w:t>第二篇：【平台一】零碳园区集控中心功能需求规格（逐层拆解）</w:t>
      </w:r>
      <w:bookmarkEnd w:id="4"/>
    </w:p>
    <w:p w14:paraId="38FA2F89">
      <w:pPr>
        <w:spacing w:after="80" w:line="288" w:lineRule="auto"/>
        <w:ind w:firstLine="720" w:firstLineChars="0"/>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严格对应系统切换至【零碳园区集控中心】时的 6 大一级主导航逐层展开，每个功能点均分配唯一 NAV-ID 稳定锚点，并深度补充全量数据字典、数学模型、控制逻辑与 Gherkin 验收准则。</w:t>
      </w:r>
    </w:p>
    <w:p w14:paraId="11474010">
      <w:pPr>
        <w:pStyle w:val="4"/>
        <w:keepNext/>
        <w:spacing w:before="260" w:after="100"/>
        <w:outlineLvl w:val="1"/>
        <w:rPr>
          <w:rFonts w:hint="eastAsia" w:ascii="微软雅黑" w:hAnsi="微软雅黑" w:eastAsia="微软雅黑" w:cs="微软雅黑"/>
          <w:sz w:val="21"/>
          <w:szCs w:val="21"/>
        </w:rPr>
      </w:pPr>
      <w:bookmarkStart w:id="5" w:name="_Toc17509"/>
      <w:r>
        <w:rPr>
          <w:rFonts w:hint="eastAsia" w:ascii="微软雅黑" w:hAnsi="微软雅黑" w:eastAsia="微软雅黑" w:cs="微软雅黑"/>
          <w:b/>
          <w:color w:val="0284C7"/>
          <w:sz w:val="21"/>
          <w:szCs w:val="21"/>
        </w:rPr>
        <w:t>第 4 章 一级导航【集控中心大屏】</w:t>
      </w:r>
      <w:bookmarkEnd w:id="5"/>
    </w:p>
    <w:p w14:paraId="59A93F48">
      <w:pPr>
        <w:pStyle w:val="5"/>
        <w:keepNext/>
        <w:spacing w:before="180" w:after="60"/>
        <w:outlineLvl w:val="2"/>
        <w:rPr>
          <w:rFonts w:hint="eastAsia" w:ascii="微软雅黑" w:hAnsi="微软雅黑" w:eastAsia="微软雅黑" w:cs="微软雅黑"/>
          <w:sz w:val="21"/>
          <w:szCs w:val="21"/>
        </w:rPr>
      </w:pPr>
      <w:bookmarkStart w:id="6" w:name="_Toc29558"/>
      <w:r>
        <w:rPr>
          <w:rFonts w:hint="eastAsia" w:ascii="微软雅黑" w:hAnsi="微软雅黑" w:eastAsia="微软雅黑" w:cs="微软雅黑"/>
          <w:b/>
          <w:color w:val="1E3A8A"/>
          <w:sz w:val="21"/>
          <w:szCs w:val="21"/>
        </w:rPr>
        <w:t>4.1 全景环幕大屏</w:t>
      </w:r>
      <w:bookmarkEnd w:id="6"/>
    </w:p>
    <w:p w14:paraId="6FA891C6">
      <w:pPr>
        <w:spacing w:after="80" w:line="288" w:lineRule="auto"/>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PM 业务场景：</w:t>
      </w:r>
      <w:r>
        <w:rPr>
          <w:rFonts w:hint="eastAsia" w:ascii="微软雅黑" w:hAnsi="微软雅黑" w:eastAsia="微软雅黑" w:cs="微软雅黑"/>
          <w:color w:val="1F2937"/>
          <w:sz w:val="21"/>
          <w:szCs w:val="21"/>
        </w:rPr>
        <w:t>面向特变电工集团高管视察、工信部/发改委绿碳专项验收及海外战略客户参观的高端 1920×1080 矢量等比缩放工业环幕控制台。</w:t>
      </w:r>
    </w:p>
    <w:p w14:paraId="2B822934">
      <w:pPr>
        <w:spacing w:after="80" w:line="288" w:lineRule="auto"/>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UI 原型布局与组件状态：</w:t>
      </w:r>
      <w:r>
        <w:rPr>
          <w:rFonts w:hint="eastAsia" w:ascii="微软雅黑" w:hAnsi="微软雅黑" w:eastAsia="微软雅黑" w:cs="微软雅黑"/>
          <w:color w:val="1F2937"/>
          <w:sz w:val="21"/>
          <w:szCs w:val="21"/>
        </w:rPr>
        <w:t>1. 顶层 HUD 框架：动态集成空气质量 (AQI)、环境温湿度、风向风速与微秒级 NTP 授时时钟；</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2. 3D 浮雕中国地图：精确点亮特变电工新疆基地、沈阳变压器、衡阳变压器、天津中发、山东鲁缆等生产据点，采用 WebGL 渲染脉冲雷达波纹与飞线潮流；</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3. 左侧综合能耗与绿电看板：环形呈现集团本年度能碳勋章建设进度（100% 达成率）、重大能碳里程碑大事记、分布式光伏瞬时出力滚动流与园区高清实景轮播；</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4. 右侧穿透控制台：提供二级公司级联筛选、5 家核心实体工厂胶囊切片 Tab、10 大综合指标环形矩阵 (5×2 排布) 以及一键跳转至 16:9 标准运营中心的交互入口。</w:t>
      </w:r>
    </w:p>
    <w:tbl>
      <w:tblPr>
        <w:tblStyle w:val="35"/>
        <w:tblW w:w="10175" w:type="dxa"/>
        <w:jc w:val="center"/>
        <w:tblLayout w:type="autofit"/>
        <w:tblCellMar>
          <w:top w:w="0" w:type="dxa"/>
          <w:left w:w="108" w:type="dxa"/>
          <w:bottom w:w="0" w:type="dxa"/>
          <w:right w:w="108" w:type="dxa"/>
        </w:tblCellMar>
      </w:tblPr>
      <w:tblGrid>
        <w:gridCol w:w="2016"/>
        <w:gridCol w:w="1374"/>
        <w:gridCol w:w="1530"/>
        <w:gridCol w:w="1067"/>
        <w:gridCol w:w="2114"/>
        <w:gridCol w:w="1446"/>
        <w:gridCol w:w="628"/>
      </w:tblGrid>
      <w:tr w14:paraId="54D69C90">
        <w:tblPrEx>
          <w:tblCellMar>
            <w:top w:w="0" w:type="dxa"/>
            <w:left w:w="108" w:type="dxa"/>
            <w:bottom w:w="0" w:type="dxa"/>
            <w:right w:w="108" w:type="dxa"/>
          </w:tblCellMar>
        </w:tblPrEx>
        <w:trPr>
          <w:trHeight w:val="0" w:hRule="atLeast"/>
          <w:tblHeader/>
          <w:jc w:val="center"/>
        </w:trPr>
        <w:tc>
          <w:tcPr>
            <w:tcW w:w="0" w:type="auto"/>
            <w:tcBorders>
              <w:top w:val="single" w:color="CBD5E1" w:sz="12" w:space="0"/>
              <w:left w:val="single" w:color="CBD5E1" w:sz="12" w:space="0"/>
              <w:bottom w:val="nil"/>
              <w:right w:val="nil"/>
            </w:tcBorders>
            <w:shd w:val="clear" w:color="auto" w:fill="1E3A8A"/>
            <w:noWrap w:val="0"/>
            <w:tcMar>
              <w:top w:w="70" w:type="dxa"/>
              <w:left w:w="90" w:type="dxa"/>
              <w:bottom w:w="70" w:type="dxa"/>
              <w:right w:w="90" w:type="dxa"/>
            </w:tcMar>
            <w:vAlign w:val="center"/>
          </w:tcPr>
          <w:p w14:paraId="0C91FCE3">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字段代码</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1ABEDF65">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字段名称</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5070A54F">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数据类型</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731BABA7">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工程量纲</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548102C2">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数据来源与频次</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784E0051">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校验与边界约束</w:t>
            </w:r>
          </w:p>
        </w:tc>
        <w:tc>
          <w:tcPr>
            <w:tcW w:w="697" w:type="dxa"/>
            <w:tcBorders>
              <w:top w:val="single" w:color="CBD5E1" w:sz="12" w:space="0"/>
              <w:left w:val="single" w:color="CBD5E1" w:sz="4" w:space="0"/>
              <w:bottom w:val="nil"/>
              <w:right w:val="single" w:color="CBD5E1" w:sz="12" w:space="0"/>
            </w:tcBorders>
            <w:shd w:val="clear" w:color="auto" w:fill="1E3A8A"/>
            <w:noWrap w:val="0"/>
            <w:tcMar>
              <w:top w:w="70" w:type="dxa"/>
              <w:left w:w="90" w:type="dxa"/>
              <w:bottom w:w="70" w:type="dxa"/>
              <w:right w:w="90" w:type="dxa"/>
            </w:tcMar>
            <w:vAlign w:val="center"/>
          </w:tcPr>
          <w:p w14:paraId="014BAF79">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密级</w:t>
            </w:r>
          </w:p>
        </w:tc>
      </w:tr>
      <w:tr w14:paraId="0A7EDC81">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3C035BBD">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total_energy_tce</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2D9336A">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集团年度综合能耗</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6B089E2">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Decimal(12,2)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E412E2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tce (吨标煤)</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307550E6">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多介质表计/日结汇总</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B029ECF">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 0.00，非空</w:t>
            </w:r>
          </w:p>
        </w:tc>
        <w:tc>
          <w:tcPr>
            <w:tcW w:w="697"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4B56A62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6C8DC257">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4B9850B6">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unit_output_tce</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CA02901">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万元产值综合能耗</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07D31AB6">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Decimal(6,4)</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2F5D4CB">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tce/万元</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3BBF6060">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能耗总量 / 产值，月结</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8C7ED80">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0.0001 ~ 10.0000</w:t>
            </w:r>
          </w:p>
        </w:tc>
        <w:tc>
          <w:tcPr>
            <w:tcW w:w="697"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69312E68">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6A952738">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4FED1922">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green_ratio</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37C1360">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综合绿电消纳占比</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66980ED">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Decimal(5,2)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052E4C7">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A0694DA">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微电网自发 + 绿电交易</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67C8A5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0.00% ~ 100.00%</w:t>
            </w:r>
          </w:p>
        </w:tc>
        <w:tc>
          <w:tcPr>
            <w:tcW w:w="697"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5B9D9389">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73586EFC">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3CE332F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pv_power_kw</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0AD1AB5C">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分布式光伏瞬时出力</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56C2A56">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Decimal(8,2)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969192A">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kW</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057C062C">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逆变器 SCADA / 秒级</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F62CB2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0.00 ~ 50000.00</w:t>
            </w:r>
          </w:p>
        </w:tc>
        <w:tc>
          <w:tcPr>
            <w:tcW w:w="697"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204E4CD0">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r w14:paraId="59EE8887">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0EE3D5F5">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storage_soc</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F3A0675">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储能电站荷电状态</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FD7BC44">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Decimal(5,2)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C20A0D2">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 (SOC)</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313786E">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BMS 电池管理系统 / 秒级</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7B07E55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0.00% ~ 100.00%</w:t>
            </w:r>
          </w:p>
        </w:tc>
        <w:tc>
          <w:tcPr>
            <w:tcW w:w="697"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312340C5">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r w14:paraId="42592C11">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5355381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annual_saved_tce</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4950D6B">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本年累计节能量</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EA30916">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Decimal(10,2)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350D925F">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tce</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97D8761">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节能技改 M&amp;V 计量 / 月度</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CFD24B0">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 0.00</w:t>
            </w:r>
          </w:p>
        </w:tc>
        <w:tc>
          <w:tcPr>
            <w:tcW w:w="697"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41946B19">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45E46D84">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064E9714">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annual_saved_cost</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367B094">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本年累计节能效益</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DC8338E">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Decimal(10,2)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0C3A26F">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万元</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690FE03E">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节能量 × 能源价格 / 月度</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E36654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 0.00</w:t>
            </w:r>
          </w:p>
        </w:tc>
        <w:tc>
          <w:tcPr>
            <w:tcW w:w="697"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279D0118">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02EC4236">
        <w:tblPrEx>
          <w:tblCellMar>
            <w:top w:w="0" w:type="dxa"/>
            <w:left w:w="108" w:type="dxa"/>
            <w:bottom w:w="0" w:type="dxa"/>
            <w:right w:w="108" w:type="dxa"/>
          </w:tblCellMar>
        </w:tblPrEx>
        <w:trPr>
          <w:trHeight w:val="0" w:hRule="atLeast"/>
          <w:jc w:val="center"/>
        </w:trPr>
        <w:tc>
          <w:tcPr>
            <w:tcW w:w="1663" w:type="dxa"/>
            <w:tcBorders>
              <w:top w:val="single" w:color="CBD5E1" w:sz="4" w:space="0"/>
              <w:left w:val="single" w:color="CBD5E1" w:sz="12" w:space="0"/>
              <w:bottom w:val="single" w:color="CBD5E1" w:sz="12" w:space="0"/>
              <w:right w:val="nil"/>
            </w:tcBorders>
            <w:shd w:val="clear" w:color="auto" w:fill="F8FAFC"/>
            <w:noWrap w:val="0"/>
            <w:tcMar>
              <w:top w:w="60" w:type="dxa"/>
              <w:left w:w="80" w:type="dxa"/>
              <w:bottom w:w="60" w:type="dxa"/>
              <w:right w:w="80" w:type="dxa"/>
            </w:tcMar>
            <w:vAlign w:val="center"/>
          </w:tcPr>
          <w:p w14:paraId="3EEB10A2">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carbon_intensity</w:t>
            </w:r>
          </w:p>
        </w:tc>
        <w:tc>
          <w:tcPr>
            <w:tcW w:w="1661"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28F0B705">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万元产值碳排放强度</w:t>
            </w:r>
          </w:p>
        </w:tc>
        <w:tc>
          <w:tcPr>
            <w:tcW w:w="1269"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061D08EA">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Decimal(6,4)</w:t>
            </w:r>
          </w:p>
        </w:tc>
        <w:tc>
          <w:tcPr>
            <w:tcW w:w="1121"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509279DB">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tCO2e/万元</w:t>
            </w:r>
          </w:p>
        </w:tc>
        <w:tc>
          <w:tcPr>
            <w:tcW w:w="2209"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58ED37A4">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Scope1+Scope2 / 产值</w:t>
            </w:r>
          </w:p>
        </w:tc>
        <w:tc>
          <w:tcPr>
            <w:tcW w:w="1555"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41F1DF32">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 0.0000</w:t>
            </w:r>
          </w:p>
        </w:tc>
        <w:tc>
          <w:tcPr>
            <w:tcW w:w="697" w:type="dxa"/>
            <w:tcBorders>
              <w:top w:val="single" w:color="CBD5E1" w:sz="4" w:space="0"/>
              <w:left w:val="single" w:color="CBD5E1" w:sz="4" w:space="0"/>
              <w:bottom w:val="single" w:color="CBD5E1" w:sz="12" w:space="0"/>
              <w:right w:val="single" w:color="CBD5E1" w:sz="12" w:space="0"/>
            </w:tcBorders>
            <w:shd w:val="clear" w:color="auto" w:fill="F8FAFC"/>
            <w:noWrap w:val="0"/>
            <w:tcMar>
              <w:top w:w="60" w:type="dxa"/>
              <w:left w:w="80" w:type="dxa"/>
              <w:bottom w:w="60" w:type="dxa"/>
              <w:right w:w="80" w:type="dxa"/>
            </w:tcMar>
            <w:vAlign w:val="center"/>
          </w:tcPr>
          <w:p w14:paraId="1E3BB045">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bl>
    <w:p w14:paraId="5A86322F">
      <w:pPr>
        <w:spacing w:after="60"/>
        <w:rPr>
          <w:rFonts w:hint="eastAsia" w:ascii="微软雅黑" w:hAnsi="微软雅黑" w:eastAsia="微软雅黑" w:cs="微软雅黑"/>
          <w:sz w:val="21"/>
          <w:szCs w:val="21"/>
        </w:rPr>
      </w:pPr>
    </w:p>
    <w:tbl>
      <w:tblPr>
        <w:tblStyle w:val="35"/>
        <w:tblW w:w="0" w:type="auto"/>
        <w:jc w:val="center"/>
        <w:tblLayout w:type="fixed"/>
        <w:tblCellMar>
          <w:top w:w="0" w:type="dxa"/>
          <w:left w:w="108" w:type="dxa"/>
          <w:bottom w:w="0" w:type="dxa"/>
          <w:right w:w="108" w:type="dxa"/>
        </w:tblCellMar>
      </w:tblPr>
      <w:tblGrid>
        <w:gridCol w:w="9792"/>
      </w:tblGrid>
      <w:tr w14:paraId="562284E7">
        <w:tblPrEx>
          <w:tblCellMar>
            <w:top w:w="0" w:type="dxa"/>
            <w:left w:w="108" w:type="dxa"/>
            <w:bottom w:w="0" w:type="dxa"/>
            <w:right w:w="108" w:type="dxa"/>
          </w:tblCellMar>
        </w:tblPrEx>
        <w:trPr>
          <w:jc w:val="center"/>
        </w:trPr>
        <w:tc>
          <w:tcPr>
            <w:tcW w:w="9648" w:type="dxa"/>
            <w:tcBorders>
              <w:top w:val="nil"/>
              <w:left w:val="single" w:color="16A34A" w:sz="24" w:space="0"/>
              <w:bottom w:val="nil"/>
              <w:right w:val="nil"/>
            </w:tcBorders>
            <w:shd w:val="clear" w:color="auto" w:fill="F0FDF4"/>
            <w:tcMar>
              <w:top w:w="100" w:type="dxa"/>
              <w:left w:w="140" w:type="dxa"/>
              <w:bottom w:w="100" w:type="dxa"/>
              <w:right w:w="140" w:type="dxa"/>
            </w:tcMar>
          </w:tcPr>
          <w:p w14:paraId="643F534C">
            <w:pPr>
              <w:spacing w:after="40"/>
              <w:rPr>
                <w:rFonts w:hint="eastAsia" w:ascii="微软雅黑" w:hAnsi="微软雅黑" w:eastAsia="微软雅黑" w:cs="微软雅黑"/>
                <w:sz w:val="21"/>
                <w:szCs w:val="21"/>
              </w:rPr>
            </w:pPr>
            <w:r>
              <w:rPr>
                <w:rFonts w:hint="eastAsia" w:ascii="微软雅黑" w:hAnsi="微软雅黑" w:eastAsia="微软雅黑" w:cs="微软雅黑"/>
                <w:b/>
                <w:color w:val="16A34A"/>
                <w:sz w:val="21"/>
                <w:szCs w:val="21"/>
              </w:rPr>
              <w:t>📐 【核心数学模型与算法公式】</w:t>
            </w:r>
            <w:r>
              <w:rPr>
                <w:rFonts w:hint="eastAsia" w:ascii="微软雅黑" w:hAnsi="微软雅黑" w:eastAsia="微软雅黑" w:cs="微软雅黑"/>
                <w:b/>
                <w:color w:val="16A34A"/>
                <w:sz w:val="21"/>
                <w:szCs w:val="21"/>
              </w:rPr>
              <w:br w:type="textWrapping"/>
            </w:r>
            <w:r>
              <w:rPr>
                <w:rFonts w:hint="eastAsia" w:ascii="微软雅黑" w:hAnsi="微软雅黑" w:eastAsia="微软雅黑" w:cs="微软雅黑"/>
                <w:b/>
                <w:color w:val="1E3A8A"/>
                <w:sz w:val="21"/>
                <w:szCs w:val="21"/>
              </w:rPr>
              <w:t>【核算公式】：E_total = ∑ [ E_i × K_i ] ; R_green = ( (E_pv_self + E_green_market) / E_elec_total ) × 100%</w:t>
            </w:r>
            <w:r>
              <w:rPr>
                <w:rFonts w:hint="eastAsia" w:ascii="微软雅黑" w:hAnsi="微软雅黑" w:eastAsia="微软雅黑" w:cs="微软雅黑"/>
                <w:b/>
                <w:color w:val="1E3A8A"/>
                <w:sz w:val="21"/>
                <w:szCs w:val="21"/>
              </w:rPr>
              <w:br w:type="textWrapping"/>
            </w:r>
            <w:r>
              <w:rPr>
                <w:rFonts w:hint="eastAsia" w:ascii="微软雅黑" w:hAnsi="微软雅黑" w:eastAsia="微软雅黑" w:cs="微软雅黑"/>
                <w:color w:val="1F2937"/>
                <w:sz w:val="21"/>
                <w:szCs w:val="21"/>
              </w:rPr>
              <w:t>【逻辑说明】：依据 GB/T 2589-2020 计算全厂综合能耗折标煤总量；绿电消纳率严格由园区屋顶光伏自发自用电量与电力交易中心绿电凭证 (GEC) 合并计入分子，总用电量为分母。</w:t>
            </w:r>
            <w:r>
              <w:rPr>
                <w:rFonts w:hint="eastAsia" w:ascii="微软雅黑" w:hAnsi="微软雅黑" w:eastAsia="微软雅黑" w:cs="微软雅黑"/>
                <w:color w:val="64748B"/>
                <w:sz w:val="21"/>
                <w:szCs w:val="21"/>
              </w:rPr>
              <w:br w:type="textWrapping"/>
            </w:r>
            <w:r>
              <w:rPr>
                <w:rFonts w:hint="eastAsia" w:ascii="微软雅黑" w:hAnsi="微软雅黑" w:eastAsia="微软雅黑" w:cs="微软雅黑"/>
                <w:color w:val="64748B"/>
                <w:sz w:val="21"/>
                <w:szCs w:val="21"/>
              </w:rPr>
              <w:t>【变量定义与取值约定】：</w:t>
            </w:r>
            <w:r>
              <w:rPr>
                <w:rFonts w:hint="eastAsia" w:ascii="微软雅黑" w:hAnsi="微软雅黑" w:eastAsia="微软雅黑" w:cs="微软雅黑"/>
                <w:color w:val="64748B"/>
                <w:sz w:val="21"/>
                <w:szCs w:val="21"/>
              </w:rPr>
              <w:br w:type="textWrapping"/>
            </w:r>
            <w:r>
              <w:rPr>
                <w:rFonts w:hint="eastAsia" w:ascii="微软雅黑" w:hAnsi="微软雅黑" w:eastAsia="微软雅黑" w:cs="微软雅黑"/>
                <w:color w:val="64748B"/>
                <w:sz w:val="21"/>
                <w:szCs w:val="21"/>
              </w:rPr>
              <w:t>E_i: 各能源介质实物消耗量；K_i: 对应能源折标煤系数 (电力当量 0.1229 kgce/kWh, 天然气 1.2143 kgce/m³, 蒸汽 0.1286 kgce/kg)</w:t>
            </w:r>
          </w:p>
        </w:tc>
      </w:tr>
    </w:tbl>
    <w:p w14:paraId="7C4ED5FB">
      <w:pPr>
        <w:spacing w:after="40"/>
        <w:rPr>
          <w:rFonts w:hint="eastAsia" w:ascii="微软雅黑" w:hAnsi="微软雅黑" w:eastAsia="微软雅黑" w:cs="微软雅黑"/>
          <w:sz w:val="21"/>
          <w:szCs w:val="21"/>
        </w:rPr>
      </w:pPr>
    </w:p>
    <w:tbl>
      <w:tblPr>
        <w:tblStyle w:val="35"/>
        <w:tblW w:w="0" w:type="auto"/>
        <w:jc w:val="center"/>
        <w:tblLayout w:type="fixed"/>
        <w:tblCellMar>
          <w:top w:w="0" w:type="dxa"/>
          <w:left w:w="108" w:type="dxa"/>
          <w:bottom w:w="0" w:type="dxa"/>
          <w:right w:w="108" w:type="dxa"/>
        </w:tblCellMar>
      </w:tblPr>
      <w:tblGrid>
        <w:gridCol w:w="9792"/>
      </w:tblGrid>
      <w:tr w14:paraId="7CE4DF54">
        <w:tblPrEx>
          <w:tblCellMar>
            <w:top w:w="0" w:type="dxa"/>
            <w:left w:w="108" w:type="dxa"/>
            <w:bottom w:w="0" w:type="dxa"/>
            <w:right w:w="108" w:type="dxa"/>
          </w:tblCellMar>
        </w:tblPrEx>
        <w:trPr>
          <w:jc w:val="center"/>
        </w:trPr>
        <w:tc>
          <w:tcPr>
            <w:tcW w:w="9648" w:type="dxa"/>
            <w:tcBorders>
              <w:top w:val="nil"/>
              <w:left w:val="single" w:color="7C3AED" w:sz="24" w:space="0"/>
              <w:bottom w:val="nil"/>
              <w:right w:val="nil"/>
            </w:tcBorders>
            <w:shd w:val="clear" w:color="auto" w:fill="F5F3FF"/>
            <w:tcMar>
              <w:top w:w="90" w:type="dxa"/>
              <w:left w:w="130" w:type="dxa"/>
              <w:bottom w:w="90" w:type="dxa"/>
              <w:right w:w="130" w:type="dxa"/>
            </w:tcMar>
          </w:tcPr>
          <w:p w14:paraId="4D956D44">
            <w:pPr>
              <w:spacing w:after="40"/>
              <w:rPr>
                <w:rFonts w:hint="eastAsia" w:ascii="微软雅黑" w:hAnsi="微软雅黑" w:eastAsia="微软雅黑" w:cs="微软雅黑"/>
                <w:sz w:val="21"/>
                <w:szCs w:val="21"/>
              </w:rPr>
            </w:pPr>
            <w:r>
              <w:rPr>
                <w:rFonts w:hint="eastAsia" w:ascii="微软雅黑" w:hAnsi="微软雅黑" w:eastAsia="微软雅黑" w:cs="微软雅黑"/>
                <w:b/>
                <w:color w:val="7C3AED"/>
                <w:sz w:val="21"/>
                <w:szCs w:val="21"/>
              </w:rPr>
              <w:t>🧪 【QA 自动化验收准则 · Gherkin 用例】 Feature: 全景大屏 10 大综合指标联动</w:t>
            </w:r>
            <w:r>
              <w:rPr>
                <w:rFonts w:hint="eastAsia" w:ascii="微软雅黑" w:hAnsi="微软雅黑" w:eastAsia="微软雅黑" w:cs="微软雅黑"/>
                <w:b/>
                <w:color w:val="7C3AED"/>
                <w:sz w:val="21"/>
                <w:szCs w:val="21"/>
              </w:rPr>
              <w:br w:type="textWrapping"/>
            </w:r>
            <w:r>
              <w:rPr>
                <w:rFonts w:hint="eastAsia" w:ascii="微软雅黑" w:hAnsi="微软雅黑" w:eastAsia="微软雅黑" w:cs="微软雅黑"/>
                <w:b/>
                <w:color w:val="1E3A8A"/>
                <w:sz w:val="21"/>
                <w:szCs w:val="21"/>
              </w:rPr>
              <w:t>Scenario: 切换不同二级工厂胶囊 Tab 时数据秒级无损刷新</w:t>
            </w:r>
            <w:r>
              <w:rPr>
                <w:rFonts w:hint="eastAsia" w:ascii="微软雅黑" w:hAnsi="微软雅黑" w:eastAsia="微软雅黑" w:cs="微软雅黑"/>
                <w:b/>
                <w:color w:val="1E3A8A"/>
                <w:sz w:val="21"/>
                <w:szCs w:val="21"/>
              </w:rPr>
              <w:br w:type="textWrapping"/>
            </w:r>
            <w:r>
              <w:rPr>
                <w:rFonts w:hint="eastAsia" w:ascii="微软雅黑" w:hAnsi="微软雅黑" w:eastAsia="微软雅黑" w:cs="微软雅黑"/>
                <w:color w:val="1F2937"/>
                <w:sz w:val="21"/>
                <w:szCs w:val="21"/>
              </w:rPr>
              <w:t xml:space="preserve">  Given 用户已登录进入 /zero-carbon/screen 页面，大屏右侧处于沈变公司默认视图</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 xml:space="preserve">  When  用户点击切换至【鲁缆公司】胶囊 Tab</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b/>
                <w:color w:val="16A34A"/>
                <w:sz w:val="21"/>
                <w:szCs w:val="21"/>
              </w:rPr>
              <w:t xml:space="preserve">  Then  系统在 300ms 内重绘右侧 5×2 指标环形图，数值切换为鲁缆公司指标，且中央 3D 地图视角平滑平移至山东泰安基地，无任何白屏或数据抖动</w:t>
            </w:r>
          </w:p>
        </w:tc>
      </w:tr>
    </w:tbl>
    <w:p w14:paraId="3B81E932">
      <w:pPr>
        <w:spacing w:after="40"/>
        <w:rPr>
          <w:rFonts w:hint="eastAsia" w:ascii="微软雅黑" w:hAnsi="微软雅黑" w:eastAsia="微软雅黑" w:cs="微软雅黑"/>
          <w:sz w:val="21"/>
          <w:szCs w:val="21"/>
        </w:rPr>
      </w:pPr>
    </w:p>
    <w:p w14:paraId="2B983B76">
      <w:pPr>
        <w:pStyle w:val="5"/>
        <w:keepNext/>
        <w:spacing w:before="180" w:after="60"/>
        <w:outlineLvl w:val="2"/>
        <w:rPr>
          <w:rFonts w:hint="eastAsia" w:ascii="微软雅黑" w:hAnsi="微软雅黑" w:eastAsia="微软雅黑" w:cs="微软雅黑"/>
          <w:sz w:val="21"/>
          <w:szCs w:val="21"/>
        </w:rPr>
      </w:pPr>
      <w:bookmarkStart w:id="7" w:name="_Toc26776"/>
      <w:r>
        <w:rPr>
          <w:rFonts w:hint="eastAsia" w:ascii="微软雅黑" w:hAnsi="微软雅黑" w:eastAsia="微软雅黑" w:cs="微软雅黑"/>
          <w:b/>
          <w:color w:val="1E3A8A"/>
          <w:sz w:val="21"/>
          <w:szCs w:val="21"/>
        </w:rPr>
        <w:t>4.2 综合集控大屏 16:9</w:t>
      </w:r>
      <w:bookmarkEnd w:id="7"/>
    </w:p>
    <w:p w14:paraId="10602115">
      <w:pPr>
        <w:spacing w:after="80" w:line="288" w:lineRule="auto"/>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功能概述：</w:t>
      </w:r>
      <w:r>
        <w:rPr>
          <w:rFonts w:hint="eastAsia" w:ascii="微软雅黑" w:hAnsi="微软雅黑" w:eastAsia="微软雅黑" w:cs="微软雅黑"/>
          <w:color w:val="1F2937"/>
          <w:sz w:val="21"/>
          <w:szCs w:val="21"/>
        </w:rPr>
        <w:t>标准 16:9 比例工业调度级监控视图，专为园区运行值班室定制，集成高压配电一次单线图、微电网电能潮流拓扑、变压器绕组温升红外监测与储能系统热失控预警。</w:t>
      </w:r>
    </w:p>
    <w:tbl>
      <w:tblPr>
        <w:tblStyle w:val="35"/>
        <w:tblW w:w="10409" w:type="dxa"/>
        <w:jc w:val="center"/>
        <w:tblLayout w:type="autofit"/>
        <w:tblCellMar>
          <w:top w:w="0" w:type="dxa"/>
          <w:left w:w="108" w:type="dxa"/>
          <w:bottom w:w="0" w:type="dxa"/>
          <w:right w:w="108" w:type="dxa"/>
        </w:tblCellMar>
      </w:tblPr>
      <w:tblGrid>
        <w:gridCol w:w="2020"/>
        <w:gridCol w:w="1571"/>
        <w:gridCol w:w="1407"/>
        <w:gridCol w:w="976"/>
        <w:gridCol w:w="1454"/>
        <w:gridCol w:w="2328"/>
        <w:gridCol w:w="653"/>
      </w:tblGrid>
      <w:tr w14:paraId="1DA03BA5">
        <w:tblPrEx>
          <w:tblCellMar>
            <w:top w:w="0" w:type="dxa"/>
            <w:left w:w="108" w:type="dxa"/>
            <w:bottom w:w="0" w:type="dxa"/>
            <w:right w:w="108" w:type="dxa"/>
          </w:tblCellMar>
        </w:tblPrEx>
        <w:trPr>
          <w:trHeight w:val="0" w:hRule="atLeast"/>
          <w:tblHeader/>
          <w:jc w:val="center"/>
        </w:trPr>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21149205">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字段代码</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52494986">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字段名称</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4B1A2FE1">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数据类型</w:t>
            </w:r>
          </w:p>
        </w:tc>
        <w:tc>
          <w:tcPr>
            <w:tcW w:w="1058"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7F47DBBB">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工程量纲</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66481DC4">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数据来源与频次</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727C6E68">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阈值与告警规则</w:t>
            </w:r>
          </w:p>
        </w:tc>
        <w:tc>
          <w:tcPr>
            <w:tcW w:w="697"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0CBB899F">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密级</w:t>
            </w:r>
          </w:p>
        </w:tc>
      </w:tr>
      <w:tr w14:paraId="16257DB0">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DCD12A1">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bus_voltage_kv</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5695742">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10kV母线运行电压</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F8D711F">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Decimal(6,2)</w:t>
            </w:r>
          </w:p>
        </w:tc>
        <w:tc>
          <w:tcPr>
            <w:tcW w:w="105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A57AEA7">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kV</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26A626F">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高压进线 PT / 1秒</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7B394B0">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额定 10.0kV，偏差超 ±7% 告警</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47D62F1">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r w14:paraId="1E281E92">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AE550D8">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line_current_a</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BA07A02">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主变进线运行电流</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4B78D7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Decimal(6,2)</w:t>
            </w:r>
          </w:p>
        </w:tc>
        <w:tc>
          <w:tcPr>
            <w:tcW w:w="105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36C12BD">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A</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16D62EF">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高压进线 CT / 1秒</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521FD3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不得超过 CT 额定过载能力 120%</w:t>
            </w:r>
          </w:p>
        </w:tc>
        <w:tc>
          <w:tcPr>
            <w:tcW w:w="6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B679B0E">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r w14:paraId="4E4E13F9">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A866E43">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active_power_kw</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23B0D4F">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变电所瞬时有功功率</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D4FD026">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Decimal(8,2)</w:t>
            </w:r>
          </w:p>
        </w:tc>
        <w:tc>
          <w:tcPr>
            <w:tcW w:w="105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8B0B7BB">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kW</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3F15229">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多功能数字电表 / 1秒</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2C5D8AE">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 0.00，逆流立即切断防倒送</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DAC8679">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r w14:paraId="21233F7D">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144632C">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power_factor</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8709133">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全厂综合功率因数</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1A1373D">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Decimal(4,3)</w:t>
            </w:r>
          </w:p>
        </w:tc>
        <w:tc>
          <w:tcPr>
            <w:tcW w:w="105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DCE58B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cosφ</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F52A702">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数字电表 / 1秒</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FB465B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考核标准 ≥ 0.95，低于0.90力率罚款</w:t>
            </w:r>
          </w:p>
        </w:tc>
        <w:tc>
          <w:tcPr>
            <w:tcW w:w="6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8427CB2">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643C0993">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9B1B97F">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grid_freq_hz</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5798A7C">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电网运行实时频率</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699AD25">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Decimal(4,2)</w:t>
            </w:r>
          </w:p>
        </w:tc>
        <w:tc>
          <w:tcPr>
            <w:tcW w:w="105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CE7823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Hz</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FB21DDB">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电能质量监测仪 / 1秒</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65065A5">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额定 50.00Hz，允许偏差 ±0.20Hz</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DDD221F">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r w14:paraId="05BAB149">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E11B3DF">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trans_temp_deg</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9617759">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变压器顶层油温/绕组温度</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184EB93">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Decimal(5,1)</w:t>
            </w:r>
          </w:p>
        </w:tc>
        <w:tc>
          <w:tcPr>
            <w:tcW w:w="105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937BA4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°C</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1A1EB4A">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PT100 铂电阻 / 5秒</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A103B9F">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油温超 85°C 告警，超 105°C 跳闸</w:t>
            </w:r>
          </w:p>
        </w:tc>
        <w:tc>
          <w:tcPr>
            <w:tcW w:w="6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B24D0D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r w14:paraId="1320A139">
        <w:tblPrEx>
          <w:tblCellMar>
            <w:top w:w="0" w:type="dxa"/>
            <w:left w:w="108" w:type="dxa"/>
            <w:bottom w:w="0" w:type="dxa"/>
            <w:right w:w="108" w:type="dxa"/>
          </w:tblCellMar>
        </w:tblPrEx>
        <w:trPr>
          <w:trHeight w:val="0" w:hRule="atLeast"/>
          <w:jc w:val="center"/>
        </w:trPr>
        <w:tc>
          <w:tcPr>
            <w:tcW w:w="166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E1CD3E6">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storage_power_kw</w:t>
            </w:r>
          </w:p>
        </w:tc>
        <w:tc>
          <w:tcPr>
            <w:tcW w:w="172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4C9F9EC">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储能 PCS 充放功率</w:t>
            </w:r>
          </w:p>
        </w:tc>
        <w:tc>
          <w:tcPr>
            <w:tcW w:w="116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4FF97FE">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Decimal(7,2)</w:t>
            </w:r>
          </w:p>
        </w:tc>
        <w:tc>
          <w:tcPr>
            <w:tcW w:w="105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EFEEFD4">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kW</w:t>
            </w:r>
          </w:p>
        </w:tc>
        <w:tc>
          <w:tcPr>
            <w:tcW w:w="156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720FA4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储能变流器 PCS / 1秒</w:t>
            </w:r>
          </w:p>
        </w:tc>
        <w:tc>
          <w:tcPr>
            <w:tcW w:w="252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F836A0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正值为放电供厂，负值为充电吸纳</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E1CDBF9">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bl>
    <w:p w14:paraId="6DC36325">
      <w:pPr>
        <w:spacing w:after="60"/>
        <w:rPr>
          <w:rFonts w:hint="eastAsia" w:ascii="微软雅黑" w:hAnsi="微软雅黑" w:eastAsia="微软雅黑" w:cs="微软雅黑"/>
          <w:sz w:val="21"/>
          <w:szCs w:val="21"/>
        </w:rPr>
      </w:pPr>
    </w:p>
    <w:p w14:paraId="006127AB">
      <w:pPr>
        <w:pStyle w:val="4"/>
        <w:keepNext/>
        <w:spacing w:before="260" w:after="100"/>
        <w:outlineLvl w:val="1"/>
        <w:rPr>
          <w:rFonts w:hint="eastAsia" w:ascii="微软雅黑" w:hAnsi="微软雅黑" w:eastAsia="微软雅黑" w:cs="微软雅黑"/>
          <w:sz w:val="21"/>
          <w:szCs w:val="21"/>
        </w:rPr>
      </w:pPr>
      <w:bookmarkStart w:id="8" w:name="_Toc21730"/>
      <w:r>
        <w:rPr>
          <w:rFonts w:hint="eastAsia" w:ascii="微软雅黑" w:hAnsi="微软雅黑" w:eastAsia="微软雅黑" w:cs="微软雅黑"/>
          <w:b/>
          <w:color w:val="0284C7"/>
          <w:sz w:val="21"/>
          <w:szCs w:val="21"/>
        </w:rPr>
        <w:t>第 5 章 一级导航【集中监管】</w:t>
      </w:r>
      <w:bookmarkEnd w:id="8"/>
    </w:p>
    <w:p w14:paraId="48B4195B">
      <w:pPr>
        <w:pStyle w:val="5"/>
        <w:keepNext/>
        <w:spacing w:before="180" w:after="60"/>
        <w:outlineLvl w:val="2"/>
        <w:rPr>
          <w:rFonts w:hint="eastAsia" w:ascii="微软雅黑" w:hAnsi="微软雅黑" w:eastAsia="微软雅黑" w:cs="微软雅黑"/>
          <w:sz w:val="21"/>
          <w:szCs w:val="21"/>
        </w:rPr>
      </w:pPr>
      <w:bookmarkStart w:id="9" w:name="_Toc29920"/>
      <w:r>
        <w:rPr>
          <w:rFonts w:hint="eastAsia" w:ascii="微软雅黑" w:hAnsi="微软雅黑" w:eastAsia="微软雅黑" w:cs="微软雅黑"/>
          <w:b/>
          <w:color w:val="1E3A8A"/>
          <w:sz w:val="21"/>
          <w:szCs w:val="21"/>
        </w:rPr>
        <w:t>5.1 指标管控</w:t>
      </w:r>
      <w:bookmarkEnd w:id="9"/>
    </w:p>
    <w:p w14:paraId="4683EDFA">
      <w:pPr>
        <w:spacing w:after="80" w:line="288" w:lineRule="auto"/>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PM 架构定位：</w:t>
      </w:r>
      <w:r>
        <w:rPr>
          <w:rFonts w:hint="eastAsia" w:ascii="微软雅黑" w:hAnsi="微软雅黑" w:eastAsia="微软雅黑" w:cs="微软雅黑"/>
          <w:color w:val="1F2937"/>
          <w:sz w:val="21"/>
          <w:szCs w:val="21"/>
        </w:rPr>
        <w:t>作为全集团能碳运行中枢，构建 Mode A（宏观指标卡片矩阵）与 Mode B（深入分析详情内页）双模无损穿透体系，彻底剥离冗余标签，实现纯粹的工业数据自解释。</w:t>
      </w:r>
    </w:p>
    <w:p w14:paraId="5FD2B363">
      <w:pPr>
        <w:spacing w:after="80" w:line="288" w:lineRule="auto"/>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UI 原型交互：</w:t>
      </w:r>
      <w:r>
        <w:rPr>
          <w:rFonts w:hint="eastAsia" w:ascii="微软雅黑" w:hAnsi="微软雅黑" w:eastAsia="微软雅黑" w:cs="微软雅黑"/>
          <w:color w:val="1F2937"/>
          <w:sz w:val="21"/>
          <w:szCs w:val="21"/>
        </w:rPr>
        <w:t>1. 顶层切换：支持【经营单位及项目公司整体指标】、【产品管控指标】与【关键制造工序能耗管控指标】三大核心板块；</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2. 组织联动：左侧 StandardOrgTree 六级组织树驱动右侧数据联动，支持产业集团、二级公司及车间级下钻；</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3. Mode B 详情展开：点击任意指标卡片平滑展开 Mode B 详情内页，呈现指标标准定义、分子分母工程物理量、核算公式、仪表点位路径、近 12 个月趋势图与底层水电气汽折标台账。</w:t>
      </w:r>
    </w:p>
    <w:p w14:paraId="2D3ED25E">
      <w:pPr>
        <w:pStyle w:val="6"/>
        <w:keepNext/>
        <w:spacing w:before="180" w:after="60"/>
        <w:outlineLvl w:val="3"/>
        <w:rPr>
          <w:rFonts w:hint="eastAsia" w:ascii="微软雅黑" w:hAnsi="微软雅黑" w:eastAsia="微软雅黑" w:cs="微软雅黑"/>
          <w:sz w:val="21"/>
          <w:szCs w:val="21"/>
        </w:rPr>
      </w:pPr>
      <w:bookmarkStart w:id="10" w:name="_Toc20097"/>
      <w:r>
        <w:rPr>
          <w:rFonts w:hint="eastAsia" w:ascii="微软雅黑" w:hAnsi="微软雅黑" w:eastAsia="微软雅黑" w:cs="微软雅黑"/>
          <w:b/>
          <w:color w:val="1E3A8A"/>
          <w:sz w:val="21"/>
          <w:szCs w:val="21"/>
        </w:rPr>
        <w:t>5.1.1 板块一：经营单位及项目公司整体指标 (10 项核心指标)</w:t>
      </w:r>
      <w:bookmarkEnd w:id="10"/>
    </w:p>
    <w:tbl>
      <w:tblPr>
        <w:tblStyle w:val="35"/>
        <w:tblW w:w="10958" w:type="dxa"/>
        <w:jc w:val="center"/>
        <w:tblLayout w:type="autofit"/>
        <w:tblCellMar>
          <w:top w:w="0" w:type="dxa"/>
          <w:left w:w="108" w:type="dxa"/>
          <w:bottom w:w="0" w:type="dxa"/>
          <w:right w:w="108" w:type="dxa"/>
        </w:tblCellMar>
      </w:tblPr>
      <w:tblGrid>
        <w:gridCol w:w="1529"/>
        <w:gridCol w:w="1539"/>
        <w:gridCol w:w="1238"/>
        <w:gridCol w:w="2814"/>
        <w:gridCol w:w="1772"/>
        <w:gridCol w:w="1369"/>
        <w:gridCol w:w="697"/>
      </w:tblGrid>
      <w:tr w14:paraId="6C306724">
        <w:tblPrEx>
          <w:tblCellMar>
            <w:top w:w="0" w:type="dxa"/>
            <w:left w:w="108" w:type="dxa"/>
            <w:bottom w:w="0" w:type="dxa"/>
            <w:right w:w="108" w:type="dxa"/>
          </w:tblCellMar>
        </w:tblPrEx>
        <w:trPr>
          <w:trHeight w:val="0" w:hRule="atLeast"/>
          <w:tblHeader/>
          <w:jc w:val="center"/>
        </w:trPr>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34F1BB46">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指标代码</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55943B0B">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指标中文名称</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48E29726">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单位</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488D92EF">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核算数学模型</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44CB4B2B">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分子来源</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3996FABA">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分母来源</w:t>
            </w:r>
          </w:p>
        </w:tc>
        <w:tc>
          <w:tcPr>
            <w:tcW w:w="697"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425DA5D8">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密级</w:t>
            </w:r>
          </w:p>
        </w:tc>
      </w:tr>
      <w:tr w14:paraId="58FD1048">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BBE16C9">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gm-total-energy</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623DFE9">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综合能源消费量</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98C2496">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tce</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339A7CC">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E_total = ∑ (E_i × K_i)</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8068FE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水电气汽等各介质计量表</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98D676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国家当量折标系数</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F7D5B03">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618D139F">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3EBB999">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gm-unit-output-energy</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2D9BA51">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万元产值综合能耗</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4CD74AC">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tce/万元</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C1072EC">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e_gdp = (E_total / GDP) × 10000</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962B226">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综合能源消费量 (tce)</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BB5FC2A">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财务 ERP 月度营业总产值</w:t>
            </w:r>
          </w:p>
        </w:tc>
        <w:tc>
          <w:tcPr>
            <w:tcW w:w="6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AC7255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3586F44F">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92A2925">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gm-unit-output-elec</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C8B1C5A">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万元产值电耗</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17D0EB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kWh/万元</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51FFB0D">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q_elec = (Q_elec / GDP) × 10000</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08C312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总用电量 (kWh)</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150389A">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财务 ERP 月度营业总产值</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3DEAA90">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30CFE439">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9D95EC1">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gm-unit-output-water</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763D459">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ESG 万元产值水耗</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7E4CB71">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m³/万元</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EEBA7A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q_water = (Q_water / GDP) × 10000</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87E880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全厂自来水+地下水总表</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21F7B9A">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财务 ERP 月度营业总产值</w:t>
            </w:r>
          </w:p>
        </w:tc>
        <w:tc>
          <w:tcPr>
            <w:tcW w:w="6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B16AC9F">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4FAA414A">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A604FB2">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gm-green-energy-ratio</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A33F3C2">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综合绿电消纳占比</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18323E1">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001325B">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R_green = (Q_green / Q_total) × 100%</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4176CAB">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光伏自用量 + 绿电市场交易量</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9A13554">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全厂总用电量</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B1C406C">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36243E6D">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6FCED86">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gm-energy-cost-ratio</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BF48C1C">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能源消费成本占比</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1E5D394">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2D3F820">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R_cost = (Cost_energy / Cost_prod) × 100%</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C6032B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水电气汽总能耗账单金额</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3A789C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财务系统产品生产制造成本</w:t>
            </w:r>
          </w:p>
        </w:tc>
        <w:tc>
          <w:tcPr>
            <w:tcW w:w="6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DBE0B94">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L3</w:t>
            </w:r>
          </w:p>
        </w:tc>
      </w:tr>
      <w:tr w14:paraId="638CDCA4">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8000B45">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gm-clean-energy-ratio</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A831DF2">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清洁能源替代率</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83289AD">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C5579E1">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R_clean = (E_clean / E_total) × 100%</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97E8EAA">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电力+天然气等清洁能源折标量</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DEA99F0">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综合能源消费总量</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C5DBDF3">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68EF625E">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6D42592">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gm-equip-efficiency</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D9DDE06">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重点设备综合效率</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DD5B3B4">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818182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η_equip = ∑ (η_j × P_rated_j) / ∑ P_rated_j</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8D3E7CF">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设备在线监测有效做功量</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D818751">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设备在线监测总输入功量</w:t>
            </w:r>
          </w:p>
        </w:tc>
        <w:tc>
          <w:tcPr>
            <w:tcW w:w="6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C3A790D">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r w14:paraId="41926AE6">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97164B6">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gm-waste-heat-ratio</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0646652">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余热余压利用率</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CE45FF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96F557D">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R_waste = (Q_recovered / Q_waste_total) × 100%</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489FAE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余热锅炉/热泵回收蒸汽与热量</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482614A">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可回收余热余压理论总量</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1DAE5F1">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r w14:paraId="6E860353">
        <w:tblPrEx>
          <w:tblCellMar>
            <w:top w:w="0" w:type="dxa"/>
            <w:left w:w="108" w:type="dxa"/>
            <w:bottom w:w="0" w:type="dxa"/>
            <w:right w:w="108" w:type="dxa"/>
          </w:tblCellMar>
        </w:tblPrEx>
        <w:trPr>
          <w:trHeight w:val="0" w:hRule="atLeast"/>
          <w:jc w:val="center"/>
        </w:trPr>
        <w:tc>
          <w:tcPr>
            <w:tcW w:w="152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C5303FF">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gm-carbon-intensity</w:t>
            </w:r>
          </w:p>
        </w:tc>
        <w:tc>
          <w:tcPr>
            <w:tcW w:w="153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0DC5688">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万元产值碳排放强度</w:t>
            </w:r>
          </w:p>
        </w:tc>
        <w:tc>
          <w:tcPr>
            <w:tcW w:w="123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EEA77AC">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tCO2e/万元</w:t>
            </w:r>
          </w:p>
        </w:tc>
        <w:tc>
          <w:tcPr>
            <w:tcW w:w="2814"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9D66160">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I_co2 = (E_GHG / GDP) × 10000</w:t>
            </w:r>
          </w:p>
        </w:tc>
        <w:tc>
          <w:tcPr>
            <w:tcW w:w="177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8B87A7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Scope 1 直接 + Scope 2 间接碳排</w:t>
            </w:r>
          </w:p>
        </w:tc>
        <w:tc>
          <w:tcPr>
            <w:tcW w:w="136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A521ACB">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财务 ERP 月度营业总产值</w:t>
            </w:r>
          </w:p>
        </w:tc>
        <w:tc>
          <w:tcPr>
            <w:tcW w:w="6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EC750F8">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bl>
    <w:p w14:paraId="395C40D5">
      <w:pPr>
        <w:spacing w:after="60"/>
        <w:rPr>
          <w:rFonts w:hint="eastAsia" w:ascii="微软雅黑" w:hAnsi="微软雅黑" w:eastAsia="微软雅黑" w:cs="微软雅黑"/>
          <w:sz w:val="21"/>
          <w:szCs w:val="21"/>
        </w:rPr>
      </w:pPr>
    </w:p>
    <w:p w14:paraId="256DDF4F">
      <w:pPr>
        <w:pStyle w:val="6"/>
        <w:keepNext/>
        <w:spacing w:before="180" w:after="60"/>
        <w:outlineLvl w:val="3"/>
        <w:rPr>
          <w:rFonts w:hint="eastAsia" w:ascii="微软雅黑" w:hAnsi="微软雅黑" w:eastAsia="微软雅黑" w:cs="微软雅黑"/>
          <w:sz w:val="21"/>
          <w:szCs w:val="21"/>
        </w:rPr>
      </w:pPr>
      <w:bookmarkStart w:id="11" w:name="_Toc7229"/>
      <w:r>
        <w:rPr>
          <w:rFonts w:hint="eastAsia" w:ascii="微软雅黑" w:hAnsi="微软雅黑" w:eastAsia="微软雅黑" w:cs="微软雅黑"/>
          <w:b/>
          <w:color w:val="1E3A8A"/>
          <w:sz w:val="21"/>
          <w:szCs w:val="21"/>
        </w:rPr>
        <w:t>5.1.2 板块二：产品管控指标 (5 项产品单位产品能耗指标)</w:t>
      </w:r>
      <w:bookmarkEnd w:id="11"/>
    </w:p>
    <w:p w14:paraId="791AEAF5">
      <w:pPr>
        <w:spacing w:after="80" w:line="288" w:lineRule="auto"/>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算法与单位约束：</w:t>
      </w:r>
      <w:r>
        <w:rPr>
          <w:rFonts w:hint="eastAsia" w:ascii="微软雅黑" w:hAnsi="微软雅黑" w:eastAsia="微软雅黑" w:cs="微软雅黑"/>
          <w:color w:val="1F2937"/>
          <w:sz w:val="21"/>
          <w:szCs w:val="21"/>
        </w:rPr>
        <w:t>【产业分母严格隔离铁律】：</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1. 变压器产业：分母物理量统一为容量【万kVA】（或千伏安 kVA），单位产品综合能耗单位为【tce/万kVA】或【tce/kVA】；</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2. 线缆产业：分母物理量统一为导体规格【万km·mm²】（公里×毫米平方），单位产品综合能耗单位为【tce/万km·mm²】；</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3. QA 防除零拦截：当生产单位月度检修或产量为 0 时，系统后端必须捕获 ZeroDivisionError，前端单耗字段展示“--”，严禁抛出 NaN、Infinity 或引发页面崩溃。</w:t>
      </w:r>
    </w:p>
    <w:tbl>
      <w:tblPr>
        <w:tblStyle w:val="35"/>
        <w:tblW w:w="10020" w:type="dxa"/>
        <w:jc w:val="center"/>
        <w:tblLayout w:type="autofit"/>
        <w:tblCellMar>
          <w:top w:w="0" w:type="dxa"/>
          <w:left w:w="108" w:type="dxa"/>
          <w:bottom w:w="0" w:type="dxa"/>
          <w:right w:w="108" w:type="dxa"/>
        </w:tblCellMar>
      </w:tblPr>
      <w:tblGrid>
        <w:gridCol w:w="1342"/>
        <w:gridCol w:w="1713"/>
        <w:gridCol w:w="1576"/>
        <w:gridCol w:w="1547"/>
        <w:gridCol w:w="3160"/>
        <w:gridCol w:w="682"/>
      </w:tblGrid>
      <w:tr w14:paraId="60F5CBB8">
        <w:tblPrEx>
          <w:tblCellMar>
            <w:top w:w="0" w:type="dxa"/>
            <w:left w:w="108" w:type="dxa"/>
            <w:bottom w:w="0" w:type="dxa"/>
            <w:right w:w="108" w:type="dxa"/>
          </w:tblCellMar>
        </w:tblPrEx>
        <w:trPr>
          <w:trHeight w:val="0" w:hRule="atLeast"/>
          <w:tblHeader/>
          <w:jc w:val="center"/>
        </w:trPr>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2E512283">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指标编码</w:t>
            </w:r>
          </w:p>
        </w:tc>
        <w:tc>
          <w:tcPr>
            <w:tcW w:w="1781"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3F6C8267">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产品管控指标名称</w:t>
            </w:r>
          </w:p>
        </w:tc>
        <w:tc>
          <w:tcPr>
            <w:tcW w:w="1600"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781BCACF">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变压器产业单位</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2CF1680A">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线缆产业单位</w:t>
            </w:r>
          </w:p>
        </w:tc>
        <w:tc>
          <w:tcPr>
            <w:tcW w:w="3216"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6CD13E7A">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核算数学公式</w:t>
            </w:r>
          </w:p>
        </w:tc>
        <w:tc>
          <w:tcPr>
            <w:tcW w:w="697"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12059868">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密级</w:t>
            </w:r>
          </w:p>
        </w:tc>
      </w:tr>
      <w:tr w14:paraId="7675C0DD">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5054F7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pm-unit-energy</w:t>
            </w:r>
          </w:p>
        </w:tc>
        <w:tc>
          <w:tcPr>
            <w:tcW w:w="178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CDBC7B4">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单位产品综合能耗</w:t>
            </w:r>
          </w:p>
        </w:tc>
        <w:tc>
          <w:tcPr>
            <w:tcW w:w="160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5CA27DE">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tce/万kVA</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31F413B">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tce/万km·mm²</w:t>
            </w:r>
          </w:p>
        </w:tc>
        <w:tc>
          <w:tcPr>
            <w:tcW w:w="321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C63B374">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 = (E_total_period / M_product_period)</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5BCF444">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4CE218BD">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679A124">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pm-unit-elec</w:t>
            </w:r>
          </w:p>
        </w:tc>
        <w:tc>
          <w:tcPr>
            <w:tcW w:w="178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4FB4F68">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单位产品电耗</w:t>
            </w:r>
          </w:p>
        </w:tc>
        <w:tc>
          <w:tcPr>
            <w:tcW w:w="160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657E2C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kWh/kVA</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1F91AB4">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kWh/km·mm²</w:t>
            </w:r>
          </w:p>
        </w:tc>
        <w:tc>
          <w:tcPr>
            <w:tcW w:w="3216"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1E434C9">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q_elec = (Q_elec_period / M_product_period)</w:t>
            </w:r>
          </w:p>
        </w:tc>
        <w:tc>
          <w:tcPr>
            <w:tcW w:w="6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01A4093">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767A57EB">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624BB32">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pm-unit-steam</w:t>
            </w:r>
          </w:p>
        </w:tc>
        <w:tc>
          <w:tcPr>
            <w:tcW w:w="178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D017F4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单位产品蒸汽耗</w:t>
            </w:r>
          </w:p>
        </w:tc>
        <w:tc>
          <w:tcPr>
            <w:tcW w:w="160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959645E">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GJ/kVA</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6C48F82">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GJ/km·mm²</w:t>
            </w:r>
          </w:p>
        </w:tc>
        <w:tc>
          <w:tcPr>
            <w:tcW w:w="321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A021B29">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q_steam = (Q_steam_period / M_product_period)</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4827CC4">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4B6B7033">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384AAAE">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pm-unit-gas</w:t>
            </w:r>
          </w:p>
        </w:tc>
        <w:tc>
          <w:tcPr>
            <w:tcW w:w="178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5F3D09F">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单位产品天然气耗</w:t>
            </w:r>
          </w:p>
        </w:tc>
        <w:tc>
          <w:tcPr>
            <w:tcW w:w="160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9717FE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m³/kVA</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86F6939">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m³/km·mm²</w:t>
            </w:r>
          </w:p>
        </w:tc>
        <w:tc>
          <w:tcPr>
            <w:tcW w:w="3216"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E5FA1C2">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q_gas = (Q_gas_period / M_product_period)</w:t>
            </w:r>
          </w:p>
        </w:tc>
        <w:tc>
          <w:tcPr>
            <w:tcW w:w="6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A4F939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6DDF5C66">
        <w:tblPrEx>
          <w:tblCellMar>
            <w:top w:w="0" w:type="dxa"/>
            <w:left w:w="108" w:type="dxa"/>
            <w:bottom w:w="0" w:type="dxa"/>
            <w:right w:w="108" w:type="dxa"/>
          </w:tblCellMar>
        </w:tblPrEx>
        <w:trPr>
          <w:trHeight w:val="0" w:hRule="atLeast"/>
          <w:jc w:val="center"/>
        </w:trPr>
        <w:tc>
          <w:tcPr>
            <w:tcW w:w="136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5A4F9AC">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pm-unit-water</w:t>
            </w:r>
          </w:p>
        </w:tc>
        <w:tc>
          <w:tcPr>
            <w:tcW w:w="178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0501E5C">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单位产品水耗</w:t>
            </w:r>
          </w:p>
        </w:tc>
        <w:tc>
          <w:tcPr>
            <w:tcW w:w="160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C24640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t/kVA</w:t>
            </w:r>
          </w:p>
        </w:tc>
        <w:tc>
          <w:tcPr>
            <w:tcW w:w="135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C14D281">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t/km·mm²</w:t>
            </w:r>
          </w:p>
        </w:tc>
        <w:tc>
          <w:tcPr>
            <w:tcW w:w="321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334A0A6">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q_water = (Q_water_period / M_product_period)</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EB5996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bl>
    <w:p w14:paraId="7F4E6862">
      <w:pPr>
        <w:spacing w:after="60"/>
        <w:rPr>
          <w:rFonts w:hint="eastAsia" w:ascii="微软雅黑" w:hAnsi="微软雅黑" w:eastAsia="微软雅黑" w:cs="微软雅黑"/>
          <w:sz w:val="21"/>
          <w:szCs w:val="21"/>
        </w:rPr>
      </w:pPr>
    </w:p>
    <w:p w14:paraId="557A9C9A">
      <w:pPr>
        <w:pStyle w:val="6"/>
        <w:keepNext/>
        <w:spacing w:before="180" w:after="60"/>
        <w:outlineLvl w:val="3"/>
        <w:rPr>
          <w:rFonts w:hint="eastAsia" w:ascii="微软雅黑" w:hAnsi="微软雅黑" w:eastAsia="微软雅黑" w:cs="微软雅黑"/>
          <w:sz w:val="21"/>
          <w:szCs w:val="21"/>
        </w:rPr>
      </w:pPr>
      <w:bookmarkStart w:id="12" w:name="_Toc19677"/>
      <w:r>
        <w:rPr>
          <w:rFonts w:hint="eastAsia" w:ascii="微软雅黑" w:hAnsi="微软雅黑" w:eastAsia="微软雅黑" w:cs="微软雅黑"/>
          <w:b/>
          <w:color w:val="1E3A8A"/>
          <w:sz w:val="21"/>
          <w:szCs w:val="21"/>
        </w:rPr>
        <w:t>5.1.3 板块三：关键制造工序能耗管控指标 (47项工序白名单判定)</w:t>
      </w:r>
      <w:bookmarkEnd w:id="12"/>
    </w:p>
    <w:tbl>
      <w:tblPr>
        <w:tblStyle w:val="35"/>
        <w:tblW w:w="0" w:type="auto"/>
        <w:jc w:val="center"/>
        <w:tblLayout w:type="fixed"/>
        <w:tblCellMar>
          <w:top w:w="0" w:type="dxa"/>
          <w:left w:w="108" w:type="dxa"/>
          <w:bottom w:w="0" w:type="dxa"/>
          <w:right w:w="108" w:type="dxa"/>
        </w:tblCellMar>
      </w:tblPr>
      <w:tblGrid>
        <w:gridCol w:w="9792"/>
      </w:tblGrid>
      <w:tr w14:paraId="448DF273">
        <w:tblPrEx>
          <w:tblCellMar>
            <w:top w:w="0" w:type="dxa"/>
            <w:left w:w="108" w:type="dxa"/>
            <w:bottom w:w="0" w:type="dxa"/>
            <w:right w:w="108" w:type="dxa"/>
          </w:tblCellMar>
        </w:tblPrEx>
        <w:trPr>
          <w:jc w:val="center"/>
        </w:trPr>
        <w:tc>
          <w:tcPr>
            <w:tcW w:w="9648" w:type="dxa"/>
            <w:tcBorders>
              <w:top w:val="nil"/>
              <w:left w:val="single" w:color="DC2626" w:sz="24" w:space="0"/>
              <w:bottom w:val="nil"/>
              <w:right w:val="nil"/>
            </w:tcBorders>
            <w:shd w:val="clear" w:color="auto" w:fill="FEF2F2"/>
            <w:tcMar>
              <w:top w:w="100" w:type="dxa"/>
              <w:left w:w="140" w:type="dxa"/>
              <w:bottom w:w="100" w:type="dxa"/>
              <w:right w:w="140" w:type="dxa"/>
            </w:tcMar>
          </w:tcPr>
          <w:p w14:paraId="6B6717AB">
            <w:pPr>
              <w:spacing w:after="40"/>
              <w:rPr>
                <w:rFonts w:hint="eastAsia" w:ascii="微软雅黑" w:hAnsi="微软雅黑" w:eastAsia="微软雅黑" w:cs="微软雅黑"/>
                <w:sz w:val="21"/>
                <w:szCs w:val="21"/>
              </w:rPr>
            </w:pPr>
            <w:r>
              <w:rPr>
                <w:rFonts w:hint="eastAsia" w:ascii="微软雅黑" w:hAnsi="微软雅黑" w:eastAsia="微软雅黑" w:cs="微软雅黑"/>
                <w:b/>
                <w:color w:val="DC2626"/>
                <w:sz w:val="21"/>
                <w:szCs w:val="21"/>
              </w:rPr>
              <w:t>📌 【权威工序白名单与客观判空铁律】</w:t>
            </w:r>
            <w:r>
              <w:rPr>
                <w:rFonts w:hint="eastAsia" w:ascii="微软雅黑" w:hAnsi="微软雅黑" w:eastAsia="微软雅黑" w:cs="微软雅黑"/>
                <w:b/>
                <w:color w:val="DC2626"/>
                <w:sz w:val="21"/>
                <w:szCs w:val="21"/>
              </w:rPr>
              <w:br w:type="textWrapping"/>
            </w:r>
            <w:r>
              <w:rPr>
                <w:rFonts w:hint="eastAsia" w:ascii="微软雅黑" w:hAnsi="微软雅黑" w:eastAsia="微软雅黑" w:cs="微软雅黑"/>
                <w:color w:val="1F2937"/>
                <w:sz w:val="21"/>
                <w:szCs w:val="21"/>
              </w:rPr>
              <w:t>【权威工序白名单判定与单行极简判空规则】</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依据集团《生产单位与涉及关键工序对应表(1).et》，全集团下属单位划分为两类：</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1. 实体制造单位（沈变、衡变、新变、鲁缆、新缆、德缆等）：仅展示其业务真实涉及的制造工序（如变压器绕制、铁芯叠装、真空干燥固化；线缆拉丝、绝缘挤出、交联等）；</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2. 10 家无工序单位（沈变智慧能源、衡变智慧能源、新变智慧能源、鲁缆智慧能源、天池能源管理、科技投资、新能源集控、特变电装总部、进出口贸易、工程建设）：</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 xml:space="preserve">   - 在切换至该类单位时，工序管控区域整行必须精准输出单行干练结论：【暂无相关工序！】；</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 xml:space="preserve">   - 严禁出现空白占位卡片，严禁出现“由于白名单未配置因此无工序...”等主观解释说教文案；</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 xml:space="preserve">   - 状态自解释：激活态仅由边框高亮呈现，严禁在卡片右上角增加“已联动过滤”等过程标签。</w:t>
            </w:r>
          </w:p>
        </w:tc>
      </w:tr>
    </w:tbl>
    <w:p w14:paraId="03BF2529">
      <w:pPr>
        <w:spacing w:after="40"/>
        <w:rPr>
          <w:rFonts w:hint="eastAsia" w:ascii="微软雅黑" w:hAnsi="微软雅黑" w:eastAsia="微软雅黑" w:cs="微软雅黑"/>
          <w:sz w:val="21"/>
          <w:szCs w:val="21"/>
        </w:rPr>
      </w:pPr>
    </w:p>
    <w:p w14:paraId="458EAE93">
      <w:pPr>
        <w:pStyle w:val="6"/>
        <w:keepNext/>
        <w:spacing w:before="180" w:after="60"/>
        <w:outlineLvl w:val="3"/>
        <w:rPr>
          <w:rFonts w:hint="eastAsia" w:ascii="微软雅黑" w:hAnsi="微软雅黑" w:eastAsia="微软雅黑" w:cs="微软雅黑"/>
          <w:sz w:val="21"/>
          <w:szCs w:val="21"/>
        </w:rPr>
      </w:pPr>
      <w:bookmarkStart w:id="13" w:name="_Toc12402"/>
      <w:r>
        <w:rPr>
          <w:rFonts w:hint="eastAsia" w:ascii="微软雅黑" w:hAnsi="微软雅黑" w:eastAsia="微软雅黑" w:cs="微软雅黑"/>
          <w:b/>
          <w:color w:val="1E3A8A"/>
          <w:sz w:val="21"/>
          <w:szCs w:val="21"/>
        </w:rPr>
        <w:t>5.1.4 Mode B 深入分析内页数据字典与台账结构</w:t>
      </w:r>
      <w:bookmarkEnd w:id="13"/>
    </w:p>
    <w:p w14:paraId="4FEBCE07">
      <w:pPr>
        <w:spacing w:after="80" w:line="288" w:lineRule="auto"/>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在 Mode B 展开视图中，底部固定渲染【水电气汽四介质折标历史台账表】，表格行高强制固定为 44px (h-[44px])，垂直居中。</w:t>
      </w:r>
    </w:p>
    <w:tbl>
      <w:tblPr>
        <w:tblStyle w:val="35"/>
        <w:tblW w:w="10298" w:type="dxa"/>
        <w:jc w:val="center"/>
        <w:tblLayout w:type="autofit"/>
        <w:tblCellMar>
          <w:top w:w="0" w:type="dxa"/>
          <w:left w:w="108" w:type="dxa"/>
          <w:bottom w:w="0" w:type="dxa"/>
          <w:right w:w="108" w:type="dxa"/>
        </w:tblCellMar>
      </w:tblPr>
      <w:tblGrid>
        <w:gridCol w:w="1074"/>
        <w:gridCol w:w="1257"/>
        <w:gridCol w:w="1386"/>
        <w:gridCol w:w="1124"/>
        <w:gridCol w:w="1124"/>
        <w:gridCol w:w="681"/>
        <w:gridCol w:w="1287"/>
        <w:gridCol w:w="1357"/>
        <w:gridCol w:w="1008"/>
      </w:tblGrid>
      <w:tr w14:paraId="24056481">
        <w:tblPrEx>
          <w:tblCellMar>
            <w:top w:w="0" w:type="dxa"/>
            <w:left w:w="108" w:type="dxa"/>
            <w:bottom w:w="0" w:type="dxa"/>
            <w:right w:w="108" w:type="dxa"/>
          </w:tblCellMar>
        </w:tblPrEx>
        <w:trPr>
          <w:trHeight w:val="0" w:hRule="atLeast"/>
          <w:tblHeader/>
          <w:jc w:val="center"/>
        </w:trPr>
        <w:tc>
          <w:tcPr>
            <w:tcW w:w="1179"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05028496">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介质分类</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066F3BBE">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计量表计编码</w:t>
            </w:r>
          </w:p>
        </w:tc>
        <w:tc>
          <w:tcPr>
            <w:tcW w:w="1505"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2E29918F">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安装点位/回路</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59FFB1BB">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起码读数</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206EEAE7">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止码读数</w:t>
            </w:r>
          </w:p>
        </w:tc>
        <w:tc>
          <w:tcPr>
            <w:tcW w:w="697"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1127DBCE">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倍率</w:t>
            </w:r>
          </w:p>
        </w:tc>
        <w:tc>
          <w:tcPr>
            <w:tcW w:w="1293"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04AE89BE">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实物消费量</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31781EA4">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折标系数</w:t>
            </w:r>
          </w:p>
        </w:tc>
        <w:tc>
          <w:tcPr>
            <w:tcW w:w="1058"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6D4B4470">
            <w:pPr>
              <w:snapToGrid w:val="0"/>
              <w:spacing w:line="240" w:lineRule="auto"/>
              <w:ind w:left="0" w:leftChars="0" w:right="0" w:rightChars="0" w:firstLine="0" w:firstLineChars="0"/>
              <w:jc w:val="center"/>
              <w:rPr>
                <w:rFonts w:hint="eastAsia" w:ascii="微软雅黑" w:hAnsi="微软雅黑" w:eastAsia="微软雅黑" w:cs="微软雅黑"/>
                <w:b/>
                <w:color w:val="FFFFFF"/>
                <w:sz w:val="21"/>
                <w:szCs w:val="21"/>
              </w:rPr>
            </w:pPr>
            <w:r>
              <w:rPr>
                <w:rFonts w:hint="eastAsia" w:ascii="微软雅黑" w:hAnsi="微软雅黑" w:eastAsia="微软雅黑" w:cs="微软雅黑"/>
                <w:b/>
                <w:color w:val="FFFFFF"/>
                <w:sz w:val="21"/>
                <w:szCs w:val="21"/>
              </w:rPr>
              <w:t>折标能耗</w:t>
            </w:r>
          </w:p>
          <w:p w14:paraId="4E6F9F1E">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(tce)</w:t>
            </w:r>
          </w:p>
        </w:tc>
      </w:tr>
      <w:tr w14:paraId="06364C3E">
        <w:tblPrEx>
          <w:tblCellMar>
            <w:top w:w="0" w:type="dxa"/>
            <w:left w:w="108" w:type="dxa"/>
            <w:bottom w:w="0" w:type="dxa"/>
            <w:right w:w="108" w:type="dxa"/>
          </w:tblCellMar>
        </w:tblPrEx>
        <w:trPr>
          <w:trHeight w:val="0" w:hRule="atLeast"/>
          <w:jc w:val="center"/>
        </w:trPr>
        <w:tc>
          <w:tcPr>
            <w:tcW w:w="117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2315225">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电力 (市电)</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33CF0C8">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EM-SB-TR01-01</w:t>
            </w:r>
          </w:p>
        </w:tc>
        <w:tc>
          <w:tcPr>
            <w:tcW w:w="1505"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7C4D40A">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10kV 1#主变进线柜</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82B6801">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14,250.00</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5E656F5">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15,890.00</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A821A04">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80.0</w:t>
            </w:r>
          </w:p>
        </w:tc>
        <w:tc>
          <w:tcPr>
            <w:tcW w:w="129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E80DB72">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131,200.00 kWh</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D9E0D1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0.1229 kgce/kWh</w:t>
            </w:r>
          </w:p>
        </w:tc>
        <w:tc>
          <w:tcPr>
            <w:tcW w:w="105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CB02FD5">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16.12</w:t>
            </w:r>
          </w:p>
        </w:tc>
      </w:tr>
      <w:tr w14:paraId="5A8069A9">
        <w:tblPrEx>
          <w:tblCellMar>
            <w:top w:w="0" w:type="dxa"/>
            <w:left w:w="108" w:type="dxa"/>
            <w:bottom w:w="0" w:type="dxa"/>
            <w:right w:w="108" w:type="dxa"/>
          </w:tblCellMar>
        </w:tblPrEx>
        <w:trPr>
          <w:trHeight w:val="0" w:hRule="atLeast"/>
          <w:jc w:val="center"/>
        </w:trPr>
        <w:tc>
          <w:tcPr>
            <w:tcW w:w="117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A87685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电力 (光伏)</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9D44735">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EM-SB-PV01-02</w:t>
            </w:r>
          </w:p>
        </w:tc>
        <w:tc>
          <w:tcPr>
            <w:tcW w:w="1505"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05FE489">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35kV 厂房屋顶光伏并网点</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64840BB">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8,200.00</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4C4DE6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9,150.00</w:t>
            </w:r>
          </w:p>
        </w:tc>
        <w:tc>
          <w:tcPr>
            <w:tcW w:w="6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7CECC4E">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40.0</w:t>
            </w:r>
          </w:p>
        </w:tc>
        <w:tc>
          <w:tcPr>
            <w:tcW w:w="129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2E8ABB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38,000.00 kWh</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77B48CC">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0.1229 kgce/kWh</w:t>
            </w:r>
          </w:p>
        </w:tc>
        <w:tc>
          <w:tcPr>
            <w:tcW w:w="105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14AA54F">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4.67</w:t>
            </w:r>
          </w:p>
        </w:tc>
      </w:tr>
      <w:tr w14:paraId="7F0D9508">
        <w:tblPrEx>
          <w:tblCellMar>
            <w:top w:w="0" w:type="dxa"/>
            <w:left w:w="108" w:type="dxa"/>
            <w:bottom w:w="0" w:type="dxa"/>
            <w:right w:w="108" w:type="dxa"/>
          </w:tblCellMar>
        </w:tblPrEx>
        <w:trPr>
          <w:trHeight w:val="0" w:hRule="atLeast"/>
          <w:jc w:val="center"/>
        </w:trPr>
        <w:tc>
          <w:tcPr>
            <w:tcW w:w="117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E2D39F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外购蒸汽</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A42422B">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SM-SB-DRY02</w:t>
            </w:r>
          </w:p>
        </w:tc>
        <w:tc>
          <w:tcPr>
            <w:tcW w:w="1505"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A6D8E96">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真空干燥固化车间进汽总管</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47468D3">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1,120.50</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54BFB59">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1,265.80</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E87B65C">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1.0</w:t>
            </w:r>
          </w:p>
        </w:tc>
        <w:tc>
          <w:tcPr>
            <w:tcW w:w="129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34EE1FA">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145.30 t</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3346F3F">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0.1286 kgce/kg</w:t>
            </w:r>
          </w:p>
        </w:tc>
        <w:tc>
          <w:tcPr>
            <w:tcW w:w="105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8E8848B">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18.69</w:t>
            </w:r>
          </w:p>
        </w:tc>
      </w:tr>
      <w:tr w14:paraId="219D1322">
        <w:tblPrEx>
          <w:tblCellMar>
            <w:top w:w="0" w:type="dxa"/>
            <w:left w:w="108" w:type="dxa"/>
            <w:bottom w:w="0" w:type="dxa"/>
            <w:right w:w="108" w:type="dxa"/>
          </w:tblCellMar>
        </w:tblPrEx>
        <w:trPr>
          <w:trHeight w:val="0" w:hRule="atLeast"/>
          <w:jc w:val="center"/>
        </w:trPr>
        <w:tc>
          <w:tcPr>
            <w:tcW w:w="117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D10CBF7">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天然气</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C3FD3BF">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GM-SB-FURN01</w:t>
            </w:r>
          </w:p>
        </w:tc>
        <w:tc>
          <w:tcPr>
            <w:tcW w:w="1505"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A69FEB6">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退火炉燃气调压站出口</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941AB5B">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45,210.00</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EF5DB9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46,380.00</w:t>
            </w:r>
          </w:p>
        </w:tc>
        <w:tc>
          <w:tcPr>
            <w:tcW w:w="6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B2C64B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1.0</w:t>
            </w:r>
          </w:p>
        </w:tc>
        <w:tc>
          <w:tcPr>
            <w:tcW w:w="129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3BCD34F">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1,170.00 m³</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5F3D58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1.2143 kgce/m³</w:t>
            </w:r>
          </w:p>
        </w:tc>
        <w:tc>
          <w:tcPr>
            <w:tcW w:w="105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74ABDAF">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1.42</w:t>
            </w:r>
          </w:p>
        </w:tc>
      </w:tr>
      <w:tr w14:paraId="06799C2E">
        <w:tblPrEx>
          <w:tblCellMar>
            <w:top w:w="0" w:type="dxa"/>
            <w:left w:w="108" w:type="dxa"/>
            <w:bottom w:w="0" w:type="dxa"/>
            <w:right w:w="108" w:type="dxa"/>
          </w:tblCellMar>
        </w:tblPrEx>
        <w:trPr>
          <w:trHeight w:val="0" w:hRule="atLeast"/>
          <w:jc w:val="center"/>
        </w:trPr>
        <w:tc>
          <w:tcPr>
            <w:tcW w:w="117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1126F3D">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自来水</w:t>
            </w:r>
          </w:p>
        </w:tc>
        <w:tc>
          <w:tcPr>
            <w:tcW w:w="130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E546855">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WM-SB-MAIN01</w:t>
            </w:r>
          </w:p>
        </w:tc>
        <w:tc>
          <w:tcPr>
            <w:tcW w:w="1505"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CE88603">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变压器园区市政供水总表</w:t>
            </w:r>
          </w:p>
        </w:tc>
        <w:tc>
          <w:tcPr>
            <w:tcW w:w="94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FCF3582">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22,400.00</w:t>
            </w:r>
          </w:p>
        </w:tc>
        <w:tc>
          <w:tcPr>
            <w:tcW w:w="94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79CC902">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22,820.00</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C0BC5C1">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1.0</w:t>
            </w:r>
          </w:p>
        </w:tc>
        <w:tc>
          <w:tcPr>
            <w:tcW w:w="129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B21D7EA">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420.00 m³</w:t>
            </w:r>
          </w:p>
        </w:tc>
        <w:tc>
          <w:tcPr>
            <w:tcW w:w="138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B34B431">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0.2571 kgce/t</w:t>
            </w:r>
          </w:p>
        </w:tc>
        <w:tc>
          <w:tcPr>
            <w:tcW w:w="105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DD6ADE9">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0.11</w:t>
            </w:r>
          </w:p>
        </w:tc>
      </w:tr>
    </w:tbl>
    <w:p w14:paraId="3D33158B">
      <w:pPr>
        <w:spacing w:after="60"/>
        <w:rPr>
          <w:rFonts w:hint="eastAsia" w:ascii="微软雅黑" w:hAnsi="微软雅黑" w:eastAsia="微软雅黑" w:cs="微软雅黑"/>
          <w:sz w:val="21"/>
          <w:szCs w:val="21"/>
        </w:rPr>
      </w:pPr>
    </w:p>
    <w:p w14:paraId="6803B4D4">
      <w:pPr>
        <w:pStyle w:val="5"/>
        <w:keepNext/>
        <w:spacing w:before="180" w:after="60"/>
        <w:outlineLvl w:val="2"/>
        <w:rPr>
          <w:rFonts w:hint="eastAsia" w:ascii="微软雅黑" w:hAnsi="微软雅黑" w:eastAsia="微软雅黑" w:cs="微软雅黑"/>
          <w:sz w:val="21"/>
          <w:szCs w:val="21"/>
        </w:rPr>
      </w:pPr>
      <w:bookmarkStart w:id="14" w:name="_Toc7304"/>
      <w:r>
        <w:rPr>
          <w:rFonts w:hint="eastAsia" w:ascii="微软雅黑" w:hAnsi="微软雅黑" w:eastAsia="微软雅黑" w:cs="微软雅黑"/>
          <w:b/>
          <w:color w:val="1E3A8A"/>
          <w:sz w:val="21"/>
          <w:szCs w:val="21"/>
        </w:rPr>
        <w:t>5.2 用能在线监测</w:t>
      </w:r>
      <w:bookmarkEnd w:id="14"/>
    </w:p>
    <w:p w14:paraId="4CF181EE">
      <w:pPr>
        <w:spacing w:after="80" w:line="288" w:lineRule="auto"/>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功能交互规格：</w:t>
      </w:r>
      <w:r>
        <w:rPr>
          <w:rFonts w:hint="eastAsia" w:ascii="微软雅黑" w:hAnsi="微软雅黑" w:eastAsia="微软雅黑" w:cs="微软雅黑"/>
          <w:color w:val="1F2937"/>
          <w:sz w:val="21"/>
          <w:szCs w:val="21"/>
        </w:rPr>
        <w:t>1. 拓扑树规范：左侧固定采用【园区 ➔ 企业】两级拓扑树，未接入单位纯字体置灰禁用（opacity-35, cursor-not-allowed）；</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2. 顶部全局控制：支持“日监测”与“跨月区间选择器”（如 2026年01月 至 2026年08月），下方折线图 X 轴随之联动为各月份；</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3. 能源介质智能自适应与联动替换（双端同构铁律）：</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 xml:space="preserve">   - 选中电力介质（总用电量、市电量、直供绿电）：展示【当日/当月总体峰平谷构成】（尖/峰/平/谷 2×2 微卡片 + 逐时/逐日连续堆叠柱状图）；</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 xml:space="preserve">   - 选中非电介质（水资源、天然气、外购蒸汽、柴油、液氮）：彻底移除峰平谷字样与图表，100% 动态联动替换为【该介质重点工序/车间消耗结构与时段负荷分布】（左侧圆环图，右侧连续采样走势与额定基准对比）；</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4. 44px 工业高密表格：底部实时台账表格行高强制固定为 44px (h-[44px])，垂直居中。</w:t>
      </w:r>
    </w:p>
    <w:tbl>
      <w:tblPr>
        <w:tblStyle w:val="35"/>
        <w:tblW w:w="10171" w:type="dxa"/>
        <w:jc w:val="center"/>
        <w:tblLayout w:type="autofit"/>
        <w:tblCellMar>
          <w:top w:w="0" w:type="dxa"/>
          <w:left w:w="108" w:type="dxa"/>
          <w:bottom w:w="0" w:type="dxa"/>
          <w:right w:w="108" w:type="dxa"/>
        </w:tblCellMar>
      </w:tblPr>
      <w:tblGrid>
        <w:gridCol w:w="2178"/>
        <w:gridCol w:w="1349"/>
        <w:gridCol w:w="1530"/>
        <w:gridCol w:w="1504"/>
        <w:gridCol w:w="1490"/>
        <w:gridCol w:w="1473"/>
        <w:gridCol w:w="647"/>
      </w:tblGrid>
      <w:tr w14:paraId="177182F9">
        <w:tblPrEx>
          <w:tblCellMar>
            <w:top w:w="0" w:type="dxa"/>
            <w:left w:w="108" w:type="dxa"/>
            <w:bottom w:w="0" w:type="dxa"/>
            <w:right w:w="108" w:type="dxa"/>
          </w:tblCellMar>
        </w:tblPrEx>
        <w:trPr>
          <w:trHeight w:val="0" w:hRule="atLeast"/>
          <w:tblHeader/>
          <w:jc w:val="center"/>
        </w:trPr>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5B27FA41">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字段标识</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7B0A38E8">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字段中文名称</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365B1CE4">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数据类型</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4611175D">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工程单位</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7CC63E23">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采集来源</w:t>
            </w:r>
          </w:p>
        </w:tc>
        <w:tc>
          <w:tcPr>
            <w:tcW w:w="1600"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3AE75DF6">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校验与防错规则</w:t>
            </w:r>
          </w:p>
        </w:tc>
        <w:tc>
          <w:tcPr>
            <w:tcW w:w="697"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65DEB577">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密级</w:t>
            </w:r>
          </w:p>
        </w:tc>
      </w:tr>
      <w:tr w14:paraId="1732FC3B">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521588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timestamp</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2A9EE08">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数据采集时间戳</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FB98050">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DateTime</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29F710F">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YYYY-MM-DD HH:mm</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CB7C054">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IoT 采集网关时序同步</w:t>
            </w:r>
          </w:p>
        </w:tc>
        <w:tc>
          <w:tcPr>
            <w:tcW w:w="160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930783B">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非空，不得晚于当前服务器时间</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DE074B8">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r w14:paraId="0B8DADC8">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55A616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meter_code</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2D373E8">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能源计量表计编码</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36532F5">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String(32)</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A916862">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CD447DC">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计量资产档案台账</w:t>
            </w:r>
          </w:p>
        </w:tc>
        <w:tc>
          <w:tcPr>
            <w:tcW w:w="160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1678611">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字母数字下划线，唯一主键</w:t>
            </w:r>
          </w:p>
        </w:tc>
        <w:tc>
          <w:tcPr>
            <w:tcW w:w="6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D50406E">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r w14:paraId="401F3619">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EDA6E5B">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medium_type</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D45E494">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能源介质类型</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54EB000">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Enum</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8ECD9A1">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电/水/气/汽/油/氮</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F97B6D2">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介质配置字典</w:t>
            </w:r>
          </w:p>
        </w:tc>
        <w:tc>
          <w:tcPr>
            <w:tcW w:w="160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8C2AB7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必须在 6 类受控介质枚举内</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69DB3F8">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266E62A8">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8EFA1BB">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val_peak_sharp</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196D3AD">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尖峰时段用电量</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1EF9121">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Decimal(10,2)</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7018F5F">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kWh</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6B2B02B">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TOU 时段电表寄存器</w:t>
            </w:r>
          </w:p>
        </w:tc>
        <w:tc>
          <w:tcPr>
            <w:tcW w:w="160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F8BAB8F">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 0.00 (非电介质时置空)</w:t>
            </w:r>
          </w:p>
        </w:tc>
        <w:tc>
          <w:tcPr>
            <w:tcW w:w="6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E6FA010">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6CD953C5">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F12C63F">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val_peak</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C20F86C">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高峰时段用电量</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4A5F72E">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Decimal(10,2)</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5EEDDF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kWh</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D976FB5">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TOU 时段电表寄存器</w:t>
            </w:r>
          </w:p>
        </w:tc>
        <w:tc>
          <w:tcPr>
            <w:tcW w:w="160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5CDA6A0">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 0.00 (非电介质时置空)</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5EFBAEC">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070768B6">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43C1DAF">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val_flat</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AEFA33B">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平时段用电量</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F578E86">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Decimal(10,2)</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017633F">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kWh</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C9D68C2">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TOU 时段电表寄存器</w:t>
            </w:r>
          </w:p>
        </w:tc>
        <w:tc>
          <w:tcPr>
            <w:tcW w:w="160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BC41ACD">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 0.00 (非电介质时置空)</w:t>
            </w:r>
          </w:p>
        </w:tc>
        <w:tc>
          <w:tcPr>
            <w:tcW w:w="6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73941FE">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670CD391">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5E0355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val_valley</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69E37F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低谷时段用电量</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EEB21F7">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Decimal(10,2)</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F856AF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kWh</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79A9D05">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TOU 时段电表寄存器</w:t>
            </w:r>
          </w:p>
        </w:tc>
        <w:tc>
          <w:tcPr>
            <w:tcW w:w="160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97365C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 0.00 (非电介质时置空)</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2DEDAD4">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627DEFFD">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281B04A">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actual_consumption</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2634D38">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实物消耗量</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3486E66">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Decimal(12,2)</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2F1E26B">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kWh / m³ / t</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9275821">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止码 - 起码 × 倍率</w:t>
            </w:r>
          </w:p>
        </w:tc>
        <w:tc>
          <w:tcPr>
            <w:tcW w:w="160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9C0E0A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 0.00，突增超 200% 告警</w:t>
            </w:r>
          </w:p>
        </w:tc>
        <w:tc>
          <w:tcPr>
            <w:tcW w:w="6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623BE1E">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484C2337">
        <w:tblPrEx>
          <w:tblCellMar>
            <w:top w:w="0" w:type="dxa"/>
            <w:left w:w="108" w:type="dxa"/>
            <w:bottom w:w="0" w:type="dxa"/>
            <w:right w:w="108" w:type="dxa"/>
          </w:tblCellMar>
        </w:tblPrEx>
        <w:trPr>
          <w:trHeight w:val="0" w:hRule="atLeast"/>
          <w:jc w:val="center"/>
        </w:trPr>
        <w:tc>
          <w:tcPr>
            <w:tcW w:w="179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DA54EF6">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tce_consumption</w:t>
            </w:r>
          </w:p>
        </w:tc>
        <w:tc>
          <w:tcPr>
            <w:tcW w:w="153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68FB001">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折标准煤能源量</w:t>
            </w:r>
          </w:p>
        </w:tc>
        <w:tc>
          <w:tcPr>
            <w:tcW w:w="126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D9CA6BE">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Decimal(10,4)</w:t>
            </w:r>
          </w:p>
        </w:tc>
        <w:tc>
          <w:tcPr>
            <w:tcW w:w="161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2D5ECE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tce</w:t>
            </w:r>
          </w:p>
        </w:tc>
        <w:tc>
          <w:tcPr>
            <w:tcW w:w="165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37E6C87">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实物量 × GB/T 2589系数</w:t>
            </w:r>
          </w:p>
        </w:tc>
        <w:tc>
          <w:tcPr>
            <w:tcW w:w="160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287B69D">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 0.0000</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6C15156">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bl>
    <w:p w14:paraId="5F1A350A">
      <w:pPr>
        <w:spacing w:after="60"/>
        <w:rPr>
          <w:rFonts w:hint="eastAsia" w:ascii="微软雅黑" w:hAnsi="微软雅黑" w:eastAsia="微软雅黑" w:cs="微软雅黑"/>
          <w:sz w:val="21"/>
          <w:szCs w:val="21"/>
        </w:rPr>
      </w:pPr>
    </w:p>
    <w:tbl>
      <w:tblPr>
        <w:tblStyle w:val="35"/>
        <w:tblW w:w="0" w:type="auto"/>
        <w:jc w:val="center"/>
        <w:tblLayout w:type="fixed"/>
        <w:tblCellMar>
          <w:top w:w="0" w:type="dxa"/>
          <w:left w:w="108" w:type="dxa"/>
          <w:bottom w:w="0" w:type="dxa"/>
          <w:right w:w="108" w:type="dxa"/>
        </w:tblCellMar>
      </w:tblPr>
      <w:tblGrid>
        <w:gridCol w:w="9792"/>
      </w:tblGrid>
      <w:tr w14:paraId="5A5E430C">
        <w:tblPrEx>
          <w:tblCellMar>
            <w:top w:w="0" w:type="dxa"/>
            <w:left w:w="108" w:type="dxa"/>
            <w:bottom w:w="0" w:type="dxa"/>
            <w:right w:w="108" w:type="dxa"/>
          </w:tblCellMar>
        </w:tblPrEx>
        <w:trPr>
          <w:jc w:val="center"/>
        </w:trPr>
        <w:tc>
          <w:tcPr>
            <w:tcW w:w="9648" w:type="dxa"/>
            <w:tcBorders>
              <w:top w:val="nil"/>
              <w:left w:val="single" w:color="7C3AED" w:sz="24" w:space="0"/>
              <w:bottom w:val="nil"/>
              <w:right w:val="nil"/>
            </w:tcBorders>
            <w:shd w:val="clear" w:color="auto" w:fill="F5F3FF"/>
            <w:tcMar>
              <w:top w:w="90" w:type="dxa"/>
              <w:left w:w="130" w:type="dxa"/>
              <w:bottom w:w="90" w:type="dxa"/>
              <w:right w:w="130" w:type="dxa"/>
            </w:tcMar>
          </w:tcPr>
          <w:p w14:paraId="091AAEC2">
            <w:pPr>
              <w:spacing w:after="40"/>
              <w:rPr>
                <w:rFonts w:hint="eastAsia" w:ascii="微软雅黑" w:hAnsi="微软雅黑" w:eastAsia="微软雅黑" w:cs="微软雅黑"/>
                <w:sz w:val="21"/>
                <w:szCs w:val="21"/>
              </w:rPr>
            </w:pPr>
            <w:r>
              <w:rPr>
                <w:rFonts w:hint="eastAsia" w:ascii="微软雅黑" w:hAnsi="微软雅黑" w:eastAsia="微软雅黑" w:cs="微软雅黑"/>
                <w:b/>
                <w:color w:val="7C3AED"/>
                <w:sz w:val="21"/>
                <w:szCs w:val="21"/>
              </w:rPr>
              <w:t>🧪 【QA 自动化验收准则 · Gherkin 用例】 Feature: 用能在线监测非电介质智能替换</w:t>
            </w:r>
            <w:r>
              <w:rPr>
                <w:rFonts w:hint="eastAsia" w:ascii="微软雅黑" w:hAnsi="微软雅黑" w:eastAsia="微软雅黑" w:cs="微软雅黑"/>
                <w:b/>
                <w:color w:val="7C3AED"/>
                <w:sz w:val="21"/>
                <w:szCs w:val="21"/>
              </w:rPr>
              <w:br w:type="textWrapping"/>
            </w:r>
            <w:r>
              <w:rPr>
                <w:rFonts w:hint="eastAsia" w:ascii="微软雅黑" w:hAnsi="微软雅黑" w:eastAsia="微软雅黑" w:cs="微软雅黑"/>
                <w:b/>
                <w:color w:val="1E3A8A"/>
                <w:sz w:val="21"/>
                <w:szCs w:val="21"/>
              </w:rPr>
              <w:t>Scenario: 点击非电介质时彻底移除用电峰平谷并替换为工序消耗结构</w:t>
            </w:r>
            <w:r>
              <w:rPr>
                <w:rFonts w:hint="eastAsia" w:ascii="微软雅黑" w:hAnsi="微软雅黑" w:eastAsia="微软雅黑" w:cs="微软雅黑"/>
                <w:b/>
                <w:color w:val="1E3A8A"/>
                <w:sz w:val="21"/>
                <w:szCs w:val="21"/>
              </w:rPr>
              <w:br w:type="textWrapping"/>
            </w:r>
            <w:r>
              <w:rPr>
                <w:rFonts w:hint="eastAsia" w:ascii="微软雅黑" w:hAnsi="微软雅黑" w:eastAsia="微软雅黑" w:cs="微软雅黑"/>
                <w:color w:val="1F2937"/>
                <w:sz w:val="21"/>
                <w:szCs w:val="21"/>
              </w:rPr>
              <w:t xml:space="preserve">  Given 用户处于用能在线监测页面，当前选中【电力介质】，下方展示尖峰平谷圆环图与堆叠柱状图</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 xml:space="preserve">  When  用户点击上方介质切换卡片中的【外购蒸汽】</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b/>
                <w:color w:val="16A34A"/>
                <w:sz w:val="21"/>
                <w:szCs w:val="21"/>
              </w:rPr>
              <w:t xml:space="preserve">  Then  系统彻底卸载峰平谷相关组件与文本，平滑动态替换为左侧重点车间用汽占比圆环图及右侧蒸汽管道压力负荷曲线，0 报错且完全符合双端同构</w:t>
            </w:r>
          </w:p>
        </w:tc>
      </w:tr>
    </w:tbl>
    <w:p w14:paraId="53987C4B">
      <w:pPr>
        <w:spacing w:after="40"/>
        <w:rPr>
          <w:rFonts w:hint="eastAsia" w:ascii="微软雅黑" w:hAnsi="微软雅黑" w:eastAsia="微软雅黑" w:cs="微软雅黑"/>
          <w:sz w:val="21"/>
          <w:szCs w:val="21"/>
        </w:rPr>
      </w:pPr>
    </w:p>
    <w:p w14:paraId="604788FC">
      <w:pPr>
        <w:pStyle w:val="5"/>
        <w:keepNext/>
        <w:spacing w:before="180" w:after="60"/>
        <w:outlineLvl w:val="2"/>
        <w:rPr>
          <w:rFonts w:hint="eastAsia" w:ascii="微软雅黑" w:hAnsi="微软雅黑" w:eastAsia="微软雅黑" w:cs="微软雅黑"/>
          <w:sz w:val="21"/>
          <w:szCs w:val="21"/>
        </w:rPr>
      </w:pPr>
      <w:bookmarkStart w:id="15" w:name="_Toc28218"/>
      <w:r>
        <w:rPr>
          <w:rFonts w:hint="eastAsia" w:ascii="微软雅黑" w:hAnsi="微软雅黑" w:eastAsia="微软雅黑" w:cs="微软雅黑"/>
          <w:b/>
          <w:color w:val="1E3A8A"/>
          <w:sz w:val="21"/>
          <w:szCs w:val="21"/>
        </w:rPr>
        <w:t>5.3 设备在线监测</w:t>
      </w:r>
      <w:bookmarkEnd w:id="15"/>
    </w:p>
    <w:p w14:paraId="035FD46B">
      <w:pPr>
        <w:spacing w:after="80" w:line="288" w:lineRule="auto"/>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功能交互规则：</w:t>
      </w:r>
      <w:r>
        <w:rPr>
          <w:rFonts w:hint="eastAsia" w:ascii="微软雅黑" w:hAnsi="微软雅黑" w:eastAsia="微软雅黑" w:cs="微软雅黑"/>
          <w:color w:val="1F2937"/>
          <w:sz w:val="21"/>
          <w:szCs w:val="21"/>
        </w:rPr>
        <w:t>1. 拓扑树规范：左侧展示【企业 ➔ 设备】（全量纳入 23 台电力驱动设备与 9 台热力用能设备），设备节点前置语义图标（Zap/Flame），彻底剥离末尾冗余胶囊徽章；未接入单位字体置灰禁用；</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2. 核心自适应机制：选中电力设备自动呈现有功功率、累计电量、功率因数与负荷率（环比维度）；选中热力设备自动呈现瞬时蒸汽流量、蒸汽消耗量、供汽压力与供汽温度；</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3. 客观中立准则：工况对比统一使用时序“环比”（如负荷率环比 +1.8%），严禁出现主观评价文字（如“电能品质优良”等）。原“管道工作压力”统一标准化更名为【蒸汽消耗量】。</w:t>
      </w:r>
    </w:p>
    <w:tbl>
      <w:tblPr>
        <w:tblStyle w:val="35"/>
        <w:tblW w:w="10727" w:type="dxa"/>
        <w:jc w:val="center"/>
        <w:tblLayout w:type="autofit"/>
        <w:tblCellMar>
          <w:top w:w="0" w:type="dxa"/>
          <w:left w:w="108" w:type="dxa"/>
          <w:bottom w:w="0" w:type="dxa"/>
          <w:right w:w="108" w:type="dxa"/>
        </w:tblCellMar>
      </w:tblPr>
      <w:tblGrid>
        <w:gridCol w:w="2260"/>
        <w:gridCol w:w="1325"/>
        <w:gridCol w:w="1530"/>
        <w:gridCol w:w="997"/>
        <w:gridCol w:w="1277"/>
        <w:gridCol w:w="2684"/>
        <w:gridCol w:w="654"/>
      </w:tblGrid>
      <w:tr w14:paraId="5D67D1D7">
        <w:tblPrEx>
          <w:tblCellMar>
            <w:top w:w="0" w:type="dxa"/>
            <w:left w:w="108" w:type="dxa"/>
            <w:bottom w:w="0" w:type="dxa"/>
            <w:right w:w="108" w:type="dxa"/>
          </w:tblCellMar>
        </w:tblPrEx>
        <w:trPr>
          <w:trHeight w:val="0" w:hRule="atLeast"/>
          <w:tblHeader/>
          <w:jc w:val="center"/>
        </w:trPr>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3FF9F3BD">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字段标识</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66F596C7">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字段中文名称</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12576709">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数据类型</w:t>
            </w:r>
          </w:p>
        </w:tc>
        <w:tc>
          <w:tcPr>
            <w:tcW w:w="1058"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59C11162">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工程单位</w:t>
            </w:r>
          </w:p>
        </w:tc>
        <w:tc>
          <w:tcPr>
            <w:tcW w:w="1420"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074A2084">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适用设备类型</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6BC28CC7">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计算模型/来源</w:t>
            </w:r>
          </w:p>
        </w:tc>
        <w:tc>
          <w:tcPr>
            <w:tcW w:w="697"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4D98614E">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密级</w:t>
            </w:r>
          </w:p>
        </w:tc>
      </w:tr>
      <w:tr w14:paraId="063F99E0">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0FA402F">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real_power_kw</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8376CE5">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实时有功功率</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8025898">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Decimal(8,2)</w:t>
            </w:r>
          </w:p>
        </w:tc>
        <w:tc>
          <w:tcPr>
            <w:tcW w:w="105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6F7F02F">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kW</w:t>
            </w:r>
          </w:p>
        </w:tc>
        <w:tc>
          <w:tcPr>
            <w:tcW w:w="142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10BDC1B">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电力设备</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766A4F2">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P = √3 × U × I × cosφ / 1s采集</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9245D5F">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r w14:paraId="299B36BC">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E503B4C">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elec_total_kwh</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E76BE9D">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累计用电量</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3FF14B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Decimal(12,2)</w:t>
            </w:r>
          </w:p>
        </w:tc>
        <w:tc>
          <w:tcPr>
            <w:tcW w:w="105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5335301">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kWh</w:t>
            </w:r>
          </w:p>
        </w:tc>
        <w:tc>
          <w:tcPr>
            <w:tcW w:w="142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0B38B20">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电力设备</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5C72D5E">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电能表底数累加，每日0点清零日累计</w:t>
            </w:r>
          </w:p>
        </w:tc>
        <w:tc>
          <w:tcPr>
            <w:tcW w:w="6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4DB9572">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35C372E9">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A84A4D7">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power_factor</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4FDD050">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运行功率因数</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5F41E99">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Decimal(4,3)</w:t>
            </w:r>
          </w:p>
        </w:tc>
        <w:tc>
          <w:tcPr>
            <w:tcW w:w="105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36C538B">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cosφ</w:t>
            </w:r>
          </w:p>
        </w:tc>
        <w:tc>
          <w:tcPr>
            <w:tcW w:w="142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C332459">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电力设备</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B4EC78E">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cosφ = P / S (有功功率 / 视在功率)</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6941BA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0EB57752">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5A6C745">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load_ratio</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6F5F2B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设备负荷率</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2EB75E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Decimal(5,2)</w:t>
            </w:r>
          </w:p>
        </w:tc>
        <w:tc>
          <w:tcPr>
            <w:tcW w:w="105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E857B74">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142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89572EB">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电力/热力</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2182A1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Load = (P_actual / P_rated) × 100%</w:t>
            </w:r>
          </w:p>
        </w:tc>
        <w:tc>
          <w:tcPr>
            <w:tcW w:w="6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2E6E453">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4DBDE1EC">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B000B6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load_mom</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04A5AFC">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负荷率环比变动</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7003113">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String(16)</w:t>
            </w:r>
          </w:p>
        </w:tc>
        <w:tc>
          <w:tcPr>
            <w:tcW w:w="105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2F49B5C">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142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3A22F8E">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电力/热力</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2A2466F">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MoM = (Load_t - Load_t-1) / Load_t-1</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F536E60">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6E05F487">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21AD937">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steam_flow_th</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EDE0EC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瞬时蒸汽流量</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572DC98">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Decimal(6,2)</w:t>
            </w:r>
          </w:p>
        </w:tc>
        <w:tc>
          <w:tcPr>
            <w:tcW w:w="105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BD73C9C">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t/h</w:t>
            </w:r>
          </w:p>
        </w:tc>
        <w:tc>
          <w:tcPr>
            <w:tcW w:w="142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02725D4">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热力设备</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3D06EC2">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涡街/孔板流量计温度压力补偿积算</w:t>
            </w:r>
          </w:p>
        </w:tc>
        <w:tc>
          <w:tcPr>
            <w:tcW w:w="6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95A9DC4">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r w14:paraId="1E3D4BFC">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A193CC0">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steam_consumption</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7E0C2E1">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蒸汽消耗量</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D5EFC2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Decimal(10,2)</w:t>
            </w:r>
          </w:p>
        </w:tc>
        <w:tc>
          <w:tcPr>
            <w:tcW w:w="105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65AD3C2">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w:t>
            </w:r>
          </w:p>
        </w:tc>
        <w:tc>
          <w:tcPr>
            <w:tcW w:w="142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B84582E">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热力设备</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1A085C6">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瞬时流量时间积分累加量</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C98248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3D99A4BB">
        <w:tblPrEx>
          <w:tblCellMar>
            <w:top w:w="0" w:type="dxa"/>
            <w:left w:w="108" w:type="dxa"/>
            <w:bottom w:w="0" w:type="dxa"/>
            <w:right w:w="108" w:type="dxa"/>
          </w:tblCellMar>
        </w:tblPrEx>
        <w:trPr>
          <w:trHeight w:val="0" w:hRule="atLeast"/>
          <w:jc w:val="center"/>
        </w:trPr>
        <w:tc>
          <w:tcPr>
            <w:tcW w:w="186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FAECA2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steam_pressure_mpa</w:t>
            </w:r>
          </w:p>
        </w:tc>
        <w:tc>
          <w:tcPr>
            <w:tcW w:w="1476"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EB5696E">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供汽管道工作压力</w:t>
            </w:r>
          </w:p>
        </w:tc>
        <w:tc>
          <w:tcPr>
            <w:tcW w:w="126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9460939">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Decimal(5,2)</w:t>
            </w:r>
          </w:p>
        </w:tc>
        <w:tc>
          <w:tcPr>
            <w:tcW w:w="105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65887B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MPa</w:t>
            </w:r>
          </w:p>
        </w:tc>
        <w:tc>
          <w:tcPr>
            <w:tcW w:w="142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E1E5D36">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热力设备</w:t>
            </w:r>
          </w:p>
        </w:tc>
        <w:tc>
          <w:tcPr>
            <w:tcW w:w="294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4D1E190">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压力变送器 4-20mA 实时遥测</w:t>
            </w:r>
          </w:p>
        </w:tc>
        <w:tc>
          <w:tcPr>
            <w:tcW w:w="6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AB906C8">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bl>
    <w:p w14:paraId="441EF96D">
      <w:pPr>
        <w:spacing w:after="60"/>
        <w:rPr>
          <w:rFonts w:hint="eastAsia" w:ascii="微软雅黑" w:hAnsi="微软雅黑" w:eastAsia="微软雅黑" w:cs="微软雅黑"/>
          <w:sz w:val="21"/>
          <w:szCs w:val="21"/>
        </w:rPr>
      </w:pPr>
    </w:p>
    <w:p w14:paraId="1937963F">
      <w:pPr>
        <w:pStyle w:val="5"/>
        <w:keepNext/>
        <w:spacing w:before="180" w:after="60"/>
        <w:outlineLvl w:val="2"/>
        <w:rPr>
          <w:rFonts w:hint="eastAsia" w:ascii="微软雅黑" w:hAnsi="微软雅黑" w:eastAsia="微软雅黑" w:cs="微软雅黑"/>
          <w:sz w:val="21"/>
          <w:szCs w:val="21"/>
        </w:rPr>
      </w:pPr>
      <w:bookmarkStart w:id="16" w:name="_Toc26615"/>
      <w:r>
        <w:rPr>
          <w:rFonts w:hint="eastAsia" w:ascii="微软雅黑" w:hAnsi="微软雅黑" w:eastAsia="微软雅黑" w:cs="微软雅黑"/>
          <w:b/>
          <w:color w:val="1E3A8A"/>
          <w:sz w:val="21"/>
          <w:szCs w:val="21"/>
        </w:rPr>
        <w:t>5.4 工业微电网与能源碳排放监测</w:t>
      </w:r>
      <w:bookmarkEnd w:id="16"/>
    </w:p>
    <w:p w14:paraId="57A045D5">
      <w:pPr>
        <w:spacing w:after="80" w:line="288" w:lineRule="auto"/>
        <w:outlineLvl w:val="9"/>
        <w:rPr>
          <w:rFonts w:hint="eastAsia" w:ascii="微软雅黑" w:hAnsi="微软雅黑" w:eastAsia="微软雅黑" w:cs="微软雅黑"/>
          <w:sz w:val="21"/>
          <w:szCs w:val="21"/>
        </w:rPr>
      </w:pPr>
      <w:bookmarkStart w:id="17" w:name="_Toc23606"/>
      <w:r>
        <w:rPr>
          <w:rFonts w:hint="eastAsia" w:ascii="微软雅黑" w:hAnsi="微软雅黑" w:eastAsia="微软雅黑" w:cs="微软雅黑"/>
          <w:b/>
          <w:color w:val="1E3A8A"/>
          <w:sz w:val="21"/>
          <w:szCs w:val="21"/>
        </w:rPr>
        <w:t>功能概述：</w:t>
      </w:r>
      <w:r>
        <w:rPr>
          <w:rFonts w:hint="eastAsia" w:ascii="微软雅黑" w:hAnsi="微软雅黑" w:eastAsia="微软雅黑" w:cs="微软雅黑"/>
          <w:color w:val="1F2937"/>
          <w:sz w:val="21"/>
          <w:szCs w:val="21"/>
        </w:rPr>
        <w:t>1. 工业微电网监测 (NAV-ZC-MON-MICROGRID · /zero-carbon/monitor/online/microgrid)：</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 xml:space="preserve">   - 汇聚屋顶分布式光伏、磷酸铁锂储能系统 (PCS+BMS) 及工业负荷构成交直流混合微电网；</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 xml:space="preserve">   - 核心监控指标：光伏出力曲线 (24h走势)、储能充放电状态 (SOC/SOH/充放功率)、微电网绿电自发自用消纳率 R_micro；</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 xml:space="preserve">   - 防逆流保护：实时计算下级负荷与光伏出力差额，当倒送电网功率 ≥ 10kW 时，微电网控制器毫秒级调节逆变器有功降额；</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2. 能源碳排放监测 (NAV-ZC-MON-CARBON · /zero-carbon/monitor/carbon)：</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 xml:space="preserve">   - Scope 1 化石燃烧直接排放：监测厂内退火炉天然气、备用发电机柴油等化石燃料燃烧产生的温室气体；</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 xml:space="preserve">   - Scope 2 外购电热间接排放：监测外部电网输入电力及热网外购蒸汽隐含排放；</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 xml:space="preserve">   - 碳减排抵消量：实时计算绿电使用折算的 CO2 减排当量并绘制走势图。</w:t>
      </w:r>
      <w:bookmarkEnd w:id="17"/>
    </w:p>
    <w:tbl>
      <w:tblPr>
        <w:tblStyle w:val="35"/>
        <w:tblW w:w="0" w:type="auto"/>
        <w:jc w:val="center"/>
        <w:tblLayout w:type="fixed"/>
        <w:tblCellMar>
          <w:top w:w="0" w:type="dxa"/>
          <w:left w:w="108" w:type="dxa"/>
          <w:bottom w:w="0" w:type="dxa"/>
          <w:right w:w="108" w:type="dxa"/>
        </w:tblCellMar>
      </w:tblPr>
      <w:tblGrid>
        <w:gridCol w:w="9792"/>
      </w:tblGrid>
      <w:tr w14:paraId="23BC66B2">
        <w:tblPrEx>
          <w:tblCellMar>
            <w:top w:w="0" w:type="dxa"/>
            <w:left w:w="108" w:type="dxa"/>
            <w:bottom w:w="0" w:type="dxa"/>
            <w:right w:w="108" w:type="dxa"/>
          </w:tblCellMar>
        </w:tblPrEx>
        <w:trPr>
          <w:jc w:val="center"/>
        </w:trPr>
        <w:tc>
          <w:tcPr>
            <w:tcW w:w="9648" w:type="dxa"/>
            <w:tcBorders>
              <w:top w:val="nil"/>
              <w:left w:val="single" w:color="16A34A" w:sz="24" w:space="0"/>
              <w:bottom w:val="nil"/>
              <w:right w:val="nil"/>
            </w:tcBorders>
            <w:shd w:val="clear" w:color="auto" w:fill="F0FDF4"/>
            <w:tcMar>
              <w:top w:w="100" w:type="dxa"/>
              <w:left w:w="140" w:type="dxa"/>
              <w:bottom w:w="100" w:type="dxa"/>
              <w:right w:w="140" w:type="dxa"/>
            </w:tcMar>
          </w:tcPr>
          <w:p w14:paraId="3DBFEBFA">
            <w:pPr>
              <w:spacing w:after="40"/>
              <w:rPr>
                <w:rFonts w:hint="eastAsia" w:ascii="微软雅黑" w:hAnsi="微软雅黑" w:eastAsia="微软雅黑" w:cs="微软雅黑"/>
                <w:sz w:val="21"/>
                <w:szCs w:val="21"/>
              </w:rPr>
            </w:pPr>
            <w:r>
              <w:rPr>
                <w:rFonts w:hint="eastAsia" w:ascii="微软雅黑" w:hAnsi="微软雅黑" w:eastAsia="微软雅黑" w:cs="微软雅黑"/>
                <w:b/>
                <w:color w:val="16A34A"/>
                <w:sz w:val="21"/>
                <w:szCs w:val="21"/>
              </w:rPr>
              <w:t>📐 【核心数学模型与算法公式】</w:t>
            </w:r>
            <w:r>
              <w:rPr>
                <w:rFonts w:hint="eastAsia" w:ascii="微软雅黑" w:hAnsi="微软雅黑" w:eastAsia="微软雅黑" w:cs="微软雅黑"/>
                <w:b/>
                <w:color w:val="16A34A"/>
                <w:sz w:val="21"/>
                <w:szCs w:val="21"/>
              </w:rPr>
              <w:br w:type="textWrapping"/>
            </w:r>
            <w:r>
              <w:rPr>
                <w:rFonts w:hint="eastAsia" w:ascii="微软雅黑" w:hAnsi="微软雅黑" w:eastAsia="微软雅黑" w:cs="微软雅黑"/>
                <w:b/>
                <w:color w:val="1E3A8A"/>
                <w:sz w:val="21"/>
                <w:szCs w:val="21"/>
              </w:rPr>
              <w:t>【核算公式】：E_Scope1 = ∑ [ FC_i × NCV_i × CC_i × OF_i × (44/12) ] ; E_Scope2 = AD_grid × EF_grid + AD_steam × EF_steam</w:t>
            </w:r>
            <w:r>
              <w:rPr>
                <w:rFonts w:hint="eastAsia" w:ascii="微软雅黑" w:hAnsi="微软雅黑" w:eastAsia="微软雅黑" w:cs="微软雅黑"/>
                <w:b/>
                <w:color w:val="1E3A8A"/>
                <w:sz w:val="21"/>
                <w:szCs w:val="21"/>
              </w:rPr>
              <w:br w:type="textWrapping"/>
            </w:r>
            <w:r>
              <w:rPr>
                <w:rFonts w:hint="eastAsia" w:ascii="微软雅黑" w:hAnsi="微软雅黑" w:eastAsia="微软雅黑" w:cs="微软雅黑"/>
                <w:color w:val="1F2937"/>
                <w:sz w:val="21"/>
                <w:szCs w:val="21"/>
              </w:rPr>
              <w:t>【逻辑说明】：符合 GB/T 32150-2015 工业企业温室气体排放核算通则。Scope 1 直接由燃料实物量经低位发热量、单位热值含碳量与氧化率滚算；Scope 2 采用生态环境部最新发布的全国电网平均排放因子 (0.5703 tCO2/MWh) 与区域电网因子动态切换。</w:t>
            </w:r>
            <w:r>
              <w:rPr>
                <w:rFonts w:hint="eastAsia" w:ascii="微软雅黑" w:hAnsi="微软雅黑" w:eastAsia="微软雅黑" w:cs="微软雅黑"/>
                <w:color w:val="64748B"/>
                <w:sz w:val="21"/>
                <w:szCs w:val="21"/>
              </w:rPr>
              <w:br w:type="textWrapping"/>
            </w:r>
            <w:r>
              <w:rPr>
                <w:rFonts w:hint="eastAsia" w:ascii="微软雅黑" w:hAnsi="微软雅黑" w:eastAsia="微软雅黑" w:cs="微软雅黑"/>
                <w:color w:val="64748B"/>
                <w:sz w:val="21"/>
                <w:szCs w:val="21"/>
              </w:rPr>
              <w:t>【变量定义与取值约定】：</w:t>
            </w:r>
            <w:r>
              <w:rPr>
                <w:rFonts w:hint="eastAsia" w:ascii="微软雅黑" w:hAnsi="微软雅黑" w:eastAsia="微软雅黑" w:cs="微软雅黑"/>
                <w:color w:val="64748B"/>
                <w:sz w:val="21"/>
                <w:szCs w:val="21"/>
              </w:rPr>
              <w:br w:type="textWrapping"/>
            </w:r>
            <w:r>
              <w:rPr>
                <w:rFonts w:hint="eastAsia" w:ascii="微软雅黑" w:hAnsi="微软雅黑" w:eastAsia="微软雅黑" w:cs="微软雅黑"/>
                <w:color w:val="64748B"/>
                <w:sz w:val="21"/>
                <w:szCs w:val="21"/>
              </w:rPr>
              <w:t>FC_i: 燃料消耗量；NCV_i: 平均低位发热量；CC_i: 单位热值含碳量；OF_i: 碳氧化率；EF_grid: 电网排放因子</w:t>
            </w:r>
          </w:p>
        </w:tc>
      </w:tr>
    </w:tbl>
    <w:p w14:paraId="060BD6E2">
      <w:pPr>
        <w:spacing w:after="40"/>
        <w:rPr>
          <w:rFonts w:hint="eastAsia" w:ascii="微软雅黑" w:hAnsi="微软雅黑" w:eastAsia="微软雅黑" w:cs="微软雅黑"/>
          <w:sz w:val="21"/>
          <w:szCs w:val="21"/>
        </w:rPr>
      </w:pPr>
    </w:p>
    <w:p w14:paraId="2E3D8522">
      <w:pPr>
        <w:pStyle w:val="4"/>
        <w:keepNext/>
        <w:spacing w:before="260" w:after="100"/>
        <w:outlineLvl w:val="1"/>
        <w:rPr>
          <w:rFonts w:hint="eastAsia" w:ascii="微软雅黑" w:hAnsi="微软雅黑" w:eastAsia="微软雅黑" w:cs="微软雅黑"/>
          <w:sz w:val="21"/>
          <w:szCs w:val="21"/>
        </w:rPr>
      </w:pPr>
      <w:bookmarkStart w:id="18" w:name="_Toc4417"/>
      <w:r>
        <w:rPr>
          <w:rFonts w:hint="eastAsia" w:ascii="微软雅黑" w:hAnsi="微软雅黑" w:eastAsia="微软雅黑" w:cs="微软雅黑"/>
          <w:b/>
          <w:color w:val="0284C7"/>
          <w:sz w:val="21"/>
          <w:szCs w:val="21"/>
        </w:rPr>
        <w:t>第 6 章 一级导航【能耗能效分析】</w:t>
      </w:r>
      <w:bookmarkEnd w:id="18"/>
    </w:p>
    <w:p w14:paraId="3F15DD24">
      <w:pPr>
        <w:pStyle w:val="5"/>
        <w:keepNext/>
        <w:spacing w:before="180" w:after="60"/>
        <w:outlineLvl w:val="2"/>
        <w:rPr>
          <w:rFonts w:hint="eastAsia" w:ascii="微软雅黑" w:hAnsi="微软雅黑" w:eastAsia="微软雅黑" w:cs="微软雅黑"/>
          <w:sz w:val="21"/>
          <w:szCs w:val="21"/>
        </w:rPr>
      </w:pPr>
      <w:bookmarkStart w:id="19" w:name="_Toc23095"/>
      <w:r>
        <w:rPr>
          <w:rFonts w:hint="eastAsia" w:ascii="微软雅黑" w:hAnsi="微软雅黑" w:eastAsia="微软雅黑" w:cs="微软雅黑"/>
          <w:b/>
          <w:color w:val="1E3A8A"/>
          <w:sz w:val="21"/>
          <w:szCs w:val="21"/>
        </w:rPr>
        <w:t>6.1 用能结构分析与成本分析</w:t>
      </w:r>
      <w:bookmarkEnd w:id="19"/>
    </w:p>
    <w:p w14:paraId="0AF9792D">
      <w:pPr>
        <w:spacing w:after="80" w:line="288" w:lineRule="auto"/>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业务模型说明：</w:t>
      </w:r>
      <w:r>
        <w:rPr>
          <w:rFonts w:hint="eastAsia" w:ascii="微软雅黑" w:hAnsi="微软雅黑" w:eastAsia="微软雅黑" w:cs="微软雅黑"/>
          <w:color w:val="1F2937"/>
          <w:sz w:val="21"/>
          <w:szCs w:val="21"/>
        </w:rPr>
        <w:t>1. 用能结构分析 (NAV-ZC-ENG-STRUCT · /zero-carbon/energy/structure)：</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 xml:space="preserve">   - 绘制电、水、气、汽多能互补能量流向桑基图 (Sankey Flow)，量化多级能量转换与输配损失；</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 xml:space="preserve">   - 采用南丁格尔玫瑰图与环形图展示各二级公司用能占比与能源品位分布；</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2. 能源成本分析 (NAV-ZC-ENG-COST · /zero-carbon/energy/cost)：</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 xml:space="preserve">   - TOU 尖峰平谷分时电费优化模型：核算各车间错峰用电度电综合成本，提供需量申报优化与绿色降本测算；</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 xml:space="preserve">   - 功率因数奖惩电费模型：实时跟踪力率调整电费，避免力调罚款。</w:t>
      </w:r>
    </w:p>
    <w:tbl>
      <w:tblPr>
        <w:tblStyle w:val="35"/>
        <w:tblW w:w="9792" w:type="dxa"/>
        <w:jc w:val="center"/>
        <w:tblLayout w:type="autofit"/>
        <w:tblCellMar>
          <w:top w:w="0" w:type="dxa"/>
          <w:left w:w="108" w:type="dxa"/>
          <w:bottom w:w="0" w:type="dxa"/>
          <w:right w:w="108" w:type="dxa"/>
        </w:tblCellMar>
      </w:tblPr>
      <w:tblGrid>
        <w:gridCol w:w="1804"/>
        <w:gridCol w:w="1445"/>
        <w:gridCol w:w="1530"/>
        <w:gridCol w:w="909"/>
        <w:gridCol w:w="3489"/>
        <w:gridCol w:w="615"/>
      </w:tblGrid>
      <w:tr w14:paraId="03E57501">
        <w:tblPrEx>
          <w:tblCellMar>
            <w:top w:w="0" w:type="dxa"/>
            <w:left w:w="108" w:type="dxa"/>
            <w:bottom w:w="0" w:type="dxa"/>
            <w:right w:w="108" w:type="dxa"/>
          </w:tblCellMar>
        </w:tblPrEx>
        <w:trPr>
          <w:trHeight w:val="0" w:hRule="atLeast"/>
          <w:tblHeader/>
          <w:jc w:val="center"/>
        </w:trPr>
        <w:tc>
          <w:tcPr>
            <w:tcW w:w="0" w:type="auto"/>
            <w:tcBorders>
              <w:top w:val="single" w:color="CBD5E1" w:sz="12" w:space="0"/>
              <w:left w:val="single" w:color="CBD5E1" w:sz="12" w:space="0"/>
              <w:bottom w:val="nil"/>
              <w:right w:val="nil"/>
            </w:tcBorders>
            <w:shd w:val="clear" w:color="auto" w:fill="1E3A8A"/>
            <w:noWrap w:val="0"/>
            <w:tcMar>
              <w:top w:w="70" w:type="dxa"/>
              <w:left w:w="90" w:type="dxa"/>
              <w:bottom w:w="70" w:type="dxa"/>
              <w:right w:w="90" w:type="dxa"/>
            </w:tcMar>
            <w:vAlign w:val="center"/>
          </w:tcPr>
          <w:p w14:paraId="55392487">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字段标识</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4FBF92F4">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字段中文名称</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615C09CD">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数据类型</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00CDF5A9">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工程单位</w:t>
            </w:r>
          </w:p>
        </w:tc>
        <w:tc>
          <w:tcPr>
            <w:tcW w:w="3791" w:type="dxa"/>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7FEE5F41">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计算模型/来源</w:t>
            </w:r>
          </w:p>
        </w:tc>
        <w:tc>
          <w:tcPr>
            <w:tcW w:w="642" w:type="dxa"/>
            <w:tcBorders>
              <w:top w:val="single" w:color="CBD5E1" w:sz="12" w:space="0"/>
              <w:left w:val="single" w:color="CBD5E1" w:sz="4" w:space="0"/>
              <w:bottom w:val="nil"/>
              <w:right w:val="single" w:color="CBD5E1" w:sz="12" w:space="0"/>
            </w:tcBorders>
            <w:shd w:val="clear" w:color="auto" w:fill="1E3A8A"/>
            <w:noWrap w:val="0"/>
            <w:tcMar>
              <w:top w:w="70" w:type="dxa"/>
              <w:left w:w="90" w:type="dxa"/>
              <w:bottom w:w="70" w:type="dxa"/>
              <w:right w:w="90" w:type="dxa"/>
            </w:tcMar>
            <w:vAlign w:val="center"/>
          </w:tcPr>
          <w:p w14:paraId="1EF7A6C6">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密级</w:t>
            </w:r>
          </w:p>
        </w:tc>
      </w:tr>
      <w:tr w14:paraId="1DEAD824">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1198F53C">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cost_peak_sharp</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736A944E">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尖峰时段电费</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6098FEB">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Decimal(10,2)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69EB0662">
            <w:pPr>
              <w:snapToGrid w:val="0"/>
              <w:spacing w:line="240" w:lineRule="auto"/>
              <w:ind w:left="0" w:leftChars="0" w:right="0" w:rightChars="0" w:firstLine="0" w:firstLineChars="0"/>
              <w:jc w:val="righ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元</w:t>
            </w:r>
          </w:p>
        </w:tc>
        <w:tc>
          <w:tcPr>
            <w:tcW w:w="3791"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13FB69A">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Q_尖 × P_尖 (高电价时段)</w:t>
            </w:r>
          </w:p>
        </w:tc>
        <w:tc>
          <w:tcPr>
            <w:tcW w:w="642"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27689261">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r w14:paraId="286B3265">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5F132D4A">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cost_peak</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43CCE1A0">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高峰时段电费</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6C0BEBF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Decimal(10,2)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E042EC6">
            <w:pPr>
              <w:snapToGrid w:val="0"/>
              <w:spacing w:line="240" w:lineRule="auto"/>
              <w:ind w:left="0" w:leftChars="0" w:right="0" w:rightChars="0" w:firstLine="0" w:firstLineChars="0"/>
              <w:jc w:val="righ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元</w:t>
            </w:r>
          </w:p>
        </w:tc>
        <w:tc>
          <w:tcPr>
            <w:tcW w:w="3791"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BA6415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Q_峰 × P_峰</w:t>
            </w:r>
          </w:p>
        </w:tc>
        <w:tc>
          <w:tcPr>
            <w:tcW w:w="642"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03A4F339">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r w14:paraId="6D24B2B2">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790C0992">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cost_flat</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0E4ACA7">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平时段电费</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CEFCB56">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Decimal(10,2)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040ECD1">
            <w:pPr>
              <w:snapToGrid w:val="0"/>
              <w:spacing w:line="240" w:lineRule="auto"/>
              <w:ind w:left="0" w:leftChars="0" w:right="0" w:rightChars="0" w:firstLine="0" w:firstLineChars="0"/>
              <w:jc w:val="righ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元</w:t>
            </w:r>
          </w:p>
        </w:tc>
        <w:tc>
          <w:tcPr>
            <w:tcW w:w="3791"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47F2B8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Q_平 × P_平</w:t>
            </w:r>
          </w:p>
        </w:tc>
        <w:tc>
          <w:tcPr>
            <w:tcW w:w="642"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5156F7AF">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r w14:paraId="08815384">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179508BD">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cost_valley</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422FC15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低谷时段电费</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4D533EF">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Decimal(10,2)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FFC1F84">
            <w:pPr>
              <w:snapToGrid w:val="0"/>
              <w:spacing w:line="240" w:lineRule="auto"/>
              <w:ind w:left="0" w:leftChars="0" w:right="0" w:rightChars="0" w:firstLine="0" w:firstLineChars="0"/>
              <w:jc w:val="righ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元</w:t>
            </w:r>
          </w:p>
        </w:tc>
        <w:tc>
          <w:tcPr>
            <w:tcW w:w="3791"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6EB48D2">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Q_谷 × P_谷 (低电价谷段)</w:t>
            </w:r>
          </w:p>
        </w:tc>
        <w:tc>
          <w:tcPr>
            <w:tcW w:w="642"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211C20EB">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r w14:paraId="1A584F91">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3A5FC381">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cost_base</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E5BDC57">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基本电费</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BD26450">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Decimal(10,2)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7F5B6E3E">
            <w:pPr>
              <w:snapToGrid w:val="0"/>
              <w:spacing w:line="240" w:lineRule="auto"/>
              <w:ind w:left="0" w:leftChars="0" w:right="0" w:rightChars="0" w:firstLine="0" w:firstLineChars="0"/>
              <w:jc w:val="righ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元</w:t>
            </w:r>
          </w:p>
        </w:tc>
        <w:tc>
          <w:tcPr>
            <w:tcW w:w="3791"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D538AF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按变压器容量 (元/kVA·月) 或最大需量 (元/kW·月)</w:t>
            </w:r>
          </w:p>
        </w:tc>
        <w:tc>
          <w:tcPr>
            <w:tcW w:w="642"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1E810B83">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r w14:paraId="68ECFFBE">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4456F3E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cost_pf_adj</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404E92F2">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功率因数调整电费</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8B370AF">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Decimal(8,2)</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F1FDF57">
            <w:pPr>
              <w:snapToGrid w:val="0"/>
              <w:spacing w:line="240" w:lineRule="auto"/>
              <w:ind w:left="0" w:leftChars="0" w:right="0" w:rightChars="0" w:firstLine="0" w:firstLineChars="0"/>
              <w:jc w:val="righ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元</w:t>
            </w:r>
          </w:p>
        </w:tc>
        <w:tc>
          <w:tcPr>
            <w:tcW w:w="3791"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479FDC05">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依据国家电力力率调整系数表计算奖惩金额</w:t>
            </w:r>
          </w:p>
        </w:tc>
        <w:tc>
          <w:tcPr>
            <w:tcW w:w="642"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229608FC">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r w14:paraId="4E22663C">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25A3E83C">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cost_total_wan</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31D9C9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总用电成本</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3025941">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Decimal(12,2)</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F3FD095">
            <w:pPr>
              <w:snapToGrid w:val="0"/>
              <w:spacing w:line="240" w:lineRule="auto"/>
              <w:ind w:left="0" w:leftChars="0" w:right="0" w:rightChars="0" w:firstLine="0" w:firstLineChars="0"/>
              <w:jc w:val="righ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万元</w:t>
            </w:r>
          </w:p>
        </w:tc>
        <w:tc>
          <w:tcPr>
            <w:tcW w:w="3791"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6433D94">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 分时电费 + 基本电费 ± 力调电费</w:t>
            </w:r>
          </w:p>
        </w:tc>
        <w:tc>
          <w:tcPr>
            <w:tcW w:w="642"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304B80EA">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r w14:paraId="4431C388">
        <w:tblPrEx>
          <w:tblCellMar>
            <w:top w:w="0" w:type="dxa"/>
            <w:left w:w="108" w:type="dxa"/>
            <w:bottom w:w="0" w:type="dxa"/>
            <w:right w:w="108" w:type="dxa"/>
          </w:tblCellMar>
        </w:tblPrEx>
        <w:trPr>
          <w:trHeight w:val="0" w:hRule="atLeast"/>
          <w:jc w:val="center"/>
        </w:trPr>
        <w:tc>
          <w:tcPr>
            <w:tcW w:w="1542" w:type="dxa"/>
            <w:tcBorders>
              <w:top w:val="single" w:color="CBD5E1" w:sz="4" w:space="0"/>
              <w:left w:val="single" w:color="CBD5E1" w:sz="12" w:space="0"/>
              <w:bottom w:val="single" w:color="CBD5E1" w:sz="12" w:space="0"/>
              <w:right w:val="nil"/>
            </w:tcBorders>
            <w:shd w:val="clear" w:color="auto" w:fill="F8FAFC"/>
            <w:noWrap w:val="0"/>
            <w:tcMar>
              <w:top w:w="60" w:type="dxa"/>
              <w:left w:w="80" w:type="dxa"/>
              <w:bottom w:w="60" w:type="dxa"/>
              <w:right w:w="80" w:type="dxa"/>
            </w:tcMar>
            <w:vAlign w:val="center"/>
          </w:tcPr>
          <w:p w14:paraId="7A288382">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avg_elec_price</w:t>
            </w:r>
          </w:p>
        </w:tc>
        <w:tc>
          <w:tcPr>
            <w:tcW w:w="1572"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2FE898A4">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综合度电综合单价</w:t>
            </w:r>
          </w:p>
        </w:tc>
        <w:tc>
          <w:tcPr>
            <w:tcW w:w="1312"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2672FA5A">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Decimal(6,4)</w:t>
            </w:r>
          </w:p>
        </w:tc>
        <w:tc>
          <w:tcPr>
            <w:tcW w:w="933"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766CC573">
            <w:pPr>
              <w:snapToGrid w:val="0"/>
              <w:spacing w:line="240" w:lineRule="auto"/>
              <w:ind w:left="0" w:leftChars="0" w:right="0" w:rightChars="0" w:firstLine="0" w:firstLineChars="0"/>
              <w:jc w:val="righ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元/kWh</w:t>
            </w:r>
          </w:p>
        </w:tc>
        <w:tc>
          <w:tcPr>
            <w:tcW w:w="3791"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0A0511BA">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总用能费用 / 总用能实物量</w:t>
            </w:r>
          </w:p>
        </w:tc>
        <w:tc>
          <w:tcPr>
            <w:tcW w:w="642" w:type="dxa"/>
            <w:tcBorders>
              <w:top w:val="single" w:color="CBD5E1" w:sz="4" w:space="0"/>
              <w:left w:val="single" w:color="CBD5E1" w:sz="4" w:space="0"/>
              <w:bottom w:val="single" w:color="CBD5E1" w:sz="12" w:space="0"/>
              <w:right w:val="single" w:color="CBD5E1" w:sz="12" w:space="0"/>
            </w:tcBorders>
            <w:shd w:val="clear" w:color="auto" w:fill="F8FAFC"/>
            <w:noWrap w:val="0"/>
            <w:tcMar>
              <w:top w:w="60" w:type="dxa"/>
              <w:left w:w="80" w:type="dxa"/>
              <w:bottom w:w="60" w:type="dxa"/>
              <w:right w:w="80" w:type="dxa"/>
            </w:tcMar>
            <w:vAlign w:val="center"/>
          </w:tcPr>
          <w:p w14:paraId="0BBDF864">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bl>
    <w:p w14:paraId="501C4888">
      <w:pPr>
        <w:spacing w:after="60"/>
        <w:rPr>
          <w:rFonts w:hint="eastAsia" w:ascii="微软雅黑" w:hAnsi="微软雅黑" w:eastAsia="微软雅黑" w:cs="微软雅黑"/>
          <w:sz w:val="21"/>
          <w:szCs w:val="21"/>
        </w:rPr>
      </w:pPr>
    </w:p>
    <w:p w14:paraId="1E245975">
      <w:pPr>
        <w:pStyle w:val="5"/>
        <w:keepNext/>
        <w:spacing w:before="180" w:after="60"/>
        <w:outlineLvl w:val="2"/>
        <w:rPr>
          <w:rFonts w:hint="eastAsia" w:ascii="微软雅黑" w:hAnsi="微软雅黑" w:eastAsia="微软雅黑" w:cs="微软雅黑"/>
          <w:sz w:val="21"/>
          <w:szCs w:val="21"/>
        </w:rPr>
      </w:pPr>
      <w:bookmarkStart w:id="20" w:name="_Toc11971"/>
      <w:r>
        <w:rPr>
          <w:rFonts w:hint="eastAsia" w:ascii="微软雅黑" w:hAnsi="微软雅黑" w:eastAsia="微软雅黑" w:cs="微软雅黑"/>
          <w:b/>
          <w:color w:val="1E3A8A"/>
          <w:sz w:val="21"/>
          <w:szCs w:val="21"/>
        </w:rPr>
        <w:t>6.2 单位产品能耗</w:t>
      </w:r>
      <w:bookmarkEnd w:id="20"/>
    </w:p>
    <w:p w14:paraId="6BA4F5A9">
      <w:pPr>
        <w:spacing w:after="80" w:line="288" w:lineRule="auto"/>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算法与工程规则：</w:t>
      </w:r>
      <w:r>
        <w:rPr>
          <w:rFonts w:hint="eastAsia" w:ascii="微软雅黑" w:hAnsi="微软雅黑" w:eastAsia="微软雅黑" w:cs="微软雅黑"/>
          <w:color w:val="1F2937"/>
          <w:sz w:val="21"/>
          <w:szCs w:val="21"/>
        </w:rPr>
        <w:t>1. 产业物理分母严格隔离：</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 xml:space="preserve">   - 变压器产业：以【kVA】为基准分母，计算单耗 e = E / M_kVA (tce/kVA)；</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 xml:space="preserve">   - 线缆产业：以【km·mm²】为基准分母，计算单耗 e = E / M_km (tce/km·mm²)；</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2. 纵向对比原则：各基地与车间仅与自身历史同期（同比）或上期（环比）对比，严禁跨产业或跨厂横向拉踩；</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3. QA 除零极限拦截：当月度产量为 0 时，系统自动拦截除以零异常，单耗显示“--”，严禁抛出 NaN 或前端白屏崩溃。</w:t>
      </w:r>
    </w:p>
    <w:tbl>
      <w:tblPr>
        <w:tblStyle w:val="35"/>
        <w:tblW w:w="9792" w:type="dxa"/>
        <w:jc w:val="center"/>
        <w:tblLayout w:type="autofit"/>
        <w:tblCellMar>
          <w:top w:w="0" w:type="dxa"/>
          <w:left w:w="108" w:type="dxa"/>
          <w:bottom w:w="0" w:type="dxa"/>
          <w:right w:w="108" w:type="dxa"/>
        </w:tblCellMar>
      </w:tblPr>
      <w:tblGrid>
        <w:gridCol w:w="2002"/>
        <w:gridCol w:w="1112"/>
        <w:gridCol w:w="1530"/>
        <w:gridCol w:w="1573"/>
        <w:gridCol w:w="2943"/>
        <w:gridCol w:w="632"/>
      </w:tblGrid>
      <w:tr w14:paraId="53F1B9A0">
        <w:tblPrEx>
          <w:tblCellMar>
            <w:top w:w="0" w:type="dxa"/>
            <w:left w:w="108" w:type="dxa"/>
            <w:bottom w:w="0" w:type="dxa"/>
            <w:right w:w="108" w:type="dxa"/>
          </w:tblCellMar>
        </w:tblPrEx>
        <w:trPr>
          <w:trHeight w:val="0" w:hRule="atLeast"/>
          <w:tblHeader/>
          <w:jc w:val="center"/>
        </w:trPr>
        <w:tc>
          <w:tcPr>
            <w:tcW w:w="0" w:type="auto"/>
            <w:tcBorders>
              <w:top w:val="single" w:color="CBD5E1" w:sz="12" w:space="0"/>
              <w:left w:val="single" w:color="CBD5E1" w:sz="12" w:space="0"/>
              <w:bottom w:val="nil"/>
              <w:right w:val="nil"/>
            </w:tcBorders>
            <w:shd w:val="clear" w:color="auto" w:fill="1E3A8A"/>
            <w:noWrap w:val="0"/>
            <w:tcMar>
              <w:top w:w="70" w:type="dxa"/>
              <w:left w:w="90" w:type="dxa"/>
              <w:bottom w:w="70" w:type="dxa"/>
              <w:right w:w="90" w:type="dxa"/>
            </w:tcMar>
            <w:vAlign w:val="center"/>
          </w:tcPr>
          <w:p w14:paraId="45CCF13A">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字段标识</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0CC9A174">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字段中文名称</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24C0D00A">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数据类型</w:t>
            </w:r>
          </w:p>
        </w:tc>
        <w:tc>
          <w:tcPr>
            <w:tcW w:w="1626" w:type="dxa"/>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0CF2BCC8">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工程单位</w:t>
            </w:r>
          </w:p>
        </w:tc>
        <w:tc>
          <w:tcPr>
            <w:tcW w:w="3219" w:type="dxa"/>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4D65DBB4">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计算规则与防错逻辑</w:t>
            </w:r>
          </w:p>
        </w:tc>
        <w:tc>
          <w:tcPr>
            <w:tcW w:w="702" w:type="dxa"/>
            <w:tcBorders>
              <w:top w:val="single" w:color="CBD5E1" w:sz="12" w:space="0"/>
              <w:left w:val="single" w:color="CBD5E1" w:sz="4" w:space="0"/>
              <w:bottom w:val="nil"/>
              <w:right w:val="single" w:color="CBD5E1" w:sz="12" w:space="0"/>
            </w:tcBorders>
            <w:shd w:val="clear" w:color="auto" w:fill="1E3A8A"/>
            <w:noWrap w:val="0"/>
            <w:tcMar>
              <w:top w:w="70" w:type="dxa"/>
              <w:left w:w="90" w:type="dxa"/>
              <w:bottom w:w="70" w:type="dxa"/>
              <w:right w:w="90" w:type="dxa"/>
            </w:tcMar>
            <w:vAlign w:val="center"/>
          </w:tcPr>
          <w:p w14:paraId="3EAC7275">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密级</w:t>
            </w:r>
          </w:p>
        </w:tc>
      </w:tr>
      <w:tr w14:paraId="0D4A7CD3">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187B81F1">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product_id</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C5556C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产品型号编码</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69DBDD91">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String(32)</w:t>
            </w:r>
          </w:p>
        </w:tc>
        <w:tc>
          <w:tcPr>
            <w:tcW w:w="1626"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7EF45197">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3219"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9745751">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ERP 物料主数据唯一编码</w:t>
            </w:r>
          </w:p>
        </w:tc>
        <w:tc>
          <w:tcPr>
            <w:tcW w:w="702"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2AB873B1">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484D3DF5">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30D367C6">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industry_type</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44DA78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所属产业分类</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90E4FC0">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Enum</w:t>
            </w:r>
          </w:p>
        </w:tc>
        <w:tc>
          <w:tcPr>
            <w:tcW w:w="1626"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3D4C49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变压器/线缆</w:t>
            </w:r>
          </w:p>
        </w:tc>
        <w:tc>
          <w:tcPr>
            <w:tcW w:w="3219"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FECC90F">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严格决定分母物理量量纲</w:t>
            </w:r>
          </w:p>
        </w:tc>
        <w:tc>
          <w:tcPr>
            <w:tcW w:w="702"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39B74174">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L0</w:t>
            </w:r>
          </w:p>
        </w:tc>
      </w:tr>
      <w:tr w14:paraId="517E1C6B">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5708F6DD">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period_output</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2C50D66">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当期合格品产量</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F9379CD">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Decimal(12,2)</w:t>
            </w:r>
          </w:p>
        </w:tc>
        <w:tc>
          <w:tcPr>
            <w:tcW w:w="1626"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5D58E50">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kVA 或 km·mm²</w:t>
            </w:r>
          </w:p>
        </w:tc>
        <w:tc>
          <w:tcPr>
            <w:tcW w:w="3219"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40C9131">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MES 报工质检入库总量，若为0单耗置“--”</w:t>
            </w:r>
          </w:p>
        </w:tc>
        <w:tc>
          <w:tcPr>
            <w:tcW w:w="702"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2B94B064">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4D6619E3">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55721FFB">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period_energy_tce</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3EA84EAE">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当期消耗总标煤量</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0A30DD4E">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Decimal(12,4)</w:t>
            </w:r>
          </w:p>
        </w:tc>
        <w:tc>
          <w:tcPr>
            <w:tcW w:w="1626"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D09255F">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tce</w:t>
            </w:r>
          </w:p>
        </w:tc>
        <w:tc>
          <w:tcPr>
            <w:tcW w:w="3219"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BD5BD05">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车间各能源介质按工序分摊折标煤累加</w:t>
            </w:r>
          </w:p>
        </w:tc>
        <w:tc>
          <w:tcPr>
            <w:tcW w:w="702"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634E3A63">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3EF5FFEF">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2D4ABDC6">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unit_energy_val</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765267BD">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单位产品综合能耗</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CF7789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Decimal(8,6)</w:t>
            </w:r>
          </w:p>
        </w:tc>
        <w:tc>
          <w:tcPr>
            <w:tcW w:w="1626"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BB11C3A">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tce/kVA 或 tce/km·mm²</w:t>
            </w:r>
          </w:p>
        </w:tc>
        <w:tc>
          <w:tcPr>
            <w:tcW w:w="3219"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BB671C4">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period_energy_tce / period_output</w:t>
            </w:r>
          </w:p>
        </w:tc>
        <w:tc>
          <w:tcPr>
            <w:tcW w:w="702"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06750B71">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05FB6E52">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40CF981E">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yoy_percent</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0B9D3C3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同比变动率</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82B84BD">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Decimal(5,2)</w:t>
            </w:r>
          </w:p>
        </w:tc>
        <w:tc>
          <w:tcPr>
            <w:tcW w:w="1626"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37C42ED">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3219"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32DE05CC">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(本期单耗 - 去年同期) / 去年同期 × 100%</w:t>
            </w:r>
          </w:p>
        </w:tc>
        <w:tc>
          <w:tcPr>
            <w:tcW w:w="702"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6538F195">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457C014F">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3C197DF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mom_percent</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3C257C1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环比变动率</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374B2EEF">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Decimal(5,2)</w:t>
            </w:r>
          </w:p>
        </w:tc>
        <w:tc>
          <w:tcPr>
            <w:tcW w:w="1626"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682442CF">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3219"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324635D">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(本期单耗 - 上月单耗) / 上月单耗 × 100%</w:t>
            </w:r>
          </w:p>
        </w:tc>
        <w:tc>
          <w:tcPr>
            <w:tcW w:w="702"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4CD2C489">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40573A5D">
        <w:tblPrEx>
          <w:tblCellMar>
            <w:top w:w="0" w:type="dxa"/>
            <w:left w:w="108" w:type="dxa"/>
            <w:bottom w:w="0" w:type="dxa"/>
            <w:right w:w="108" w:type="dxa"/>
          </w:tblCellMar>
        </w:tblPrEx>
        <w:trPr>
          <w:trHeight w:val="0" w:hRule="atLeast"/>
          <w:jc w:val="center"/>
        </w:trPr>
        <w:tc>
          <w:tcPr>
            <w:tcW w:w="1651" w:type="dxa"/>
            <w:tcBorders>
              <w:top w:val="single" w:color="CBD5E1" w:sz="4" w:space="0"/>
              <w:left w:val="single" w:color="CBD5E1" w:sz="12" w:space="0"/>
              <w:bottom w:val="single" w:color="CBD5E1" w:sz="12" w:space="0"/>
              <w:right w:val="nil"/>
            </w:tcBorders>
            <w:shd w:val="clear" w:color="auto" w:fill="F8FAFC"/>
            <w:noWrap w:val="0"/>
            <w:tcMar>
              <w:top w:w="60" w:type="dxa"/>
              <w:left w:w="80" w:type="dxa"/>
              <w:bottom w:w="60" w:type="dxa"/>
              <w:right w:w="80" w:type="dxa"/>
            </w:tcMar>
            <w:vAlign w:val="center"/>
          </w:tcPr>
          <w:p w14:paraId="3F3CD6E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benchmark_diff</w:t>
            </w:r>
          </w:p>
        </w:tc>
        <w:tc>
          <w:tcPr>
            <w:tcW w:w="1324"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23850DE6">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与准入基准偏差</w:t>
            </w:r>
          </w:p>
        </w:tc>
        <w:tc>
          <w:tcPr>
            <w:tcW w:w="1269"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1C322874">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Decimal(8,6)</w:t>
            </w:r>
          </w:p>
        </w:tc>
        <w:tc>
          <w:tcPr>
            <w:tcW w:w="1626"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2D9157B5">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tce/单位</w:t>
            </w:r>
          </w:p>
        </w:tc>
        <w:tc>
          <w:tcPr>
            <w:tcW w:w="3219"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098E7D6E">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本期单耗 - 国家准入先进值</w:t>
            </w:r>
          </w:p>
        </w:tc>
        <w:tc>
          <w:tcPr>
            <w:tcW w:w="702" w:type="dxa"/>
            <w:tcBorders>
              <w:top w:val="single" w:color="CBD5E1" w:sz="4" w:space="0"/>
              <w:left w:val="single" w:color="CBD5E1" w:sz="4" w:space="0"/>
              <w:bottom w:val="single" w:color="CBD5E1" w:sz="12" w:space="0"/>
              <w:right w:val="single" w:color="CBD5E1" w:sz="12" w:space="0"/>
            </w:tcBorders>
            <w:shd w:val="clear" w:color="auto" w:fill="F8FAFC"/>
            <w:noWrap w:val="0"/>
            <w:tcMar>
              <w:top w:w="60" w:type="dxa"/>
              <w:left w:w="80" w:type="dxa"/>
              <w:bottom w:w="60" w:type="dxa"/>
              <w:right w:w="80" w:type="dxa"/>
            </w:tcMar>
            <w:vAlign w:val="center"/>
          </w:tcPr>
          <w:p w14:paraId="6834C47B">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bl>
    <w:p w14:paraId="07DC60ED">
      <w:pPr>
        <w:spacing w:after="60"/>
        <w:rPr>
          <w:rFonts w:hint="eastAsia" w:ascii="微软雅黑" w:hAnsi="微软雅黑" w:eastAsia="微软雅黑" w:cs="微软雅黑"/>
          <w:sz w:val="21"/>
          <w:szCs w:val="21"/>
        </w:rPr>
      </w:pPr>
    </w:p>
    <w:p w14:paraId="4313C2DF">
      <w:pPr>
        <w:pStyle w:val="5"/>
        <w:keepNext/>
        <w:spacing w:before="180" w:after="60"/>
        <w:outlineLvl w:val="2"/>
        <w:rPr>
          <w:rFonts w:hint="eastAsia" w:ascii="微软雅黑" w:hAnsi="微软雅黑" w:eastAsia="微软雅黑" w:cs="微软雅黑"/>
          <w:sz w:val="21"/>
          <w:szCs w:val="21"/>
        </w:rPr>
      </w:pPr>
      <w:bookmarkStart w:id="21" w:name="_Toc11205"/>
      <w:r>
        <w:rPr>
          <w:rFonts w:hint="eastAsia" w:ascii="微软雅黑" w:hAnsi="微软雅黑" w:eastAsia="微软雅黑" w:cs="微软雅黑"/>
          <w:b/>
          <w:color w:val="1E3A8A"/>
          <w:sz w:val="21"/>
          <w:szCs w:val="21"/>
        </w:rPr>
        <w:t>6.3 单位产值能耗与对标管理</w:t>
      </w:r>
      <w:bookmarkEnd w:id="21"/>
    </w:p>
    <w:p w14:paraId="07F20796">
      <w:pPr>
        <w:spacing w:after="80" w:line="288" w:lineRule="auto"/>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对标规范：</w:t>
      </w:r>
      <w:r>
        <w:rPr>
          <w:rFonts w:hint="eastAsia" w:ascii="微软雅黑" w:hAnsi="微软雅黑" w:eastAsia="微软雅黑" w:cs="微软雅黑"/>
          <w:color w:val="1F2937"/>
          <w:sz w:val="21"/>
          <w:szCs w:val="21"/>
        </w:rPr>
        <w:t>1. 单位产值能耗 (NAV-ZC-ENG-OUTPUT · /zero-carbon/energy/unit-output)：</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 xml:space="preserve">   - 测算万元产值综合能耗（tce/万元）与万元产值水耗（m³/万元）；</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2. 能效对标管理 (NAV-ZC-ENG-BENCHMARK · /zero-carbon/energy/benchmark)：</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 xml:space="preserve">   - 引入【国家先进值】、【国家准入值】与【特变电工领跑线】三线对标体系；</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 xml:space="preserve">   - 图表悬停游标强制微透科技蓝 rgba(56, 189, 248, 0.08)，浅色为 rgba(0, 0, 0, 0.04)，严禁纯白眩光。</w:t>
      </w:r>
    </w:p>
    <w:p w14:paraId="1DA0D2BB">
      <w:pPr>
        <w:pStyle w:val="4"/>
        <w:keepNext/>
        <w:spacing w:before="260" w:after="100"/>
        <w:outlineLvl w:val="1"/>
        <w:rPr>
          <w:rFonts w:hint="eastAsia" w:ascii="微软雅黑" w:hAnsi="微软雅黑" w:eastAsia="微软雅黑" w:cs="微软雅黑"/>
          <w:sz w:val="21"/>
          <w:szCs w:val="21"/>
        </w:rPr>
      </w:pPr>
      <w:bookmarkStart w:id="22" w:name="_Toc27129"/>
      <w:r>
        <w:rPr>
          <w:rFonts w:hint="eastAsia" w:ascii="微软雅黑" w:hAnsi="微软雅黑" w:eastAsia="微软雅黑" w:cs="微软雅黑"/>
          <w:b/>
          <w:color w:val="0284C7"/>
          <w:sz w:val="21"/>
          <w:szCs w:val="21"/>
        </w:rPr>
        <w:t>第 7 章 一级导航【零碳项目评估】</w:t>
      </w:r>
      <w:bookmarkEnd w:id="22"/>
    </w:p>
    <w:p w14:paraId="2B9A56F1">
      <w:pPr>
        <w:pStyle w:val="5"/>
        <w:keepNext/>
        <w:spacing w:before="180" w:after="60"/>
        <w:outlineLvl w:val="2"/>
        <w:rPr>
          <w:rFonts w:hint="eastAsia" w:ascii="微软雅黑" w:hAnsi="微软雅黑" w:eastAsia="微软雅黑" w:cs="微软雅黑"/>
          <w:sz w:val="21"/>
          <w:szCs w:val="21"/>
        </w:rPr>
      </w:pPr>
      <w:bookmarkStart w:id="23" w:name="_Toc24610"/>
      <w:r>
        <w:rPr>
          <w:rFonts w:hint="eastAsia" w:ascii="微软雅黑" w:hAnsi="微软雅黑" w:eastAsia="微软雅黑" w:cs="微软雅黑"/>
          <w:b/>
          <w:color w:val="1E3A8A"/>
          <w:sz w:val="21"/>
          <w:szCs w:val="21"/>
        </w:rPr>
        <w:t>7.1 项目档案、实时监控与节能效益评估</w:t>
      </w:r>
      <w:bookmarkEnd w:id="23"/>
    </w:p>
    <w:p w14:paraId="2EBEF207">
      <w:pPr>
        <w:spacing w:after="80" w:line="288" w:lineRule="auto"/>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功能模块定义：</w:t>
      </w:r>
      <w:r>
        <w:rPr>
          <w:rFonts w:hint="eastAsia" w:ascii="微软雅黑" w:hAnsi="微软雅黑" w:eastAsia="微软雅黑" w:cs="微软雅黑"/>
          <w:color w:val="1F2937"/>
          <w:sz w:val="21"/>
          <w:szCs w:val="21"/>
        </w:rPr>
        <w:t>1. 项目档案 (NAV-ZC-PRJ-ARCHIVE · /zero-carbon/project/archive)：管理光伏电站、蓄冷蓄热、空压机群控、变频改造等技改工程台账；</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2. 实时监控 (NAV-ZC-PRJ-MONITOR · /zero-carbon/project/monitoring)：直连技改项目现场 PLC 与电表，监测实时工况；</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3. 节能效益评估 (NAV-ZC-PRJ-BENEFIT · /zero-carbon/project/benefit)：遵循国际通用 IPMVP 测量与验证 (M&amp;V) 规程，测算节能量、节约费用与动态投资回收期。</w:t>
      </w:r>
    </w:p>
    <w:tbl>
      <w:tblPr>
        <w:tblStyle w:val="35"/>
        <w:tblW w:w="0" w:type="auto"/>
        <w:jc w:val="center"/>
        <w:tblLayout w:type="fixed"/>
        <w:tblCellMar>
          <w:top w:w="0" w:type="dxa"/>
          <w:left w:w="108" w:type="dxa"/>
          <w:bottom w:w="0" w:type="dxa"/>
          <w:right w:w="108" w:type="dxa"/>
        </w:tblCellMar>
      </w:tblPr>
      <w:tblGrid>
        <w:gridCol w:w="9792"/>
      </w:tblGrid>
      <w:tr w14:paraId="486D2FAC">
        <w:tblPrEx>
          <w:tblCellMar>
            <w:top w:w="0" w:type="dxa"/>
            <w:left w:w="108" w:type="dxa"/>
            <w:bottom w:w="0" w:type="dxa"/>
            <w:right w:w="108" w:type="dxa"/>
          </w:tblCellMar>
        </w:tblPrEx>
        <w:trPr>
          <w:jc w:val="center"/>
        </w:trPr>
        <w:tc>
          <w:tcPr>
            <w:tcW w:w="9648" w:type="dxa"/>
            <w:tcBorders>
              <w:top w:val="nil"/>
              <w:left w:val="single" w:color="16A34A" w:sz="24" w:space="0"/>
              <w:bottom w:val="nil"/>
              <w:right w:val="nil"/>
            </w:tcBorders>
            <w:shd w:val="clear" w:color="auto" w:fill="F0FDF4"/>
            <w:tcMar>
              <w:top w:w="100" w:type="dxa"/>
              <w:left w:w="140" w:type="dxa"/>
              <w:bottom w:w="100" w:type="dxa"/>
              <w:right w:w="140" w:type="dxa"/>
            </w:tcMar>
          </w:tcPr>
          <w:p w14:paraId="11199EA7">
            <w:pPr>
              <w:spacing w:after="40"/>
              <w:rPr>
                <w:rFonts w:hint="eastAsia" w:ascii="微软雅黑" w:hAnsi="微软雅黑" w:eastAsia="微软雅黑" w:cs="微软雅黑"/>
                <w:sz w:val="21"/>
                <w:szCs w:val="21"/>
              </w:rPr>
            </w:pPr>
            <w:r>
              <w:rPr>
                <w:rFonts w:hint="eastAsia" w:ascii="微软雅黑" w:hAnsi="微软雅黑" w:eastAsia="微软雅黑" w:cs="微软雅黑"/>
                <w:b/>
                <w:color w:val="16A34A"/>
                <w:sz w:val="21"/>
                <w:szCs w:val="21"/>
              </w:rPr>
              <w:t>📐 【核心数学模型与算法公式】</w:t>
            </w:r>
            <w:r>
              <w:rPr>
                <w:rFonts w:hint="eastAsia" w:ascii="微软雅黑" w:hAnsi="微软雅黑" w:eastAsia="微软雅黑" w:cs="微软雅黑"/>
                <w:b/>
                <w:color w:val="16A34A"/>
                <w:sz w:val="21"/>
                <w:szCs w:val="21"/>
              </w:rPr>
              <w:br w:type="textWrapping"/>
            </w:r>
            <w:r>
              <w:rPr>
                <w:rFonts w:hint="eastAsia" w:ascii="微软雅黑" w:hAnsi="微软雅黑" w:eastAsia="微软雅黑" w:cs="微软雅黑"/>
                <w:b/>
                <w:color w:val="1E3A8A"/>
                <w:sz w:val="21"/>
                <w:szCs w:val="21"/>
              </w:rPr>
              <w:t>【核算公式】：E_saved = ( E_baseline - E_post ) ± △E_adj ; PBP_dynamic = ln( CF / (CF - I_0 × r) ) / ln(1 + r)</w:t>
            </w:r>
            <w:r>
              <w:rPr>
                <w:rFonts w:hint="eastAsia" w:ascii="微软雅黑" w:hAnsi="微软雅黑" w:eastAsia="微软雅黑" w:cs="微软雅黑"/>
                <w:b/>
                <w:color w:val="1E3A8A"/>
                <w:sz w:val="21"/>
                <w:szCs w:val="21"/>
              </w:rPr>
              <w:br w:type="textWrapping"/>
            </w:r>
            <w:r>
              <w:rPr>
                <w:rFonts w:hint="eastAsia" w:ascii="微软雅黑" w:hAnsi="微软雅黑" w:eastAsia="微软雅黑" w:cs="微软雅黑"/>
                <w:color w:val="1F2937"/>
                <w:sz w:val="21"/>
                <w:szCs w:val="21"/>
              </w:rPr>
              <w:t>【逻辑说明】：依据国际 IPMVP 规程选项 B/C 建立基线能耗模型，排除气象温湿度与产量波动影响；计算动态投资回收期（考虑资金贴现率 r）。</w:t>
            </w:r>
            <w:r>
              <w:rPr>
                <w:rFonts w:hint="eastAsia" w:ascii="微软雅黑" w:hAnsi="微软雅黑" w:eastAsia="微软雅黑" w:cs="微软雅黑"/>
                <w:color w:val="64748B"/>
                <w:sz w:val="21"/>
                <w:szCs w:val="21"/>
              </w:rPr>
              <w:br w:type="textWrapping"/>
            </w:r>
            <w:r>
              <w:rPr>
                <w:rFonts w:hint="eastAsia" w:ascii="微软雅黑" w:hAnsi="微软雅黑" w:eastAsia="微软雅黑" w:cs="微软雅黑"/>
                <w:color w:val="64748B"/>
                <w:sz w:val="21"/>
                <w:szCs w:val="21"/>
              </w:rPr>
              <w:t>【变量定义与取值约定】：</w:t>
            </w:r>
            <w:r>
              <w:rPr>
                <w:rFonts w:hint="eastAsia" w:ascii="微软雅黑" w:hAnsi="微软雅黑" w:eastAsia="微软雅黑" w:cs="微软雅黑"/>
                <w:color w:val="64748B"/>
                <w:sz w:val="21"/>
                <w:szCs w:val="21"/>
              </w:rPr>
              <w:br w:type="textWrapping"/>
            </w:r>
            <w:r>
              <w:rPr>
                <w:rFonts w:hint="eastAsia" w:ascii="微软雅黑" w:hAnsi="微软雅黑" w:eastAsia="微软雅黑" w:cs="微软雅黑"/>
                <w:color w:val="64748B"/>
                <w:sz w:val="21"/>
                <w:szCs w:val="21"/>
              </w:rPr>
              <w:t>E_baseline: 基准期调整后能耗；E_post: 改造后实际能耗；△E_adj: 生产工况修正量；I_0: 技改初次投资；CF: 年净节能现金流；r: 贴现率 (基准8%)</w:t>
            </w:r>
          </w:p>
        </w:tc>
      </w:tr>
    </w:tbl>
    <w:p w14:paraId="40D33930">
      <w:pPr>
        <w:spacing w:after="40"/>
        <w:rPr>
          <w:rFonts w:hint="eastAsia" w:ascii="微软雅黑" w:hAnsi="微软雅黑" w:eastAsia="微软雅黑" w:cs="微软雅黑"/>
          <w:sz w:val="21"/>
          <w:szCs w:val="21"/>
        </w:rPr>
      </w:pPr>
    </w:p>
    <w:p w14:paraId="7068AEF9">
      <w:pPr>
        <w:pStyle w:val="5"/>
        <w:keepNext/>
        <w:spacing w:before="180" w:after="60"/>
        <w:outlineLvl w:val="2"/>
        <w:rPr>
          <w:rFonts w:hint="eastAsia" w:ascii="微软雅黑" w:hAnsi="微软雅黑" w:eastAsia="微软雅黑" w:cs="微软雅黑"/>
          <w:sz w:val="21"/>
          <w:szCs w:val="21"/>
        </w:rPr>
      </w:pPr>
      <w:bookmarkStart w:id="24" w:name="_Toc14859"/>
      <w:r>
        <w:rPr>
          <w:rFonts w:hint="eastAsia" w:ascii="微软雅黑" w:hAnsi="微软雅黑" w:eastAsia="微软雅黑" w:cs="微软雅黑"/>
          <w:b/>
          <w:color w:val="1E3A8A"/>
          <w:sz w:val="21"/>
          <w:szCs w:val="21"/>
        </w:rPr>
        <w:t>7.2 零碳工厂自评估</w:t>
      </w:r>
      <w:bookmarkEnd w:id="24"/>
    </w:p>
    <w:p w14:paraId="61C8357B">
      <w:pPr>
        <w:spacing w:after="80" w:line="288" w:lineRule="auto"/>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三层评估架构：</w:t>
      </w:r>
      <w:r>
        <w:rPr>
          <w:rFonts w:hint="eastAsia" w:ascii="微软雅黑" w:hAnsi="微软雅黑" w:eastAsia="微软雅黑" w:cs="微软雅黑"/>
          <w:color w:val="1F2937"/>
          <w:sz w:val="21"/>
          <w:szCs w:val="21"/>
        </w:rPr>
        <w:t>构建三层穿透体系：第 1 层集团大盘雷达与星级分布 ➔ 第 2 层二级公司总分达标率 ➔ 第 3 层工厂 6 大维度 100 分细化考核表：</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 评级星级标准：五星级 (≥90分)、四星级 (80~89分)、三星级 (70~79分)、未达标 (&lt;70分)。</w:t>
      </w:r>
    </w:p>
    <w:tbl>
      <w:tblPr>
        <w:tblStyle w:val="35"/>
        <w:tblW w:w="9792" w:type="dxa"/>
        <w:jc w:val="center"/>
        <w:tblLayout w:type="autofit"/>
        <w:tblCellMar>
          <w:top w:w="0" w:type="dxa"/>
          <w:left w:w="108" w:type="dxa"/>
          <w:bottom w:w="0" w:type="dxa"/>
          <w:right w:w="108" w:type="dxa"/>
        </w:tblCellMar>
      </w:tblPr>
      <w:tblGrid>
        <w:gridCol w:w="1143"/>
        <w:gridCol w:w="1143"/>
        <w:gridCol w:w="5235"/>
        <w:gridCol w:w="2271"/>
      </w:tblGrid>
      <w:tr w14:paraId="2782FCE0">
        <w:tblPrEx>
          <w:tblCellMar>
            <w:top w:w="0" w:type="dxa"/>
            <w:left w:w="108" w:type="dxa"/>
            <w:bottom w:w="0" w:type="dxa"/>
            <w:right w:w="108" w:type="dxa"/>
          </w:tblCellMar>
        </w:tblPrEx>
        <w:trPr>
          <w:trHeight w:val="0" w:hRule="atLeast"/>
          <w:tblHeader/>
          <w:jc w:val="center"/>
        </w:trPr>
        <w:tc>
          <w:tcPr>
            <w:tcW w:w="1143" w:type="dxa"/>
            <w:tcBorders>
              <w:top w:val="single" w:color="CBD5E1" w:sz="12" w:space="0"/>
              <w:left w:val="single" w:color="CBD5E1" w:sz="12" w:space="0"/>
              <w:bottom w:val="nil"/>
              <w:right w:val="nil"/>
            </w:tcBorders>
            <w:shd w:val="clear" w:color="auto" w:fill="1E3A8A"/>
            <w:noWrap w:val="0"/>
            <w:tcMar>
              <w:top w:w="70" w:type="dxa"/>
              <w:left w:w="90" w:type="dxa"/>
              <w:bottom w:w="70" w:type="dxa"/>
              <w:right w:w="90" w:type="dxa"/>
            </w:tcMar>
            <w:vAlign w:val="center"/>
          </w:tcPr>
          <w:p w14:paraId="03131895">
            <w:pPr>
              <w:keepNext/>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评估维度</w:t>
            </w:r>
          </w:p>
        </w:tc>
        <w:tc>
          <w:tcPr>
            <w:tcW w:w="1143" w:type="dxa"/>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48579CE3">
            <w:pPr>
              <w:keepNext/>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标准分值</w:t>
            </w:r>
          </w:p>
        </w:tc>
        <w:tc>
          <w:tcPr>
            <w:tcW w:w="5234" w:type="dxa"/>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6A98C76E">
            <w:pPr>
              <w:keepNext/>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核心考评条款与扣分规则</w:t>
            </w:r>
          </w:p>
        </w:tc>
        <w:tc>
          <w:tcPr>
            <w:tcW w:w="2271" w:type="dxa"/>
            <w:tcBorders>
              <w:top w:val="single" w:color="CBD5E1" w:sz="12" w:space="0"/>
              <w:left w:val="single" w:color="CBD5E1" w:sz="4" w:space="0"/>
              <w:bottom w:val="nil"/>
              <w:right w:val="single" w:color="CBD5E1" w:sz="12" w:space="0"/>
            </w:tcBorders>
            <w:shd w:val="clear" w:color="auto" w:fill="1E3A8A"/>
            <w:noWrap w:val="0"/>
            <w:tcMar>
              <w:top w:w="70" w:type="dxa"/>
              <w:left w:w="90" w:type="dxa"/>
              <w:bottom w:w="70" w:type="dxa"/>
              <w:right w:w="90" w:type="dxa"/>
            </w:tcMar>
            <w:vAlign w:val="center"/>
          </w:tcPr>
          <w:p w14:paraId="47CDFE11">
            <w:pPr>
              <w:keepNext/>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数据来源与佐证材料</w:t>
            </w:r>
          </w:p>
        </w:tc>
      </w:tr>
      <w:tr w14:paraId="7419E08E">
        <w:tblPrEx>
          <w:tblCellMar>
            <w:top w:w="0" w:type="dxa"/>
            <w:left w:w="108" w:type="dxa"/>
            <w:bottom w:w="0" w:type="dxa"/>
            <w:right w:w="108" w:type="dxa"/>
          </w:tblCellMar>
        </w:tblPrEx>
        <w:trPr>
          <w:trHeight w:val="0" w:hRule="atLeast"/>
          <w:jc w:val="center"/>
        </w:trPr>
        <w:tc>
          <w:tcPr>
            <w:tcW w:w="1143" w:type="dxa"/>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7543D31F">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基础设施</w:t>
            </w:r>
          </w:p>
        </w:tc>
        <w:tc>
          <w:tcPr>
            <w:tcW w:w="1143"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0DFFA2D">
            <w:pPr>
              <w:keepNext/>
              <w:snapToGrid w:val="0"/>
              <w:spacing w:line="240" w:lineRule="auto"/>
              <w:ind w:left="0" w:leftChars="0" w:right="0" w:rightChars="0" w:firstLine="0" w:firstLineChars="0"/>
              <w:jc w:val="righ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15 分</w:t>
            </w:r>
          </w:p>
        </w:tc>
        <w:tc>
          <w:tcPr>
            <w:tcW w:w="5234"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0E8DA75">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厂房采光天窗采光比、一级能效节能变压器配置率。不达标扣 2 分/项</w:t>
            </w:r>
          </w:p>
        </w:tc>
        <w:tc>
          <w:tcPr>
            <w:tcW w:w="2271"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68A8842C">
            <w:pPr>
              <w:keepNext/>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基础设施台账、工程竣工图纸</w:t>
            </w:r>
          </w:p>
        </w:tc>
      </w:tr>
      <w:tr w14:paraId="48795972">
        <w:tblPrEx>
          <w:tblCellMar>
            <w:top w:w="0" w:type="dxa"/>
            <w:left w:w="108" w:type="dxa"/>
            <w:bottom w:w="0" w:type="dxa"/>
            <w:right w:w="108" w:type="dxa"/>
          </w:tblCellMar>
        </w:tblPrEx>
        <w:trPr>
          <w:trHeight w:val="0" w:hRule="atLeast"/>
          <w:jc w:val="center"/>
        </w:trPr>
        <w:tc>
          <w:tcPr>
            <w:tcW w:w="1143" w:type="dxa"/>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5CE3C6F8">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能源利用</w:t>
            </w:r>
          </w:p>
        </w:tc>
        <w:tc>
          <w:tcPr>
            <w:tcW w:w="1143"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60681327">
            <w:pPr>
              <w:keepNext/>
              <w:snapToGrid w:val="0"/>
              <w:spacing w:line="240" w:lineRule="auto"/>
              <w:ind w:left="0" w:leftChars="0" w:right="0" w:rightChars="0" w:firstLine="0" w:firstLineChars="0"/>
              <w:jc w:val="righ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30 分</w:t>
            </w:r>
          </w:p>
        </w:tc>
        <w:tc>
          <w:tcPr>
            <w:tcW w:w="5234"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50977FD">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屋顶分布式光伏消纳率(≥30%)、储能削峰填谷、工业余热余压回收。消纳每低 5% 扣 2 分</w:t>
            </w:r>
          </w:p>
        </w:tc>
        <w:tc>
          <w:tcPr>
            <w:tcW w:w="2271"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06E9B615">
            <w:pPr>
              <w:keepNext/>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微电网采集数据、绿电交易凭证</w:t>
            </w:r>
          </w:p>
        </w:tc>
      </w:tr>
      <w:tr w14:paraId="4A593E99">
        <w:tblPrEx>
          <w:tblCellMar>
            <w:top w:w="0" w:type="dxa"/>
            <w:left w:w="108" w:type="dxa"/>
            <w:bottom w:w="0" w:type="dxa"/>
            <w:right w:w="108" w:type="dxa"/>
          </w:tblCellMar>
        </w:tblPrEx>
        <w:trPr>
          <w:trHeight w:val="0" w:hRule="atLeast"/>
          <w:jc w:val="center"/>
        </w:trPr>
        <w:tc>
          <w:tcPr>
            <w:tcW w:w="1143" w:type="dxa"/>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0CF7EC51">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产品生态</w:t>
            </w:r>
          </w:p>
        </w:tc>
        <w:tc>
          <w:tcPr>
            <w:tcW w:w="1143"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3513F852">
            <w:pPr>
              <w:keepNext/>
              <w:snapToGrid w:val="0"/>
              <w:spacing w:line="240" w:lineRule="auto"/>
              <w:ind w:left="0" w:leftChars="0" w:right="0" w:rightChars="0" w:firstLine="0" w:firstLineChars="0"/>
              <w:jc w:val="righ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20 分</w:t>
            </w:r>
          </w:p>
        </w:tc>
        <w:tc>
          <w:tcPr>
            <w:tcW w:w="5234"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F30C9D4">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主力产品全生命周期 LCA 碳足迹认证、绿色包装材料使用率。出口产品无碳标签扣 3 分</w:t>
            </w:r>
          </w:p>
        </w:tc>
        <w:tc>
          <w:tcPr>
            <w:tcW w:w="2271"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18AE85E0">
            <w:pPr>
              <w:keepNext/>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ISO 14067 第三方认证证书</w:t>
            </w:r>
          </w:p>
        </w:tc>
      </w:tr>
      <w:tr w14:paraId="6E2C5BBA">
        <w:tblPrEx>
          <w:tblCellMar>
            <w:top w:w="0" w:type="dxa"/>
            <w:left w:w="108" w:type="dxa"/>
            <w:bottom w:w="0" w:type="dxa"/>
            <w:right w:w="108" w:type="dxa"/>
          </w:tblCellMar>
        </w:tblPrEx>
        <w:trPr>
          <w:trHeight w:val="0" w:hRule="atLeast"/>
          <w:jc w:val="center"/>
        </w:trPr>
        <w:tc>
          <w:tcPr>
            <w:tcW w:w="1143" w:type="dxa"/>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650482AC">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温室气体</w:t>
            </w:r>
          </w:p>
        </w:tc>
        <w:tc>
          <w:tcPr>
            <w:tcW w:w="1143"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877EF1B">
            <w:pPr>
              <w:keepNext/>
              <w:snapToGrid w:val="0"/>
              <w:spacing w:line="240" w:lineRule="auto"/>
              <w:ind w:left="0" w:leftChars="0" w:right="0" w:rightChars="0" w:firstLine="0" w:firstLineChars="0"/>
              <w:jc w:val="righ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15 分</w:t>
            </w:r>
          </w:p>
        </w:tc>
        <w:tc>
          <w:tcPr>
            <w:tcW w:w="5234"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0CA3FF9">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ISO 14064 组织碳盘查报告、年度减排目标达成率。未出具盘查报告扣 5 分</w:t>
            </w:r>
          </w:p>
        </w:tc>
        <w:tc>
          <w:tcPr>
            <w:tcW w:w="2271"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10FAF21F">
            <w:pPr>
              <w:keepNext/>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权威第三方核查声明</w:t>
            </w:r>
          </w:p>
        </w:tc>
      </w:tr>
      <w:tr w14:paraId="22E7D88D">
        <w:tblPrEx>
          <w:tblCellMar>
            <w:top w:w="0" w:type="dxa"/>
            <w:left w:w="108" w:type="dxa"/>
            <w:bottom w:w="0" w:type="dxa"/>
            <w:right w:w="108" w:type="dxa"/>
          </w:tblCellMar>
        </w:tblPrEx>
        <w:trPr>
          <w:trHeight w:val="0" w:hRule="atLeast"/>
          <w:jc w:val="center"/>
        </w:trPr>
        <w:tc>
          <w:tcPr>
            <w:tcW w:w="1143" w:type="dxa"/>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4CCC2676">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碳抵消</w:t>
            </w:r>
          </w:p>
        </w:tc>
        <w:tc>
          <w:tcPr>
            <w:tcW w:w="1143"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3E032B0E">
            <w:pPr>
              <w:keepNext/>
              <w:snapToGrid w:val="0"/>
              <w:spacing w:line="240" w:lineRule="auto"/>
              <w:ind w:left="0" w:leftChars="0" w:right="0" w:rightChars="0" w:firstLine="0" w:firstLineChars="0"/>
              <w:jc w:val="righ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10 分</w:t>
            </w:r>
          </w:p>
        </w:tc>
        <w:tc>
          <w:tcPr>
            <w:tcW w:w="5234"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6EDB8A90">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国家绿色电力证书 (GEC) 批量核销、CCER 碳资产抵消额度。未核销绿证扣 3 分</w:t>
            </w:r>
          </w:p>
        </w:tc>
        <w:tc>
          <w:tcPr>
            <w:tcW w:w="2271"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4D7E8F2F">
            <w:pPr>
              <w:keepNext/>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国家绿证平台核销证明文件</w:t>
            </w:r>
          </w:p>
        </w:tc>
      </w:tr>
      <w:tr w14:paraId="43379BBA">
        <w:tblPrEx>
          <w:tblCellMar>
            <w:top w:w="0" w:type="dxa"/>
            <w:left w:w="108" w:type="dxa"/>
            <w:bottom w:w="0" w:type="dxa"/>
            <w:right w:w="108" w:type="dxa"/>
          </w:tblCellMar>
        </w:tblPrEx>
        <w:trPr>
          <w:trHeight w:val="0" w:hRule="atLeast"/>
          <w:jc w:val="center"/>
        </w:trPr>
        <w:tc>
          <w:tcPr>
            <w:tcW w:w="1143" w:type="dxa"/>
            <w:tcBorders>
              <w:top w:val="single" w:color="CBD5E1" w:sz="4" w:space="0"/>
              <w:left w:val="single" w:color="CBD5E1" w:sz="12" w:space="0"/>
              <w:bottom w:val="single" w:color="CBD5E1" w:sz="12" w:space="0"/>
              <w:right w:val="nil"/>
            </w:tcBorders>
            <w:shd w:val="clear" w:color="auto" w:fill="F8FAFC"/>
            <w:noWrap w:val="0"/>
            <w:tcMar>
              <w:top w:w="60" w:type="dxa"/>
              <w:left w:w="80" w:type="dxa"/>
              <w:bottom w:w="60" w:type="dxa"/>
              <w:right w:w="80" w:type="dxa"/>
            </w:tcMar>
            <w:vAlign w:val="center"/>
          </w:tcPr>
          <w:p w14:paraId="32CE1C9F">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运营管理</w:t>
            </w:r>
          </w:p>
        </w:tc>
        <w:tc>
          <w:tcPr>
            <w:tcW w:w="1143"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744557CC">
            <w:pPr>
              <w:keepNext/>
              <w:snapToGrid w:val="0"/>
              <w:spacing w:line="240" w:lineRule="auto"/>
              <w:ind w:left="0" w:leftChars="0" w:right="0" w:rightChars="0" w:firstLine="0" w:firstLineChars="0"/>
              <w:jc w:val="righ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10 分</w:t>
            </w:r>
          </w:p>
        </w:tc>
        <w:tc>
          <w:tcPr>
            <w:tcW w:w="5234"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531E10FC">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ISO 50001 能源管理体系认证、专职能碳工程师岗位。体系未年审扣 3 分</w:t>
            </w:r>
          </w:p>
        </w:tc>
        <w:tc>
          <w:tcPr>
            <w:tcW w:w="2271" w:type="dxa"/>
            <w:tcBorders>
              <w:top w:val="single" w:color="CBD5E1" w:sz="4" w:space="0"/>
              <w:left w:val="single" w:color="CBD5E1" w:sz="4" w:space="0"/>
              <w:bottom w:val="single" w:color="CBD5E1" w:sz="12" w:space="0"/>
              <w:right w:val="single" w:color="CBD5E1" w:sz="12" w:space="0"/>
            </w:tcBorders>
            <w:shd w:val="clear" w:color="auto" w:fill="F8FAFC"/>
            <w:noWrap w:val="0"/>
            <w:tcMar>
              <w:top w:w="60" w:type="dxa"/>
              <w:left w:w="80" w:type="dxa"/>
              <w:bottom w:w="60" w:type="dxa"/>
              <w:right w:w="80" w:type="dxa"/>
            </w:tcMar>
            <w:vAlign w:val="center"/>
          </w:tcPr>
          <w:p w14:paraId="549CD0D8">
            <w:pPr>
              <w:keepNext/>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体系证书、管理制度任命文件</w:t>
            </w:r>
          </w:p>
        </w:tc>
      </w:tr>
    </w:tbl>
    <w:p w14:paraId="74462E5A">
      <w:pPr>
        <w:spacing w:after="60"/>
        <w:rPr>
          <w:rFonts w:hint="eastAsia" w:ascii="微软雅黑" w:hAnsi="微软雅黑" w:eastAsia="微软雅黑" w:cs="微软雅黑"/>
          <w:sz w:val="21"/>
          <w:szCs w:val="21"/>
        </w:rPr>
      </w:pPr>
    </w:p>
    <w:p w14:paraId="5070C557">
      <w:pPr>
        <w:pStyle w:val="4"/>
        <w:keepNext/>
        <w:spacing w:before="260" w:after="100"/>
        <w:outlineLvl w:val="1"/>
        <w:rPr>
          <w:rFonts w:hint="eastAsia" w:ascii="微软雅黑" w:hAnsi="微软雅黑" w:eastAsia="微软雅黑" w:cs="微软雅黑"/>
          <w:sz w:val="21"/>
          <w:szCs w:val="21"/>
        </w:rPr>
      </w:pPr>
      <w:bookmarkStart w:id="25" w:name="_Toc19218"/>
      <w:r>
        <w:rPr>
          <w:rFonts w:hint="eastAsia" w:ascii="微软雅黑" w:hAnsi="微软雅黑" w:eastAsia="微软雅黑" w:cs="微软雅黑"/>
          <w:b/>
          <w:color w:val="0284C7"/>
          <w:sz w:val="21"/>
          <w:szCs w:val="21"/>
        </w:rPr>
        <w:t>第 8 章 一级导航【统计报表】</w:t>
      </w:r>
      <w:bookmarkEnd w:id="25"/>
    </w:p>
    <w:p w14:paraId="240D10D4">
      <w:pPr>
        <w:spacing w:after="80" w:line="288" w:lineRule="auto"/>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功能要求：</w:t>
      </w:r>
      <w:r>
        <w:rPr>
          <w:rFonts w:hint="eastAsia" w:ascii="微软雅黑" w:hAnsi="微软雅黑" w:eastAsia="微软雅黑" w:cs="微软雅黑"/>
          <w:color w:val="1F2937"/>
          <w:sz w:val="21"/>
          <w:szCs w:val="21"/>
        </w:rPr>
        <w:t>涵盖用能报表 (NAV-ZC-RPT-USAGE)、成本报表 (NAV-ZC-RPT-COST)、单耗报表 (NAV-ZC-RPT-UNIT) 与碳排报表 (NAV-ZC-RPT-CARBON)。</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1. 44px 强制行高：所有表格 &lt;tr&gt; 高度固定为 44px，垂直居中；</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2. 产业分类隔离：变压器以 kVA 汇算，线缆以 km·mm² 汇算；</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3. 防伪动态水印：导出 Excel/PDF 强制注入导出员工号、姓名、操作时间戳与防截屏防篡改哈希校验码。</w:t>
      </w:r>
    </w:p>
    <w:tbl>
      <w:tblPr>
        <w:tblStyle w:val="35"/>
        <w:tblW w:w="9792" w:type="dxa"/>
        <w:jc w:val="center"/>
        <w:tblLayout w:type="autofit"/>
        <w:tblCellMar>
          <w:top w:w="0" w:type="dxa"/>
          <w:left w:w="108" w:type="dxa"/>
          <w:bottom w:w="0" w:type="dxa"/>
          <w:right w:w="108" w:type="dxa"/>
        </w:tblCellMar>
      </w:tblPr>
      <w:tblGrid>
        <w:gridCol w:w="2185"/>
        <w:gridCol w:w="1391"/>
        <w:gridCol w:w="1530"/>
        <w:gridCol w:w="1028"/>
        <w:gridCol w:w="3036"/>
        <w:gridCol w:w="622"/>
      </w:tblGrid>
      <w:tr w14:paraId="2DF50941">
        <w:tblPrEx>
          <w:tblCellMar>
            <w:top w:w="0" w:type="dxa"/>
            <w:left w:w="108" w:type="dxa"/>
            <w:bottom w:w="0" w:type="dxa"/>
            <w:right w:w="108" w:type="dxa"/>
          </w:tblCellMar>
        </w:tblPrEx>
        <w:trPr>
          <w:trHeight w:val="0" w:hRule="atLeast"/>
          <w:tblHeader/>
          <w:jc w:val="center"/>
        </w:trPr>
        <w:tc>
          <w:tcPr>
            <w:tcW w:w="0" w:type="auto"/>
            <w:tcBorders>
              <w:top w:val="single" w:color="CBD5E1" w:sz="12" w:space="0"/>
              <w:left w:val="single" w:color="CBD5E1" w:sz="12" w:space="0"/>
              <w:bottom w:val="nil"/>
              <w:right w:val="nil"/>
            </w:tcBorders>
            <w:shd w:val="clear" w:color="auto" w:fill="1E3A8A"/>
            <w:noWrap w:val="0"/>
            <w:tcMar>
              <w:top w:w="70" w:type="dxa"/>
              <w:left w:w="90" w:type="dxa"/>
              <w:bottom w:w="70" w:type="dxa"/>
              <w:right w:w="90" w:type="dxa"/>
            </w:tcMar>
            <w:vAlign w:val="center"/>
          </w:tcPr>
          <w:p w14:paraId="563ED893">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报表字段</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552EC374">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字段中文名称</w:t>
            </w:r>
          </w:p>
        </w:tc>
        <w:tc>
          <w:tcPr>
            <w:tcW w:w="0" w:type="auto"/>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7FEFD168">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数据类型</w:t>
            </w:r>
          </w:p>
        </w:tc>
        <w:tc>
          <w:tcPr>
            <w:tcW w:w="1063" w:type="dxa"/>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02842059">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工程单位</w:t>
            </w:r>
          </w:p>
        </w:tc>
        <w:tc>
          <w:tcPr>
            <w:tcW w:w="3248" w:type="dxa"/>
            <w:tcBorders>
              <w:top w:val="single" w:color="CBD5E1" w:sz="12" w:space="0"/>
              <w:left w:val="single" w:color="CBD5E1" w:sz="4" w:space="0"/>
              <w:bottom w:val="nil"/>
              <w:right w:val="nil"/>
            </w:tcBorders>
            <w:shd w:val="clear" w:color="auto" w:fill="1E3A8A"/>
            <w:noWrap w:val="0"/>
            <w:tcMar>
              <w:top w:w="70" w:type="dxa"/>
              <w:left w:w="90" w:type="dxa"/>
              <w:bottom w:w="70" w:type="dxa"/>
              <w:right w:w="90" w:type="dxa"/>
            </w:tcMar>
            <w:vAlign w:val="center"/>
          </w:tcPr>
          <w:p w14:paraId="7509E179">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聚合滚算规则</w:t>
            </w:r>
          </w:p>
        </w:tc>
        <w:tc>
          <w:tcPr>
            <w:tcW w:w="642" w:type="dxa"/>
            <w:tcBorders>
              <w:top w:val="single" w:color="CBD5E1" w:sz="12" w:space="0"/>
              <w:left w:val="single" w:color="CBD5E1" w:sz="4" w:space="0"/>
              <w:bottom w:val="nil"/>
              <w:right w:val="single" w:color="CBD5E1" w:sz="12" w:space="0"/>
            </w:tcBorders>
            <w:shd w:val="clear" w:color="auto" w:fill="1E3A8A"/>
            <w:noWrap w:val="0"/>
            <w:tcMar>
              <w:top w:w="70" w:type="dxa"/>
              <w:left w:w="90" w:type="dxa"/>
              <w:bottom w:w="70" w:type="dxa"/>
              <w:right w:w="90" w:type="dxa"/>
            </w:tcMar>
            <w:vAlign w:val="center"/>
          </w:tcPr>
          <w:p w14:paraId="6DD5EF57">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密级</w:t>
            </w:r>
          </w:p>
        </w:tc>
      </w:tr>
      <w:tr w14:paraId="263E4E12">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3BACEC80">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report_period</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117AF4AB">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统计周期标签</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B0F715A">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String(16)</w:t>
            </w:r>
          </w:p>
        </w:tc>
        <w:tc>
          <w:tcPr>
            <w:tcW w:w="1063"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6461A8D1">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日/月/年</w:t>
            </w:r>
          </w:p>
        </w:tc>
        <w:tc>
          <w:tcPr>
            <w:tcW w:w="3248"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A7D5A4C">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日报按0点截断，月报按自然月自然闭环</w:t>
            </w:r>
          </w:p>
        </w:tc>
        <w:tc>
          <w:tcPr>
            <w:tcW w:w="642"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67B8F609">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46D8AE99">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13EFB62F">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org_name</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D7F34F2">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组织节点名称</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A6BB9B5">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String(64)</w:t>
            </w:r>
          </w:p>
        </w:tc>
        <w:tc>
          <w:tcPr>
            <w:tcW w:w="1063"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44FAD355">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3248"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7D619C5D">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集团/产业/二级公司/车间层级树</w:t>
            </w:r>
          </w:p>
        </w:tc>
        <w:tc>
          <w:tcPr>
            <w:tcW w:w="642"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261366DF">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321B4FD2">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074A7104">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elec_consumption</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4C1B96DC">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用电量总计</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7AACA4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Decimal(12,2)</w:t>
            </w:r>
          </w:p>
        </w:tc>
        <w:tc>
          <w:tcPr>
            <w:tcW w:w="1063"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8785971">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kWh</w:t>
            </w:r>
          </w:p>
        </w:tc>
        <w:tc>
          <w:tcPr>
            <w:tcW w:w="3248"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DF463CF">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 (尖峰 + 高峰 + 平段 + 低谷)</w:t>
            </w:r>
          </w:p>
        </w:tc>
        <w:tc>
          <w:tcPr>
            <w:tcW w:w="642"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3ACDA088">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59D02F67">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5E63D9B7">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water_consumption</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DD8C7B3">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自来水用量</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48E25B7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Decimal(10,2)</w:t>
            </w:r>
          </w:p>
        </w:tc>
        <w:tc>
          <w:tcPr>
            <w:tcW w:w="1063"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6CBFDD2A">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m³</w:t>
            </w:r>
          </w:p>
        </w:tc>
        <w:tc>
          <w:tcPr>
            <w:tcW w:w="3248"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6EC2A95B">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市政总表与自备井流量累加</w:t>
            </w:r>
          </w:p>
        </w:tc>
        <w:tc>
          <w:tcPr>
            <w:tcW w:w="642"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32261676">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1F171E84">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3B1C376B">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steam_consumption</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570009F">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外购蒸汽量</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69FAF17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Decimal(10,2)</w:t>
            </w:r>
          </w:p>
        </w:tc>
        <w:tc>
          <w:tcPr>
            <w:tcW w:w="1063"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2D99113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w:t>
            </w:r>
          </w:p>
        </w:tc>
        <w:tc>
          <w:tcPr>
            <w:tcW w:w="3248"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309C7BAA">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车间进汽流量计温压补偿积算</w:t>
            </w:r>
          </w:p>
        </w:tc>
        <w:tc>
          <w:tcPr>
            <w:tcW w:w="642"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19C76FF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0C94057F">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8FAFC"/>
            <w:noWrap w:val="0"/>
            <w:tcMar>
              <w:top w:w="60" w:type="dxa"/>
              <w:left w:w="80" w:type="dxa"/>
              <w:bottom w:w="60" w:type="dxa"/>
              <w:right w:w="80" w:type="dxa"/>
            </w:tcMar>
            <w:vAlign w:val="center"/>
          </w:tcPr>
          <w:p w14:paraId="0AAC7382">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gas_consumption</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5B755D0F">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天然气消耗量</w:t>
            </w:r>
          </w:p>
        </w:tc>
        <w:tc>
          <w:tcPr>
            <w:tcW w:w="0" w:type="auto"/>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20AE9135">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Decimal(10,2)</w:t>
            </w:r>
          </w:p>
        </w:tc>
        <w:tc>
          <w:tcPr>
            <w:tcW w:w="1063"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1E8642A1">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m³</w:t>
            </w:r>
          </w:p>
        </w:tc>
        <w:tc>
          <w:tcPr>
            <w:tcW w:w="3248" w:type="dxa"/>
            <w:tcBorders>
              <w:top w:val="single" w:color="CBD5E1" w:sz="4" w:space="0"/>
              <w:left w:val="single" w:color="CBD5E1" w:sz="4" w:space="0"/>
              <w:bottom w:val="nil"/>
              <w:right w:val="nil"/>
            </w:tcBorders>
            <w:shd w:val="clear" w:color="auto" w:fill="F8FAFC"/>
            <w:noWrap w:val="0"/>
            <w:tcMar>
              <w:top w:w="60" w:type="dxa"/>
              <w:left w:w="80" w:type="dxa"/>
              <w:bottom w:w="60" w:type="dxa"/>
              <w:right w:w="80" w:type="dxa"/>
            </w:tcMar>
            <w:vAlign w:val="center"/>
          </w:tcPr>
          <w:p w14:paraId="4CC636A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燃气调压计量站流量计</w:t>
            </w:r>
          </w:p>
        </w:tc>
        <w:tc>
          <w:tcPr>
            <w:tcW w:w="642" w:type="dxa"/>
            <w:tcBorders>
              <w:top w:val="single" w:color="CBD5E1" w:sz="4" w:space="0"/>
              <w:left w:val="single" w:color="CBD5E1" w:sz="4" w:space="0"/>
              <w:bottom w:val="nil"/>
              <w:right w:val="single" w:color="CBD5E1" w:sz="12" w:space="0"/>
            </w:tcBorders>
            <w:shd w:val="clear" w:color="auto" w:fill="F8FAFC"/>
            <w:noWrap w:val="0"/>
            <w:tcMar>
              <w:top w:w="60" w:type="dxa"/>
              <w:left w:w="80" w:type="dxa"/>
              <w:bottom w:w="60" w:type="dxa"/>
              <w:right w:w="80" w:type="dxa"/>
            </w:tcMar>
            <w:vAlign w:val="center"/>
          </w:tcPr>
          <w:p w14:paraId="010AB34D">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4A0C687F">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12" w:space="0"/>
              <w:bottom w:val="nil"/>
              <w:right w:val="nil"/>
            </w:tcBorders>
            <w:shd w:val="clear" w:color="auto" w:fill="FFFFFF"/>
            <w:noWrap w:val="0"/>
            <w:tcMar>
              <w:top w:w="60" w:type="dxa"/>
              <w:left w:w="80" w:type="dxa"/>
              <w:bottom w:w="60" w:type="dxa"/>
              <w:right w:w="80" w:type="dxa"/>
            </w:tcMar>
            <w:vAlign w:val="center"/>
          </w:tcPr>
          <w:p w14:paraId="7C8E122E">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total_energy_tce</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3F3905C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折标准煤总能耗</w:t>
            </w:r>
          </w:p>
        </w:tc>
        <w:tc>
          <w:tcPr>
            <w:tcW w:w="0" w:type="auto"/>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06CA3754">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Decimal(12,4)</w:t>
            </w:r>
          </w:p>
        </w:tc>
        <w:tc>
          <w:tcPr>
            <w:tcW w:w="1063"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5AF19D45">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tce</w:t>
            </w:r>
          </w:p>
        </w:tc>
        <w:tc>
          <w:tcPr>
            <w:tcW w:w="3248" w:type="dxa"/>
            <w:tcBorders>
              <w:top w:val="single" w:color="CBD5E1" w:sz="4" w:space="0"/>
              <w:left w:val="single" w:color="CBD5E1" w:sz="4" w:space="0"/>
              <w:bottom w:val="nil"/>
              <w:right w:val="nil"/>
            </w:tcBorders>
            <w:shd w:val="clear" w:color="auto" w:fill="FFFFFF"/>
            <w:noWrap w:val="0"/>
            <w:tcMar>
              <w:top w:w="60" w:type="dxa"/>
              <w:left w:w="80" w:type="dxa"/>
              <w:bottom w:w="60" w:type="dxa"/>
              <w:right w:w="80" w:type="dxa"/>
            </w:tcMar>
            <w:vAlign w:val="center"/>
          </w:tcPr>
          <w:p w14:paraId="61D48C0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 (各介质消耗量 × 当量折标系数)</w:t>
            </w:r>
          </w:p>
        </w:tc>
        <w:tc>
          <w:tcPr>
            <w:tcW w:w="642" w:type="dxa"/>
            <w:tcBorders>
              <w:top w:val="single" w:color="CBD5E1" w:sz="4" w:space="0"/>
              <w:left w:val="single" w:color="CBD5E1" w:sz="4" w:space="0"/>
              <w:bottom w:val="nil"/>
              <w:right w:val="single" w:color="CBD5E1" w:sz="12" w:space="0"/>
            </w:tcBorders>
            <w:shd w:val="clear" w:color="auto" w:fill="FFFFFF"/>
            <w:noWrap w:val="0"/>
            <w:tcMar>
              <w:top w:w="60" w:type="dxa"/>
              <w:left w:w="80" w:type="dxa"/>
              <w:bottom w:w="60" w:type="dxa"/>
              <w:right w:w="80" w:type="dxa"/>
            </w:tcMar>
            <w:vAlign w:val="center"/>
          </w:tcPr>
          <w:p w14:paraId="405B6298">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75C03BF0">
        <w:tblPrEx>
          <w:tblCellMar>
            <w:top w:w="0" w:type="dxa"/>
            <w:left w:w="108" w:type="dxa"/>
            <w:bottom w:w="0" w:type="dxa"/>
            <w:right w:w="108" w:type="dxa"/>
          </w:tblCellMar>
        </w:tblPrEx>
        <w:trPr>
          <w:trHeight w:val="0" w:hRule="atLeast"/>
          <w:jc w:val="center"/>
        </w:trPr>
        <w:tc>
          <w:tcPr>
            <w:tcW w:w="1971" w:type="dxa"/>
            <w:tcBorders>
              <w:top w:val="single" w:color="CBD5E1" w:sz="4" w:space="0"/>
              <w:left w:val="single" w:color="CBD5E1" w:sz="12" w:space="0"/>
              <w:bottom w:val="single" w:color="CBD5E1" w:sz="12" w:space="0"/>
              <w:right w:val="nil"/>
            </w:tcBorders>
            <w:shd w:val="clear" w:color="auto" w:fill="F8FAFC"/>
            <w:noWrap w:val="0"/>
            <w:tcMar>
              <w:top w:w="60" w:type="dxa"/>
              <w:left w:w="80" w:type="dxa"/>
              <w:bottom w:w="60" w:type="dxa"/>
              <w:right w:w="80" w:type="dxa"/>
            </w:tcMar>
            <w:vAlign w:val="center"/>
          </w:tcPr>
          <w:p w14:paraId="1F9AFE01">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total_cost_wan</w:t>
            </w:r>
          </w:p>
        </w:tc>
        <w:tc>
          <w:tcPr>
            <w:tcW w:w="1478"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1C8FC2E1">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综合能源总成本</w:t>
            </w:r>
          </w:p>
        </w:tc>
        <w:tc>
          <w:tcPr>
            <w:tcW w:w="1390"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320AE3D4">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Decimal(12,2)</w:t>
            </w:r>
          </w:p>
        </w:tc>
        <w:tc>
          <w:tcPr>
            <w:tcW w:w="1063"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51DECC2C">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万元</w:t>
            </w:r>
          </w:p>
        </w:tc>
        <w:tc>
          <w:tcPr>
            <w:tcW w:w="3248" w:type="dxa"/>
            <w:tcBorders>
              <w:top w:val="single" w:color="CBD5E1" w:sz="4" w:space="0"/>
              <w:left w:val="single" w:color="CBD5E1" w:sz="4" w:space="0"/>
              <w:bottom w:val="single" w:color="CBD5E1" w:sz="12" w:space="0"/>
              <w:right w:val="nil"/>
            </w:tcBorders>
            <w:shd w:val="clear" w:color="auto" w:fill="F8FAFC"/>
            <w:noWrap w:val="0"/>
            <w:tcMar>
              <w:top w:w="60" w:type="dxa"/>
              <w:left w:w="80" w:type="dxa"/>
              <w:bottom w:w="60" w:type="dxa"/>
              <w:right w:w="80" w:type="dxa"/>
            </w:tcMar>
            <w:vAlign w:val="center"/>
          </w:tcPr>
          <w:p w14:paraId="1B57C09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 (各介质实物量 × 现行能源单价)</w:t>
            </w:r>
          </w:p>
        </w:tc>
        <w:tc>
          <w:tcPr>
            <w:tcW w:w="642" w:type="dxa"/>
            <w:tcBorders>
              <w:top w:val="single" w:color="CBD5E1" w:sz="4" w:space="0"/>
              <w:left w:val="single" w:color="CBD5E1" w:sz="4" w:space="0"/>
              <w:bottom w:val="single" w:color="CBD5E1" w:sz="12" w:space="0"/>
              <w:right w:val="single" w:color="CBD5E1" w:sz="12" w:space="0"/>
            </w:tcBorders>
            <w:shd w:val="clear" w:color="auto" w:fill="F8FAFC"/>
            <w:noWrap w:val="0"/>
            <w:tcMar>
              <w:top w:w="60" w:type="dxa"/>
              <w:left w:w="80" w:type="dxa"/>
              <w:bottom w:w="60" w:type="dxa"/>
              <w:right w:w="80" w:type="dxa"/>
            </w:tcMar>
            <w:vAlign w:val="center"/>
          </w:tcPr>
          <w:p w14:paraId="42FC5AFD">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bl>
    <w:p w14:paraId="1FC0FBD9">
      <w:pPr>
        <w:spacing w:after="60"/>
        <w:rPr>
          <w:rFonts w:hint="eastAsia" w:ascii="微软雅黑" w:hAnsi="微软雅黑" w:eastAsia="微软雅黑" w:cs="微软雅黑"/>
          <w:sz w:val="21"/>
          <w:szCs w:val="21"/>
        </w:rPr>
      </w:pPr>
    </w:p>
    <w:p w14:paraId="20BF9492">
      <w:pPr>
        <w:pStyle w:val="4"/>
        <w:keepNext/>
        <w:spacing w:before="260" w:after="100"/>
        <w:outlineLvl w:val="1"/>
        <w:rPr>
          <w:rFonts w:hint="eastAsia" w:ascii="微软雅黑" w:hAnsi="微软雅黑" w:eastAsia="微软雅黑" w:cs="微软雅黑"/>
          <w:sz w:val="21"/>
          <w:szCs w:val="21"/>
        </w:rPr>
      </w:pPr>
      <w:bookmarkStart w:id="26" w:name="_Toc32739"/>
      <w:r>
        <w:rPr>
          <w:rFonts w:hint="eastAsia" w:ascii="微软雅黑" w:hAnsi="微软雅黑" w:eastAsia="微软雅黑" w:cs="微软雅黑"/>
          <w:b/>
          <w:color w:val="0284C7"/>
          <w:sz w:val="21"/>
          <w:szCs w:val="21"/>
        </w:rPr>
        <w:t>第 9 章 一级导航【基础管理】</w:t>
      </w:r>
      <w:bookmarkEnd w:id="26"/>
    </w:p>
    <w:p w14:paraId="35BE68E6">
      <w:pPr>
        <w:pStyle w:val="5"/>
        <w:keepNext/>
        <w:spacing w:before="180" w:after="60"/>
        <w:outlineLvl w:val="2"/>
        <w:rPr>
          <w:rFonts w:hint="eastAsia" w:ascii="微软雅黑" w:hAnsi="微软雅黑" w:eastAsia="微软雅黑" w:cs="微软雅黑"/>
          <w:sz w:val="21"/>
          <w:szCs w:val="21"/>
        </w:rPr>
      </w:pPr>
      <w:bookmarkStart w:id="27" w:name="_Toc7471"/>
      <w:r>
        <w:rPr>
          <w:rFonts w:hint="eastAsia" w:ascii="微软雅黑" w:hAnsi="微软雅黑" w:eastAsia="微软雅黑" w:cs="微软雅黑"/>
          <w:b/>
          <w:color w:val="1E3A8A"/>
          <w:sz w:val="21"/>
          <w:szCs w:val="21"/>
        </w:rPr>
        <w:t>9.1 数据录入工作台</w:t>
      </w:r>
      <w:bookmarkEnd w:id="27"/>
    </w:p>
    <w:p w14:paraId="08CB754D">
      <w:pPr>
        <w:spacing w:after="80" w:line="288" w:lineRule="auto"/>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PM 业务定位：</w:t>
      </w:r>
      <w:r>
        <w:rPr>
          <w:rFonts w:hint="eastAsia" w:ascii="微软雅黑" w:hAnsi="微软雅黑" w:eastAsia="微软雅黑" w:cs="微软雅黑"/>
          <w:color w:val="1F2937"/>
          <w:sz w:val="21"/>
          <w:szCs w:val="21"/>
        </w:rPr>
        <w:t>专为车间统计员 (P3) 打造的高效数据录入中枢，解决基层离线生产台账人工录入痛点，按标签页划分 4 大核心工作台：</w:t>
      </w:r>
    </w:p>
    <w:p w14:paraId="1A8E8405">
      <w:pPr>
        <w:pStyle w:val="6"/>
        <w:keepNext/>
        <w:spacing w:before="180" w:after="60"/>
        <w:outlineLvl w:val="3"/>
        <w:rPr>
          <w:rFonts w:hint="eastAsia" w:ascii="微软雅黑" w:hAnsi="微软雅黑" w:eastAsia="微软雅黑" w:cs="微软雅黑"/>
          <w:sz w:val="21"/>
          <w:szCs w:val="21"/>
        </w:rPr>
      </w:pPr>
      <w:bookmarkStart w:id="28" w:name="_Toc30658"/>
      <w:r>
        <w:rPr>
          <w:rFonts w:hint="eastAsia" w:ascii="微软雅黑" w:hAnsi="微软雅黑" w:eastAsia="微软雅黑" w:cs="微软雅黑"/>
          <w:b/>
          <w:color w:val="1E3A8A"/>
          <w:sz w:val="21"/>
          <w:szCs w:val="21"/>
        </w:rPr>
        <w:t xml:space="preserve">9.1.1 Tab 1：产品产量录入 </w:t>
      </w:r>
      <w:bookmarkEnd w:id="28"/>
    </w:p>
    <w:p w14:paraId="5528AC6C">
      <w:pPr>
        <w:spacing w:after="80" w:line="288" w:lineRule="auto"/>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1. 布局与跨行合并：同生产单位、同工序的跨行单元格自动合并居中；</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2. 单位自适应联动：选择变压器产品单位自动锁定为台/kVA；选择线缆自动联动为 km·mm²；</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3. 防错校验：产量输入必须 ≥ 0，录入负数即时触发 E_VAL_ENERGY_NEGATIVE 阻断。</w:t>
      </w:r>
    </w:p>
    <w:tbl>
      <w:tblPr>
        <w:tblStyle w:val="35"/>
        <w:tblW w:w="10787" w:type="dxa"/>
        <w:jc w:val="center"/>
        <w:tblLayout w:type="autofit"/>
        <w:tblCellMar>
          <w:top w:w="0" w:type="dxa"/>
          <w:left w:w="108" w:type="dxa"/>
          <w:bottom w:w="0" w:type="dxa"/>
          <w:right w:w="108" w:type="dxa"/>
        </w:tblCellMar>
      </w:tblPr>
      <w:tblGrid>
        <w:gridCol w:w="1928"/>
        <w:gridCol w:w="1267"/>
        <w:gridCol w:w="1530"/>
        <w:gridCol w:w="1184"/>
        <w:gridCol w:w="1951"/>
        <w:gridCol w:w="2276"/>
        <w:gridCol w:w="651"/>
      </w:tblGrid>
      <w:tr w14:paraId="3B45FEF4">
        <w:tblPrEx>
          <w:tblCellMar>
            <w:top w:w="0" w:type="dxa"/>
            <w:left w:w="108" w:type="dxa"/>
            <w:bottom w:w="0" w:type="dxa"/>
            <w:right w:w="108" w:type="dxa"/>
          </w:tblCellMar>
        </w:tblPrEx>
        <w:trPr>
          <w:trHeight w:val="0" w:hRule="atLeast"/>
          <w:tblHeader/>
          <w:jc w:val="center"/>
        </w:trPr>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04847B96">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字段标识</w:t>
            </w:r>
          </w:p>
        </w:tc>
        <w:tc>
          <w:tcPr>
            <w:tcW w:w="1420"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2947DCE8">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字段中文名称</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2192F72D">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数据类型</w:t>
            </w:r>
          </w:p>
        </w:tc>
        <w:tc>
          <w:tcPr>
            <w:tcW w:w="1258"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0066FABE">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单位</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20B9AFFA">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界面控件</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39A65990">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校验与约束规则</w:t>
            </w:r>
          </w:p>
        </w:tc>
        <w:tc>
          <w:tcPr>
            <w:tcW w:w="697"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064E1581">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密级</w:t>
            </w:r>
          </w:p>
        </w:tc>
      </w:tr>
      <w:tr w14:paraId="7A9197C1">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1852534">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unit_name</w:t>
            </w:r>
          </w:p>
        </w:tc>
        <w:tc>
          <w:tcPr>
            <w:tcW w:w="142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EF3A28C">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生产单位名称</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B460C54">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Enum</w:t>
            </w:r>
          </w:p>
        </w:tc>
        <w:tc>
          <w:tcPr>
            <w:tcW w:w="125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F06B686">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C5DCB2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下拉级联选择器</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ED4D7F7">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必须在六级组织架构有效生产基地内</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8FF8BF5">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6FC24B7E">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44B23CF">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process_name</w:t>
            </w:r>
          </w:p>
        </w:tc>
        <w:tc>
          <w:tcPr>
            <w:tcW w:w="142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6E54895">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生产涉及工序</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0CE04FF">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Enum</w:t>
            </w:r>
          </w:p>
        </w:tc>
        <w:tc>
          <w:tcPr>
            <w:tcW w:w="125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BBDDBAA">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8E94211">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下拉级联选择器</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BEFCE05">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严格受控于《关键工序对应表》白名单</w:t>
            </w:r>
          </w:p>
        </w:tc>
        <w:tc>
          <w:tcPr>
            <w:tcW w:w="6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9C1975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71830B3E">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333C315">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product_category</w:t>
            </w:r>
          </w:p>
        </w:tc>
        <w:tc>
          <w:tcPr>
            <w:tcW w:w="142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A682848">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产品大类分类</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B445B3C">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Enum</w:t>
            </w:r>
          </w:p>
        </w:tc>
        <w:tc>
          <w:tcPr>
            <w:tcW w:w="125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8A98642">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变压器/线缆</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FCE728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单选 Radio</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8D6147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决定规格型号联动字典</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3D799D0">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L0</w:t>
            </w:r>
          </w:p>
        </w:tc>
      </w:tr>
      <w:tr w14:paraId="768A998F">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CE237A5">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product_model</w:t>
            </w:r>
          </w:p>
        </w:tc>
        <w:tc>
          <w:tcPr>
            <w:tcW w:w="142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8E8CB34">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产品规格型号</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68139A1">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String(64)</w:t>
            </w:r>
          </w:p>
        </w:tc>
        <w:tc>
          <w:tcPr>
            <w:tcW w:w="125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05C5A3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B1F1B90">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文本输入/模糊匹配</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7CCA4C2">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非空，最长 64 字符</w:t>
            </w:r>
          </w:p>
        </w:tc>
        <w:tc>
          <w:tcPr>
            <w:tcW w:w="6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431C590">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1450BE17">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6CD6A71">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output_quantity</w:t>
            </w:r>
          </w:p>
        </w:tc>
        <w:tc>
          <w:tcPr>
            <w:tcW w:w="142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310FB0B">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产品产量数值</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717D7FD">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Decimal(12,2)</w:t>
            </w:r>
          </w:p>
        </w:tc>
        <w:tc>
          <w:tcPr>
            <w:tcW w:w="125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6C69855">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自适应</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519411D">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数字输入框 (Number)</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7E3CFBA">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必须 ≥ 0.00，录入负数前端即时拦截</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4DEBBCA">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5699789F">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A8F22A7">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operator_name</w:t>
            </w:r>
          </w:p>
        </w:tc>
        <w:tc>
          <w:tcPr>
            <w:tcW w:w="142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C04966C">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录入填报人员</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A73B9FD">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String(32)</w:t>
            </w:r>
          </w:p>
        </w:tc>
        <w:tc>
          <w:tcPr>
            <w:tcW w:w="125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FA0F190">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4206F44">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系统登录态自动带出</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9BBFA2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只读禁用，记录员工真实工号</w:t>
            </w:r>
          </w:p>
        </w:tc>
        <w:tc>
          <w:tcPr>
            <w:tcW w:w="6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D95C0C0">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r w14:paraId="3EDE3750">
        <w:tblPrEx>
          <w:tblCellMar>
            <w:top w:w="0" w:type="dxa"/>
            <w:left w:w="108" w:type="dxa"/>
            <w:bottom w:w="0" w:type="dxa"/>
            <w:right w:w="108" w:type="dxa"/>
          </w:tblCellMar>
        </w:tblPrEx>
        <w:trPr>
          <w:trHeight w:val="0" w:hRule="atLeast"/>
          <w:jc w:val="center"/>
        </w:trPr>
        <w:tc>
          <w:tcPr>
            <w:tcW w:w="159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24156B4">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report_date</w:t>
            </w:r>
          </w:p>
        </w:tc>
        <w:tc>
          <w:tcPr>
            <w:tcW w:w="142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830952B">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统计核算月份</w:t>
            </w:r>
          </w:p>
        </w:tc>
        <w:tc>
          <w:tcPr>
            <w:tcW w:w="126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61F3AC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Date</w:t>
            </w:r>
          </w:p>
        </w:tc>
        <w:tc>
          <w:tcPr>
            <w:tcW w:w="125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3A0A524">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YYYY-MM</w:t>
            </w:r>
          </w:p>
        </w:tc>
        <w:tc>
          <w:tcPr>
            <w:tcW w:w="201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4ABE8E5">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月份选择器 (MonthPicker)</w:t>
            </w:r>
          </w:p>
        </w:tc>
        <w:tc>
          <w:tcPr>
            <w:tcW w:w="253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12C658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不可晚于当前月，关账后禁止填报</w:t>
            </w:r>
          </w:p>
        </w:tc>
        <w:tc>
          <w:tcPr>
            <w:tcW w:w="6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3A94D74">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bl>
    <w:p w14:paraId="480AF993">
      <w:pPr>
        <w:spacing w:after="60"/>
        <w:rPr>
          <w:rFonts w:hint="eastAsia" w:ascii="微软雅黑" w:hAnsi="微软雅黑" w:eastAsia="微软雅黑" w:cs="微软雅黑"/>
          <w:sz w:val="21"/>
          <w:szCs w:val="21"/>
        </w:rPr>
      </w:pPr>
    </w:p>
    <w:p w14:paraId="07748D89">
      <w:pPr>
        <w:pStyle w:val="6"/>
        <w:keepNext/>
        <w:spacing w:before="180" w:after="60"/>
        <w:outlineLvl w:val="3"/>
        <w:rPr>
          <w:rFonts w:hint="eastAsia" w:ascii="微软雅黑" w:hAnsi="微软雅黑" w:eastAsia="微软雅黑" w:cs="微软雅黑"/>
          <w:sz w:val="21"/>
          <w:szCs w:val="21"/>
        </w:rPr>
      </w:pPr>
      <w:bookmarkStart w:id="29" w:name="_Toc24467"/>
      <w:r>
        <w:rPr>
          <w:rFonts w:hint="eastAsia" w:ascii="微软雅黑" w:hAnsi="微软雅黑" w:eastAsia="微软雅黑" w:cs="微软雅黑"/>
          <w:b/>
          <w:color w:val="1E3A8A"/>
          <w:sz w:val="21"/>
          <w:szCs w:val="21"/>
        </w:rPr>
        <w:t>9.1.2 Tab 2：能源消耗录入</w:t>
      </w:r>
      <w:bookmarkEnd w:id="29"/>
    </w:p>
    <w:p w14:paraId="3FD7BC8E">
      <w:pPr>
        <w:spacing w:after="80" w:line="288" w:lineRule="auto"/>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结构与 Tab 1 严格 100% 同构，按电力、水资源、天然气、蒸汽四介质分组合并展示。支持起码、止码输入自动计算实物量，并带非负拦截校验。</w:t>
      </w:r>
    </w:p>
    <w:p w14:paraId="472412C5">
      <w:pPr>
        <w:pStyle w:val="6"/>
        <w:keepNext/>
        <w:spacing w:before="180" w:after="60"/>
        <w:outlineLvl w:val="3"/>
        <w:rPr>
          <w:rFonts w:hint="eastAsia" w:ascii="微软雅黑" w:hAnsi="微软雅黑" w:eastAsia="微软雅黑" w:cs="微软雅黑"/>
          <w:sz w:val="21"/>
          <w:szCs w:val="21"/>
        </w:rPr>
      </w:pPr>
      <w:bookmarkStart w:id="30" w:name="_Toc21680"/>
      <w:r>
        <w:rPr>
          <w:rFonts w:hint="eastAsia" w:ascii="微软雅黑" w:hAnsi="微软雅黑" w:eastAsia="微软雅黑" w:cs="微软雅黑"/>
          <w:b/>
          <w:color w:val="1E3A8A"/>
          <w:sz w:val="21"/>
          <w:szCs w:val="21"/>
        </w:rPr>
        <w:t>9.1.3 Tab 3：园区相册维护 与 Tab 4：园区大事记维护</w:t>
      </w:r>
      <w:bookmarkEnd w:id="30"/>
    </w:p>
    <w:p w14:paraId="3CF4ED8D">
      <w:pPr>
        <w:spacing w:after="80" w:line="288" w:lineRule="auto"/>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功能概述：</w:t>
      </w:r>
      <w:r>
        <w:rPr>
          <w:rFonts w:hint="eastAsia" w:ascii="微软雅黑" w:hAnsi="微软雅黑" w:eastAsia="微软雅黑" w:cs="微软雅黑"/>
          <w:color w:val="1F2937"/>
          <w:sz w:val="21"/>
          <w:szCs w:val="21"/>
        </w:rPr>
        <w:t>1. 园区相册维护：支持各基地实景高清图上传（限制 10MB，JPG/PNG/WEBP），配置相册标题、拍摄日期、展示排序与轮播激活开关；</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2. 园区大事记维护：时间轴节点式录入里程碑事件（如光伏全容量并网、获批国家级零碳工厂等），支持事件标题、发生日期、详细描述与荣誉徽章配置。</w:t>
      </w:r>
    </w:p>
    <w:p w14:paraId="25F021D0">
      <w:pPr>
        <w:pStyle w:val="5"/>
        <w:keepNext/>
        <w:spacing w:before="180" w:after="60"/>
        <w:outlineLvl w:val="2"/>
        <w:rPr>
          <w:rFonts w:hint="eastAsia" w:ascii="微软雅黑" w:hAnsi="微软雅黑" w:eastAsia="微软雅黑" w:cs="微软雅黑"/>
          <w:sz w:val="21"/>
          <w:szCs w:val="21"/>
        </w:rPr>
      </w:pPr>
      <w:bookmarkStart w:id="31" w:name="_Toc30237"/>
      <w:r>
        <w:rPr>
          <w:rFonts w:hint="eastAsia" w:ascii="微软雅黑" w:hAnsi="微软雅黑" w:eastAsia="微软雅黑" w:cs="微软雅黑"/>
          <w:b/>
          <w:color w:val="1E3A8A"/>
          <w:sz w:val="21"/>
          <w:szCs w:val="21"/>
        </w:rPr>
        <w:t>9.2 基础参数配置</w:t>
      </w:r>
      <w:bookmarkEnd w:id="31"/>
    </w:p>
    <w:p w14:paraId="2FB445C2">
      <w:pPr>
        <w:spacing w:after="80" w:line="288" w:lineRule="auto"/>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包含能源价格管理 (NAV-ZC-CON-PRICE) 与折标系数管理 (NAV-ZC-CON-COEFF)。实现峰平谷分时电价阶梯版本化维护与国家标准当量/等价折标系数审计留痕。</w:t>
      </w:r>
    </w:p>
    <w:p w14:paraId="69C0B9CE">
      <w:pPr>
        <w:rPr>
          <w:rFonts w:hint="eastAsia" w:ascii="微软雅黑" w:hAnsi="微软雅黑" w:eastAsia="微软雅黑" w:cs="微软雅黑"/>
          <w:sz w:val="21"/>
          <w:szCs w:val="21"/>
        </w:rPr>
      </w:pPr>
      <w:r>
        <w:rPr>
          <w:rFonts w:hint="eastAsia" w:ascii="微软雅黑" w:hAnsi="微软雅黑" w:eastAsia="微软雅黑" w:cs="微软雅黑"/>
          <w:sz w:val="21"/>
          <w:szCs w:val="21"/>
        </w:rPr>
        <w:br w:type="page"/>
      </w:r>
    </w:p>
    <w:p w14:paraId="247736D3">
      <w:pPr>
        <w:pStyle w:val="3"/>
        <w:keepNext/>
        <w:spacing w:before="360" w:after="160"/>
        <w:rPr>
          <w:rFonts w:hint="eastAsia" w:ascii="微软雅黑" w:hAnsi="微软雅黑" w:eastAsia="微软雅黑" w:cs="微软雅黑"/>
          <w:sz w:val="28"/>
          <w:szCs w:val="28"/>
        </w:rPr>
      </w:pPr>
      <w:bookmarkStart w:id="32" w:name="_Toc15418"/>
      <w:r>
        <w:rPr>
          <w:rFonts w:hint="eastAsia" w:ascii="微软雅黑" w:hAnsi="微软雅黑" w:eastAsia="微软雅黑" w:cs="微软雅黑"/>
          <w:b/>
          <w:color w:val="1E3A8A"/>
          <w:sz w:val="28"/>
          <w:szCs w:val="28"/>
        </w:rPr>
        <w:t>第三篇：【平台二】产品碳足迹集采中心功能需求规格（逐层拆解）</w:t>
      </w:r>
      <w:bookmarkEnd w:id="32"/>
    </w:p>
    <w:p w14:paraId="3A54A2A6">
      <w:pPr>
        <w:spacing w:after="80" w:line="288" w:lineRule="auto"/>
        <w:ind w:firstLine="720" w:firstLineChars="0"/>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严格对应系统切换至【产品碳足迹集采中心】时的 6 大一级主导航逐层展开，全面支撑产品全生命周期 LCA 建模、ISO 14067 认证、二维码数字碳标签与欧盟 CBAM 关税申报。</w:t>
      </w:r>
    </w:p>
    <w:p w14:paraId="4E738BC7">
      <w:pPr>
        <w:pStyle w:val="4"/>
        <w:keepNext/>
        <w:spacing w:before="260" w:after="100"/>
        <w:outlineLvl w:val="1"/>
        <w:rPr>
          <w:rFonts w:hint="eastAsia" w:ascii="微软雅黑" w:hAnsi="微软雅黑" w:eastAsia="微软雅黑" w:cs="微软雅黑"/>
          <w:sz w:val="21"/>
          <w:szCs w:val="21"/>
        </w:rPr>
      </w:pPr>
      <w:bookmarkStart w:id="33" w:name="_Toc9378"/>
      <w:r>
        <w:rPr>
          <w:rFonts w:hint="eastAsia" w:ascii="微软雅黑" w:hAnsi="微软雅黑" w:eastAsia="微软雅黑" w:cs="微软雅黑"/>
          <w:b/>
          <w:color w:val="0284C7"/>
          <w:sz w:val="21"/>
          <w:szCs w:val="21"/>
        </w:rPr>
        <w:t>第 10 章 一级导航【对外示范窗口】</w:t>
      </w:r>
      <w:bookmarkEnd w:id="33"/>
    </w:p>
    <w:p w14:paraId="051BE751">
      <w:pPr>
        <w:spacing w:after="80" w:line="288" w:lineRule="auto"/>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功能概述：</w:t>
      </w:r>
      <w:r>
        <w:rPr>
          <w:rFonts w:hint="eastAsia" w:ascii="微软雅黑" w:hAnsi="微软雅黑" w:eastAsia="微软雅黑" w:cs="微软雅黑"/>
          <w:color w:val="1F2937"/>
          <w:sz w:val="21"/>
          <w:szCs w:val="21"/>
        </w:rPr>
        <w:t>面向国际客户、海外驻华使节及欧盟碳关税审查专员的高端碳驾驶舱，全屏呈现特变电工主力出口特高压变压器与高端特种电缆 LCA 碳足迹全景桑基图、可交互验证的防伪二维码数字碳标签、全厂绿电消纳减碳量化成果以及欧盟 CBAM 关税节省测算总览。</w:t>
      </w:r>
    </w:p>
    <w:tbl>
      <w:tblPr>
        <w:tblStyle w:val="35"/>
        <w:tblW w:w="9792" w:type="dxa"/>
        <w:jc w:val="center"/>
        <w:tblLayout w:type="autofit"/>
        <w:tblCellMar>
          <w:top w:w="0" w:type="dxa"/>
          <w:left w:w="108" w:type="dxa"/>
          <w:bottom w:w="0" w:type="dxa"/>
          <w:right w:w="108" w:type="dxa"/>
        </w:tblCellMar>
      </w:tblPr>
      <w:tblGrid>
        <w:gridCol w:w="1954"/>
        <w:gridCol w:w="1720"/>
        <w:gridCol w:w="1530"/>
        <w:gridCol w:w="1698"/>
        <w:gridCol w:w="2212"/>
        <w:gridCol w:w="678"/>
      </w:tblGrid>
      <w:tr w14:paraId="4E06BD5C">
        <w:tblPrEx>
          <w:tblCellMar>
            <w:top w:w="0" w:type="dxa"/>
            <w:left w:w="108" w:type="dxa"/>
            <w:bottom w:w="0" w:type="dxa"/>
            <w:right w:w="108" w:type="dxa"/>
          </w:tblCellMar>
        </w:tblPrEx>
        <w:trPr>
          <w:trHeight w:val="0" w:hRule="atLeast"/>
          <w:tblHeader/>
          <w:jc w:val="center"/>
        </w:trPr>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24DB51FD">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字段标识</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14F50721">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字段中文名称</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58AA1782">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数据类型</w:t>
            </w:r>
          </w:p>
        </w:tc>
        <w:tc>
          <w:tcPr>
            <w:tcW w:w="1764"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183BEECA">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工程单位</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1FE69DFC">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数据来源与核算逻辑</w:t>
            </w:r>
          </w:p>
        </w:tc>
        <w:tc>
          <w:tcPr>
            <w:tcW w:w="734"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57459E15">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密级</w:t>
            </w:r>
          </w:p>
        </w:tc>
      </w:tr>
      <w:tr w14:paraId="12822493">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413CD62">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product_pcf_co2e</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BBAACB4">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单台产品全生命周期碳排</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FB20B8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Decimal(10,2)</w:t>
            </w:r>
          </w:p>
        </w:tc>
        <w:tc>
          <w:tcPr>
            <w:tcW w:w="176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17716D5">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kgCO2e/台 或 kgCO2e/km</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091198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LCA 5大阶段排放滚算累加</w:t>
            </w:r>
          </w:p>
        </w:tc>
        <w:tc>
          <w:tcPr>
            <w:tcW w:w="73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C3AFD5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2C40298C">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C9156E8">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pcf_raw_ratio</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1AF4C9F">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原材料获取阶段碳排占比</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DE6D46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Decimal(5,2)</w:t>
            </w:r>
          </w:p>
        </w:tc>
        <w:tc>
          <w:tcPr>
            <w:tcW w:w="1764"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0B7EB37">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692994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(E_原材料 / E_总碳足迹) × 100%</w:t>
            </w:r>
          </w:p>
        </w:tc>
        <w:tc>
          <w:tcPr>
            <w:tcW w:w="734"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5993F60">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51B51696">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547CB2A">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pcf_manuf_ratio</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D3D3BF1">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制造加工阶段碳排占比</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D92C422">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Decimal(5,2)</w:t>
            </w:r>
          </w:p>
        </w:tc>
        <w:tc>
          <w:tcPr>
            <w:tcW w:w="176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6B8565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8EB780F">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(E_加工 / E_总碳足迹) × 100%</w:t>
            </w:r>
          </w:p>
        </w:tc>
        <w:tc>
          <w:tcPr>
            <w:tcW w:w="73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7981E84">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19770B98">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4BF6911">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green_elec_offset</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05D2F25">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绿电消纳贡献减排量</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806DF0F">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Decimal(10,2)</w:t>
            </w:r>
          </w:p>
        </w:tc>
        <w:tc>
          <w:tcPr>
            <w:tcW w:w="1764"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39D031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kgCO2e</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E54067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光伏自发自用量 × 区域电网碳因子</w:t>
            </w:r>
          </w:p>
        </w:tc>
        <w:tc>
          <w:tcPr>
            <w:tcW w:w="734"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C6F7366">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349E36D9">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EB90546">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cbam_tariff_saved</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D2E3780">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CBAM 关税累计节省金额</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EBAF0AF">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Decimal(10,2)</w:t>
            </w:r>
          </w:p>
        </w:tc>
        <w:tc>
          <w:tcPr>
            <w:tcW w:w="176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F2A4D4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 (欧元)</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87917BB">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已抵扣国内碳成本折算节省关税</w:t>
            </w:r>
          </w:p>
        </w:tc>
        <w:tc>
          <w:tcPr>
            <w:tcW w:w="73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80DDB24">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L3</w:t>
            </w:r>
          </w:p>
        </w:tc>
      </w:tr>
      <w:tr w14:paraId="103F1BB9">
        <w:tblPrEx>
          <w:tblCellMar>
            <w:top w:w="0" w:type="dxa"/>
            <w:left w:w="108" w:type="dxa"/>
            <w:bottom w:w="0" w:type="dxa"/>
            <w:right w:w="108" w:type="dxa"/>
          </w:tblCellMar>
        </w:tblPrEx>
        <w:trPr>
          <w:trHeight w:val="0" w:hRule="atLeast"/>
          <w:jc w:val="center"/>
        </w:trPr>
        <w:tc>
          <w:tcPr>
            <w:tcW w:w="161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7A6C38F">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qr_verify_hash</w:t>
            </w:r>
          </w:p>
        </w:tc>
        <w:tc>
          <w:tcPr>
            <w:tcW w:w="1905"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B23713E">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防伪数字验真哈希</w:t>
            </w:r>
          </w:p>
        </w:tc>
        <w:tc>
          <w:tcPr>
            <w:tcW w:w="126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348542E">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String(64)</w:t>
            </w:r>
          </w:p>
        </w:tc>
        <w:tc>
          <w:tcPr>
            <w:tcW w:w="1764"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D2361D2">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SHA-256</w:t>
            </w:r>
          </w:p>
        </w:tc>
        <w:tc>
          <w:tcPr>
            <w:tcW w:w="250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263A1C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产品批次+认证机构私钥数字签名</w:t>
            </w:r>
          </w:p>
        </w:tc>
        <w:tc>
          <w:tcPr>
            <w:tcW w:w="734"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B17C8A9">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L0</w:t>
            </w:r>
          </w:p>
        </w:tc>
      </w:tr>
    </w:tbl>
    <w:p w14:paraId="0BF0B412">
      <w:pPr>
        <w:spacing w:after="60"/>
        <w:rPr>
          <w:rFonts w:hint="eastAsia" w:ascii="微软雅黑" w:hAnsi="微软雅黑" w:eastAsia="微软雅黑" w:cs="微软雅黑"/>
          <w:sz w:val="21"/>
          <w:szCs w:val="21"/>
        </w:rPr>
      </w:pPr>
    </w:p>
    <w:p w14:paraId="7CEC03C1">
      <w:pPr>
        <w:pStyle w:val="4"/>
        <w:keepNext/>
        <w:spacing w:before="260" w:after="100"/>
        <w:outlineLvl w:val="1"/>
        <w:rPr>
          <w:rFonts w:hint="eastAsia" w:ascii="微软雅黑" w:hAnsi="微软雅黑" w:eastAsia="微软雅黑" w:cs="微软雅黑"/>
          <w:sz w:val="21"/>
          <w:szCs w:val="21"/>
        </w:rPr>
      </w:pPr>
      <w:bookmarkStart w:id="34" w:name="_Toc19807"/>
      <w:r>
        <w:rPr>
          <w:rFonts w:hint="eastAsia" w:ascii="微软雅黑" w:hAnsi="微软雅黑" w:eastAsia="微软雅黑" w:cs="微软雅黑"/>
          <w:b/>
          <w:color w:val="0284C7"/>
          <w:sz w:val="21"/>
          <w:szCs w:val="21"/>
        </w:rPr>
        <w:t>第 11 章 一级导航【多维分析】</w:t>
      </w:r>
      <w:bookmarkEnd w:id="34"/>
    </w:p>
    <w:p w14:paraId="58057868">
      <w:pPr>
        <w:pStyle w:val="5"/>
        <w:keepNext/>
        <w:spacing w:before="180" w:after="60"/>
        <w:outlineLvl w:val="2"/>
        <w:rPr>
          <w:rFonts w:hint="eastAsia" w:ascii="微软雅黑" w:hAnsi="微软雅黑" w:eastAsia="微软雅黑" w:cs="微软雅黑"/>
          <w:sz w:val="21"/>
          <w:szCs w:val="21"/>
        </w:rPr>
      </w:pPr>
      <w:bookmarkStart w:id="35" w:name="_Toc14012"/>
      <w:r>
        <w:rPr>
          <w:rFonts w:hint="eastAsia" w:ascii="微软雅黑" w:hAnsi="微软雅黑" w:eastAsia="微软雅黑" w:cs="微软雅黑"/>
          <w:b/>
          <w:color w:val="1E3A8A"/>
          <w:sz w:val="21"/>
          <w:szCs w:val="21"/>
        </w:rPr>
        <w:t>11.1 横向对比分析</w:t>
      </w:r>
      <w:bookmarkEnd w:id="35"/>
    </w:p>
    <w:p w14:paraId="6E3FE699">
      <w:pPr>
        <w:spacing w:after="80" w:line="288" w:lineRule="auto"/>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业务逻辑：</w:t>
      </w:r>
      <w:r>
        <w:rPr>
          <w:rFonts w:hint="eastAsia" w:ascii="微软雅黑" w:hAnsi="微软雅黑" w:eastAsia="微软雅黑" w:cs="微软雅黑"/>
          <w:color w:val="1F2937"/>
          <w:sz w:val="21"/>
          <w:szCs w:val="21"/>
        </w:rPr>
        <w:t>支持选择不同生产基地生产的同规格产品（例如沈变厂与衡变厂同型号 220kV 油浸式变压器），按【原材料获取】、【上游运输】、【制造加工】、【试验检测】与【包装出厂】五大阶段进行横向雷达图与柱状图对标，深入挖掘各基地工艺工序降碳潜力。</w:t>
      </w:r>
    </w:p>
    <w:p w14:paraId="2D19727F">
      <w:pPr>
        <w:pStyle w:val="5"/>
        <w:keepNext/>
        <w:spacing w:before="180" w:after="60"/>
        <w:outlineLvl w:val="2"/>
        <w:rPr>
          <w:rFonts w:hint="eastAsia" w:ascii="微软雅黑" w:hAnsi="微软雅黑" w:eastAsia="微软雅黑" w:cs="微软雅黑"/>
          <w:sz w:val="21"/>
          <w:szCs w:val="21"/>
        </w:rPr>
      </w:pPr>
      <w:bookmarkStart w:id="36" w:name="_Toc29592"/>
      <w:r>
        <w:rPr>
          <w:rFonts w:hint="eastAsia" w:ascii="微软雅黑" w:hAnsi="微软雅黑" w:eastAsia="微软雅黑" w:cs="微软雅黑"/>
          <w:b/>
          <w:color w:val="1E3A8A"/>
          <w:sz w:val="21"/>
          <w:szCs w:val="21"/>
        </w:rPr>
        <w:t>11.2 纵向追溯分析</w:t>
      </w:r>
      <w:bookmarkEnd w:id="36"/>
    </w:p>
    <w:p w14:paraId="38224CD3">
      <w:pPr>
        <w:spacing w:after="80" w:line="288" w:lineRule="auto"/>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业务逻辑：</w:t>
      </w:r>
      <w:r>
        <w:rPr>
          <w:rFonts w:hint="eastAsia" w:ascii="微软雅黑" w:hAnsi="微软雅黑" w:eastAsia="微软雅黑" w:cs="微软雅黑"/>
          <w:color w:val="1F2937"/>
          <w:sz w:val="21"/>
          <w:szCs w:val="21"/>
        </w:rPr>
        <w:t>支持按批次号追踪同一产品历年碳足迹演变趋势，提供原材料替代（如高磁感取向硅钢片替代传统硅钢）、绿电消纳提升及工艺优化对碳排变动的敏感性归因瀑布图。</w:t>
      </w:r>
    </w:p>
    <w:p w14:paraId="117EB8D7">
      <w:pPr>
        <w:pStyle w:val="4"/>
        <w:keepNext/>
        <w:spacing w:before="260" w:after="100"/>
        <w:outlineLvl w:val="1"/>
        <w:rPr>
          <w:rFonts w:hint="eastAsia" w:ascii="微软雅黑" w:hAnsi="微软雅黑" w:eastAsia="微软雅黑" w:cs="微软雅黑"/>
          <w:sz w:val="21"/>
          <w:szCs w:val="21"/>
        </w:rPr>
      </w:pPr>
      <w:bookmarkStart w:id="37" w:name="_Toc10018"/>
      <w:r>
        <w:rPr>
          <w:rFonts w:hint="eastAsia" w:ascii="微软雅黑" w:hAnsi="微软雅黑" w:eastAsia="微软雅黑" w:cs="微软雅黑"/>
          <w:b/>
          <w:color w:val="0284C7"/>
          <w:sz w:val="21"/>
          <w:szCs w:val="21"/>
        </w:rPr>
        <w:t>第 12 章 一级导航【实景数据库与碳足迹核算】</w:t>
      </w:r>
      <w:bookmarkEnd w:id="37"/>
    </w:p>
    <w:p w14:paraId="0885B4F9">
      <w:pPr>
        <w:pStyle w:val="5"/>
        <w:keepNext/>
        <w:spacing w:before="180" w:after="60"/>
        <w:outlineLvl w:val="2"/>
        <w:rPr>
          <w:rFonts w:hint="eastAsia" w:ascii="微软雅黑" w:hAnsi="微软雅黑" w:eastAsia="微软雅黑" w:cs="微软雅黑"/>
          <w:sz w:val="21"/>
          <w:szCs w:val="21"/>
        </w:rPr>
      </w:pPr>
      <w:bookmarkStart w:id="38" w:name="_Toc3927"/>
      <w:r>
        <w:rPr>
          <w:rFonts w:hint="eastAsia" w:ascii="微软雅黑" w:hAnsi="微软雅黑" w:eastAsia="微软雅黑" w:cs="微软雅黑"/>
          <w:b/>
          <w:color w:val="1E3A8A"/>
          <w:sz w:val="21"/>
          <w:szCs w:val="21"/>
        </w:rPr>
        <w:t>12.1 工业实景数据库</w:t>
      </w:r>
      <w:bookmarkEnd w:id="38"/>
    </w:p>
    <w:p w14:paraId="40C8B387">
      <w:pPr>
        <w:spacing w:after="80" w:line="288" w:lineRule="auto"/>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功能概述：</w:t>
      </w:r>
      <w:r>
        <w:rPr>
          <w:rFonts w:hint="eastAsia" w:ascii="微软雅黑" w:hAnsi="微软雅黑" w:eastAsia="微软雅黑" w:cs="微软雅黑"/>
          <w:color w:val="1F2937"/>
          <w:sz w:val="21"/>
          <w:szCs w:val="21"/>
        </w:rPr>
        <w:t>汇聚硅钢片、电解铜、变压器油、绝缘纸板、结构钢材等重点原材料本土实测碳排放因子图谱。每个物料节点均具备完整的供应链溯源链条、实测检测报告附件与第三方认证声明编号。</w:t>
      </w:r>
    </w:p>
    <w:p w14:paraId="70D3849D">
      <w:pPr>
        <w:pStyle w:val="5"/>
        <w:keepNext/>
        <w:spacing w:before="180" w:after="60"/>
        <w:outlineLvl w:val="2"/>
        <w:rPr>
          <w:rFonts w:hint="eastAsia" w:ascii="微软雅黑" w:hAnsi="微软雅黑" w:eastAsia="微软雅黑" w:cs="微软雅黑"/>
          <w:sz w:val="21"/>
          <w:szCs w:val="21"/>
        </w:rPr>
      </w:pPr>
      <w:bookmarkStart w:id="39" w:name="_Toc19116"/>
      <w:r>
        <w:rPr>
          <w:rFonts w:hint="eastAsia" w:ascii="微软雅黑" w:hAnsi="微软雅黑" w:eastAsia="微软雅黑" w:cs="微软雅黑"/>
          <w:b/>
          <w:color w:val="1E3A8A"/>
          <w:sz w:val="21"/>
          <w:szCs w:val="21"/>
        </w:rPr>
        <w:t>12.2 LCA 碳足迹核算引擎</w:t>
      </w:r>
      <w:bookmarkEnd w:id="39"/>
    </w:p>
    <w:p w14:paraId="146BC532">
      <w:pPr>
        <w:spacing w:after="80" w:line="288" w:lineRule="auto"/>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核心业务逻辑：</w:t>
      </w:r>
      <w:r>
        <w:rPr>
          <w:rFonts w:hint="eastAsia" w:ascii="微软雅黑" w:hAnsi="微软雅黑" w:eastAsia="微软雅黑" w:cs="微软雅黑"/>
          <w:color w:val="1F2937"/>
          <w:sz w:val="21"/>
          <w:szCs w:val="21"/>
        </w:rPr>
        <w:t>1. BOM 层级自动展开：从 ERP/PLM 自动拉取多级产品工程物料清单 (BOM)，计算物料损耗系数 Q_mat = Q_bom × (1 + R_loss)；</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2. 5 大阶段 LCA 滚算模型：严格依照 ISO 14067 标准执行生命周期评价滚算；</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3. 工艺能耗分摊：基于工时或产量权重分摊真空干燥、退火炉等公共工序的水电气能耗。</w:t>
      </w:r>
    </w:p>
    <w:tbl>
      <w:tblPr>
        <w:tblStyle w:val="35"/>
        <w:tblW w:w="0" w:type="auto"/>
        <w:jc w:val="center"/>
        <w:tblLayout w:type="fixed"/>
        <w:tblCellMar>
          <w:top w:w="0" w:type="dxa"/>
          <w:left w:w="108" w:type="dxa"/>
          <w:bottom w:w="0" w:type="dxa"/>
          <w:right w:w="108" w:type="dxa"/>
        </w:tblCellMar>
      </w:tblPr>
      <w:tblGrid>
        <w:gridCol w:w="9792"/>
      </w:tblGrid>
      <w:tr w14:paraId="1DB19B3B">
        <w:tblPrEx>
          <w:tblCellMar>
            <w:top w:w="0" w:type="dxa"/>
            <w:left w:w="108" w:type="dxa"/>
            <w:bottom w:w="0" w:type="dxa"/>
            <w:right w:w="108" w:type="dxa"/>
          </w:tblCellMar>
        </w:tblPrEx>
        <w:trPr>
          <w:jc w:val="center"/>
        </w:trPr>
        <w:tc>
          <w:tcPr>
            <w:tcW w:w="9648" w:type="dxa"/>
            <w:tcBorders>
              <w:top w:val="nil"/>
              <w:left w:val="single" w:color="16A34A" w:sz="24" w:space="0"/>
              <w:bottom w:val="nil"/>
              <w:right w:val="nil"/>
            </w:tcBorders>
            <w:shd w:val="clear" w:color="auto" w:fill="F0FDF4"/>
            <w:tcMar>
              <w:top w:w="100" w:type="dxa"/>
              <w:left w:w="140" w:type="dxa"/>
              <w:bottom w:w="100" w:type="dxa"/>
              <w:right w:w="140" w:type="dxa"/>
            </w:tcMar>
          </w:tcPr>
          <w:p w14:paraId="5C58ED7E">
            <w:pPr>
              <w:spacing w:after="40"/>
              <w:rPr>
                <w:rFonts w:hint="eastAsia" w:ascii="微软雅黑" w:hAnsi="微软雅黑" w:eastAsia="微软雅黑" w:cs="微软雅黑"/>
                <w:sz w:val="21"/>
                <w:szCs w:val="21"/>
              </w:rPr>
            </w:pPr>
            <w:r>
              <w:rPr>
                <w:rFonts w:hint="eastAsia" w:ascii="微软雅黑" w:hAnsi="微软雅黑" w:eastAsia="微软雅黑" w:cs="微软雅黑"/>
                <w:b/>
                <w:color w:val="16A34A"/>
                <w:sz w:val="21"/>
                <w:szCs w:val="21"/>
              </w:rPr>
              <w:t>📐 【核心数学模型与算法公式】</w:t>
            </w:r>
            <w:r>
              <w:rPr>
                <w:rFonts w:hint="eastAsia" w:ascii="微软雅黑" w:hAnsi="微软雅黑" w:eastAsia="微软雅黑" w:cs="微软雅黑"/>
                <w:b/>
                <w:color w:val="16A34A"/>
                <w:sz w:val="21"/>
                <w:szCs w:val="21"/>
              </w:rPr>
              <w:br w:type="textWrapping"/>
            </w:r>
            <w:r>
              <w:rPr>
                <w:rFonts w:hint="eastAsia" w:ascii="微软雅黑" w:hAnsi="微软雅黑" w:eastAsia="微软雅黑" w:cs="微软雅黑"/>
                <w:b/>
                <w:color w:val="1E3A8A"/>
                <w:sz w:val="21"/>
                <w:szCs w:val="21"/>
              </w:rPr>
              <w:t>【核算公式】：E_PCF = E_raw + E_trans + E_manuf + E_test + E_pack</w:t>
            </w:r>
            <w:r>
              <w:rPr>
                <w:rFonts w:hint="eastAsia" w:ascii="微软雅黑" w:hAnsi="微软雅黑" w:eastAsia="微软雅黑" w:cs="微软雅黑"/>
                <w:b/>
                <w:color w:val="1E3A8A"/>
                <w:sz w:val="21"/>
                <w:szCs w:val="21"/>
              </w:rPr>
              <w:br w:type="textWrapping"/>
            </w:r>
            <w:r>
              <w:rPr>
                <w:rFonts w:hint="eastAsia" w:ascii="微软雅黑" w:hAnsi="微软雅黑" w:eastAsia="微软雅黑" w:cs="微软雅黑"/>
                <w:color w:val="1F2937"/>
                <w:sz w:val="21"/>
                <w:szCs w:val="21"/>
              </w:rPr>
              <w:t>【逻辑说明】：全生命周期碳足迹核算涵盖摇篮到大门 (Cradle-to-Gate) 5 大阶段。各阶段严密计算公式如下：</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1. 原材料获取：E_raw = ∑ [ M_i × (1 + R_loss_i) × EF_mat_i ]</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2. 上游运输：E_trans = ∑ [ M_i × D_i × EF_trans_mode ]</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3. 制造加工：E_manuf = ∑ [ (E_process_energy / Batch_Output) × EF_energy ]</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4. 试验检测：E_test = ( Q_test_elec / Test_Capacity ) × EF_grid</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5. 包装出厂：E_pack = ∑ [ M_pack_k × EF_pack_k ]</w:t>
            </w:r>
            <w:r>
              <w:rPr>
                <w:rFonts w:hint="eastAsia" w:ascii="微软雅黑" w:hAnsi="微软雅黑" w:eastAsia="微软雅黑" w:cs="微软雅黑"/>
                <w:color w:val="64748B"/>
                <w:sz w:val="21"/>
                <w:szCs w:val="21"/>
              </w:rPr>
              <w:br w:type="textWrapping"/>
            </w:r>
            <w:r>
              <w:rPr>
                <w:rFonts w:hint="eastAsia" w:ascii="微软雅黑" w:hAnsi="微软雅黑" w:eastAsia="微软雅黑" w:cs="微软雅黑"/>
                <w:color w:val="64748B"/>
                <w:sz w:val="21"/>
                <w:szCs w:val="21"/>
              </w:rPr>
              <w:t>【变量定义与取值约定】：</w:t>
            </w:r>
            <w:r>
              <w:rPr>
                <w:rFonts w:hint="eastAsia" w:ascii="微软雅黑" w:hAnsi="微软雅黑" w:eastAsia="微软雅黑" w:cs="微软雅黑"/>
                <w:color w:val="64748B"/>
                <w:sz w:val="21"/>
                <w:szCs w:val="21"/>
              </w:rPr>
              <w:br w:type="textWrapping"/>
            </w:r>
            <w:r>
              <w:rPr>
                <w:rFonts w:hint="eastAsia" w:ascii="微软雅黑" w:hAnsi="微软雅黑" w:eastAsia="微软雅黑" w:cs="微软雅黑"/>
                <w:color w:val="64748B"/>
                <w:sz w:val="21"/>
                <w:szCs w:val="21"/>
              </w:rPr>
              <w:t>M_i: 物料净重 (t)；R_loss_i: 工艺损耗率 (%)；EF_mat_i: 物料实测碳因子 (kgCO2e/kg)；D_i: 运输距离 (km)；EF_trans: 吨公里运输因子</w:t>
            </w:r>
          </w:p>
        </w:tc>
      </w:tr>
    </w:tbl>
    <w:p w14:paraId="48A2C84E">
      <w:pPr>
        <w:spacing w:after="40"/>
        <w:rPr>
          <w:rFonts w:hint="eastAsia" w:ascii="微软雅黑" w:hAnsi="微软雅黑" w:eastAsia="微软雅黑" w:cs="微软雅黑"/>
          <w:sz w:val="21"/>
          <w:szCs w:val="21"/>
        </w:rPr>
      </w:pPr>
    </w:p>
    <w:tbl>
      <w:tblPr>
        <w:tblStyle w:val="35"/>
        <w:tblW w:w="9792" w:type="dxa"/>
        <w:jc w:val="center"/>
        <w:tblLayout w:type="autofit"/>
        <w:tblCellMar>
          <w:top w:w="0" w:type="dxa"/>
          <w:left w:w="108" w:type="dxa"/>
          <w:bottom w:w="0" w:type="dxa"/>
          <w:right w:w="108" w:type="dxa"/>
        </w:tblCellMar>
      </w:tblPr>
      <w:tblGrid>
        <w:gridCol w:w="1574"/>
        <w:gridCol w:w="1619"/>
        <w:gridCol w:w="1530"/>
        <w:gridCol w:w="1074"/>
        <w:gridCol w:w="3369"/>
        <w:gridCol w:w="626"/>
      </w:tblGrid>
      <w:tr w14:paraId="78C6C603">
        <w:tblPrEx>
          <w:tblCellMar>
            <w:top w:w="0" w:type="dxa"/>
            <w:left w:w="108" w:type="dxa"/>
            <w:bottom w:w="0" w:type="dxa"/>
            <w:right w:w="108" w:type="dxa"/>
          </w:tblCellMar>
        </w:tblPrEx>
        <w:trPr>
          <w:trHeight w:val="0" w:hRule="atLeast"/>
          <w:tblHeader/>
          <w:jc w:val="center"/>
        </w:trPr>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0C5E7DDF">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字段标识</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02A3C9E9">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字段中文名称</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24C9AF2A">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数据类型</w:t>
            </w:r>
          </w:p>
        </w:tc>
        <w:tc>
          <w:tcPr>
            <w:tcW w:w="1082"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60420CF8">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工程单位</w:t>
            </w:r>
          </w:p>
        </w:tc>
        <w:tc>
          <w:tcPr>
            <w:tcW w:w="3527"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627BD7DF">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核算来源与约束规则</w:t>
            </w:r>
          </w:p>
        </w:tc>
        <w:tc>
          <w:tcPr>
            <w:tcW w:w="642"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20FB8312">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密级</w:t>
            </w:r>
          </w:p>
        </w:tc>
      </w:tr>
      <w:tr w14:paraId="1040B2C9">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C299D42">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sku_code</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A9419C9">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产品唯一物料号</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229014B">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String(32)</w:t>
            </w:r>
          </w:p>
        </w:tc>
        <w:tc>
          <w:tcPr>
            <w:tcW w:w="108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BE9723D">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352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C8755DD">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ERP/PLM 主物料编号，唯一主键</w:t>
            </w:r>
          </w:p>
        </w:tc>
        <w:tc>
          <w:tcPr>
            <w:tcW w:w="64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362760C">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0C512EDB">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3774452">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bom_version</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797CC4D">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BOM 清单版本号</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78FE43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String(16)</w:t>
            </w:r>
          </w:p>
        </w:tc>
        <w:tc>
          <w:tcPr>
            <w:tcW w:w="108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8F5F42A">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352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AC4188A">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工程技术部生效版本，如 REV-C</w:t>
            </w:r>
          </w:p>
        </w:tc>
        <w:tc>
          <w:tcPr>
            <w:tcW w:w="64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FA0327D">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25080BA8">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94DAD0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batch_no</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FA3683B">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生产批次流水号</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DB61C5D">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String(32)</w:t>
            </w:r>
          </w:p>
        </w:tc>
        <w:tc>
          <w:tcPr>
            <w:tcW w:w="108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E9EC7AF">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352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A47D8FF">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MES 制造工单流水号</w:t>
            </w:r>
          </w:p>
        </w:tc>
        <w:tc>
          <w:tcPr>
            <w:tcW w:w="64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1C64530">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r w14:paraId="3282011F">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C91E082">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e_raw_total</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8FCE41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原材料阶段碳排</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411DB42">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Decimal(10,2)</w:t>
            </w:r>
          </w:p>
        </w:tc>
        <w:tc>
          <w:tcPr>
            <w:tcW w:w="108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EEE8DCA">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kgCO2e</w:t>
            </w:r>
          </w:p>
        </w:tc>
        <w:tc>
          <w:tcPr>
            <w:tcW w:w="352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A15B87A">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 (物料重量 × 实测因子)，占比通常超 70%</w:t>
            </w:r>
          </w:p>
        </w:tc>
        <w:tc>
          <w:tcPr>
            <w:tcW w:w="64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7D5EC3C">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5CCAAF86">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088B3D4">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e_trans_total</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7A4296D">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上游运输阶段碳排</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35FA717">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Decimal(8,2)</w:t>
            </w:r>
          </w:p>
        </w:tc>
        <w:tc>
          <w:tcPr>
            <w:tcW w:w="108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B43A2BD">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kgCO2e</w:t>
            </w:r>
          </w:p>
        </w:tc>
        <w:tc>
          <w:tcPr>
            <w:tcW w:w="352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99EAEE5">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 (吨公里 × 运输工具排放因子)</w:t>
            </w:r>
          </w:p>
        </w:tc>
        <w:tc>
          <w:tcPr>
            <w:tcW w:w="64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3E08E5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6EF775D1">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0F9574B">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e_manuf_total</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4A79BBD">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生产加工阶段碳排</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3349FBB">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Decimal(8,2)</w:t>
            </w:r>
          </w:p>
        </w:tc>
        <w:tc>
          <w:tcPr>
            <w:tcW w:w="108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4D4AB4B">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kgCO2e</w:t>
            </w:r>
          </w:p>
        </w:tc>
        <w:tc>
          <w:tcPr>
            <w:tcW w:w="352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AAF8736">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制造工序电/汽/气消耗公摊碳排</w:t>
            </w:r>
          </w:p>
        </w:tc>
        <w:tc>
          <w:tcPr>
            <w:tcW w:w="64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D45005A">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55F0E614">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C5957FF">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e_test_total</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AF43320">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试验检测阶段碳排</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7223790">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Decimal(8,2)</w:t>
            </w:r>
          </w:p>
        </w:tc>
        <w:tc>
          <w:tcPr>
            <w:tcW w:w="108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5ED8323">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kgCO2e</w:t>
            </w:r>
          </w:p>
        </w:tc>
        <w:tc>
          <w:tcPr>
            <w:tcW w:w="352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BCC047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出厂耐压/温升试验用电碳排</w:t>
            </w:r>
          </w:p>
        </w:tc>
        <w:tc>
          <w:tcPr>
            <w:tcW w:w="64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29B23FB">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6DAF9262">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B5C7161">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e_pack_total</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017301A">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包装出厂阶段碳排</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CC1E3BB">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Decimal(8,2)</w:t>
            </w:r>
          </w:p>
        </w:tc>
        <w:tc>
          <w:tcPr>
            <w:tcW w:w="108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32F1FC4">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kgCO2e</w:t>
            </w:r>
          </w:p>
        </w:tc>
        <w:tc>
          <w:tcPr>
            <w:tcW w:w="352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72DE1FD">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包装箱木材/缠绕膜碳排</w:t>
            </w:r>
          </w:p>
        </w:tc>
        <w:tc>
          <w:tcPr>
            <w:tcW w:w="64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8A3CAD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7498C28F">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B5181C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pcf_total</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75265D4">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总碳足迹数值</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5DA351B">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Decimal(12,2)</w:t>
            </w:r>
          </w:p>
        </w:tc>
        <w:tc>
          <w:tcPr>
            <w:tcW w:w="108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B673BA0">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kgCO2e</w:t>
            </w:r>
          </w:p>
        </w:tc>
        <w:tc>
          <w:tcPr>
            <w:tcW w:w="352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130B8E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5 大阶段排放量严密累加和</w:t>
            </w:r>
          </w:p>
        </w:tc>
        <w:tc>
          <w:tcPr>
            <w:tcW w:w="64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220EE12">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r w14:paraId="112F75E4">
        <w:tblPrEx>
          <w:tblCellMar>
            <w:top w:w="0" w:type="dxa"/>
            <w:left w:w="108" w:type="dxa"/>
            <w:bottom w:w="0" w:type="dxa"/>
            <w:right w:w="108" w:type="dxa"/>
          </w:tblCellMar>
        </w:tblPrEx>
        <w:trPr>
          <w:trHeight w:val="0" w:hRule="atLeast"/>
          <w:jc w:val="center"/>
        </w:trPr>
        <w:tc>
          <w:tcPr>
            <w:tcW w:w="144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2EB93C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calc_status</w:t>
            </w:r>
          </w:p>
        </w:tc>
        <w:tc>
          <w:tcPr>
            <w:tcW w:w="1685"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F0C3513">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核算审批状态</w:t>
            </w:r>
          </w:p>
        </w:tc>
        <w:tc>
          <w:tcPr>
            <w:tcW w:w="140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9B569FD">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Enum</w:t>
            </w:r>
          </w:p>
        </w:tc>
        <w:tc>
          <w:tcPr>
            <w:tcW w:w="108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243CBE6">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352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567EFA7">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草稿/已提交/认证中/已签发/已归档</w:t>
            </w:r>
          </w:p>
        </w:tc>
        <w:tc>
          <w:tcPr>
            <w:tcW w:w="64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D9AA8C1">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L1</w:t>
            </w:r>
          </w:p>
        </w:tc>
      </w:tr>
    </w:tbl>
    <w:p w14:paraId="5E94C966">
      <w:pPr>
        <w:spacing w:after="60"/>
        <w:rPr>
          <w:rFonts w:hint="eastAsia" w:ascii="微软雅黑" w:hAnsi="微软雅黑" w:eastAsia="微软雅黑" w:cs="微软雅黑"/>
          <w:sz w:val="21"/>
          <w:szCs w:val="21"/>
        </w:rPr>
      </w:pPr>
    </w:p>
    <w:p w14:paraId="6CE78801">
      <w:pPr>
        <w:pStyle w:val="5"/>
        <w:keepNext/>
        <w:spacing w:before="180" w:after="60"/>
        <w:outlineLvl w:val="2"/>
        <w:rPr>
          <w:rFonts w:hint="eastAsia" w:ascii="微软雅黑" w:hAnsi="微软雅黑" w:eastAsia="微软雅黑" w:cs="微软雅黑"/>
          <w:sz w:val="21"/>
          <w:szCs w:val="21"/>
        </w:rPr>
      </w:pPr>
      <w:bookmarkStart w:id="40" w:name="_Toc1924"/>
      <w:r>
        <w:rPr>
          <w:rFonts w:hint="eastAsia" w:ascii="微软雅黑" w:hAnsi="微软雅黑" w:eastAsia="微软雅黑" w:cs="微软雅黑"/>
          <w:b/>
          <w:color w:val="1E3A8A"/>
          <w:sz w:val="21"/>
          <w:szCs w:val="21"/>
        </w:rPr>
        <w:t>12.3 碳足迹报告与数字碳标签</w:t>
      </w:r>
      <w:bookmarkEnd w:id="40"/>
    </w:p>
    <w:p w14:paraId="571CAE03">
      <w:pPr>
        <w:spacing w:after="80" w:line="288" w:lineRule="auto"/>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功能概述：</w:t>
      </w:r>
      <w:r>
        <w:rPr>
          <w:rFonts w:hint="eastAsia" w:ascii="微软雅黑" w:hAnsi="微软雅黑" w:eastAsia="微软雅黑" w:cs="微软雅黑"/>
          <w:color w:val="1F2937"/>
          <w:sz w:val="21"/>
          <w:szCs w:val="21"/>
        </w:rPr>
        <w:t>1. 双语报告导出：一键导出符合 ISO 14067:2018 规范的双语（中、英文）官方碳足迹核算报告；</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2. 数字碳标签：生成包含产品唯一 EPC 编码与防伪签名哈希的二维码标签，支持手机扫码穿透查验原材料来源与第三方证书。</w:t>
      </w:r>
    </w:p>
    <w:p w14:paraId="3FF7B181">
      <w:pPr>
        <w:pStyle w:val="4"/>
        <w:keepNext/>
        <w:spacing w:before="260" w:after="100"/>
        <w:outlineLvl w:val="1"/>
        <w:rPr>
          <w:rFonts w:hint="eastAsia" w:ascii="微软雅黑" w:hAnsi="微软雅黑" w:eastAsia="微软雅黑" w:cs="微软雅黑"/>
          <w:sz w:val="21"/>
          <w:szCs w:val="21"/>
        </w:rPr>
      </w:pPr>
      <w:bookmarkStart w:id="41" w:name="_Toc25701"/>
      <w:r>
        <w:rPr>
          <w:rFonts w:hint="eastAsia" w:ascii="微软雅黑" w:hAnsi="微软雅黑" w:eastAsia="微软雅黑" w:cs="微软雅黑"/>
          <w:b/>
          <w:color w:val="0284C7"/>
          <w:sz w:val="21"/>
          <w:szCs w:val="21"/>
        </w:rPr>
        <w:t>第 13 章 一级导航【CBAM管理】</w:t>
      </w:r>
      <w:bookmarkEnd w:id="41"/>
    </w:p>
    <w:p w14:paraId="14473F90">
      <w:pPr>
        <w:pStyle w:val="5"/>
        <w:keepNext/>
        <w:spacing w:before="180" w:after="60"/>
        <w:outlineLvl w:val="2"/>
        <w:rPr>
          <w:rFonts w:hint="eastAsia" w:ascii="微软雅黑" w:hAnsi="微软雅黑" w:eastAsia="微软雅黑" w:cs="微软雅黑"/>
          <w:sz w:val="21"/>
          <w:szCs w:val="21"/>
        </w:rPr>
      </w:pPr>
      <w:bookmarkStart w:id="42" w:name="_Toc13235"/>
      <w:r>
        <w:rPr>
          <w:rFonts w:hint="eastAsia" w:ascii="微软雅黑" w:hAnsi="微软雅黑" w:eastAsia="微软雅黑" w:cs="微软雅黑"/>
          <w:b/>
          <w:color w:val="1E3A8A"/>
          <w:sz w:val="21"/>
          <w:szCs w:val="21"/>
        </w:rPr>
        <w:t>13.1 欧盟合规管理</w:t>
      </w:r>
      <w:bookmarkEnd w:id="42"/>
    </w:p>
    <w:p w14:paraId="6171FABA">
      <w:pPr>
        <w:spacing w:after="80" w:line="288" w:lineRule="auto"/>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合规规则：</w:t>
      </w:r>
      <w:r>
        <w:rPr>
          <w:rFonts w:hint="eastAsia" w:ascii="微软雅黑" w:hAnsi="微软雅黑" w:eastAsia="微软雅黑" w:cs="微软雅黑"/>
          <w:color w:val="1F2937"/>
          <w:sz w:val="21"/>
          <w:szCs w:val="21"/>
        </w:rPr>
        <w:t>维护特变电工出口欧盟电气装备海关 CN 税号白名单（变压器 CN 85042100、85042200、85042300；电缆 CN 85444920 等），明确直接排放 (Direct Emissions) 与前驱物隐含间接排放 (Indirect Emissions) 的法定边界。</w:t>
      </w:r>
    </w:p>
    <w:p w14:paraId="732657A9">
      <w:pPr>
        <w:pStyle w:val="5"/>
        <w:keepNext/>
        <w:spacing w:before="180" w:after="60"/>
        <w:outlineLvl w:val="2"/>
        <w:rPr>
          <w:rFonts w:hint="eastAsia" w:ascii="微软雅黑" w:hAnsi="微软雅黑" w:eastAsia="微软雅黑" w:cs="微软雅黑"/>
          <w:sz w:val="21"/>
          <w:szCs w:val="21"/>
        </w:rPr>
      </w:pPr>
      <w:bookmarkStart w:id="43" w:name="_Toc29543"/>
      <w:r>
        <w:rPr>
          <w:rFonts w:hint="eastAsia" w:ascii="微软雅黑" w:hAnsi="微软雅黑" w:eastAsia="微软雅黑" w:cs="微软雅黑"/>
          <w:b/>
          <w:color w:val="1E3A8A"/>
          <w:sz w:val="21"/>
          <w:szCs w:val="21"/>
        </w:rPr>
        <w:t>13.2 关税申报模拟器</w:t>
      </w:r>
      <w:bookmarkEnd w:id="43"/>
    </w:p>
    <w:p w14:paraId="5ECE0378">
      <w:pPr>
        <w:spacing w:after="80" w:line="288" w:lineRule="auto"/>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关税模型：</w:t>
      </w:r>
      <w:r>
        <w:rPr>
          <w:rFonts w:hint="eastAsia" w:ascii="微软雅黑" w:hAnsi="微软雅黑" w:eastAsia="微软雅黑" w:cs="微软雅黑"/>
          <w:color w:val="1F2937"/>
          <w:sz w:val="21"/>
          <w:szCs w:val="21"/>
        </w:rPr>
        <w:t>1. 隐含碳强度核算：测算出口单位产品直接与间接隐含碳强度 Embedded_Carbon (tCO2e/t)；</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2. 欧盟 ETS 实时碳价联动：API 动态对接欧洲能源交易所 (EEX) 碳配额拍卖结算均价（€75 ~ €95/tCO2e）；</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3. 国内已支付碳成本抵扣：严格计算在国内已承担的全国碳市场配额费用或绿电附加成本，依法申请等额抵扣；</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4. 官方 XML 申报包导出：生成完全符合欧盟委员会 CBAM Communication Template v2.1 规范的结构化 XML 申报包。</w:t>
      </w:r>
    </w:p>
    <w:tbl>
      <w:tblPr>
        <w:tblStyle w:val="35"/>
        <w:tblW w:w="0" w:type="auto"/>
        <w:jc w:val="center"/>
        <w:tblLayout w:type="fixed"/>
        <w:tblCellMar>
          <w:top w:w="0" w:type="dxa"/>
          <w:left w:w="108" w:type="dxa"/>
          <w:bottom w:w="0" w:type="dxa"/>
          <w:right w:w="108" w:type="dxa"/>
        </w:tblCellMar>
      </w:tblPr>
      <w:tblGrid>
        <w:gridCol w:w="9792"/>
      </w:tblGrid>
      <w:tr w14:paraId="5AFC95FB">
        <w:tblPrEx>
          <w:tblCellMar>
            <w:top w:w="0" w:type="dxa"/>
            <w:left w:w="108" w:type="dxa"/>
            <w:bottom w:w="0" w:type="dxa"/>
            <w:right w:w="108" w:type="dxa"/>
          </w:tblCellMar>
        </w:tblPrEx>
        <w:trPr>
          <w:jc w:val="center"/>
        </w:trPr>
        <w:tc>
          <w:tcPr>
            <w:tcW w:w="9648" w:type="dxa"/>
            <w:tcBorders>
              <w:top w:val="nil"/>
              <w:left w:val="single" w:color="16A34A" w:sz="24" w:space="0"/>
              <w:bottom w:val="nil"/>
              <w:right w:val="nil"/>
            </w:tcBorders>
            <w:shd w:val="clear" w:color="auto" w:fill="F0FDF4"/>
            <w:tcMar>
              <w:top w:w="100" w:type="dxa"/>
              <w:left w:w="140" w:type="dxa"/>
              <w:bottom w:w="100" w:type="dxa"/>
              <w:right w:w="140" w:type="dxa"/>
            </w:tcMar>
          </w:tcPr>
          <w:p w14:paraId="05F93DA8">
            <w:pPr>
              <w:spacing w:after="40"/>
              <w:rPr>
                <w:rFonts w:hint="eastAsia" w:ascii="微软雅黑" w:hAnsi="微软雅黑" w:eastAsia="微软雅黑" w:cs="微软雅黑"/>
                <w:sz w:val="21"/>
                <w:szCs w:val="21"/>
              </w:rPr>
            </w:pPr>
            <w:r>
              <w:rPr>
                <w:rFonts w:hint="eastAsia" w:ascii="微软雅黑" w:hAnsi="微软雅黑" w:eastAsia="微软雅黑" w:cs="微软雅黑"/>
                <w:b/>
                <w:color w:val="16A34A"/>
                <w:sz w:val="21"/>
                <w:szCs w:val="21"/>
              </w:rPr>
              <w:t>📐 【核心数学模型与算法公式】</w:t>
            </w:r>
            <w:r>
              <w:rPr>
                <w:rFonts w:hint="eastAsia" w:ascii="微软雅黑" w:hAnsi="微软雅黑" w:eastAsia="微软雅黑" w:cs="微软雅黑"/>
                <w:b/>
                <w:color w:val="16A34A"/>
                <w:sz w:val="21"/>
                <w:szCs w:val="21"/>
              </w:rPr>
              <w:br w:type="textWrapping"/>
            </w:r>
            <w:r>
              <w:rPr>
                <w:rFonts w:hint="eastAsia" w:ascii="微软雅黑" w:hAnsi="微软雅黑" w:eastAsia="微软雅黑" w:cs="微软雅黑"/>
                <w:b/>
                <w:color w:val="1E3A8A"/>
                <w:sz w:val="21"/>
                <w:szCs w:val="21"/>
              </w:rPr>
              <w:t>【核算公式】：Cost_CBAM = [ (Direct_Em + Indirect_Em) / Output ] × Export_Qty × ( Price_EU_ETS - Price_Domestic_Paid )</w:t>
            </w:r>
            <w:r>
              <w:rPr>
                <w:rFonts w:hint="eastAsia" w:ascii="微软雅黑" w:hAnsi="微软雅黑" w:eastAsia="微软雅黑" w:cs="微软雅黑"/>
                <w:b/>
                <w:color w:val="1E3A8A"/>
                <w:sz w:val="21"/>
                <w:szCs w:val="21"/>
              </w:rPr>
              <w:br w:type="textWrapping"/>
            </w:r>
            <w:r>
              <w:rPr>
                <w:rFonts w:hint="eastAsia" w:ascii="微软雅黑" w:hAnsi="微软雅黑" w:eastAsia="微软雅黑" w:cs="微软雅黑"/>
                <w:color w:val="1F2937"/>
                <w:sz w:val="21"/>
                <w:szCs w:val="21"/>
              </w:rPr>
              <w:t>【逻辑说明】：符合欧盟正式法规 EU 2023/956 条例。若国内已支付碳成本等于或高于欧盟 ETS 碳价，则当期应缴 CBAM 关税凭证金额为 0（零关税入欧）。</w:t>
            </w:r>
            <w:r>
              <w:rPr>
                <w:rFonts w:hint="eastAsia" w:ascii="微软雅黑" w:hAnsi="微软雅黑" w:eastAsia="微软雅黑" w:cs="微软雅黑"/>
                <w:color w:val="64748B"/>
                <w:sz w:val="21"/>
                <w:szCs w:val="21"/>
              </w:rPr>
              <w:br w:type="textWrapping"/>
            </w:r>
            <w:r>
              <w:rPr>
                <w:rFonts w:hint="eastAsia" w:ascii="微软雅黑" w:hAnsi="微软雅黑" w:eastAsia="微软雅黑" w:cs="微软雅黑"/>
                <w:color w:val="64748B"/>
                <w:sz w:val="21"/>
                <w:szCs w:val="21"/>
              </w:rPr>
              <w:t>【变量定义与取值约定】：</w:t>
            </w:r>
            <w:r>
              <w:rPr>
                <w:rFonts w:hint="eastAsia" w:ascii="微软雅黑" w:hAnsi="微软雅黑" w:eastAsia="微软雅黑" w:cs="微软雅黑"/>
                <w:color w:val="64748B"/>
                <w:sz w:val="21"/>
                <w:szCs w:val="21"/>
              </w:rPr>
              <w:br w:type="textWrapping"/>
            </w:r>
            <w:r>
              <w:rPr>
                <w:rFonts w:hint="eastAsia" w:ascii="微软雅黑" w:hAnsi="微软雅黑" w:eastAsia="微软雅黑" w:cs="微软雅黑"/>
                <w:color w:val="64748B"/>
                <w:sz w:val="21"/>
                <w:szCs w:val="21"/>
              </w:rPr>
              <w:t>Direct_Em: 工厂直接化石燃烧排放；Indirect_Em: 外购电热及前驱物间接排放；Export_Qty: 出口实物总量；Price_EU_ETS: 欧盟碳价；Price_Domestic: 国内已付碳价</w:t>
            </w:r>
          </w:p>
        </w:tc>
      </w:tr>
    </w:tbl>
    <w:p w14:paraId="16C1A652">
      <w:pPr>
        <w:spacing w:after="40"/>
        <w:rPr>
          <w:rFonts w:hint="eastAsia" w:ascii="微软雅黑" w:hAnsi="微软雅黑" w:eastAsia="微软雅黑" w:cs="微软雅黑"/>
          <w:sz w:val="21"/>
          <w:szCs w:val="21"/>
        </w:rPr>
      </w:pPr>
    </w:p>
    <w:tbl>
      <w:tblPr>
        <w:tblStyle w:val="35"/>
        <w:tblW w:w="10050" w:type="dxa"/>
        <w:jc w:val="center"/>
        <w:tblLayout w:type="autofit"/>
        <w:tblCellMar>
          <w:top w:w="0" w:type="dxa"/>
          <w:left w:w="108" w:type="dxa"/>
          <w:bottom w:w="0" w:type="dxa"/>
          <w:right w:w="108" w:type="dxa"/>
        </w:tblCellMar>
      </w:tblPr>
      <w:tblGrid>
        <w:gridCol w:w="2045"/>
        <w:gridCol w:w="1711"/>
        <w:gridCol w:w="1530"/>
        <w:gridCol w:w="1225"/>
        <w:gridCol w:w="2931"/>
        <w:gridCol w:w="608"/>
      </w:tblGrid>
      <w:tr w14:paraId="56134D8C">
        <w:tblPrEx>
          <w:tblCellMar>
            <w:top w:w="0" w:type="dxa"/>
            <w:left w:w="108" w:type="dxa"/>
            <w:bottom w:w="0" w:type="dxa"/>
            <w:right w:w="108" w:type="dxa"/>
          </w:tblCellMar>
        </w:tblPrEx>
        <w:trPr>
          <w:trHeight w:val="0" w:hRule="atLeast"/>
          <w:tblHeader/>
          <w:jc w:val="center"/>
        </w:trPr>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7F89756D">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字段标识</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4E52DDE7">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字段中文名称</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0210368F">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数据类型</w:t>
            </w:r>
          </w:p>
        </w:tc>
        <w:tc>
          <w:tcPr>
            <w:tcW w:w="1260"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64E4D8C8">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工程单位</w:t>
            </w:r>
          </w:p>
        </w:tc>
        <w:tc>
          <w:tcPr>
            <w:tcW w:w="3216"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763A436E">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核算模型与业务规则</w:t>
            </w:r>
          </w:p>
        </w:tc>
        <w:tc>
          <w:tcPr>
            <w:tcW w:w="642"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7186F64A">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密级</w:t>
            </w:r>
          </w:p>
        </w:tc>
      </w:tr>
      <w:tr w14:paraId="2B557B38">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81E24B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cn_code</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1CD27C0">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欧盟海关 CN 税号</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09D9C13">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String(16)</w:t>
            </w:r>
          </w:p>
        </w:tc>
        <w:tc>
          <w:tcPr>
            <w:tcW w:w="126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D62AE2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321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3F6F00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欧盟海关税则编码，如 85042100</w:t>
            </w:r>
          </w:p>
        </w:tc>
        <w:tc>
          <w:tcPr>
            <w:tcW w:w="64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2A1733A">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L0</w:t>
            </w:r>
          </w:p>
        </w:tc>
      </w:tr>
      <w:tr w14:paraId="75E90352">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1720222">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export_quantity</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F962012">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申报出口数量</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2680E45">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Decimal(10,2)</w:t>
            </w:r>
          </w:p>
        </w:tc>
        <w:tc>
          <w:tcPr>
            <w:tcW w:w="126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B89DF0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台 / km / t</w:t>
            </w:r>
          </w:p>
        </w:tc>
        <w:tc>
          <w:tcPr>
            <w:tcW w:w="3216"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0C0893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国际贸易报关单提单实际数量</w:t>
            </w:r>
          </w:p>
        </w:tc>
        <w:tc>
          <w:tcPr>
            <w:tcW w:w="64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0FB49BC">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L3</w:t>
            </w:r>
          </w:p>
        </w:tc>
      </w:tr>
      <w:tr w14:paraId="6ECCF6A6">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E1C551C">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direct_em_t</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49D93D3">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制造直接排放量</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06F9525">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Decimal(10,2)</w:t>
            </w:r>
          </w:p>
        </w:tc>
        <w:tc>
          <w:tcPr>
            <w:tcW w:w="126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ECBAA95">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tCO2e</w:t>
            </w:r>
          </w:p>
        </w:tc>
        <w:tc>
          <w:tcPr>
            <w:tcW w:w="321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FC9B8D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厂内燃烧直接排放总量</w:t>
            </w:r>
          </w:p>
        </w:tc>
        <w:tc>
          <w:tcPr>
            <w:tcW w:w="64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02612B0">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r w14:paraId="4A351233">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C790046">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indirect_em_t</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2FA1B6D">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外购电热间接排放量</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F9ED5E3">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Decimal(10,2)</w:t>
            </w:r>
          </w:p>
        </w:tc>
        <w:tc>
          <w:tcPr>
            <w:tcW w:w="126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772499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tCO2e</w:t>
            </w:r>
          </w:p>
        </w:tc>
        <w:tc>
          <w:tcPr>
            <w:tcW w:w="3216"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E0FBBC4">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外购电力及前驱物隐含间接排放</w:t>
            </w:r>
          </w:p>
        </w:tc>
        <w:tc>
          <w:tcPr>
            <w:tcW w:w="64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8090E35">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r w14:paraId="4EEBA55D">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E0E9C3A">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embedded_carbon</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1E5C0E1">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单位产品隐含碳强度</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5C6065A">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Decimal(8,4)</w:t>
            </w:r>
          </w:p>
        </w:tc>
        <w:tc>
          <w:tcPr>
            <w:tcW w:w="126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5D52917">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tCO2e/单位</w:t>
            </w:r>
          </w:p>
        </w:tc>
        <w:tc>
          <w:tcPr>
            <w:tcW w:w="321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7B61A50">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(Direct + Indirect) / 总产量</w:t>
            </w:r>
          </w:p>
        </w:tc>
        <w:tc>
          <w:tcPr>
            <w:tcW w:w="64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0CA9535">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r w14:paraId="78978C52">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4289F27">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ets_price_eur</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EF8322D">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欧盟 ETS 结算碳价</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B97FFE8">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Decimal(6,2)</w:t>
            </w:r>
          </w:p>
        </w:tc>
        <w:tc>
          <w:tcPr>
            <w:tcW w:w="126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BCBC375">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€/tCO2e</w:t>
            </w:r>
          </w:p>
        </w:tc>
        <w:tc>
          <w:tcPr>
            <w:tcW w:w="3216"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24539E0">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EEX 官方接口实时拉取最新周结算均价</w:t>
            </w:r>
          </w:p>
        </w:tc>
        <w:tc>
          <w:tcPr>
            <w:tcW w:w="64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9D6F02D">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L0</w:t>
            </w:r>
          </w:p>
        </w:tc>
      </w:tr>
      <w:tr w14:paraId="3866E4E8">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5FFB6A0">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domestic_paid_eur</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AA7E972">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国内已付碳成本折算</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677AE63">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Decimal(6,2)</w:t>
            </w:r>
          </w:p>
        </w:tc>
        <w:tc>
          <w:tcPr>
            <w:tcW w:w="126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D64BE17">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€/tCO2e</w:t>
            </w:r>
          </w:p>
        </w:tc>
        <w:tc>
          <w:tcPr>
            <w:tcW w:w="321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BCA2AC5">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中国碳市场价格汇率折算 (€)</w:t>
            </w:r>
          </w:p>
        </w:tc>
        <w:tc>
          <w:tcPr>
            <w:tcW w:w="64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6E04E4C">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L2</w:t>
            </w:r>
          </w:p>
        </w:tc>
      </w:tr>
      <w:tr w14:paraId="38AC5F7A">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8BE7427">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cbam_certificates</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175A7B9">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应缴 CBAM 凭证数</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A3850F5">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Decimal(10,2)</w:t>
            </w:r>
          </w:p>
        </w:tc>
        <w:tc>
          <w:tcPr>
            <w:tcW w:w="126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0574F3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张</w:t>
            </w:r>
          </w:p>
        </w:tc>
        <w:tc>
          <w:tcPr>
            <w:tcW w:w="3216"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36EBE64">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每张对应 1 tCO2e 需清缴凭证</w:t>
            </w:r>
          </w:p>
        </w:tc>
        <w:tc>
          <w:tcPr>
            <w:tcW w:w="64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A220C43">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L3</w:t>
            </w:r>
          </w:p>
        </w:tc>
      </w:tr>
      <w:tr w14:paraId="18B023E9">
        <w:tblPrEx>
          <w:tblCellMar>
            <w:top w:w="0" w:type="dxa"/>
            <w:left w:w="108" w:type="dxa"/>
            <w:bottom w:w="0" w:type="dxa"/>
            <w:right w:w="108" w:type="dxa"/>
          </w:tblCellMar>
        </w:tblPrEx>
        <w:trPr>
          <w:trHeight w:val="0" w:hRule="atLeast"/>
          <w:jc w:val="center"/>
        </w:trPr>
        <w:tc>
          <w:tcPr>
            <w:tcW w:w="175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C280CC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est_tariff_eur</w:t>
            </w:r>
          </w:p>
        </w:tc>
        <w:tc>
          <w:tcPr>
            <w:tcW w:w="185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9D805AD">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预计应纳 CBAM 关税</w:t>
            </w:r>
          </w:p>
        </w:tc>
        <w:tc>
          <w:tcPr>
            <w:tcW w:w="132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F9F209C">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Decimal(12,2)</w:t>
            </w:r>
          </w:p>
        </w:tc>
        <w:tc>
          <w:tcPr>
            <w:tcW w:w="126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9EB74DA">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 (欧元)</w:t>
            </w:r>
          </w:p>
        </w:tc>
        <w:tc>
          <w:tcPr>
            <w:tcW w:w="321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A24BC8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应缴凭证数 × (ETS碳价 - 国内已付成本)</w:t>
            </w:r>
          </w:p>
        </w:tc>
        <w:tc>
          <w:tcPr>
            <w:tcW w:w="64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B8E18A2">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L3</w:t>
            </w:r>
          </w:p>
        </w:tc>
      </w:tr>
    </w:tbl>
    <w:p w14:paraId="1098A495">
      <w:pPr>
        <w:spacing w:after="60"/>
        <w:rPr>
          <w:rFonts w:hint="eastAsia" w:ascii="微软雅黑" w:hAnsi="微软雅黑" w:eastAsia="微软雅黑" w:cs="微软雅黑"/>
          <w:sz w:val="21"/>
          <w:szCs w:val="21"/>
        </w:rPr>
      </w:pPr>
    </w:p>
    <w:p w14:paraId="510C6D62">
      <w:pPr>
        <w:pStyle w:val="5"/>
        <w:keepNext/>
        <w:spacing w:before="180" w:after="60"/>
        <w:outlineLvl w:val="2"/>
        <w:rPr>
          <w:rFonts w:hint="eastAsia" w:ascii="微软雅黑" w:hAnsi="微软雅黑" w:eastAsia="微软雅黑" w:cs="微软雅黑"/>
          <w:sz w:val="21"/>
          <w:szCs w:val="21"/>
        </w:rPr>
      </w:pPr>
      <w:bookmarkStart w:id="44" w:name="_Toc19749"/>
      <w:r>
        <w:rPr>
          <w:rFonts w:hint="eastAsia" w:ascii="微软雅黑" w:hAnsi="微软雅黑" w:eastAsia="微软雅黑" w:cs="微软雅黑"/>
          <w:b/>
          <w:color w:val="1E3A8A"/>
          <w:sz w:val="21"/>
          <w:szCs w:val="21"/>
        </w:rPr>
        <w:t>13.3 CBAM 规则知识库</w:t>
      </w:r>
      <w:bookmarkEnd w:id="44"/>
    </w:p>
    <w:p w14:paraId="19EE82D0">
      <w:pPr>
        <w:spacing w:after="80" w:line="288" w:lineRule="auto"/>
        <w:ind w:firstLine="720" w:firstLineChars="0"/>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功能概述：</w:t>
      </w:r>
      <w:r>
        <w:rPr>
          <w:rFonts w:hint="eastAsia" w:ascii="微软雅黑" w:hAnsi="微软雅黑" w:eastAsia="微软雅黑" w:cs="微软雅黑"/>
          <w:color w:val="1F2937"/>
          <w:sz w:val="21"/>
          <w:szCs w:val="21"/>
        </w:rPr>
        <w:t>集中收录欧盟委员会官方最新发布的行业填报指引、默认值 (Default Values) 清单、过渡期质询问答库与豁免条款法规释义。</w:t>
      </w:r>
    </w:p>
    <w:p w14:paraId="71F8A835">
      <w:pPr>
        <w:pStyle w:val="4"/>
        <w:keepNext/>
        <w:spacing w:before="260" w:after="100"/>
        <w:outlineLvl w:val="1"/>
        <w:rPr>
          <w:rFonts w:hint="eastAsia" w:ascii="微软雅黑" w:hAnsi="微软雅黑" w:eastAsia="微软雅黑" w:cs="微软雅黑"/>
          <w:sz w:val="21"/>
          <w:szCs w:val="21"/>
        </w:rPr>
      </w:pPr>
      <w:bookmarkStart w:id="45" w:name="_Toc20557"/>
      <w:r>
        <w:rPr>
          <w:rFonts w:hint="eastAsia" w:ascii="微软雅黑" w:hAnsi="微软雅黑" w:eastAsia="微软雅黑" w:cs="微软雅黑"/>
          <w:b/>
          <w:color w:val="0284C7"/>
          <w:sz w:val="21"/>
          <w:szCs w:val="21"/>
        </w:rPr>
        <w:t>第 14 章 一级导航【第三方认证管理】</w:t>
      </w:r>
      <w:bookmarkEnd w:id="45"/>
    </w:p>
    <w:p w14:paraId="0726E930">
      <w:pPr>
        <w:spacing w:after="80" w:line="288" w:lineRule="auto"/>
        <w:ind w:firstLine="720" w:firstLineChars="0"/>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功能概述：</w:t>
      </w:r>
      <w:r>
        <w:rPr>
          <w:rFonts w:hint="eastAsia" w:ascii="微软雅黑" w:hAnsi="微软雅黑" w:eastAsia="微软雅黑" w:cs="微软雅黑"/>
          <w:color w:val="1F2937"/>
          <w:sz w:val="21"/>
          <w:szCs w:val="21"/>
        </w:rPr>
        <w:t>1. 认证资料维护 (/material)：全套 LCA 计算原始凭证、物料平衡单与绿电发票在线封装；</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2. 认证申请流转 (/apply)：向 SGS、TÜV 南德、中国方圆等国际认证机构发起协同在线核验；</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3. 认证证书存证 (/result)：结构化存储证书流水号、颁证机构、有效期限、标准代号与证书 PDF 存证哈希。</w:t>
      </w:r>
    </w:p>
    <w:p w14:paraId="6060CDD5">
      <w:pPr>
        <w:pStyle w:val="4"/>
        <w:keepNext/>
        <w:spacing w:before="260" w:after="100"/>
        <w:outlineLvl w:val="1"/>
        <w:rPr>
          <w:rFonts w:hint="eastAsia" w:ascii="微软雅黑" w:hAnsi="微软雅黑" w:eastAsia="微软雅黑" w:cs="微软雅黑"/>
          <w:sz w:val="21"/>
          <w:szCs w:val="21"/>
        </w:rPr>
      </w:pPr>
      <w:bookmarkStart w:id="46" w:name="_Toc17629"/>
      <w:r>
        <w:rPr>
          <w:rFonts w:hint="eastAsia" w:ascii="微软雅黑" w:hAnsi="微软雅黑" w:eastAsia="微软雅黑" w:cs="微软雅黑"/>
          <w:b/>
          <w:color w:val="0284C7"/>
          <w:sz w:val="21"/>
          <w:szCs w:val="21"/>
        </w:rPr>
        <w:t>第 15 章 一级导航【因子库管理</w:t>
      </w:r>
      <w:bookmarkEnd w:id="46"/>
    </w:p>
    <w:p w14:paraId="3C15522B">
      <w:pPr>
        <w:spacing w:after="80" w:line="288" w:lineRule="auto"/>
        <w:ind w:firstLine="720" w:firstLineChars="0"/>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功能概述：</w:t>
      </w:r>
      <w:r>
        <w:rPr>
          <w:rFonts w:hint="eastAsia" w:ascii="微软雅黑" w:hAnsi="微软雅黑" w:eastAsia="微软雅黑" w:cs="微软雅黑"/>
          <w:color w:val="1F2937"/>
          <w:sz w:val="21"/>
          <w:szCs w:val="21"/>
        </w:rPr>
        <w:t>建立 4 大专业子库架构：原材料碳因子库 (/material)、电网碳排放因子库 (/power)、能源活动因子库 (/energy) 与国家折标煤系数库 (/coal)。</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严格执行【草稿 ➔ 审核中 ➔ 已生效 ➔ 已废止】生命周期管理与变更审计留痕。</w:t>
      </w:r>
    </w:p>
    <w:tbl>
      <w:tblPr>
        <w:tblStyle w:val="35"/>
        <w:tblW w:w="9792" w:type="dxa"/>
        <w:jc w:val="center"/>
        <w:tblLayout w:type="autofit"/>
        <w:tblCellMar>
          <w:top w:w="0" w:type="dxa"/>
          <w:left w:w="108" w:type="dxa"/>
          <w:bottom w:w="0" w:type="dxa"/>
          <w:right w:w="108" w:type="dxa"/>
        </w:tblCellMar>
      </w:tblPr>
      <w:tblGrid>
        <w:gridCol w:w="1402"/>
        <w:gridCol w:w="1405"/>
        <w:gridCol w:w="1530"/>
        <w:gridCol w:w="1467"/>
        <w:gridCol w:w="3356"/>
        <w:gridCol w:w="632"/>
      </w:tblGrid>
      <w:tr w14:paraId="5C9E684C">
        <w:tblPrEx>
          <w:tblCellMar>
            <w:top w:w="0" w:type="dxa"/>
            <w:left w:w="108" w:type="dxa"/>
            <w:bottom w:w="0" w:type="dxa"/>
            <w:right w:w="108" w:type="dxa"/>
          </w:tblCellMar>
        </w:tblPrEx>
        <w:trPr>
          <w:trHeight w:val="0" w:hRule="atLeast"/>
          <w:tblHeader/>
          <w:jc w:val="center"/>
        </w:trPr>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4EE793A2">
            <w:pPr>
              <w:keepNext/>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字段标识</w:t>
            </w:r>
          </w:p>
        </w:tc>
        <w:tc>
          <w:tcPr>
            <w:tcW w:w="1449"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7D4E3F22">
            <w:pPr>
              <w:keepNext/>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字段中文名称</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7646D61A">
            <w:pPr>
              <w:keepNext/>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数据类型</w:t>
            </w:r>
          </w:p>
        </w:tc>
        <w:tc>
          <w:tcPr>
            <w:tcW w:w="1485"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67588C42">
            <w:pPr>
              <w:keepNext/>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工程单位</w:t>
            </w:r>
          </w:p>
        </w:tc>
        <w:tc>
          <w:tcPr>
            <w:tcW w:w="3452"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255BC1DA">
            <w:pPr>
              <w:keepNext/>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因子取值范围与版本规则</w:t>
            </w:r>
          </w:p>
        </w:tc>
        <w:tc>
          <w:tcPr>
            <w:tcW w:w="642"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1B61D48B">
            <w:pPr>
              <w:keepNext/>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密级</w:t>
            </w:r>
          </w:p>
        </w:tc>
      </w:tr>
      <w:tr w14:paraId="448A9CFD">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7C97B27">
            <w:pPr>
              <w:keepNext/>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factor_code</w:t>
            </w:r>
          </w:p>
        </w:tc>
        <w:tc>
          <w:tcPr>
            <w:tcW w:w="144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C69E359">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因子唯一编码</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3AD4D6E">
            <w:pPr>
              <w:keepNext/>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String(32)</w:t>
            </w:r>
          </w:p>
        </w:tc>
        <w:tc>
          <w:tcPr>
            <w:tcW w:w="1485"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C1369D1">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345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D4855EF">
            <w:pPr>
              <w:keepNext/>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FAC-MAT-COPPER-01 等唯一标识</w:t>
            </w:r>
          </w:p>
        </w:tc>
        <w:tc>
          <w:tcPr>
            <w:tcW w:w="64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B6D3962">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L0</w:t>
            </w:r>
          </w:p>
        </w:tc>
      </w:tr>
      <w:tr w14:paraId="173D0889">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2997B78">
            <w:pPr>
              <w:keepNext/>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factor_name</w:t>
            </w:r>
          </w:p>
        </w:tc>
        <w:tc>
          <w:tcPr>
            <w:tcW w:w="144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209298E">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因子中文名称</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CF27C8F">
            <w:pPr>
              <w:keepNext/>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String(64)</w:t>
            </w:r>
          </w:p>
        </w:tc>
        <w:tc>
          <w:tcPr>
            <w:tcW w:w="1485"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E358817">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345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6D11A16">
            <w:pPr>
              <w:keepNext/>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如：高纯阴极铜 (含冶炼)</w:t>
            </w:r>
          </w:p>
        </w:tc>
        <w:tc>
          <w:tcPr>
            <w:tcW w:w="64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D8937F3">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L0</w:t>
            </w:r>
          </w:p>
        </w:tc>
      </w:tr>
      <w:tr w14:paraId="103F0379">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B2BB1F8">
            <w:pPr>
              <w:keepNext/>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factor_val</w:t>
            </w:r>
          </w:p>
        </w:tc>
        <w:tc>
          <w:tcPr>
            <w:tcW w:w="144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0C31DCC">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排放因子数值</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2242DEE">
            <w:pPr>
              <w:keepNext/>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Decimal(10,4)</w:t>
            </w:r>
          </w:p>
        </w:tc>
        <w:tc>
          <w:tcPr>
            <w:tcW w:w="1485"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1F26F78">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kgCO2e/单位</w:t>
            </w:r>
          </w:p>
        </w:tc>
        <w:tc>
          <w:tcPr>
            <w:tcW w:w="345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9F3F012">
            <w:pPr>
              <w:keepNext/>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必须严格 &gt; 0.0000</w:t>
            </w:r>
          </w:p>
        </w:tc>
        <w:tc>
          <w:tcPr>
            <w:tcW w:w="64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4539E3B">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L0</w:t>
            </w:r>
          </w:p>
        </w:tc>
      </w:tr>
      <w:tr w14:paraId="3B5CBE6A">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BDF9EAA">
            <w:pPr>
              <w:keepNext/>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data_source</w:t>
            </w:r>
          </w:p>
        </w:tc>
        <w:tc>
          <w:tcPr>
            <w:tcW w:w="144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09F5222">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权威数据来源</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049082E">
            <w:pPr>
              <w:keepNext/>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String(64)</w:t>
            </w:r>
          </w:p>
        </w:tc>
        <w:tc>
          <w:tcPr>
            <w:tcW w:w="1485"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F90B5AB">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345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5F534E2">
            <w:pPr>
              <w:keepNext/>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实测 / Ecoinvent 3.8 / CLCD / 官方公报</w:t>
            </w:r>
          </w:p>
        </w:tc>
        <w:tc>
          <w:tcPr>
            <w:tcW w:w="64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C3CE5F6">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L0</w:t>
            </w:r>
          </w:p>
        </w:tc>
      </w:tr>
      <w:tr w14:paraId="78B466CC">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B9CDC12">
            <w:pPr>
              <w:keepNext/>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version_no</w:t>
            </w:r>
          </w:p>
        </w:tc>
        <w:tc>
          <w:tcPr>
            <w:tcW w:w="144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5441E48">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因子版本编号</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FA4189D">
            <w:pPr>
              <w:keepNext/>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String(16)</w:t>
            </w:r>
          </w:p>
        </w:tc>
        <w:tc>
          <w:tcPr>
            <w:tcW w:w="1485"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3E80D74">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345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79B2549">
            <w:pPr>
              <w:keepNext/>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如 v2026.1，支持多版本并存追溯</w:t>
            </w:r>
          </w:p>
        </w:tc>
        <w:tc>
          <w:tcPr>
            <w:tcW w:w="64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FDB6D97">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L0</w:t>
            </w:r>
          </w:p>
        </w:tc>
      </w:tr>
      <w:tr w14:paraId="027C20A6">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68B68DF">
            <w:pPr>
              <w:keepNext/>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valid_start</w:t>
            </w:r>
          </w:p>
        </w:tc>
        <w:tc>
          <w:tcPr>
            <w:tcW w:w="144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33B0612">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版本生效日期</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E0A765D">
            <w:pPr>
              <w:keepNext/>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Date</w:t>
            </w:r>
          </w:p>
        </w:tc>
        <w:tc>
          <w:tcPr>
            <w:tcW w:w="1485"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12A4453">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YYYY-MM-DD</w:t>
            </w:r>
          </w:p>
        </w:tc>
        <w:tc>
          <w:tcPr>
            <w:tcW w:w="345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EA1D898">
            <w:pPr>
              <w:keepNext/>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生效开始时间戳</w:t>
            </w:r>
          </w:p>
        </w:tc>
        <w:tc>
          <w:tcPr>
            <w:tcW w:w="64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E73962A">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L0</w:t>
            </w:r>
          </w:p>
        </w:tc>
      </w:tr>
      <w:tr w14:paraId="13978C55">
        <w:tblPrEx>
          <w:tblCellMar>
            <w:top w:w="0" w:type="dxa"/>
            <w:left w:w="108" w:type="dxa"/>
            <w:bottom w:w="0" w:type="dxa"/>
            <w:right w:w="108" w:type="dxa"/>
          </w:tblCellMar>
        </w:tblPrEx>
        <w:trPr>
          <w:trHeight w:val="0" w:hRule="atLeast"/>
          <w:jc w:val="center"/>
        </w:trPr>
        <w:tc>
          <w:tcPr>
            <w:tcW w:w="132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A18476B">
            <w:pPr>
              <w:keepNext/>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status</w:t>
            </w:r>
          </w:p>
        </w:tc>
        <w:tc>
          <w:tcPr>
            <w:tcW w:w="144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C05B499">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生命周期状态</w:t>
            </w:r>
          </w:p>
        </w:tc>
        <w:tc>
          <w:tcPr>
            <w:tcW w:w="144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245F6D7">
            <w:pPr>
              <w:keepNext/>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Enum</w:t>
            </w:r>
          </w:p>
        </w:tc>
        <w:tc>
          <w:tcPr>
            <w:tcW w:w="1485"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C9E0040">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w:t>
            </w:r>
          </w:p>
        </w:tc>
        <w:tc>
          <w:tcPr>
            <w:tcW w:w="345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9413945">
            <w:pPr>
              <w:keepNext/>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草稿 / 待审 / 生效中 / 历史废止</w:t>
            </w:r>
          </w:p>
        </w:tc>
        <w:tc>
          <w:tcPr>
            <w:tcW w:w="64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2D838E6">
            <w:pPr>
              <w:keepNext/>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L0</w:t>
            </w:r>
          </w:p>
        </w:tc>
      </w:tr>
    </w:tbl>
    <w:p w14:paraId="37B74F29">
      <w:pPr>
        <w:spacing w:after="60"/>
        <w:rPr>
          <w:rFonts w:hint="eastAsia" w:ascii="微软雅黑" w:hAnsi="微软雅黑" w:eastAsia="微软雅黑" w:cs="微软雅黑"/>
          <w:sz w:val="21"/>
          <w:szCs w:val="21"/>
        </w:rPr>
      </w:pPr>
    </w:p>
    <w:p w14:paraId="23C4EF96">
      <w:pPr>
        <w:rPr>
          <w:rFonts w:hint="eastAsia" w:ascii="微软雅黑" w:hAnsi="微软雅黑" w:eastAsia="微软雅黑" w:cs="微软雅黑"/>
          <w:sz w:val="21"/>
          <w:szCs w:val="21"/>
        </w:rPr>
      </w:pPr>
      <w:r>
        <w:rPr>
          <w:rFonts w:hint="eastAsia" w:ascii="微软雅黑" w:hAnsi="微软雅黑" w:eastAsia="微软雅黑" w:cs="微软雅黑"/>
          <w:sz w:val="21"/>
          <w:szCs w:val="21"/>
        </w:rPr>
        <w:br w:type="page"/>
      </w:r>
    </w:p>
    <w:p w14:paraId="7D6328ED">
      <w:pPr>
        <w:pStyle w:val="3"/>
        <w:keepNext/>
        <w:spacing w:before="360" w:after="160"/>
        <w:rPr>
          <w:rFonts w:hint="eastAsia" w:ascii="微软雅黑" w:hAnsi="微软雅黑" w:eastAsia="微软雅黑" w:cs="微软雅黑"/>
          <w:sz w:val="28"/>
          <w:szCs w:val="28"/>
        </w:rPr>
      </w:pPr>
      <w:bookmarkStart w:id="47" w:name="_Toc8065"/>
      <w:r>
        <w:rPr>
          <w:rFonts w:hint="eastAsia" w:ascii="微软雅黑" w:hAnsi="微软雅黑" w:eastAsia="微软雅黑" w:cs="微软雅黑"/>
          <w:b/>
          <w:color w:val="1E3A8A"/>
          <w:sz w:val="28"/>
          <w:szCs w:val="28"/>
        </w:rPr>
        <w:t>第四篇：系统底座、接口契约与 QA 质量验收</w:t>
      </w:r>
      <w:bookmarkEnd w:id="47"/>
    </w:p>
    <w:p w14:paraId="106BB33D">
      <w:pPr>
        <w:pStyle w:val="4"/>
        <w:keepNext/>
        <w:spacing w:before="260" w:after="100"/>
        <w:outlineLvl w:val="1"/>
        <w:rPr>
          <w:rFonts w:hint="eastAsia" w:ascii="微软雅黑" w:hAnsi="微软雅黑" w:eastAsia="微软雅黑" w:cs="微软雅黑"/>
          <w:sz w:val="21"/>
          <w:szCs w:val="21"/>
        </w:rPr>
      </w:pPr>
      <w:bookmarkStart w:id="48" w:name="_Toc3916"/>
      <w:r>
        <w:rPr>
          <w:rFonts w:hint="eastAsia" w:ascii="微软雅黑" w:hAnsi="微软雅黑" w:eastAsia="微软雅黑" w:cs="微软雅黑"/>
          <w:b/>
          <w:color w:val="0284C7"/>
          <w:sz w:val="21"/>
          <w:szCs w:val="21"/>
        </w:rPr>
        <w:t>第 16 章 六级组织架构与穿透鉴权体系</w:t>
      </w:r>
      <w:bookmarkEnd w:id="48"/>
    </w:p>
    <w:p w14:paraId="4B9A1BCB">
      <w:pPr>
        <w:spacing w:after="80" w:line="288" w:lineRule="auto"/>
        <w:ind w:firstLine="720" w:firstLineChars="0"/>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架构规范：</w:t>
      </w:r>
      <w:r>
        <w:rPr>
          <w:rFonts w:hint="eastAsia" w:ascii="微软雅黑" w:hAnsi="微软雅黑" w:eastAsia="微软雅黑" w:cs="微软雅黑"/>
          <w:color w:val="1F2937"/>
          <w:sz w:val="21"/>
          <w:szCs w:val="21"/>
        </w:rPr>
        <w:t>系统严格执行【特变电工集团 ➔ 产业集团 ➔ 二级公司 ➔ 生产园区 ➔ 制造车间 ➔ 用能设备】六级穿透鉴权与数据物理隔离。上级节点通过物化视图自动聚合下级指标，下级节点严格隔离，越权请求触发 E_AUTH_RBAC_FORBIDDEN。</w:t>
      </w:r>
    </w:p>
    <w:p w14:paraId="67D2C116">
      <w:pPr>
        <w:pStyle w:val="4"/>
        <w:keepNext/>
        <w:spacing w:before="260" w:after="100"/>
        <w:outlineLvl w:val="1"/>
        <w:rPr>
          <w:rFonts w:hint="eastAsia" w:ascii="微软雅黑" w:hAnsi="微软雅黑" w:eastAsia="微软雅黑" w:cs="微软雅黑"/>
          <w:sz w:val="21"/>
          <w:szCs w:val="21"/>
        </w:rPr>
      </w:pPr>
      <w:bookmarkStart w:id="49" w:name="_Toc1714"/>
      <w:r>
        <w:rPr>
          <w:rFonts w:hint="eastAsia" w:ascii="微软雅黑" w:hAnsi="微软雅黑" w:eastAsia="微软雅黑" w:cs="微软雅黑"/>
          <w:b/>
          <w:color w:val="0284C7"/>
          <w:sz w:val="21"/>
          <w:szCs w:val="21"/>
        </w:rPr>
        <w:t>第 17 章 外部系统集成与 API 契约 (OpenAPI 3.0 &amp; IoT)</w:t>
      </w:r>
      <w:bookmarkEnd w:id="49"/>
    </w:p>
    <w:p w14:paraId="59AF27C3">
      <w:pPr>
        <w:spacing w:after="80" w:line="288" w:lineRule="auto"/>
        <w:ind w:firstLine="720" w:firstLineChars="0"/>
        <w:rPr>
          <w:rFonts w:hint="eastAsia" w:ascii="微软雅黑" w:hAnsi="微软雅黑" w:eastAsia="微软雅黑" w:cs="微软雅黑"/>
          <w:sz w:val="21"/>
          <w:szCs w:val="21"/>
        </w:rPr>
      </w:pPr>
      <w:r>
        <w:rPr>
          <w:rFonts w:hint="eastAsia" w:ascii="微软雅黑" w:hAnsi="微软雅黑" w:eastAsia="微软雅黑" w:cs="微软雅黑"/>
          <w:b/>
          <w:color w:val="1E3A8A"/>
          <w:sz w:val="21"/>
          <w:szCs w:val="21"/>
        </w:rPr>
        <w:t>接口协议：</w:t>
      </w:r>
      <w:r>
        <w:rPr>
          <w:rFonts w:hint="eastAsia" w:ascii="微软雅黑" w:hAnsi="微软雅黑" w:eastAsia="微软雅黑" w:cs="微软雅黑"/>
          <w:color w:val="1F2937"/>
          <w:sz w:val="21"/>
          <w:szCs w:val="21"/>
        </w:rPr>
        <w:t>1. IoT 物联采集网关：通过 Modbus-TCP / MQTT 协议实现全厂数千台数字电表、变送器秒级遥测高频采集，写入分布式时序数据库 (InfluxDB/TDengine)；</w:t>
      </w:r>
      <w:r>
        <w:rPr>
          <w:rFonts w:hint="eastAsia" w:ascii="微软雅黑" w:hAnsi="微软雅黑" w:eastAsia="微软雅黑" w:cs="微软雅黑"/>
          <w:color w:val="1F2937"/>
          <w:sz w:val="21"/>
          <w:szCs w:val="21"/>
        </w:rPr>
        <w:br w:type="textWrapping"/>
      </w:r>
      <w:r>
        <w:rPr>
          <w:rFonts w:hint="eastAsia" w:ascii="微软雅黑" w:hAnsi="微软雅黑" w:eastAsia="微软雅黑" w:cs="微软雅黑"/>
          <w:color w:val="1F2937"/>
          <w:sz w:val="21"/>
          <w:szCs w:val="21"/>
        </w:rPr>
        <w:t>2. 企业 ERP/MES 集成：基于 OpenAPI 3.0 契约，自动定时同步产品批次 BOM 清单、实际报工产量工时及财务电费账单。</w:t>
      </w:r>
    </w:p>
    <w:p w14:paraId="5CFFBEE2">
      <w:pPr>
        <w:pStyle w:val="4"/>
        <w:keepNext/>
        <w:spacing w:before="260" w:after="100"/>
        <w:outlineLvl w:val="1"/>
        <w:rPr>
          <w:rFonts w:hint="eastAsia" w:ascii="微软雅黑" w:hAnsi="微软雅黑" w:eastAsia="微软雅黑" w:cs="微软雅黑"/>
          <w:sz w:val="21"/>
          <w:szCs w:val="21"/>
        </w:rPr>
      </w:pPr>
      <w:bookmarkStart w:id="50" w:name="_Toc14942"/>
      <w:r>
        <w:rPr>
          <w:rFonts w:hint="eastAsia" w:ascii="微软雅黑" w:hAnsi="微软雅黑" w:eastAsia="微软雅黑" w:cs="微软雅黑"/>
          <w:b/>
          <w:color w:val="0284C7"/>
          <w:sz w:val="21"/>
          <w:szCs w:val="21"/>
        </w:rPr>
        <w:t>第 18 章 质量保障体系与全量验收测试用例矩阵 (QA Matrix)</w:t>
      </w:r>
      <w:bookmarkEnd w:id="50"/>
    </w:p>
    <w:tbl>
      <w:tblPr>
        <w:tblStyle w:val="35"/>
        <w:tblW w:w="9792" w:type="dxa"/>
        <w:jc w:val="center"/>
        <w:tblLayout w:type="autofit"/>
        <w:tblCellMar>
          <w:top w:w="0" w:type="dxa"/>
          <w:left w:w="108" w:type="dxa"/>
          <w:bottom w:w="0" w:type="dxa"/>
          <w:right w:w="108" w:type="dxa"/>
        </w:tblCellMar>
      </w:tblPr>
      <w:tblGrid>
        <w:gridCol w:w="1118"/>
        <w:gridCol w:w="1415"/>
        <w:gridCol w:w="2488"/>
        <w:gridCol w:w="3628"/>
        <w:gridCol w:w="1143"/>
      </w:tblGrid>
      <w:tr w14:paraId="720B06C6">
        <w:tblPrEx>
          <w:tblCellMar>
            <w:top w:w="0" w:type="dxa"/>
            <w:left w:w="108" w:type="dxa"/>
            <w:bottom w:w="0" w:type="dxa"/>
            <w:right w:w="108" w:type="dxa"/>
          </w:tblCellMar>
        </w:tblPrEx>
        <w:trPr>
          <w:trHeight w:val="0" w:hRule="atLeast"/>
          <w:tblHeader/>
          <w:jc w:val="center"/>
        </w:trPr>
        <w:tc>
          <w:tcPr>
            <w:tcW w:w="1118"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3A29F31B">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用例编号</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51898059">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验证要点</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3DE4EAE6">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测试输入与方法</w:t>
            </w:r>
          </w:p>
        </w:tc>
        <w:tc>
          <w:tcPr>
            <w:tcW w:w="3628"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34A360B9">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期望输出与验收指标</w:t>
            </w:r>
          </w:p>
        </w:tc>
        <w:tc>
          <w:tcPr>
            <w:tcW w:w="1143"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1742C8A2">
            <w:pPr>
              <w:snapToGrid w:val="0"/>
              <w:spacing w:line="240" w:lineRule="auto"/>
              <w:ind w:left="0" w:leftChars="0" w:right="0" w:rightChars="0" w:firstLine="0" w:firstLineChars="0"/>
              <w:jc w:val="center"/>
              <w:rPr>
                <w:rFonts w:hint="eastAsia" w:ascii="微软雅黑" w:hAnsi="微软雅黑" w:eastAsia="微软雅黑" w:cs="微软雅黑"/>
                <w:b/>
                <w:sz w:val="21"/>
                <w:szCs w:val="21"/>
              </w:rPr>
            </w:pPr>
            <w:r>
              <w:rPr>
                <w:rFonts w:hint="eastAsia" w:ascii="微软雅黑" w:hAnsi="微软雅黑" w:eastAsia="微软雅黑" w:cs="微软雅黑"/>
                <w:b/>
                <w:color w:val="FFFFFF"/>
                <w:sz w:val="21"/>
                <w:szCs w:val="21"/>
              </w:rPr>
              <w:t>阻断级别</w:t>
            </w:r>
          </w:p>
        </w:tc>
      </w:tr>
      <w:tr w14:paraId="4E2F8096">
        <w:tblPrEx>
          <w:tblCellMar>
            <w:top w:w="0" w:type="dxa"/>
            <w:left w:w="108" w:type="dxa"/>
            <w:bottom w:w="0" w:type="dxa"/>
            <w:right w:w="108" w:type="dxa"/>
          </w:tblCellMar>
        </w:tblPrEx>
        <w:trPr>
          <w:trHeight w:val="0" w:hRule="atLeast"/>
          <w:jc w:val="center"/>
        </w:trPr>
        <w:tc>
          <w:tcPr>
            <w:tcW w:w="111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BC517D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TC-01</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98DEFDC">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44px 工业表格行高</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734B072">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CSS 样式扫描 + 像素检查</w:t>
            </w:r>
          </w:p>
        </w:tc>
        <w:tc>
          <w:tcPr>
            <w:tcW w:w="362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DEE3BA2">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全站所有 &lt;tr&gt; 固定为 h-[44px]，垂直居中无抖动</w:t>
            </w:r>
          </w:p>
        </w:tc>
        <w:tc>
          <w:tcPr>
            <w:tcW w:w="114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5014C8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阻断 (Red-Line)</w:t>
            </w:r>
          </w:p>
        </w:tc>
      </w:tr>
      <w:tr w14:paraId="6D2E8D3D">
        <w:tblPrEx>
          <w:tblCellMar>
            <w:top w:w="0" w:type="dxa"/>
            <w:left w:w="108" w:type="dxa"/>
            <w:bottom w:w="0" w:type="dxa"/>
            <w:right w:w="108" w:type="dxa"/>
          </w:tblCellMar>
        </w:tblPrEx>
        <w:trPr>
          <w:trHeight w:val="0" w:hRule="atLeast"/>
          <w:jc w:val="center"/>
        </w:trPr>
        <w:tc>
          <w:tcPr>
            <w:tcW w:w="111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5B5A0D0">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TC-02</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F8EEBA4">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双端 100% 同构</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564D09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自动化对标双端 76 路由</w:t>
            </w:r>
          </w:p>
        </w:tc>
        <w:tc>
          <w:tcPr>
            <w:tcW w:w="362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A9BB384">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暗黑端(3000)与浅色端(3001)功能、图表与样式 100% 一致</w:t>
            </w:r>
          </w:p>
        </w:tc>
        <w:tc>
          <w:tcPr>
            <w:tcW w:w="114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BD03A0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阻断 (Red-Line)</w:t>
            </w:r>
          </w:p>
        </w:tc>
      </w:tr>
      <w:tr w14:paraId="6A1E0107">
        <w:tblPrEx>
          <w:tblCellMar>
            <w:top w:w="0" w:type="dxa"/>
            <w:left w:w="108" w:type="dxa"/>
            <w:bottom w:w="0" w:type="dxa"/>
            <w:right w:w="108" w:type="dxa"/>
          </w:tblCellMar>
        </w:tblPrEx>
        <w:trPr>
          <w:trHeight w:val="0" w:hRule="atLeast"/>
          <w:jc w:val="center"/>
        </w:trPr>
        <w:tc>
          <w:tcPr>
            <w:tcW w:w="111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E6A3351">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TC-03</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1611F1A">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工序白名单判空</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42745CE">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选择沈变/鲁缆智慧能源等无工序单位</w:t>
            </w:r>
          </w:p>
        </w:tc>
        <w:tc>
          <w:tcPr>
            <w:tcW w:w="362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5985918">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工序区域整行仅输出单行“暂无相关工序！”，无大段说教</w:t>
            </w:r>
          </w:p>
        </w:tc>
        <w:tc>
          <w:tcPr>
            <w:tcW w:w="114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ABBDD31">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阻断 (Red-Line)</w:t>
            </w:r>
          </w:p>
        </w:tc>
      </w:tr>
      <w:tr w14:paraId="728BD127">
        <w:tblPrEx>
          <w:tblCellMar>
            <w:top w:w="0" w:type="dxa"/>
            <w:left w:w="108" w:type="dxa"/>
            <w:bottom w:w="0" w:type="dxa"/>
            <w:right w:w="108" w:type="dxa"/>
          </w:tblCellMar>
        </w:tblPrEx>
        <w:trPr>
          <w:trHeight w:val="0" w:hRule="atLeast"/>
          <w:jc w:val="center"/>
        </w:trPr>
        <w:tc>
          <w:tcPr>
            <w:tcW w:w="111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BBF3F6A">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TC-04</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05F3657">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客观中立性纯洁度</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E3F35E9">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全系统文字定性词正则扫描</w:t>
            </w:r>
          </w:p>
        </w:tc>
        <w:tc>
          <w:tcPr>
            <w:tcW w:w="362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4F6D6FE">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零主观定性词汇（“表现优异/运行欠佳/落后单位”等）</w:t>
            </w:r>
          </w:p>
        </w:tc>
        <w:tc>
          <w:tcPr>
            <w:tcW w:w="114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EF03250">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阻断 (Red-Line)</w:t>
            </w:r>
          </w:p>
        </w:tc>
      </w:tr>
      <w:tr w14:paraId="7C8A94DB">
        <w:tblPrEx>
          <w:tblCellMar>
            <w:top w:w="0" w:type="dxa"/>
            <w:left w:w="108" w:type="dxa"/>
            <w:bottom w:w="0" w:type="dxa"/>
            <w:right w:w="108" w:type="dxa"/>
          </w:tblCellMar>
        </w:tblPrEx>
        <w:trPr>
          <w:trHeight w:val="0" w:hRule="atLeast"/>
          <w:jc w:val="center"/>
        </w:trPr>
        <w:tc>
          <w:tcPr>
            <w:tcW w:w="111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0F67A6A">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TC-05</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F49A67B">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极限除零边界防御</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40063AE">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BVA 极限输入月度产量 M = 0</w:t>
            </w:r>
          </w:p>
        </w:tc>
        <w:tc>
          <w:tcPr>
            <w:tcW w:w="362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D30023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自动拦截除以零异常，单耗显示“--”，严禁出现 NaN 或白屏</w:t>
            </w:r>
          </w:p>
        </w:tc>
        <w:tc>
          <w:tcPr>
            <w:tcW w:w="114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A325037">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阻断 (Red-Line)</w:t>
            </w:r>
          </w:p>
        </w:tc>
      </w:tr>
      <w:tr w14:paraId="1B7581CD">
        <w:tblPrEx>
          <w:tblCellMar>
            <w:top w:w="0" w:type="dxa"/>
            <w:left w:w="108" w:type="dxa"/>
            <w:bottom w:w="0" w:type="dxa"/>
            <w:right w:w="108" w:type="dxa"/>
          </w:tblCellMar>
        </w:tblPrEx>
        <w:trPr>
          <w:trHeight w:val="0" w:hRule="atLeast"/>
          <w:jc w:val="center"/>
        </w:trPr>
        <w:tc>
          <w:tcPr>
            <w:tcW w:w="111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3BE24B3">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TC-06</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F171C33">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数据录入并发防刷</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42E4FDA">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100ms 内快速连续点击提交 3 次</w:t>
            </w:r>
          </w:p>
        </w:tc>
        <w:tc>
          <w:tcPr>
            <w:tcW w:w="362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6B85E97">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Token 幂等拦截，仅首笔入库，提示防刷，防止重复记账</w:t>
            </w:r>
          </w:p>
        </w:tc>
        <w:tc>
          <w:tcPr>
            <w:tcW w:w="114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5C86B44">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阻断 (Red-Line)</w:t>
            </w:r>
          </w:p>
        </w:tc>
      </w:tr>
      <w:tr w14:paraId="73714C20">
        <w:tblPrEx>
          <w:tblCellMar>
            <w:top w:w="0" w:type="dxa"/>
            <w:left w:w="108" w:type="dxa"/>
            <w:bottom w:w="0" w:type="dxa"/>
            <w:right w:w="108" w:type="dxa"/>
          </w:tblCellMar>
        </w:tblPrEx>
        <w:trPr>
          <w:trHeight w:val="0" w:hRule="atLeast"/>
          <w:jc w:val="center"/>
        </w:trPr>
        <w:tc>
          <w:tcPr>
            <w:tcW w:w="111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F18503F">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TC-07</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3D9F606">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非负防错校验</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EB9D46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录入工作台输入产量为 -500 kVA</w:t>
            </w:r>
          </w:p>
        </w:tc>
        <w:tc>
          <w:tcPr>
            <w:tcW w:w="362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489C1E7">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前端即时拦截并红框高亮，禁止发送请求</w:t>
            </w:r>
          </w:p>
        </w:tc>
        <w:tc>
          <w:tcPr>
            <w:tcW w:w="114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6F15DB2">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阻断 (Red-Line)</w:t>
            </w:r>
          </w:p>
        </w:tc>
      </w:tr>
      <w:tr w14:paraId="77A56F41">
        <w:tblPrEx>
          <w:tblCellMar>
            <w:top w:w="0" w:type="dxa"/>
            <w:left w:w="108" w:type="dxa"/>
            <w:bottom w:w="0" w:type="dxa"/>
            <w:right w:w="108" w:type="dxa"/>
          </w:tblCellMar>
        </w:tblPrEx>
        <w:trPr>
          <w:trHeight w:val="0" w:hRule="atLeast"/>
          <w:jc w:val="center"/>
        </w:trPr>
        <w:tc>
          <w:tcPr>
            <w:tcW w:w="111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C48033B">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TC-08</w:t>
            </w:r>
          </w:p>
        </w:tc>
        <w:tc>
          <w:tcPr>
            <w:tcW w:w="1415"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A8CD713">
            <w:pPr>
              <w:snapToGrid w:val="0"/>
              <w:spacing w:line="240" w:lineRule="auto"/>
              <w:ind w:left="0" w:leftChars="0" w:right="0" w:rightChars="0" w:firstLine="0" w:firstLineChars="0"/>
              <w:jc w:val="center"/>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网络故障降级容灾</w:t>
            </w:r>
          </w:p>
        </w:tc>
        <w:tc>
          <w:tcPr>
            <w:tcW w:w="248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930AD53">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断网混沌工程故障注入</w:t>
            </w:r>
          </w:p>
        </w:tc>
        <w:tc>
          <w:tcPr>
            <w:tcW w:w="362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643841F">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优雅提示网络连接异常，恢复后支持一键重试刷新</w:t>
            </w:r>
          </w:p>
        </w:tc>
        <w:tc>
          <w:tcPr>
            <w:tcW w:w="114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04265DE">
            <w:pPr>
              <w:snapToGrid w:val="0"/>
              <w:spacing w:line="240" w:lineRule="auto"/>
              <w:ind w:left="0" w:leftChars="0" w:right="0" w:rightChars="0" w:firstLine="0" w:firstLineChars="0"/>
              <w:jc w:val="left"/>
              <w:rPr>
                <w:rFonts w:hint="eastAsia" w:ascii="微软雅黑" w:hAnsi="微软雅黑" w:eastAsia="微软雅黑" w:cs="微软雅黑"/>
                <w:sz w:val="21"/>
                <w:szCs w:val="21"/>
              </w:rPr>
            </w:pPr>
            <w:r>
              <w:rPr>
                <w:rFonts w:hint="eastAsia" w:ascii="微软雅黑" w:hAnsi="微软雅黑" w:eastAsia="微软雅黑" w:cs="微软雅黑"/>
                <w:color w:val="1F2937"/>
                <w:sz w:val="21"/>
                <w:szCs w:val="21"/>
              </w:rPr>
              <w:t>高优先级</w:t>
            </w:r>
          </w:p>
        </w:tc>
      </w:tr>
    </w:tbl>
    <w:p w14:paraId="5C86A74D">
      <w:pPr>
        <w:spacing w:after="60"/>
        <w:rPr>
          <w:rFonts w:hint="eastAsia" w:ascii="微软雅黑" w:hAnsi="微软雅黑" w:eastAsia="微软雅黑" w:cs="微软雅黑"/>
          <w:sz w:val="21"/>
          <w:szCs w:val="21"/>
        </w:rPr>
      </w:pPr>
    </w:p>
    <w:p w14:paraId="498DEDDE">
      <w:pPr>
        <w:rPr>
          <w:rFonts w:hint="eastAsia" w:ascii="微软雅黑" w:hAnsi="微软雅黑" w:eastAsia="微软雅黑" w:cs="微软雅黑"/>
          <w:sz w:val="21"/>
          <w:szCs w:val="21"/>
        </w:rPr>
      </w:pPr>
      <w:r>
        <w:rPr>
          <w:rFonts w:hint="eastAsia" w:ascii="微软雅黑" w:hAnsi="微软雅黑" w:eastAsia="微软雅黑" w:cs="微软雅黑"/>
          <w:sz w:val="21"/>
          <w:szCs w:val="21"/>
        </w:rPr>
        <w:br w:type="page"/>
      </w:r>
    </w:p>
    <w:p w14:paraId="637D841A">
      <w:pPr>
        <w:pStyle w:val="3"/>
        <w:keepNext/>
        <w:spacing w:before="360" w:after="160"/>
        <w:rPr>
          <w:rFonts w:hint="eastAsia" w:ascii="微软雅黑" w:hAnsi="微软雅黑" w:eastAsia="微软雅黑" w:cs="微软雅黑"/>
          <w:sz w:val="28"/>
          <w:szCs w:val="28"/>
        </w:rPr>
      </w:pPr>
      <w:bookmarkStart w:id="51" w:name="_Toc18223"/>
      <w:r>
        <w:rPr>
          <w:rFonts w:hint="eastAsia" w:ascii="微软雅黑" w:hAnsi="微软雅黑" w:eastAsia="微软雅黑" w:cs="微软雅黑"/>
          <w:b/>
          <w:color w:val="1E3A8A"/>
          <w:sz w:val="28"/>
          <w:szCs w:val="28"/>
        </w:rPr>
        <w:t xml:space="preserve">第五篇：工程治理、状态机与合规保障体系 </w:t>
      </w:r>
      <w:bookmarkEnd w:id="51"/>
    </w:p>
    <w:p w14:paraId="54B2177F">
      <w:pPr>
        <w:pStyle w:val="4"/>
        <w:keepNext/>
        <w:spacing w:before="260" w:after="100"/>
        <w:outlineLvl w:val="1"/>
        <w:rPr>
          <w:rFonts w:hint="eastAsia" w:ascii="微软雅黑" w:hAnsi="微软雅黑" w:eastAsia="微软雅黑" w:cs="微软雅黑"/>
        </w:rPr>
      </w:pPr>
      <w:bookmarkStart w:id="52" w:name="_Toc2287"/>
      <w:r>
        <w:rPr>
          <w:rFonts w:hint="eastAsia" w:ascii="微软雅黑" w:hAnsi="微软雅黑" w:eastAsia="微软雅黑" w:cs="微软雅黑"/>
          <w:b/>
          <w:color w:val="0284C7"/>
          <w:sz w:val="25"/>
        </w:rPr>
        <w:t>第 19 章 数据治理与商密合规 (Data Governance &amp; Confidentiality)</w:t>
      </w:r>
      <w:bookmarkEnd w:id="52"/>
    </w:p>
    <w:p w14:paraId="0835F3C8">
      <w:pPr>
        <w:spacing w:after="80" w:line="288" w:lineRule="auto"/>
        <w:rPr>
          <w:rFonts w:hint="eastAsia" w:ascii="微软雅黑" w:hAnsi="微软雅黑" w:eastAsia="微软雅黑" w:cs="微软雅黑"/>
        </w:rPr>
      </w:pPr>
      <w:bookmarkStart w:id="60" w:name="_GoBack"/>
      <w:bookmarkEnd w:id="60"/>
      <w:r>
        <w:rPr>
          <w:rFonts w:hint="eastAsia" w:ascii="微软雅黑" w:hAnsi="微软雅黑" w:eastAsia="微软雅黑" w:cs="微软雅黑"/>
          <w:color w:val="1F2937"/>
          <w:sz w:val="19"/>
        </w:rPr>
        <w:t>依据大型央国企商密规范与海外出海安全条例，建立严格的 L0~L4 数据分级、脱敏与审计留痕机制：</w:t>
      </w:r>
    </w:p>
    <w:tbl>
      <w:tblPr>
        <w:tblStyle w:val="35"/>
        <w:tblW w:w="9792" w:type="dxa"/>
        <w:jc w:val="center"/>
        <w:tblLayout w:type="autofit"/>
        <w:tblCellMar>
          <w:top w:w="0" w:type="dxa"/>
          <w:left w:w="108" w:type="dxa"/>
          <w:bottom w:w="0" w:type="dxa"/>
          <w:right w:w="108" w:type="dxa"/>
        </w:tblCellMar>
      </w:tblPr>
      <w:tblGrid>
        <w:gridCol w:w="1107"/>
        <w:gridCol w:w="1748"/>
        <w:gridCol w:w="2380"/>
        <w:gridCol w:w="2291"/>
        <w:gridCol w:w="2266"/>
      </w:tblGrid>
      <w:tr w14:paraId="1ACF9F05">
        <w:tblPrEx>
          <w:tblCellMar>
            <w:top w:w="0" w:type="dxa"/>
            <w:left w:w="108" w:type="dxa"/>
            <w:bottom w:w="0" w:type="dxa"/>
            <w:right w:w="108" w:type="dxa"/>
          </w:tblCellMar>
        </w:tblPrEx>
        <w:trPr>
          <w:trHeight w:val="0" w:hRule="atLeast"/>
          <w:tblHeader/>
          <w:jc w:val="center"/>
        </w:trPr>
        <w:tc>
          <w:tcPr>
            <w:tcW w:w="1107"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30CED808">
            <w:pPr>
              <w:snapToGrid w:val="0"/>
              <w:spacing w:line="240" w:lineRule="auto"/>
              <w:ind w:left="0" w:leftChars="0" w:right="0" w:rightChars="0" w:firstLine="0" w:firstLineChars="0"/>
              <w:jc w:val="center"/>
              <w:rPr>
                <w:rFonts w:hint="eastAsia" w:ascii="微软雅黑" w:hAnsi="微软雅黑" w:eastAsia="微软雅黑" w:cs="微软雅黑"/>
                <w:b/>
                <w:sz w:val="18"/>
              </w:rPr>
            </w:pPr>
            <w:r>
              <w:rPr>
                <w:rFonts w:hint="eastAsia" w:ascii="微软雅黑" w:hAnsi="微软雅黑" w:eastAsia="微软雅黑" w:cs="微软雅黑"/>
                <w:b/>
                <w:color w:val="FFFFFF"/>
                <w:sz w:val="18"/>
              </w:rPr>
              <w:t>级别标签</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5A67941C">
            <w:pPr>
              <w:snapToGrid w:val="0"/>
              <w:spacing w:line="240" w:lineRule="auto"/>
              <w:ind w:left="0" w:leftChars="0" w:right="0" w:rightChars="0" w:firstLine="0" w:firstLineChars="0"/>
              <w:jc w:val="center"/>
              <w:rPr>
                <w:rFonts w:hint="eastAsia" w:ascii="微软雅黑" w:hAnsi="微软雅黑" w:eastAsia="微软雅黑" w:cs="微软雅黑"/>
                <w:b/>
                <w:sz w:val="18"/>
              </w:rPr>
            </w:pPr>
            <w:r>
              <w:rPr>
                <w:rFonts w:hint="eastAsia" w:ascii="微软雅黑" w:hAnsi="微软雅黑" w:eastAsia="微软雅黑" w:cs="微软雅黑"/>
                <w:b/>
                <w:color w:val="FFFFFF"/>
                <w:sz w:val="18"/>
              </w:rPr>
              <w:t>密级名称</w:t>
            </w:r>
          </w:p>
        </w:tc>
        <w:tc>
          <w:tcPr>
            <w:tcW w:w="2380"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360650A3">
            <w:pPr>
              <w:snapToGrid w:val="0"/>
              <w:spacing w:line="240" w:lineRule="auto"/>
              <w:ind w:left="0" w:leftChars="0" w:right="0" w:rightChars="0" w:firstLine="0" w:firstLineChars="0"/>
              <w:jc w:val="center"/>
              <w:rPr>
                <w:rFonts w:hint="eastAsia" w:ascii="微软雅黑" w:hAnsi="微软雅黑" w:eastAsia="微软雅黑" w:cs="微软雅黑"/>
                <w:b/>
                <w:sz w:val="18"/>
              </w:rPr>
            </w:pPr>
            <w:r>
              <w:rPr>
                <w:rFonts w:hint="eastAsia" w:ascii="微软雅黑" w:hAnsi="微软雅黑" w:eastAsia="微软雅黑" w:cs="微软雅黑"/>
                <w:b/>
                <w:color w:val="FFFFFF"/>
                <w:sz w:val="18"/>
              </w:rPr>
              <w:t>典型业务字段</w:t>
            </w:r>
          </w:p>
        </w:tc>
        <w:tc>
          <w:tcPr>
            <w:tcW w:w="2291"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7AC93762">
            <w:pPr>
              <w:snapToGrid w:val="0"/>
              <w:spacing w:line="240" w:lineRule="auto"/>
              <w:ind w:left="0" w:leftChars="0" w:right="0" w:rightChars="0" w:firstLine="0" w:firstLineChars="0"/>
              <w:jc w:val="center"/>
              <w:rPr>
                <w:rFonts w:hint="eastAsia" w:ascii="微软雅黑" w:hAnsi="微软雅黑" w:eastAsia="微软雅黑" w:cs="微软雅黑"/>
                <w:b/>
                <w:sz w:val="18"/>
              </w:rPr>
            </w:pPr>
            <w:r>
              <w:rPr>
                <w:rFonts w:hint="eastAsia" w:ascii="微软雅黑" w:hAnsi="微软雅黑" w:eastAsia="微软雅黑" w:cs="微软雅黑"/>
                <w:b/>
                <w:color w:val="FFFFFF"/>
                <w:sz w:val="18"/>
              </w:rPr>
              <w:t>展示脱敏规则</w:t>
            </w:r>
          </w:p>
        </w:tc>
        <w:tc>
          <w:tcPr>
            <w:tcW w:w="2266"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62BF13DA">
            <w:pPr>
              <w:snapToGrid w:val="0"/>
              <w:spacing w:line="240" w:lineRule="auto"/>
              <w:ind w:left="0" w:leftChars="0" w:right="0" w:rightChars="0" w:firstLine="0" w:firstLineChars="0"/>
              <w:jc w:val="center"/>
              <w:rPr>
                <w:rFonts w:hint="eastAsia" w:ascii="微软雅黑" w:hAnsi="微软雅黑" w:eastAsia="微软雅黑" w:cs="微软雅黑"/>
                <w:b/>
                <w:sz w:val="18"/>
              </w:rPr>
            </w:pPr>
            <w:r>
              <w:rPr>
                <w:rFonts w:hint="eastAsia" w:ascii="微软雅黑" w:hAnsi="微软雅黑" w:eastAsia="微软雅黑" w:cs="微软雅黑"/>
                <w:b/>
                <w:color w:val="FFFFFF"/>
                <w:sz w:val="18"/>
              </w:rPr>
              <w:t>导出与存储处理要求</w:t>
            </w:r>
          </w:p>
        </w:tc>
      </w:tr>
      <w:tr w14:paraId="4CF5E56C">
        <w:tblPrEx>
          <w:tblCellMar>
            <w:top w:w="0" w:type="dxa"/>
            <w:left w:w="108" w:type="dxa"/>
            <w:bottom w:w="0" w:type="dxa"/>
            <w:right w:w="108" w:type="dxa"/>
          </w:tblCellMar>
        </w:tblPrEx>
        <w:trPr>
          <w:trHeight w:val="0" w:hRule="atLeast"/>
          <w:jc w:val="center"/>
        </w:trPr>
        <w:tc>
          <w:tcPr>
            <w:tcW w:w="110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BE63D0F">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L0</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065E743">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公开 (PUBLIC)</w:t>
            </w:r>
          </w:p>
        </w:tc>
        <w:tc>
          <w:tcPr>
            <w:tcW w:w="238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C634872">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国家行业能耗先进值、国家准入值、折标煤系数</w:t>
            </w:r>
          </w:p>
        </w:tc>
        <w:tc>
          <w:tcPr>
            <w:tcW w:w="229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2F29814">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明文正常展示</w:t>
            </w:r>
          </w:p>
        </w:tc>
        <w:tc>
          <w:tcPr>
            <w:tcW w:w="226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5A670BE">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允许对外发布与公开引用</w:t>
            </w:r>
          </w:p>
        </w:tc>
      </w:tr>
      <w:tr w14:paraId="37B0E4C6">
        <w:tblPrEx>
          <w:tblCellMar>
            <w:top w:w="0" w:type="dxa"/>
            <w:left w:w="108" w:type="dxa"/>
            <w:bottom w:w="0" w:type="dxa"/>
            <w:right w:w="108" w:type="dxa"/>
          </w:tblCellMar>
        </w:tblPrEx>
        <w:trPr>
          <w:trHeight w:val="0" w:hRule="atLeast"/>
          <w:jc w:val="center"/>
        </w:trPr>
        <w:tc>
          <w:tcPr>
            <w:tcW w:w="110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7F7F7C0">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L1</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98C1B0E">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内部 (INTERNAL)</w:t>
            </w:r>
          </w:p>
        </w:tc>
        <w:tc>
          <w:tcPr>
            <w:tcW w:w="238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6F0BA7C">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各基地万元产值能耗、单位产品单耗、绿电消纳率</w:t>
            </w:r>
          </w:p>
        </w:tc>
        <w:tc>
          <w:tcPr>
            <w:tcW w:w="229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51EF65E">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全集团统一内网展示</w:t>
            </w:r>
          </w:p>
        </w:tc>
        <w:tc>
          <w:tcPr>
            <w:tcW w:w="2266"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50E1892">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仅限特变电工内部网络访问与流转</w:t>
            </w:r>
          </w:p>
        </w:tc>
      </w:tr>
      <w:tr w14:paraId="2416F28E">
        <w:tblPrEx>
          <w:tblCellMar>
            <w:top w:w="0" w:type="dxa"/>
            <w:left w:w="108" w:type="dxa"/>
            <w:bottom w:w="0" w:type="dxa"/>
            <w:right w:w="108" w:type="dxa"/>
          </w:tblCellMar>
        </w:tblPrEx>
        <w:trPr>
          <w:trHeight w:val="0" w:hRule="atLeast"/>
          <w:jc w:val="center"/>
        </w:trPr>
        <w:tc>
          <w:tcPr>
            <w:tcW w:w="110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67303B9">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L2</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441E915">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敏感 (SENSITIVE)</w:t>
            </w:r>
          </w:p>
        </w:tc>
        <w:tc>
          <w:tcPr>
            <w:tcW w:w="238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F2DC83A">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重点设备编码、车间统计员手机号、采集表计 UUID</w:t>
            </w:r>
          </w:p>
        </w:tc>
        <w:tc>
          <w:tcPr>
            <w:tcW w:w="229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355C154">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手机号保留前3后4，UUID保留尾4位</w:t>
            </w:r>
          </w:p>
        </w:tc>
        <w:tc>
          <w:tcPr>
            <w:tcW w:w="226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DABFA6A">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访问审计留痕，导出带工号动态水印</w:t>
            </w:r>
          </w:p>
        </w:tc>
      </w:tr>
      <w:tr w14:paraId="522948B3">
        <w:tblPrEx>
          <w:tblCellMar>
            <w:top w:w="0" w:type="dxa"/>
            <w:left w:w="108" w:type="dxa"/>
            <w:bottom w:w="0" w:type="dxa"/>
            <w:right w:w="108" w:type="dxa"/>
          </w:tblCellMar>
        </w:tblPrEx>
        <w:trPr>
          <w:trHeight w:val="0" w:hRule="atLeast"/>
          <w:jc w:val="center"/>
        </w:trPr>
        <w:tc>
          <w:tcPr>
            <w:tcW w:w="110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EA2D30F">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L3</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550E607">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商密 (CONFIDENTIAL)</w:t>
            </w:r>
          </w:p>
        </w:tc>
        <w:tc>
          <w:tcPr>
            <w:tcW w:w="238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D410745">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变压器工艺配方、月度电费金额、CBAM 申报底表</w:t>
            </w:r>
          </w:p>
        </w:tc>
        <w:tc>
          <w:tcPr>
            <w:tcW w:w="229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664273D">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电费四舍五入到万元，CBAM底表仅P5/PM可见</w:t>
            </w:r>
          </w:p>
        </w:tc>
        <w:tc>
          <w:tcPr>
            <w:tcW w:w="2266"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F70AF0A">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落盘AES-256加密存储，操作链式Hash留痕</w:t>
            </w:r>
          </w:p>
        </w:tc>
      </w:tr>
      <w:tr w14:paraId="19F851A3">
        <w:tblPrEx>
          <w:tblCellMar>
            <w:top w:w="0" w:type="dxa"/>
            <w:left w:w="108" w:type="dxa"/>
            <w:bottom w:w="0" w:type="dxa"/>
            <w:right w:w="108" w:type="dxa"/>
          </w:tblCellMar>
        </w:tblPrEx>
        <w:trPr>
          <w:trHeight w:val="0" w:hRule="atLeast"/>
          <w:jc w:val="center"/>
        </w:trPr>
        <w:tc>
          <w:tcPr>
            <w:tcW w:w="110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DDA5377">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L4</w:t>
            </w:r>
          </w:p>
        </w:tc>
        <w:tc>
          <w:tcPr>
            <w:tcW w:w="174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98296EC">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绝密 (TOP_SECRET)</w:t>
            </w:r>
          </w:p>
        </w:tc>
        <w:tc>
          <w:tcPr>
            <w:tcW w:w="238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36EC590">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集团双碳战略投资路线图、上市公司核心能耗决算</w:t>
            </w:r>
          </w:p>
        </w:tc>
        <w:tc>
          <w:tcPr>
            <w:tcW w:w="229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CBF34A4">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高管双重鉴权展示，强制显式全屏防截屏水印</w:t>
            </w:r>
          </w:p>
        </w:tc>
        <w:tc>
          <w:tcPr>
            <w:tcW w:w="226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BC73CFD">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仅P1集团决策层授权访问，双人签批导出</w:t>
            </w:r>
          </w:p>
        </w:tc>
      </w:tr>
    </w:tbl>
    <w:p w14:paraId="1B596962">
      <w:pPr>
        <w:spacing w:after="60"/>
        <w:rPr>
          <w:rFonts w:hint="eastAsia" w:ascii="微软雅黑" w:hAnsi="微软雅黑" w:eastAsia="微软雅黑" w:cs="微软雅黑"/>
        </w:rPr>
      </w:pPr>
    </w:p>
    <w:p w14:paraId="46143197">
      <w:pPr>
        <w:spacing w:after="80" w:line="288" w:lineRule="auto"/>
        <w:rPr>
          <w:rFonts w:hint="eastAsia" w:ascii="微软雅黑" w:hAnsi="微软雅黑" w:eastAsia="微软雅黑" w:cs="微软雅黑"/>
        </w:rPr>
      </w:pPr>
      <w:r>
        <w:rPr>
          <w:rFonts w:hint="eastAsia" w:ascii="微软雅黑" w:hAnsi="微软雅黑" w:eastAsia="微软雅黑" w:cs="微软雅黑"/>
          <w:color w:val="1F2937"/>
          <w:sz w:val="19"/>
        </w:rPr>
        <w:t>【数据法定保留与销毁期限】：</w:t>
      </w:r>
      <w:r>
        <w:rPr>
          <w:rFonts w:hint="eastAsia" w:ascii="微软雅黑" w:hAnsi="微软雅黑" w:eastAsia="微软雅黑" w:cs="微软雅黑"/>
          <w:color w:val="1F2937"/>
          <w:sz w:val="19"/>
        </w:rPr>
        <w:br w:type="textWrapping"/>
      </w:r>
      <w:r>
        <w:rPr>
          <w:rFonts w:hint="eastAsia" w:ascii="微软雅黑" w:hAnsi="微软雅黑" w:eastAsia="微软雅黑" w:cs="微软雅黑"/>
          <w:color w:val="1F2937"/>
          <w:sz w:val="19"/>
        </w:rPr>
        <w:t>1. 工业时序遥测数据：在线存储 ≥ 3 年，冷归档存储 ≥ 10 年；</w:t>
      </w:r>
      <w:r>
        <w:rPr>
          <w:rFonts w:hint="eastAsia" w:ascii="微软雅黑" w:hAnsi="微软雅黑" w:eastAsia="微软雅黑" w:cs="微软雅黑"/>
          <w:color w:val="1F2937"/>
          <w:sz w:val="19"/>
        </w:rPr>
        <w:br w:type="textWrapping"/>
      </w:r>
      <w:r>
        <w:rPr>
          <w:rFonts w:hint="eastAsia" w:ascii="微软雅黑" w:hAnsi="微软雅黑" w:eastAsia="微软雅黑" w:cs="微软雅黑"/>
          <w:color w:val="1F2937"/>
          <w:sz w:val="19"/>
        </w:rPr>
        <w:t>2. 财务电费与用能台账：法定保留 ≥ 10 年，到期按国家档案法规销毁；</w:t>
      </w:r>
      <w:r>
        <w:rPr>
          <w:rFonts w:hint="eastAsia" w:ascii="微软雅黑" w:hAnsi="微软雅黑" w:eastAsia="微软雅黑" w:cs="微软雅黑"/>
          <w:color w:val="1F2937"/>
          <w:sz w:val="19"/>
        </w:rPr>
        <w:br w:type="textWrapping"/>
      </w:r>
      <w:r>
        <w:rPr>
          <w:rFonts w:hint="eastAsia" w:ascii="微软雅黑" w:hAnsi="微软雅黑" w:eastAsia="微软雅黑" w:cs="微软雅黑"/>
          <w:color w:val="1F2937"/>
          <w:sz w:val="19"/>
        </w:rPr>
        <w:t>3. 欧盟 CBAM 申报底表：法定保留 ≥ 10 年（欧盟海关追溯要求）；</w:t>
      </w:r>
      <w:r>
        <w:rPr>
          <w:rFonts w:hint="eastAsia" w:ascii="微软雅黑" w:hAnsi="微软雅黑" w:eastAsia="微软雅黑" w:cs="微软雅黑"/>
          <w:color w:val="1F2937"/>
          <w:sz w:val="19"/>
        </w:rPr>
        <w:br w:type="textWrapping"/>
      </w:r>
      <w:r>
        <w:rPr>
          <w:rFonts w:hint="eastAsia" w:ascii="微软雅黑" w:hAnsi="微软雅黑" w:eastAsia="微软雅黑" w:cs="微软雅黑"/>
          <w:color w:val="1F2937"/>
          <w:sz w:val="19"/>
        </w:rPr>
        <w:t>4. LCA 碳足迹报告与认证声明：永久留底，严禁销毁。</w:t>
      </w:r>
    </w:p>
    <w:p w14:paraId="48233DF5">
      <w:pPr>
        <w:pStyle w:val="4"/>
        <w:keepNext/>
        <w:spacing w:before="260" w:after="100"/>
        <w:outlineLvl w:val="1"/>
        <w:rPr>
          <w:rFonts w:hint="eastAsia" w:ascii="微软雅黑" w:hAnsi="微软雅黑" w:eastAsia="微软雅黑" w:cs="微软雅黑"/>
        </w:rPr>
      </w:pPr>
      <w:bookmarkStart w:id="53" w:name="_Toc11268"/>
      <w:r>
        <w:rPr>
          <w:rFonts w:hint="eastAsia" w:ascii="微软雅黑" w:hAnsi="微软雅黑" w:eastAsia="微软雅黑" w:cs="微软雅黑"/>
          <w:b/>
          <w:color w:val="0284C7"/>
          <w:sz w:val="25"/>
        </w:rPr>
        <w:t>第 20 章 关键业务长流程状态机图谱 (Business State Machines)</w:t>
      </w:r>
      <w:bookmarkEnd w:id="53"/>
    </w:p>
    <w:p w14:paraId="1B2BAEA3">
      <w:pPr>
        <w:spacing w:after="80" w:line="288" w:lineRule="auto"/>
        <w:rPr>
          <w:rFonts w:hint="eastAsia" w:ascii="微软雅黑" w:hAnsi="微软雅黑" w:eastAsia="微软雅黑" w:cs="微软雅黑"/>
        </w:rPr>
      </w:pPr>
      <w:r>
        <w:rPr>
          <w:rFonts w:hint="eastAsia" w:ascii="微软雅黑" w:hAnsi="微软雅黑" w:eastAsia="微软雅黑" w:cs="微软雅黑"/>
          <w:color w:val="1F2937"/>
          <w:sz w:val="19"/>
        </w:rPr>
        <w:t>为全系统长流程、跨角色、涉及审批与回退的业务节点定义标准化状态流转机制：</w:t>
      </w:r>
    </w:p>
    <w:tbl>
      <w:tblPr>
        <w:tblStyle w:val="35"/>
        <w:tblW w:w="9792" w:type="dxa"/>
        <w:jc w:val="center"/>
        <w:tblLayout w:type="autofit"/>
        <w:tblCellMar>
          <w:top w:w="0" w:type="dxa"/>
          <w:left w:w="108" w:type="dxa"/>
          <w:bottom w:w="0" w:type="dxa"/>
          <w:right w:w="108" w:type="dxa"/>
        </w:tblCellMar>
      </w:tblPr>
      <w:tblGrid>
        <w:gridCol w:w="1540"/>
        <w:gridCol w:w="3310"/>
        <w:gridCol w:w="2193"/>
        <w:gridCol w:w="2749"/>
      </w:tblGrid>
      <w:tr w14:paraId="65468D8A">
        <w:trPr>
          <w:trHeight w:val="0" w:hRule="atLeast"/>
          <w:tblHeader/>
          <w:jc w:val="center"/>
        </w:trPr>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6E2BF226">
            <w:pPr>
              <w:keepNext/>
              <w:snapToGrid w:val="0"/>
              <w:spacing w:line="240" w:lineRule="auto"/>
              <w:ind w:left="0" w:leftChars="0" w:right="0" w:rightChars="0" w:firstLine="0" w:firstLineChars="0"/>
              <w:jc w:val="center"/>
              <w:rPr>
                <w:rFonts w:hint="eastAsia" w:ascii="微软雅黑" w:hAnsi="微软雅黑" w:eastAsia="微软雅黑" w:cs="微软雅黑"/>
                <w:b/>
                <w:sz w:val="18"/>
              </w:rPr>
            </w:pPr>
            <w:r>
              <w:rPr>
                <w:rFonts w:hint="eastAsia" w:ascii="微软雅黑" w:hAnsi="微软雅黑" w:eastAsia="微软雅黑" w:cs="微软雅黑"/>
                <w:b/>
                <w:color w:val="FFFFFF"/>
                <w:sz w:val="18"/>
              </w:rPr>
              <w:t>业务流程名称</w:t>
            </w:r>
          </w:p>
        </w:tc>
        <w:tc>
          <w:tcPr>
            <w:tcW w:w="3310"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5E5A368A">
            <w:pPr>
              <w:keepNext/>
              <w:snapToGrid w:val="0"/>
              <w:spacing w:line="240" w:lineRule="auto"/>
              <w:ind w:left="0" w:leftChars="0" w:right="0" w:rightChars="0" w:firstLine="0" w:firstLineChars="0"/>
              <w:jc w:val="center"/>
              <w:rPr>
                <w:rFonts w:hint="eastAsia" w:ascii="微软雅黑" w:hAnsi="微软雅黑" w:eastAsia="微软雅黑" w:cs="微软雅黑"/>
                <w:b/>
                <w:sz w:val="18"/>
              </w:rPr>
            </w:pPr>
            <w:r>
              <w:rPr>
                <w:rFonts w:hint="eastAsia" w:ascii="微软雅黑" w:hAnsi="微软雅黑" w:eastAsia="微软雅黑" w:cs="微软雅黑"/>
                <w:b/>
                <w:color w:val="FFFFFF"/>
                <w:sz w:val="18"/>
              </w:rPr>
              <w:t>全生命周期状态流转链</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6733ABCB">
            <w:pPr>
              <w:keepNext/>
              <w:snapToGrid w:val="0"/>
              <w:spacing w:line="240" w:lineRule="auto"/>
              <w:ind w:left="0" w:leftChars="0" w:right="0" w:rightChars="0" w:firstLine="0" w:firstLineChars="0"/>
              <w:jc w:val="center"/>
              <w:rPr>
                <w:rFonts w:hint="eastAsia" w:ascii="微软雅黑" w:hAnsi="微软雅黑" w:eastAsia="微软雅黑" w:cs="微软雅黑"/>
                <w:b/>
                <w:sz w:val="18"/>
              </w:rPr>
            </w:pPr>
            <w:r>
              <w:rPr>
                <w:rFonts w:hint="eastAsia" w:ascii="微软雅黑" w:hAnsi="微软雅黑" w:eastAsia="微软雅黑" w:cs="微软雅黑"/>
                <w:b/>
                <w:color w:val="FFFFFF"/>
                <w:sz w:val="18"/>
              </w:rPr>
              <w:t>可触发动作与角色边界</w:t>
            </w:r>
          </w:p>
        </w:tc>
        <w:tc>
          <w:tcPr>
            <w:tcW w:w="2749"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6502ED30">
            <w:pPr>
              <w:keepNext/>
              <w:snapToGrid w:val="0"/>
              <w:spacing w:line="240" w:lineRule="auto"/>
              <w:ind w:left="0" w:leftChars="0" w:right="0" w:rightChars="0" w:firstLine="0" w:firstLineChars="0"/>
              <w:jc w:val="center"/>
              <w:rPr>
                <w:rFonts w:hint="eastAsia" w:ascii="微软雅黑" w:hAnsi="微软雅黑" w:eastAsia="微软雅黑" w:cs="微软雅黑"/>
                <w:b/>
                <w:sz w:val="18"/>
              </w:rPr>
            </w:pPr>
            <w:r>
              <w:rPr>
                <w:rFonts w:hint="eastAsia" w:ascii="微软雅黑" w:hAnsi="微软雅黑" w:eastAsia="微软雅黑" w:cs="微软雅黑"/>
                <w:b/>
                <w:color w:val="FFFFFF"/>
                <w:sz w:val="18"/>
              </w:rPr>
              <w:t>异常回退策略</w:t>
            </w:r>
          </w:p>
        </w:tc>
      </w:tr>
      <w:tr w14:paraId="78CEC21C">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B7F3BC7">
            <w:pPr>
              <w:keepNext/>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LCA 碳足迹核算</w:t>
            </w:r>
          </w:p>
        </w:tc>
        <w:tc>
          <w:tcPr>
            <w:tcW w:w="331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2BC113D">
            <w:pPr>
              <w:keepNext/>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草稿 (DRAFT) ➔ 送审 (SUBMITTED) ➔ 认证中 (CERTIFYING) ➔ 已认证 (CERTIFIED) ➔ 已发布 (PUBLISHED) ➔ 已归档 (ARCHIVED)</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FEF7303">
            <w:pPr>
              <w:keepNext/>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草稿仅 P4 自身编辑；送审后锁定；认证中第三方介入；发布需 P4+PM 联合签字</w:t>
            </w:r>
          </w:p>
        </w:tc>
        <w:tc>
          <w:tcPr>
            <w:tcW w:w="274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9B984F9">
            <w:pPr>
              <w:keepNext/>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机构退回时状态回退至“草稿”，释放编辑锁并记录退回意见</w:t>
            </w:r>
          </w:p>
        </w:tc>
      </w:tr>
      <w:tr w14:paraId="709508B7">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52642A0">
            <w:pPr>
              <w:keepNext/>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CBAM 关税申报</w:t>
            </w:r>
          </w:p>
        </w:tc>
        <w:tc>
          <w:tcPr>
            <w:tcW w:w="331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F58DB42">
            <w:pPr>
              <w:keepNext/>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模拟测算 (SIMULATING) ➔ 待审 (PENDING_REVIEW) ➔ 已提交 (SUBMITTED) ➔ 海关反馈 (CUSTOMS_FEEDBACK) ➔ 已归档 (ARCHIVED)</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23A08DD">
            <w:pPr>
              <w:keepNext/>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模拟仅 P5 可触发；提交必须经 P5 报关专家与 P1 集团决策层双重电子签章</w:t>
            </w:r>
          </w:p>
        </w:tc>
        <w:tc>
          <w:tcPr>
            <w:tcW w:w="274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DC23951">
            <w:pPr>
              <w:keepNext/>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海关质询时转入“海关反馈”，补正后重新提交并生成新修订流水号</w:t>
            </w:r>
          </w:p>
        </w:tc>
      </w:tr>
      <w:tr w14:paraId="0B34A2FA">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3A2947E">
            <w:pPr>
              <w:keepNext/>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节能效益评估</w:t>
            </w:r>
          </w:p>
        </w:tc>
        <w:tc>
          <w:tcPr>
            <w:tcW w:w="331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6D53AEC">
            <w:pPr>
              <w:keepNext/>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项目立项 (REGISTERED) ➔ 建设施工 (CONSTRUCTING) ➔ 并网试运行 (TRIAL_RUN) ➔ 稳定运行 (STABLE) ➔ 已完结 (CLOSED)</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21A89FA">
            <w:pPr>
              <w:keepNext/>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并网试运行需满足 90 天 M&amp;V 连续采数，验收通过方可流转至“稳定运行”</w:t>
            </w:r>
          </w:p>
        </w:tc>
        <w:tc>
          <w:tcPr>
            <w:tcW w:w="274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844567B">
            <w:pPr>
              <w:keepNext/>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年度复评未达标时转入“整改 (RECTIFICATION)”，整改完毕复核转回</w:t>
            </w:r>
          </w:p>
        </w:tc>
      </w:tr>
      <w:tr w14:paraId="3B33139B">
        <w:tblPrEx>
          <w:tblCellMar>
            <w:top w:w="0" w:type="dxa"/>
            <w:left w:w="108" w:type="dxa"/>
            <w:bottom w:w="0" w:type="dxa"/>
            <w:right w:w="108" w:type="dxa"/>
          </w:tblCellMar>
        </w:tblPrEx>
        <w:trPr>
          <w:trHeight w:val="0" w:hRule="atLeast"/>
          <w:jc w:val="center"/>
        </w:trPr>
        <w:tc>
          <w:tcPr>
            <w:tcW w:w="154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8EB3BFD">
            <w:pPr>
              <w:keepNext/>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基层数据填报</w:t>
            </w:r>
          </w:p>
        </w:tc>
        <w:tc>
          <w:tcPr>
            <w:tcW w:w="331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8BECA0B">
            <w:pPr>
              <w:keepNext/>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空白 (BLANK) ➔ 录入中 (EDITING) ➔ 已暂存 (SAVED) ➔ 已提交 (SUBMITTED) ➔ 已入账 (POSTED) ➔ 锁账 (LOCKED)</w:t>
            </w:r>
          </w:p>
        </w:tc>
        <w:tc>
          <w:tcPr>
            <w:tcW w:w="219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2A2AC0B">
            <w:pPr>
              <w:keepNext/>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车间统计员 (P3) 录入暂存；动力处长审核提交；月度终了财务关账后状态变为“锁账”</w:t>
            </w:r>
          </w:p>
        </w:tc>
        <w:tc>
          <w:tcPr>
            <w:tcW w:w="274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643BB59">
            <w:pPr>
              <w:keepNext/>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审核驳回时退回至“已暂存”，入账后如需纠错须走特批反冲审批流程</w:t>
            </w:r>
          </w:p>
        </w:tc>
      </w:tr>
    </w:tbl>
    <w:p w14:paraId="3F4D0D9A">
      <w:pPr>
        <w:spacing w:after="60"/>
        <w:rPr>
          <w:rFonts w:hint="eastAsia" w:ascii="微软雅黑" w:hAnsi="微软雅黑" w:eastAsia="微软雅黑" w:cs="微软雅黑"/>
        </w:rPr>
      </w:pPr>
    </w:p>
    <w:p w14:paraId="0081E4DD">
      <w:pPr>
        <w:pStyle w:val="4"/>
        <w:keepNext/>
        <w:spacing w:before="260" w:after="100"/>
        <w:outlineLvl w:val="1"/>
        <w:rPr>
          <w:rFonts w:hint="eastAsia" w:ascii="微软雅黑" w:hAnsi="微软雅黑" w:eastAsia="微软雅黑" w:cs="微软雅黑"/>
        </w:rPr>
      </w:pPr>
      <w:bookmarkStart w:id="54" w:name="_Toc26356"/>
      <w:r>
        <w:rPr>
          <w:rFonts w:hint="eastAsia" w:ascii="微软雅黑" w:hAnsi="微软雅黑" w:eastAsia="微软雅黑" w:cs="微软雅黑"/>
          <w:b/>
          <w:color w:val="0284C7"/>
          <w:sz w:val="25"/>
        </w:rPr>
        <w:t>第 21 章 术语表与缩略语大全 (Glossary &amp; Abbreviations)</w:t>
      </w:r>
      <w:bookmarkEnd w:id="54"/>
    </w:p>
    <w:tbl>
      <w:tblPr>
        <w:tblStyle w:val="35"/>
        <w:tblW w:w="9792" w:type="dxa"/>
        <w:jc w:val="center"/>
        <w:tblLayout w:type="autofit"/>
        <w:tblCellMar>
          <w:top w:w="0" w:type="dxa"/>
          <w:left w:w="108" w:type="dxa"/>
          <w:bottom w:w="0" w:type="dxa"/>
          <w:right w:w="108" w:type="dxa"/>
        </w:tblCellMar>
      </w:tblPr>
      <w:tblGrid>
        <w:gridCol w:w="1219"/>
        <w:gridCol w:w="3431"/>
        <w:gridCol w:w="3600"/>
        <w:gridCol w:w="1542"/>
      </w:tblGrid>
      <w:tr w14:paraId="07722B5C">
        <w:tblPrEx>
          <w:tblCellMar>
            <w:top w:w="0" w:type="dxa"/>
            <w:left w:w="108" w:type="dxa"/>
            <w:bottom w:w="0" w:type="dxa"/>
            <w:right w:w="108" w:type="dxa"/>
          </w:tblCellMar>
        </w:tblPrEx>
        <w:trPr>
          <w:trHeight w:val="0" w:hRule="atLeast"/>
          <w:tblHeader/>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1868C9CF">
            <w:pPr>
              <w:snapToGrid w:val="0"/>
              <w:spacing w:line="240" w:lineRule="auto"/>
              <w:ind w:left="0" w:leftChars="0" w:right="0" w:rightChars="0" w:firstLine="0" w:firstLineChars="0"/>
              <w:jc w:val="center"/>
              <w:rPr>
                <w:rFonts w:hint="eastAsia" w:ascii="微软雅黑" w:hAnsi="微软雅黑" w:eastAsia="微软雅黑" w:cs="微软雅黑"/>
                <w:b/>
                <w:sz w:val="18"/>
              </w:rPr>
            </w:pPr>
            <w:r>
              <w:rPr>
                <w:rFonts w:hint="eastAsia" w:ascii="微软雅黑" w:hAnsi="微软雅黑" w:eastAsia="微软雅黑" w:cs="微软雅黑"/>
                <w:b/>
                <w:color w:val="FFFFFF"/>
                <w:sz w:val="18"/>
              </w:rPr>
              <w:t>术语/缩写</w:t>
            </w:r>
          </w:p>
        </w:tc>
        <w:tc>
          <w:tcPr>
            <w:tcW w:w="3431"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633B39F6">
            <w:pPr>
              <w:snapToGrid w:val="0"/>
              <w:spacing w:line="240" w:lineRule="auto"/>
              <w:ind w:left="0" w:leftChars="0" w:right="0" w:rightChars="0" w:firstLine="0" w:firstLineChars="0"/>
              <w:jc w:val="center"/>
              <w:rPr>
                <w:rFonts w:hint="eastAsia" w:ascii="微软雅黑" w:hAnsi="微软雅黑" w:eastAsia="微软雅黑" w:cs="微软雅黑"/>
                <w:b/>
                <w:sz w:val="18"/>
              </w:rPr>
            </w:pPr>
            <w:r>
              <w:rPr>
                <w:rFonts w:hint="eastAsia" w:ascii="微软雅黑" w:hAnsi="微软雅黑" w:eastAsia="微软雅黑" w:cs="微软雅黑"/>
                <w:b/>
                <w:color w:val="FFFFFF"/>
                <w:sz w:val="18"/>
              </w:rPr>
              <w:t>英文全称</w:t>
            </w:r>
          </w:p>
        </w:tc>
        <w:tc>
          <w:tcPr>
            <w:tcW w:w="3600"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7D97907C">
            <w:pPr>
              <w:snapToGrid w:val="0"/>
              <w:spacing w:line="240" w:lineRule="auto"/>
              <w:ind w:left="0" w:leftChars="0" w:right="0" w:rightChars="0" w:firstLine="0" w:firstLineChars="0"/>
              <w:jc w:val="center"/>
              <w:rPr>
                <w:rFonts w:hint="eastAsia" w:ascii="微软雅黑" w:hAnsi="微软雅黑" w:eastAsia="微软雅黑" w:cs="微软雅黑"/>
                <w:b/>
                <w:sz w:val="18"/>
              </w:rPr>
            </w:pPr>
            <w:r>
              <w:rPr>
                <w:rFonts w:hint="eastAsia" w:ascii="微软雅黑" w:hAnsi="微软雅黑" w:eastAsia="微软雅黑" w:cs="微软雅黑"/>
                <w:b/>
                <w:color w:val="FFFFFF"/>
                <w:sz w:val="18"/>
              </w:rPr>
              <w:t>工业/业务释义</w:t>
            </w:r>
          </w:p>
        </w:tc>
        <w:tc>
          <w:tcPr>
            <w:tcW w:w="1542"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23732A38">
            <w:pPr>
              <w:snapToGrid w:val="0"/>
              <w:spacing w:line="240" w:lineRule="auto"/>
              <w:ind w:left="0" w:leftChars="0" w:right="0" w:rightChars="0" w:firstLine="0" w:firstLineChars="0"/>
              <w:jc w:val="center"/>
              <w:rPr>
                <w:rFonts w:hint="eastAsia" w:ascii="微软雅黑" w:hAnsi="微软雅黑" w:eastAsia="微软雅黑" w:cs="微软雅黑"/>
                <w:b/>
                <w:sz w:val="18"/>
              </w:rPr>
            </w:pPr>
            <w:r>
              <w:rPr>
                <w:rFonts w:hint="eastAsia" w:ascii="微软雅黑" w:hAnsi="微软雅黑" w:eastAsia="微软雅黑" w:cs="微软雅黑"/>
                <w:b/>
                <w:color w:val="FFFFFF"/>
                <w:sz w:val="18"/>
              </w:rPr>
              <w:t>PRD关联章节</w:t>
            </w:r>
          </w:p>
        </w:tc>
      </w:tr>
      <w:tr w14:paraId="6A2094A4">
        <w:tblPrEx>
          <w:tblCellMar>
            <w:top w:w="0" w:type="dxa"/>
            <w:left w:w="108" w:type="dxa"/>
            <w:bottom w:w="0" w:type="dxa"/>
            <w:right w:w="108" w:type="dxa"/>
          </w:tblCellMar>
        </w:tblPrEx>
        <w:trPr>
          <w:trHeight w:val="0" w:hRule="atLeast"/>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0FD0803">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PRD</w:t>
            </w:r>
          </w:p>
        </w:tc>
        <w:tc>
          <w:tcPr>
            <w:tcW w:w="343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0E033E2">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Product Requirements Document</w:t>
            </w:r>
          </w:p>
        </w:tc>
        <w:tc>
          <w:tcPr>
            <w:tcW w:w="360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D31DE2A">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产品需求规格说明书，最高研发与交付契约</w:t>
            </w:r>
          </w:p>
        </w:tc>
        <w:tc>
          <w:tcPr>
            <w:tcW w:w="154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87AD9B0">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全文</w:t>
            </w:r>
          </w:p>
        </w:tc>
      </w:tr>
      <w:tr w14:paraId="47C21577">
        <w:tblPrEx>
          <w:tblCellMar>
            <w:top w:w="0" w:type="dxa"/>
            <w:left w:w="108" w:type="dxa"/>
            <w:bottom w:w="0" w:type="dxa"/>
            <w:right w:w="108" w:type="dxa"/>
          </w:tblCellMar>
        </w:tblPrEx>
        <w:trPr>
          <w:trHeight w:val="0" w:hRule="atLeast"/>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4E3D72E">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CBAM</w:t>
            </w:r>
          </w:p>
        </w:tc>
        <w:tc>
          <w:tcPr>
            <w:tcW w:w="343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A3F3CDC">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Carbon Border Adjustment Mechanism</w:t>
            </w:r>
          </w:p>
        </w:tc>
        <w:tc>
          <w:tcPr>
            <w:tcW w:w="360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E005778">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欧盟碳边境调节机制（碳关税），2026年正式开征</w:t>
            </w:r>
          </w:p>
        </w:tc>
        <w:tc>
          <w:tcPr>
            <w:tcW w:w="154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1C07E6A">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第 13 章</w:t>
            </w:r>
          </w:p>
        </w:tc>
      </w:tr>
      <w:tr w14:paraId="7E9D1DA6">
        <w:tblPrEx>
          <w:tblCellMar>
            <w:top w:w="0" w:type="dxa"/>
            <w:left w:w="108" w:type="dxa"/>
            <w:bottom w:w="0" w:type="dxa"/>
            <w:right w:w="108" w:type="dxa"/>
          </w:tblCellMar>
        </w:tblPrEx>
        <w:trPr>
          <w:trHeight w:val="0" w:hRule="atLeast"/>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35316D5">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ETS</w:t>
            </w:r>
          </w:p>
        </w:tc>
        <w:tc>
          <w:tcPr>
            <w:tcW w:w="343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8F92DF0">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Emissions Trading System</w:t>
            </w:r>
          </w:p>
        </w:tc>
        <w:tc>
          <w:tcPr>
            <w:tcW w:w="360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FA09216">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欧盟碳排放交易体系，碳配额实时拍卖价格</w:t>
            </w:r>
          </w:p>
        </w:tc>
        <w:tc>
          <w:tcPr>
            <w:tcW w:w="154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D81418C">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第 13 章</w:t>
            </w:r>
          </w:p>
        </w:tc>
      </w:tr>
      <w:tr w14:paraId="53B3257F">
        <w:tblPrEx>
          <w:tblCellMar>
            <w:top w:w="0" w:type="dxa"/>
            <w:left w:w="108" w:type="dxa"/>
            <w:bottom w:w="0" w:type="dxa"/>
            <w:right w:w="108" w:type="dxa"/>
          </w:tblCellMar>
        </w:tblPrEx>
        <w:trPr>
          <w:trHeight w:val="0" w:hRule="atLeast"/>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71E6E72">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LCA</w:t>
            </w:r>
          </w:p>
        </w:tc>
        <w:tc>
          <w:tcPr>
            <w:tcW w:w="343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244FEAC">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Life Cycle Assessment</w:t>
            </w:r>
          </w:p>
        </w:tc>
        <w:tc>
          <w:tcPr>
            <w:tcW w:w="360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540205D">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生命周期评价（涵盖原材料、制造、运输、使用、废弃）</w:t>
            </w:r>
          </w:p>
        </w:tc>
        <w:tc>
          <w:tcPr>
            <w:tcW w:w="154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E3C069A">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第 12 章</w:t>
            </w:r>
          </w:p>
        </w:tc>
      </w:tr>
      <w:tr w14:paraId="44CD075E">
        <w:tblPrEx>
          <w:tblCellMar>
            <w:top w:w="0" w:type="dxa"/>
            <w:left w:w="108" w:type="dxa"/>
            <w:bottom w:w="0" w:type="dxa"/>
            <w:right w:w="108" w:type="dxa"/>
          </w:tblCellMar>
        </w:tblPrEx>
        <w:trPr>
          <w:trHeight w:val="0" w:hRule="atLeast"/>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23D8215">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BOM</w:t>
            </w:r>
          </w:p>
        </w:tc>
        <w:tc>
          <w:tcPr>
            <w:tcW w:w="343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E907CA9">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Bill of Materials</w:t>
            </w:r>
          </w:p>
        </w:tc>
        <w:tc>
          <w:tcPr>
            <w:tcW w:w="360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28BD4D5">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产品物料清单，碳足迹核算层级分解的基础输入</w:t>
            </w:r>
          </w:p>
        </w:tc>
        <w:tc>
          <w:tcPr>
            <w:tcW w:w="154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3BB796D">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第 12 章</w:t>
            </w:r>
          </w:p>
        </w:tc>
      </w:tr>
      <w:tr w14:paraId="2AA28950">
        <w:tblPrEx>
          <w:tblCellMar>
            <w:top w:w="0" w:type="dxa"/>
            <w:left w:w="108" w:type="dxa"/>
            <w:bottom w:w="0" w:type="dxa"/>
            <w:right w:w="108" w:type="dxa"/>
          </w:tblCellMar>
        </w:tblPrEx>
        <w:trPr>
          <w:trHeight w:val="0" w:hRule="atLeast"/>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37927C7">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SCADA</w:t>
            </w:r>
          </w:p>
        </w:tc>
        <w:tc>
          <w:tcPr>
            <w:tcW w:w="343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E69D056">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Supervisory Control and Data Acquisition</w:t>
            </w:r>
          </w:p>
        </w:tc>
        <w:tc>
          <w:tcPr>
            <w:tcW w:w="360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0F5B4A8">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数据采集与监视控制系统，变配电秒级遥测来源</w:t>
            </w:r>
          </w:p>
        </w:tc>
        <w:tc>
          <w:tcPr>
            <w:tcW w:w="154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7B15771">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第 5、17 章</w:t>
            </w:r>
          </w:p>
        </w:tc>
      </w:tr>
      <w:tr w14:paraId="0B8F3805">
        <w:tblPrEx>
          <w:tblCellMar>
            <w:top w:w="0" w:type="dxa"/>
            <w:left w:w="108" w:type="dxa"/>
            <w:bottom w:w="0" w:type="dxa"/>
            <w:right w:w="108" w:type="dxa"/>
          </w:tblCellMar>
        </w:tblPrEx>
        <w:trPr>
          <w:trHeight w:val="0" w:hRule="atLeast"/>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9F79507">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MQTT</w:t>
            </w:r>
          </w:p>
        </w:tc>
        <w:tc>
          <w:tcPr>
            <w:tcW w:w="343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EF28C0B">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Message Queuing Telemetry Transport</w:t>
            </w:r>
          </w:p>
        </w:tc>
        <w:tc>
          <w:tcPr>
            <w:tcW w:w="360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5C5A94A">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轻量级物联网消息发布订阅协议，传感器上报标准</w:t>
            </w:r>
          </w:p>
        </w:tc>
        <w:tc>
          <w:tcPr>
            <w:tcW w:w="154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93C8FD0">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第 17 章</w:t>
            </w:r>
          </w:p>
        </w:tc>
      </w:tr>
      <w:tr w14:paraId="5E9A96ED">
        <w:tblPrEx>
          <w:tblCellMar>
            <w:top w:w="0" w:type="dxa"/>
            <w:left w:w="108" w:type="dxa"/>
            <w:bottom w:w="0" w:type="dxa"/>
            <w:right w:w="108" w:type="dxa"/>
          </w:tblCellMar>
        </w:tblPrEx>
        <w:trPr>
          <w:trHeight w:val="0" w:hRule="atLeast"/>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74EDA5B">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M&amp;V</w:t>
            </w:r>
          </w:p>
        </w:tc>
        <w:tc>
          <w:tcPr>
            <w:tcW w:w="343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60ADC67">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Measurement and Verification</w:t>
            </w:r>
          </w:p>
        </w:tc>
        <w:tc>
          <w:tcPr>
            <w:tcW w:w="360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04F4940">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节能量测量与验证（遵循国际通用 IPMVP 规程）</w:t>
            </w:r>
          </w:p>
        </w:tc>
        <w:tc>
          <w:tcPr>
            <w:tcW w:w="154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2AA1560">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第 7 章</w:t>
            </w:r>
          </w:p>
        </w:tc>
      </w:tr>
      <w:tr w14:paraId="21453743">
        <w:tblPrEx>
          <w:tblCellMar>
            <w:top w:w="0" w:type="dxa"/>
            <w:left w:w="108" w:type="dxa"/>
            <w:bottom w:w="0" w:type="dxa"/>
            <w:right w:w="108" w:type="dxa"/>
          </w:tblCellMar>
        </w:tblPrEx>
        <w:trPr>
          <w:trHeight w:val="0" w:hRule="atLeast"/>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4783D4B">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kgce / tce</w:t>
            </w:r>
          </w:p>
        </w:tc>
        <w:tc>
          <w:tcPr>
            <w:tcW w:w="343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0C1C126">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kilogram / ton of coal equivalent</w:t>
            </w:r>
          </w:p>
        </w:tc>
        <w:tc>
          <w:tcPr>
            <w:tcW w:w="360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A8F7A5C">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千克标准煤 / 吨标准煤，我国通用综合能源计量单位</w:t>
            </w:r>
          </w:p>
        </w:tc>
        <w:tc>
          <w:tcPr>
            <w:tcW w:w="154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88CCEC8">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第 5、6、8 章</w:t>
            </w:r>
          </w:p>
        </w:tc>
      </w:tr>
      <w:tr w14:paraId="176CACDD">
        <w:tblPrEx>
          <w:tblCellMar>
            <w:top w:w="0" w:type="dxa"/>
            <w:left w:w="108" w:type="dxa"/>
            <w:bottom w:w="0" w:type="dxa"/>
            <w:right w:w="108" w:type="dxa"/>
          </w:tblCellMar>
        </w:tblPrEx>
        <w:trPr>
          <w:trHeight w:val="0" w:hRule="atLeast"/>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E2FF2AD">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Scope 1</w:t>
            </w:r>
          </w:p>
        </w:tc>
        <w:tc>
          <w:tcPr>
            <w:tcW w:w="343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9EFC32A">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Direct GHG Emissions</w:t>
            </w:r>
          </w:p>
        </w:tc>
        <w:tc>
          <w:tcPr>
            <w:tcW w:w="360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146069C">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范围一：企业拥有或控制的排放源燃烧化石燃料的直接排放</w:t>
            </w:r>
          </w:p>
        </w:tc>
        <w:tc>
          <w:tcPr>
            <w:tcW w:w="154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7ED5A74">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第 5 章</w:t>
            </w:r>
          </w:p>
        </w:tc>
      </w:tr>
      <w:tr w14:paraId="07AC2602">
        <w:tblPrEx>
          <w:tblCellMar>
            <w:top w:w="0" w:type="dxa"/>
            <w:left w:w="108" w:type="dxa"/>
            <w:bottom w:w="0" w:type="dxa"/>
            <w:right w:w="108" w:type="dxa"/>
          </w:tblCellMar>
        </w:tblPrEx>
        <w:trPr>
          <w:trHeight w:val="0" w:hRule="atLeast"/>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2D1185F">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Scope 2</w:t>
            </w:r>
          </w:p>
        </w:tc>
        <w:tc>
          <w:tcPr>
            <w:tcW w:w="343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17A0F4F2">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Electricity Indirect GHG Emissions</w:t>
            </w:r>
          </w:p>
        </w:tc>
        <w:tc>
          <w:tcPr>
            <w:tcW w:w="360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D59AB49">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范围二：外购电力、热力或蒸汽消费导致的间接温室气体排放</w:t>
            </w:r>
          </w:p>
        </w:tc>
        <w:tc>
          <w:tcPr>
            <w:tcW w:w="154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8D84ED6">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第 5 章</w:t>
            </w:r>
          </w:p>
        </w:tc>
      </w:tr>
      <w:tr w14:paraId="7FAAD3E2">
        <w:tblPrEx>
          <w:tblCellMar>
            <w:top w:w="0" w:type="dxa"/>
            <w:left w:w="108" w:type="dxa"/>
            <w:bottom w:w="0" w:type="dxa"/>
            <w:right w:w="108" w:type="dxa"/>
          </w:tblCellMar>
        </w:tblPrEx>
        <w:trPr>
          <w:trHeight w:val="0" w:hRule="atLeast"/>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A78E5B9">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Scope 3</w:t>
            </w:r>
          </w:p>
        </w:tc>
        <w:tc>
          <w:tcPr>
            <w:tcW w:w="343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0A7B273">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Other Indirect GHG Emissions</w:t>
            </w:r>
          </w:p>
        </w:tc>
        <w:tc>
          <w:tcPr>
            <w:tcW w:w="360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08CD879">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范围三：企业价值链上下游所有其他间接排放（采购、外协等）</w:t>
            </w:r>
          </w:p>
        </w:tc>
        <w:tc>
          <w:tcPr>
            <w:tcW w:w="154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D397183">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第 12 章</w:t>
            </w:r>
          </w:p>
        </w:tc>
      </w:tr>
      <w:tr w14:paraId="407C2AE8">
        <w:tblPrEx>
          <w:tblCellMar>
            <w:top w:w="0" w:type="dxa"/>
            <w:left w:w="108" w:type="dxa"/>
            <w:bottom w:w="0" w:type="dxa"/>
            <w:right w:w="108" w:type="dxa"/>
          </w:tblCellMar>
        </w:tblPrEx>
        <w:trPr>
          <w:trHeight w:val="0" w:hRule="atLeast"/>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A57DDCF">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EQP / BVA</w:t>
            </w:r>
          </w:p>
        </w:tc>
        <w:tc>
          <w:tcPr>
            <w:tcW w:w="343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7E3B0A0">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Equivalence Partitioning / Boundary Value Analysis</w:t>
            </w:r>
          </w:p>
        </w:tc>
        <w:tc>
          <w:tcPr>
            <w:tcW w:w="3600"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A9051C8">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等价类划分与边界值分析，QA 极限测试方法论</w:t>
            </w:r>
          </w:p>
        </w:tc>
        <w:tc>
          <w:tcPr>
            <w:tcW w:w="154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A54460B">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第 18 章</w:t>
            </w:r>
          </w:p>
        </w:tc>
      </w:tr>
      <w:tr w14:paraId="79350B7C">
        <w:tblPrEx>
          <w:tblCellMar>
            <w:top w:w="0" w:type="dxa"/>
            <w:left w:w="108" w:type="dxa"/>
            <w:bottom w:w="0" w:type="dxa"/>
            <w:right w:w="108" w:type="dxa"/>
          </w:tblCellMar>
        </w:tblPrEx>
        <w:trPr>
          <w:trHeight w:val="0" w:hRule="atLeast"/>
          <w:jc w:val="center"/>
        </w:trPr>
        <w:tc>
          <w:tcPr>
            <w:tcW w:w="121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CDB5A94">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RACI</w:t>
            </w:r>
          </w:p>
        </w:tc>
        <w:tc>
          <w:tcPr>
            <w:tcW w:w="343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BA5CC39">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Responsible / Accountable / Consulted / Informed</w:t>
            </w:r>
          </w:p>
        </w:tc>
        <w:tc>
          <w:tcPr>
            <w:tcW w:w="3600"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3AB5B5D">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责任分配矩阵，明确各项决策的唯一最终责任人</w:t>
            </w:r>
          </w:p>
        </w:tc>
        <w:tc>
          <w:tcPr>
            <w:tcW w:w="154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4304191">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第 23 章</w:t>
            </w:r>
          </w:p>
        </w:tc>
      </w:tr>
    </w:tbl>
    <w:p w14:paraId="419B7C79">
      <w:pPr>
        <w:spacing w:after="60"/>
        <w:rPr>
          <w:rFonts w:hint="eastAsia" w:ascii="微软雅黑" w:hAnsi="微软雅黑" w:eastAsia="微软雅黑" w:cs="微软雅黑"/>
        </w:rPr>
      </w:pPr>
    </w:p>
    <w:p w14:paraId="0F9D428C">
      <w:pPr>
        <w:pStyle w:val="4"/>
        <w:keepNext/>
        <w:spacing w:before="260" w:after="100"/>
        <w:outlineLvl w:val="1"/>
        <w:rPr>
          <w:rFonts w:hint="eastAsia" w:ascii="微软雅黑" w:hAnsi="微软雅黑" w:eastAsia="微软雅黑" w:cs="微软雅黑"/>
        </w:rPr>
      </w:pPr>
      <w:bookmarkStart w:id="55" w:name="_Toc29191"/>
      <w:r>
        <w:rPr>
          <w:rFonts w:hint="eastAsia" w:ascii="微软雅黑" w:hAnsi="微软雅黑" w:eastAsia="微软雅黑" w:cs="微软雅黑"/>
          <w:b/>
          <w:color w:val="0284C7"/>
          <w:sz w:val="25"/>
        </w:rPr>
        <w:t>第 22 章 标准化错误码字典与异常分级 (Error Code Catalog)</w:t>
      </w:r>
      <w:bookmarkEnd w:id="55"/>
    </w:p>
    <w:p w14:paraId="5B1E444F">
      <w:pPr>
        <w:spacing w:after="80" w:line="288" w:lineRule="auto"/>
        <w:rPr>
          <w:rFonts w:hint="eastAsia" w:ascii="微软雅黑" w:hAnsi="微软雅黑" w:eastAsia="微软雅黑" w:cs="微软雅黑"/>
        </w:rPr>
      </w:pPr>
      <w:r>
        <w:rPr>
          <w:rFonts w:hint="eastAsia" w:ascii="微软雅黑" w:hAnsi="微软雅黑" w:eastAsia="微软雅黑" w:cs="微软雅黑"/>
          <w:color w:val="1F2937"/>
          <w:sz w:val="19"/>
        </w:rPr>
        <w:t>全平台执行统一规范格式：E_&lt;DOMAIN&gt;_&lt;MODULE&gt;_&lt;REASON&gt;[_&lt;SUFFIX&gt;]，分划 P0 系统级、P1 业务级、P2 提示级、P3 信息级四大级别：</w:t>
      </w:r>
    </w:p>
    <w:tbl>
      <w:tblPr>
        <w:tblStyle w:val="35"/>
        <w:tblW w:w="9792" w:type="dxa"/>
        <w:jc w:val="center"/>
        <w:tblLayout w:type="autofit"/>
        <w:tblCellMar>
          <w:top w:w="0" w:type="dxa"/>
          <w:left w:w="108" w:type="dxa"/>
          <w:bottom w:w="0" w:type="dxa"/>
          <w:right w:w="108" w:type="dxa"/>
        </w:tblCellMar>
      </w:tblPr>
      <w:tblGrid>
        <w:gridCol w:w="2649"/>
        <w:gridCol w:w="1272"/>
        <w:gridCol w:w="736"/>
        <w:gridCol w:w="2444"/>
        <w:gridCol w:w="2691"/>
      </w:tblGrid>
      <w:tr w14:paraId="16703390">
        <w:tblPrEx>
          <w:tblCellMar>
            <w:top w:w="0" w:type="dxa"/>
            <w:left w:w="108" w:type="dxa"/>
            <w:bottom w:w="0" w:type="dxa"/>
            <w:right w:w="108" w:type="dxa"/>
          </w:tblCellMar>
        </w:tblPrEx>
        <w:trPr>
          <w:trHeight w:val="0" w:hRule="atLeast"/>
          <w:tblHeader/>
          <w:jc w:val="center"/>
        </w:trPr>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4395A4E7">
            <w:pPr>
              <w:snapToGrid w:val="0"/>
              <w:spacing w:line="240" w:lineRule="auto"/>
              <w:ind w:left="0" w:leftChars="0" w:right="0" w:rightChars="0" w:firstLine="0" w:firstLineChars="0"/>
              <w:jc w:val="center"/>
              <w:rPr>
                <w:rFonts w:hint="eastAsia" w:ascii="微软雅黑" w:hAnsi="微软雅黑" w:eastAsia="微软雅黑" w:cs="微软雅黑"/>
                <w:b/>
                <w:sz w:val="18"/>
              </w:rPr>
            </w:pPr>
            <w:r>
              <w:rPr>
                <w:rFonts w:hint="eastAsia" w:ascii="微软雅黑" w:hAnsi="微软雅黑" w:eastAsia="微软雅黑" w:cs="微软雅黑"/>
                <w:b/>
                <w:color w:val="FFFFFF"/>
                <w:sz w:val="18"/>
              </w:rPr>
              <w:t>标准错误码</w:t>
            </w:r>
          </w:p>
        </w:tc>
        <w:tc>
          <w:tcPr>
            <w:tcW w:w="1273"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7386C3EA">
            <w:pPr>
              <w:snapToGrid w:val="0"/>
              <w:spacing w:line="240" w:lineRule="auto"/>
              <w:ind w:left="0" w:leftChars="0" w:right="0" w:rightChars="0" w:firstLine="0" w:firstLineChars="0"/>
              <w:jc w:val="center"/>
              <w:rPr>
                <w:rFonts w:hint="eastAsia" w:ascii="微软雅黑" w:hAnsi="微软雅黑" w:eastAsia="微软雅黑" w:cs="微软雅黑"/>
                <w:b/>
                <w:sz w:val="18"/>
              </w:rPr>
            </w:pPr>
            <w:r>
              <w:rPr>
                <w:rFonts w:hint="eastAsia" w:ascii="微软雅黑" w:hAnsi="微软雅黑" w:eastAsia="微软雅黑" w:cs="微软雅黑"/>
                <w:b/>
                <w:color w:val="FFFFFF"/>
                <w:sz w:val="18"/>
              </w:rPr>
              <w:t>HTTP状态</w:t>
            </w:r>
          </w:p>
        </w:tc>
        <w:tc>
          <w:tcPr>
            <w:tcW w:w="736"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1B75EB72">
            <w:pPr>
              <w:snapToGrid w:val="0"/>
              <w:spacing w:line="240" w:lineRule="auto"/>
              <w:ind w:left="0" w:leftChars="0" w:right="0" w:rightChars="0" w:firstLine="0" w:firstLineChars="0"/>
              <w:jc w:val="center"/>
              <w:rPr>
                <w:rFonts w:hint="eastAsia" w:ascii="微软雅黑" w:hAnsi="微软雅黑" w:eastAsia="微软雅黑" w:cs="微软雅黑"/>
                <w:b/>
                <w:sz w:val="18"/>
              </w:rPr>
            </w:pPr>
            <w:r>
              <w:rPr>
                <w:rFonts w:hint="eastAsia" w:ascii="微软雅黑" w:hAnsi="微软雅黑" w:eastAsia="微软雅黑" w:cs="微软雅黑"/>
                <w:b/>
                <w:color w:val="FFFFFF"/>
                <w:sz w:val="18"/>
              </w:rPr>
              <w:t>级别</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53A7BCF1">
            <w:pPr>
              <w:snapToGrid w:val="0"/>
              <w:spacing w:line="240" w:lineRule="auto"/>
              <w:ind w:left="0" w:leftChars="0" w:right="0" w:rightChars="0" w:firstLine="0" w:firstLineChars="0"/>
              <w:jc w:val="center"/>
              <w:rPr>
                <w:rFonts w:hint="eastAsia" w:ascii="微软雅黑" w:hAnsi="微软雅黑" w:eastAsia="微软雅黑" w:cs="微软雅黑"/>
                <w:b/>
                <w:sz w:val="18"/>
              </w:rPr>
            </w:pPr>
            <w:r>
              <w:rPr>
                <w:rFonts w:hint="eastAsia" w:ascii="微软雅黑" w:hAnsi="微软雅黑" w:eastAsia="微软雅黑" w:cs="微软雅黑"/>
                <w:b/>
                <w:color w:val="FFFFFF"/>
                <w:sz w:val="18"/>
              </w:rPr>
              <w:t>触发业务场景</w:t>
            </w:r>
          </w:p>
        </w:tc>
        <w:tc>
          <w:tcPr>
            <w:tcW w:w="2691"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6D55DD67">
            <w:pPr>
              <w:snapToGrid w:val="0"/>
              <w:spacing w:line="240" w:lineRule="auto"/>
              <w:ind w:left="0" w:leftChars="0" w:right="0" w:rightChars="0" w:firstLine="0" w:firstLineChars="0"/>
              <w:jc w:val="center"/>
              <w:rPr>
                <w:rFonts w:hint="eastAsia" w:ascii="微软雅黑" w:hAnsi="微软雅黑" w:eastAsia="微软雅黑" w:cs="微软雅黑"/>
                <w:b/>
                <w:sz w:val="18"/>
              </w:rPr>
            </w:pPr>
            <w:r>
              <w:rPr>
                <w:rFonts w:hint="eastAsia" w:ascii="微软雅黑" w:hAnsi="微软雅黑" w:eastAsia="微软雅黑" w:cs="微软雅黑"/>
                <w:b/>
                <w:color w:val="FFFFFF"/>
                <w:sz w:val="18"/>
              </w:rPr>
              <w:t>前端交互与后端处理建议</w:t>
            </w:r>
          </w:p>
        </w:tc>
      </w:tr>
      <w:tr w14:paraId="4EB8AC6F">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71C2C7C">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E_VAL_ENERGY_NEGATIVE</w:t>
            </w:r>
          </w:p>
        </w:tc>
        <w:tc>
          <w:tcPr>
            <w:tcW w:w="127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70DE970">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400</w:t>
            </w:r>
          </w:p>
        </w:tc>
        <w:tc>
          <w:tcPr>
            <w:tcW w:w="73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53ACB9B">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P2</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6FDC238">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车间能源消耗或产品产量录入负数</w:t>
            </w:r>
          </w:p>
        </w:tc>
        <w:tc>
          <w:tcPr>
            <w:tcW w:w="269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E836F66">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输入框即时红框高亮，拦截表单提交，提示请输入非负数</w:t>
            </w:r>
          </w:p>
        </w:tc>
      </w:tr>
      <w:tr w14:paraId="437E0945">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5C8BF47">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E_VAL_MON_KVA_ZERO</w:t>
            </w:r>
          </w:p>
        </w:tc>
        <w:tc>
          <w:tcPr>
            <w:tcW w:w="127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86A3304">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400</w:t>
            </w:r>
          </w:p>
        </w:tc>
        <w:tc>
          <w:tcPr>
            <w:tcW w:w="736"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F82C601">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P2</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F65FEDF">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测算单位产品能耗时分母产量录入为零</w:t>
            </w:r>
          </w:p>
        </w:tc>
        <w:tc>
          <w:tcPr>
            <w:tcW w:w="269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7C3B5AF">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拦截除零运算，单耗显示为“--”，提示无生产批次</w:t>
            </w:r>
          </w:p>
        </w:tc>
      </w:tr>
      <w:tr w14:paraId="163F6C48">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D7B7908">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E_CALC_UNIT_DIV_ZERO_SOFT</w:t>
            </w:r>
          </w:p>
        </w:tc>
        <w:tc>
          <w:tcPr>
            <w:tcW w:w="127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6AB0E31">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200</w:t>
            </w:r>
          </w:p>
        </w:tc>
        <w:tc>
          <w:tcPr>
            <w:tcW w:w="73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E876C1E">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P3</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C9CD3CB">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图表渲染遭遇除以零异常</w:t>
            </w:r>
          </w:p>
        </w:tc>
        <w:tc>
          <w:tcPr>
            <w:tcW w:w="269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A98A8A2">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前端软降级显示“--”，严禁出现 NaN 或页面崩溃</w:t>
            </w:r>
          </w:p>
        </w:tc>
      </w:tr>
      <w:tr w14:paraId="6B022A4D">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8F07020">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E_IO_MQTT_TIMEOUT</w:t>
            </w:r>
          </w:p>
        </w:tc>
        <w:tc>
          <w:tcPr>
            <w:tcW w:w="127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5F52BE4">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504</w:t>
            </w:r>
          </w:p>
        </w:tc>
        <w:tc>
          <w:tcPr>
            <w:tcW w:w="736"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5412CD2">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P1</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C4D79C2">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微电网或设备采集网关超过 5 秒未响应</w:t>
            </w:r>
          </w:p>
        </w:tc>
        <w:tc>
          <w:tcPr>
            <w:tcW w:w="269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DCC5A86">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图表展示最近一次缓存读数并打上“数据延迟”微标签</w:t>
            </w:r>
          </w:p>
        </w:tc>
      </w:tr>
      <w:tr w14:paraId="7B52234B">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A089216">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E_AUTH_RBAC_FORBIDDEN</w:t>
            </w:r>
          </w:p>
        </w:tc>
        <w:tc>
          <w:tcPr>
            <w:tcW w:w="127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FBE73D3">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403</w:t>
            </w:r>
          </w:p>
        </w:tc>
        <w:tc>
          <w:tcPr>
            <w:tcW w:w="73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BB626A3">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P1</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706D978">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非授权角色（如P3）试图访问CBAM底表</w:t>
            </w:r>
          </w:p>
        </w:tc>
        <w:tc>
          <w:tcPr>
            <w:tcW w:w="269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6F50ABB">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拦截操作，展示无权访问提示并记录越权审计日志</w:t>
            </w:r>
          </w:p>
        </w:tc>
      </w:tr>
      <w:tr w14:paraId="422588C3">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B2078DD">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E_EXT_ETS_PRICE_STALE</w:t>
            </w:r>
          </w:p>
        </w:tc>
        <w:tc>
          <w:tcPr>
            <w:tcW w:w="127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5A08EBF">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200</w:t>
            </w:r>
          </w:p>
        </w:tc>
        <w:tc>
          <w:tcPr>
            <w:tcW w:w="736"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C7A7936">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P2</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81AF6EA">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CBAM 模拟时欧盟 ETS 价格超 24h 未更新</w:t>
            </w:r>
          </w:p>
        </w:tc>
        <w:tc>
          <w:tcPr>
            <w:tcW w:w="269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F6D2172">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测算结果上方以黄色提示框注明碳价滞后，提供手动拉取按钮</w:t>
            </w:r>
          </w:p>
        </w:tc>
      </w:tr>
      <w:tr w14:paraId="275295EF">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2BF2391">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E_SYS_DB_CONN_LOST</w:t>
            </w:r>
          </w:p>
        </w:tc>
        <w:tc>
          <w:tcPr>
            <w:tcW w:w="127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B830BA7">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503</w:t>
            </w:r>
          </w:p>
        </w:tc>
        <w:tc>
          <w:tcPr>
            <w:tcW w:w="736"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A45755D">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P0</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F1BC437">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时序数仓或业务主库连接中断</w:t>
            </w:r>
          </w:p>
        </w:tc>
        <w:tc>
          <w:tcPr>
            <w:tcW w:w="269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00BD364">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双中心自动切换至只读备灾集群，触发 PagerDuty 报警</w:t>
            </w:r>
          </w:p>
        </w:tc>
      </w:tr>
      <w:tr w14:paraId="02841145">
        <w:tblPrEx>
          <w:tblCellMar>
            <w:top w:w="0" w:type="dxa"/>
            <w:left w:w="108" w:type="dxa"/>
            <w:bottom w:w="0" w:type="dxa"/>
            <w:right w:w="108" w:type="dxa"/>
          </w:tblCellMar>
        </w:tblPrEx>
        <w:trPr>
          <w:trHeight w:val="0" w:hRule="atLeast"/>
          <w:jc w:val="center"/>
        </w:trPr>
        <w:tc>
          <w:tcPr>
            <w:tcW w:w="2649"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FD9B04D">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E_QM_WHITE_LIST_MISS</w:t>
            </w:r>
          </w:p>
        </w:tc>
        <w:tc>
          <w:tcPr>
            <w:tcW w:w="127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1C1AE38">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200</w:t>
            </w:r>
          </w:p>
        </w:tc>
        <w:tc>
          <w:tcPr>
            <w:tcW w:w="736"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B689545">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P3</w:t>
            </w:r>
          </w:p>
        </w:tc>
        <w:tc>
          <w:tcPr>
            <w:tcW w:w="2444"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7F4C96A">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选中企业在关键工序对应表无映射工序</w:t>
            </w:r>
          </w:p>
        </w:tc>
        <w:tc>
          <w:tcPr>
            <w:tcW w:w="269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E1A40E0">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单行干练输出：暂无相关工序！，无空白卡片与说教文案</w:t>
            </w:r>
          </w:p>
        </w:tc>
      </w:tr>
    </w:tbl>
    <w:p w14:paraId="7A1E18C4">
      <w:pPr>
        <w:spacing w:after="60"/>
        <w:rPr>
          <w:rFonts w:hint="eastAsia" w:ascii="微软雅黑" w:hAnsi="微软雅黑" w:eastAsia="微软雅黑" w:cs="微软雅黑"/>
        </w:rPr>
      </w:pPr>
    </w:p>
    <w:p w14:paraId="5EEB032C">
      <w:pPr>
        <w:pStyle w:val="4"/>
        <w:keepNext/>
        <w:spacing w:before="260" w:after="100"/>
        <w:outlineLvl w:val="1"/>
        <w:rPr>
          <w:rFonts w:hint="eastAsia" w:ascii="微软雅黑" w:hAnsi="微软雅黑" w:eastAsia="微软雅黑" w:cs="微软雅黑"/>
        </w:rPr>
      </w:pPr>
      <w:bookmarkStart w:id="56" w:name="_Toc25562"/>
      <w:r>
        <w:rPr>
          <w:rFonts w:hint="eastAsia" w:ascii="微软雅黑" w:hAnsi="微软雅黑" w:eastAsia="微软雅黑" w:cs="微软雅黑"/>
          <w:b/>
          <w:color w:val="0284C7"/>
          <w:sz w:val="25"/>
        </w:rPr>
        <w:t>第 23 章 决策治理 RACI 责任矩阵</w:t>
      </w:r>
      <w:bookmarkEnd w:id="56"/>
    </w:p>
    <w:p w14:paraId="68E54993">
      <w:pPr>
        <w:spacing w:after="80" w:line="288" w:lineRule="auto"/>
        <w:rPr>
          <w:rFonts w:hint="eastAsia" w:ascii="微软雅黑" w:hAnsi="微软雅黑" w:eastAsia="微软雅黑" w:cs="微软雅黑"/>
        </w:rPr>
      </w:pPr>
      <w:r>
        <w:rPr>
          <w:rFonts w:hint="eastAsia" w:ascii="微软雅黑" w:hAnsi="微软雅黑" w:eastAsia="微软雅黑" w:cs="微软雅黑"/>
          <w:color w:val="1F2937"/>
          <w:sz w:val="19"/>
        </w:rPr>
        <w:t>明确关键决策点单一 A (Accountable 唯一最终责任人)，杜绝职责推诿：</w:t>
      </w:r>
    </w:p>
    <w:tbl>
      <w:tblPr>
        <w:tblStyle w:val="35"/>
        <w:tblW w:w="9792" w:type="dxa"/>
        <w:jc w:val="center"/>
        <w:tblLayout w:type="autofit"/>
        <w:tblCellMar>
          <w:top w:w="0" w:type="dxa"/>
          <w:left w:w="108" w:type="dxa"/>
          <w:bottom w:w="0" w:type="dxa"/>
          <w:right w:w="108" w:type="dxa"/>
        </w:tblCellMar>
      </w:tblPr>
      <w:tblGrid>
        <w:gridCol w:w="3547"/>
        <w:gridCol w:w="1097"/>
        <w:gridCol w:w="1334"/>
        <w:gridCol w:w="1097"/>
        <w:gridCol w:w="652"/>
        <w:gridCol w:w="714"/>
        <w:gridCol w:w="623"/>
        <w:gridCol w:w="728"/>
      </w:tblGrid>
      <w:tr w14:paraId="74C67359">
        <w:tblPrEx>
          <w:tblCellMar>
            <w:top w:w="0" w:type="dxa"/>
            <w:left w:w="108" w:type="dxa"/>
            <w:bottom w:w="0" w:type="dxa"/>
            <w:right w:w="108" w:type="dxa"/>
          </w:tblCellMar>
        </w:tblPrEx>
        <w:trPr>
          <w:trHeight w:val="0" w:hRule="atLeast"/>
          <w:jc w:val="center"/>
        </w:trPr>
        <w:tc>
          <w:tcPr>
            <w:tcW w:w="3547"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tcPr>
          <w:p w14:paraId="783579D6">
            <w:pPr>
              <w:snapToGrid w:val="0"/>
              <w:jc w:val="center"/>
              <w:rPr>
                <w:rFonts w:hint="eastAsia" w:ascii="微软雅黑" w:hAnsi="微软雅黑" w:eastAsia="微软雅黑" w:cs="微软雅黑"/>
              </w:rPr>
            </w:pPr>
            <w:r>
              <w:rPr>
                <w:rFonts w:hint="eastAsia" w:ascii="微软雅黑" w:hAnsi="微软雅黑" w:eastAsia="微软雅黑" w:cs="微软雅黑"/>
                <w:b/>
                <w:color w:val="FFFFFF"/>
                <w:sz w:val="18"/>
              </w:rPr>
              <w:t>核心决策事项</w:t>
            </w:r>
          </w:p>
        </w:tc>
        <w:tc>
          <w:tcPr>
            <w:tcW w:w="1097"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tcPr>
          <w:p w14:paraId="2466B3AB">
            <w:pPr>
              <w:snapToGrid w:val="0"/>
              <w:jc w:val="center"/>
              <w:rPr>
                <w:rFonts w:hint="eastAsia" w:ascii="微软雅黑" w:hAnsi="微软雅黑" w:eastAsia="微软雅黑" w:cs="微软雅黑"/>
              </w:rPr>
            </w:pPr>
            <w:r>
              <w:rPr>
                <w:rFonts w:hint="eastAsia" w:ascii="微软雅黑" w:hAnsi="微软雅黑" w:eastAsia="微软雅黑" w:cs="微软雅黑"/>
                <w:b/>
                <w:color w:val="FFFFFF"/>
                <w:sz w:val="18"/>
              </w:rPr>
              <w:t>P1 集团</w:t>
            </w:r>
          </w:p>
        </w:tc>
        <w:tc>
          <w:tcPr>
            <w:tcW w:w="1334"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tcPr>
          <w:p w14:paraId="592B44C3">
            <w:pPr>
              <w:snapToGrid w:val="0"/>
              <w:jc w:val="center"/>
              <w:rPr>
                <w:rFonts w:hint="eastAsia" w:ascii="微软雅黑" w:hAnsi="微软雅黑" w:eastAsia="微软雅黑" w:cs="微软雅黑"/>
              </w:rPr>
            </w:pPr>
            <w:r>
              <w:rPr>
                <w:rFonts w:hint="eastAsia" w:ascii="微软雅黑" w:hAnsi="微软雅黑" w:eastAsia="微软雅黑" w:cs="微软雅黑"/>
                <w:b/>
                <w:color w:val="FFFFFF"/>
                <w:sz w:val="18"/>
              </w:rPr>
              <w:t>P4 碳专员</w:t>
            </w:r>
          </w:p>
        </w:tc>
        <w:tc>
          <w:tcPr>
            <w:tcW w:w="1097"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tcPr>
          <w:p w14:paraId="465E5FB8">
            <w:pPr>
              <w:snapToGrid w:val="0"/>
              <w:jc w:val="center"/>
              <w:rPr>
                <w:rFonts w:hint="eastAsia" w:ascii="微软雅黑" w:hAnsi="微软雅黑" w:eastAsia="微软雅黑" w:cs="微软雅黑"/>
              </w:rPr>
            </w:pPr>
            <w:r>
              <w:rPr>
                <w:rFonts w:hint="eastAsia" w:ascii="微软雅黑" w:hAnsi="微软雅黑" w:eastAsia="微软雅黑" w:cs="微软雅黑"/>
                <w:b/>
                <w:color w:val="FFFFFF"/>
                <w:sz w:val="18"/>
              </w:rPr>
              <w:t>P5 报关</w:t>
            </w:r>
          </w:p>
        </w:tc>
        <w:tc>
          <w:tcPr>
            <w:tcW w:w="652"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tcPr>
          <w:p w14:paraId="4C5ABDA8">
            <w:pPr>
              <w:snapToGrid w:val="0"/>
              <w:jc w:val="center"/>
              <w:rPr>
                <w:rFonts w:hint="eastAsia" w:ascii="微软雅黑" w:hAnsi="微软雅黑" w:eastAsia="微软雅黑" w:cs="微软雅黑"/>
              </w:rPr>
            </w:pPr>
            <w:r>
              <w:rPr>
                <w:rFonts w:hint="eastAsia" w:ascii="微软雅黑" w:hAnsi="微软雅黑" w:eastAsia="微软雅黑" w:cs="微软雅黑"/>
                <w:b/>
                <w:color w:val="FFFFFF"/>
                <w:sz w:val="18"/>
              </w:rPr>
              <w:t>PM</w:t>
            </w:r>
          </w:p>
        </w:tc>
        <w:tc>
          <w:tcPr>
            <w:tcW w:w="714"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tcPr>
          <w:p w14:paraId="3D6C3B89">
            <w:pPr>
              <w:snapToGrid w:val="0"/>
              <w:jc w:val="center"/>
              <w:rPr>
                <w:rFonts w:hint="eastAsia" w:ascii="微软雅黑" w:hAnsi="微软雅黑" w:eastAsia="微软雅黑" w:cs="微软雅黑"/>
              </w:rPr>
            </w:pPr>
            <w:r>
              <w:rPr>
                <w:rFonts w:hint="eastAsia" w:ascii="微软雅黑" w:hAnsi="微软雅黑" w:eastAsia="微软雅黑" w:cs="微软雅黑"/>
                <w:b/>
                <w:color w:val="FFFFFF"/>
                <w:sz w:val="18"/>
              </w:rPr>
              <w:t>Dev</w:t>
            </w:r>
          </w:p>
        </w:tc>
        <w:tc>
          <w:tcPr>
            <w:tcW w:w="623"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tcPr>
          <w:p w14:paraId="1BD1B701">
            <w:pPr>
              <w:snapToGrid w:val="0"/>
              <w:jc w:val="center"/>
              <w:rPr>
                <w:rFonts w:hint="eastAsia" w:ascii="微软雅黑" w:hAnsi="微软雅黑" w:eastAsia="微软雅黑" w:cs="微软雅黑"/>
              </w:rPr>
            </w:pPr>
            <w:r>
              <w:rPr>
                <w:rFonts w:hint="eastAsia" w:ascii="微软雅黑" w:hAnsi="微软雅黑" w:eastAsia="微软雅黑" w:cs="微软雅黑"/>
                <w:b/>
                <w:color w:val="FFFFFF"/>
                <w:sz w:val="18"/>
              </w:rPr>
              <w:t>QA</w:t>
            </w:r>
          </w:p>
        </w:tc>
        <w:tc>
          <w:tcPr>
            <w:tcW w:w="727"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tcPr>
          <w:p w14:paraId="6EE9EF9D">
            <w:pPr>
              <w:snapToGrid w:val="0"/>
              <w:jc w:val="center"/>
              <w:rPr>
                <w:rFonts w:hint="eastAsia" w:ascii="微软雅黑" w:hAnsi="微软雅黑" w:eastAsia="微软雅黑" w:cs="微软雅黑"/>
              </w:rPr>
            </w:pPr>
            <w:r>
              <w:rPr>
                <w:rFonts w:hint="eastAsia" w:ascii="微软雅黑" w:hAnsi="微软雅黑" w:eastAsia="微软雅黑" w:cs="微软雅黑"/>
                <w:b/>
                <w:color w:val="FFFFFF"/>
                <w:sz w:val="18"/>
              </w:rPr>
              <w:t>法务</w:t>
            </w:r>
          </w:p>
        </w:tc>
      </w:tr>
      <w:tr w14:paraId="4E662567">
        <w:tblPrEx>
          <w:tblCellMar>
            <w:top w:w="0" w:type="dxa"/>
            <w:left w:w="108" w:type="dxa"/>
            <w:bottom w:w="0" w:type="dxa"/>
            <w:right w:w="108" w:type="dxa"/>
          </w:tblCellMar>
        </w:tblPrEx>
        <w:trPr>
          <w:trHeight w:val="0" w:hRule="atLeast"/>
          <w:jc w:val="center"/>
        </w:trPr>
        <w:tc>
          <w:tcPr>
            <w:tcW w:w="354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33C9A982">
            <w:pPr>
              <w:snapToGrid w:val="0"/>
              <w:jc w:val="center"/>
              <w:rPr>
                <w:rFonts w:hint="eastAsia" w:ascii="微软雅黑" w:hAnsi="微软雅黑" w:eastAsia="微软雅黑" w:cs="微软雅黑"/>
              </w:rPr>
            </w:pPr>
            <w:r>
              <w:rPr>
                <w:rFonts w:hint="eastAsia" w:ascii="微软雅黑" w:hAnsi="微软雅黑" w:eastAsia="微软雅黑" w:cs="微软雅黑"/>
                <w:color w:val="1F2937"/>
                <w:sz w:val="17"/>
              </w:rPr>
              <w:t>北极星指标与业务范围定义</w:t>
            </w:r>
          </w:p>
        </w:tc>
        <w:tc>
          <w:tcPr>
            <w:tcW w:w="10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44314FC7">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A</w:t>
            </w:r>
          </w:p>
        </w:tc>
        <w:tc>
          <w:tcPr>
            <w:tcW w:w="133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48DF87D9">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C</w:t>
            </w:r>
          </w:p>
        </w:tc>
        <w:tc>
          <w:tcPr>
            <w:tcW w:w="10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6A904D62">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C</w:t>
            </w:r>
          </w:p>
        </w:tc>
        <w:tc>
          <w:tcPr>
            <w:tcW w:w="65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12867E97">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R</w:t>
            </w:r>
          </w:p>
        </w:tc>
        <w:tc>
          <w:tcPr>
            <w:tcW w:w="71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5740FA73">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C</w:t>
            </w:r>
          </w:p>
        </w:tc>
        <w:tc>
          <w:tcPr>
            <w:tcW w:w="62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10F419C4">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C</w:t>
            </w:r>
          </w:p>
        </w:tc>
        <w:tc>
          <w:tcPr>
            <w:tcW w:w="72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11D79B06">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I</w:t>
            </w:r>
          </w:p>
        </w:tc>
      </w:tr>
      <w:tr w14:paraId="64A2F174">
        <w:tblPrEx>
          <w:tblCellMar>
            <w:top w:w="0" w:type="dxa"/>
            <w:left w:w="108" w:type="dxa"/>
            <w:bottom w:w="0" w:type="dxa"/>
            <w:right w:w="108" w:type="dxa"/>
          </w:tblCellMar>
        </w:tblPrEx>
        <w:trPr>
          <w:trHeight w:val="0" w:hRule="atLeast"/>
          <w:jc w:val="center"/>
        </w:trPr>
        <w:tc>
          <w:tcPr>
            <w:tcW w:w="354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240EF248">
            <w:pPr>
              <w:snapToGrid w:val="0"/>
              <w:jc w:val="center"/>
              <w:rPr>
                <w:rFonts w:hint="eastAsia" w:ascii="微软雅黑" w:hAnsi="微软雅黑" w:eastAsia="微软雅黑" w:cs="微软雅黑"/>
              </w:rPr>
            </w:pPr>
            <w:r>
              <w:rPr>
                <w:rFonts w:hint="eastAsia" w:ascii="微软雅黑" w:hAnsi="微软雅黑" w:eastAsia="微软雅黑" w:cs="微软雅黑"/>
                <w:color w:val="1F2937"/>
                <w:sz w:val="17"/>
              </w:rPr>
              <w:t>LCA 碳足迹报告正式对外签发</w:t>
            </w:r>
          </w:p>
        </w:tc>
        <w:tc>
          <w:tcPr>
            <w:tcW w:w="10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0D85C92C">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I</w:t>
            </w:r>
          </w:p>
        </w:tc>
        <w:tc>
          <w:tcPr>
            <w:tcW w:w="1334"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23B95759">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A</w:t>
            </w:r>
          </w:p>
        </w:tc>
        <w:tc>
          <w:tcPr>
            <w:tcW w:w="10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364ABBC9">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C</w:t>
            </w:r>
          </w:p>
        </w:tc>
        <w:tc>
          <w:tcPr>
            <w:tcW w:w="65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2AF5445E">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R</w:t>
            </w:r>
          </w:p>
        </w:tc>
        <w:tc>
          <w:tcPr>
            <w:tcW w:w="714"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4AE55197">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C</w:t>
            </w:r>
          </w:p>
        </w:tc>
        <w:tc>
          <w:tcPr>
            <w:tcW w:w="62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00655245">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C</w:t>
            </w:r>
          </w:p>
        </w:tc>
        <w:tc>
          <w:tcPr>
            <w:tcW w:w="72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21CEBB86">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C</w:t>
            </w:r>
          </w:p>
        </w:tc>
      </w:tr>
      <w:tr w14:paraId="0E51E5AA">
        <w:tblPrEx>
          <w:tblCellMar>
            <w:top w:w="0" w:type="dxa"/>
            <w:left w:w="108" w:type="dxa"/>
            <w:bottom w:w="0" w:type="dxa"/>
            <w:right w:w="108" w:type="dxa"/>
          </w:tblCellMar>
        </w:tblPrEx>
        <w:trPr>
          <w:trHeight w:val="0" w:hRule="atLeast"/>
          <w:jc w:val="center"/>
        </w:trPr>
        <w:tc>
          <w:tcPr>
            <w:tcW w:w="354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4021EACA">
            <w:pPr>
              <w:snapToGrid w:val="0"/>
              <w:jc w:val="center"/>
              <w:rPr>
                <w:rFonts w:hint="eastAsia" w:ascii="微软雅黑" w:hAnsi="微软雅黑" w:eastAsia="微软雅黑" w:cs="微软雅黑"/>
              </w:rPr>
            </w:pPr>
            <w:r>
              <w:rPr>
                <w:rFonts w:hint="eastAsia" w:ascii="微软雅黑" w:hAnsi="微软雅黑" w:eastAsia="微软雅黑" w:cs="微软雅黑"/>
                <w:color w:val="1F2937"/>
                <w:sz w:val="17"/>
              </w:rPr>
              <w:t>欧盟 CBAM 申报数据包终审报送</w:t>
            </w:r>
          </w:p>
        </w:tc>
        <w:tc>
          <w:tcPr>
            <w:tcW w:w="10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4C6A1184">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I</w:t>
            </w:r>
          </w:p>
        </w:tc>
        <w:tc>
          <w:tcPr>
            <w:tcW w:w="133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0B5613A3">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C</w:t>
            </w:r>
          </w:p>
        </w:tc>
        <w:tc>
          <w:tcPr>
            <w:tcW w:w="10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15A3F6C9">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A</w:t>
            </w:r>
          </w:p>
        </w:tc>
        <w:tc>
          <w:tcPr>
            <w:tcW w:w="65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620E122B">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R</w:t>
            </w:r>
          </w:p>
        </w:tc>
        <w:tc>
          <w:tcPr>
            <w:tcW w:w="71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7F607E66">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C</w:t>
            </w:r>
          </w:p>
        </w:tc>
        <w:tc>
          <w:tcPr>
            <w:tcW w:w="62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29760D8F">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C</w:t>
            </w:r>
          </w:p>
        </w:tc>
        <w:tc>
          <w:tcPr>
            <w:tcW w:w="72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51EB3827">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A</w:t>
            </w:r>
          </w:p>
        </w:tc>
      </w:tr>
      <w:tr w14:paraId="60F8D1B3">
        <w:tblPrEx>
          <w:tblCellMar>
            <w:top w:w="0" w:type="dxa"/>
            <w:left w:w="108" w:type="dxa"/>
            <w:bottom w:w="0" w:type="dxa"/>
            <w:right w:w="108" w:type="dxa"/>
          </w:tblCellMar>
        </w:tblPrEx>
        <w:trPr>
          <w:trHeight w:val="0" w:hRule="atLeast"/>
          <w:jc w:val="center"/>
        </w:trPr>
        <w:tc>
          <w:tcPr>
            <w:tcW w:w="354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708546E6">
            <w:pPr>
              <w:snapToGrid w:val="0"/>
              <w:jc w:val="center"/>
              <w:rPr>
                <w:rFonts w:hint="eastAsia" w:ascii="微软雅黑" w:hAnsi="微软雅黑" w:eastAsia="微软雅黑" w:cs="微软雅黑"/>
              </w:rPr>
            </w:pPr>
            <w:r>
              <w:rPr>
                <w:rFonts w:hint="eastAsia" w:ascii="微软雅黑" w:hAnsi="微软雅黑" w:eastAsia="微软雅黑" w:cs="微软雅黑"/>
                <w:color w:val="1F2937"/>
                <w:sz w:val="17"/>
              </w:rPr>
              <w:t>月度基层数据关账与反冲审批</w:t>
            </w:r>
          </w:p>
        </w:tc>
        <w:tc>
          <w:tcPr>
            <w:tcW w:w="10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15B7406E">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I</w:t>
            </w:r>
          </w:p>
        </w:tc>
        <w:tc>
          <w:tcPr>
            <w:tcW w:w="1334"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32F9F4BC">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w:t>
            </w:r>
          </w:p>
        </w:tc>
        <w:tc>
          <w:tcPr>
            <w:tcW w:w="10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0514B69A">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w:t>
            </w:r>
          </w:p>
        </w:tc>
        <w:tc>
          <w:tcPr>
            <w:tcW w:w="65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382C2671">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A</w:t>
            </w:r>
          </w:p>
        </w:tc>
        <w:tc>
          <w:tcPr>
            <w:tcW w:w="714"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112DC88F">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R</w:t>
            </w:r>
          </w:p>
        </w:tc>
        <w:tc>
          <w:tcPr>
            <w:tcW w:w="62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780A39B8">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C</w:t>
            </w:r>
          </w:p>
        </w:tc>
        <w:tc>
          <w:tcPr>
            <w:tcW w:w="72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6C8B6B2F">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I</w:t>
            </w:r>
          </w:p>
        </w:tc>
      </w:tr>
      <w:tr w14:paraId="551B4F7A">
        <w:tblPrEx>
          <w:tblCellMar>
            <w:top w:w="0" w:type="dxa"/>
            <w:left w:w="108" w:type="dxa"/>
            <w:bottom w:w="0" w:type="dxa"/>
            <w:right w:w="108" w:type="dxa"/>
          </w:tblCellMar>
        </w:tblPrEx>
        <w:trPr>
          <w:trHeight w:val="0" w:hRule="atLeast"/>
          <w:jc w:val="center"/>
        </w:trPr>
        <w:tc>
          <w:tcPr>
            <w:tcW w:w="354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4FA82F4C">
            <w:pPr>
              <w:snapToGrid w:val="0"/>
              <w:jc w:val="center"/>
              <w:rPr>
                <w:rFonts w:hint="eastAsia" w:ascii="微软雅黑" w:hAnsi="微软雅黑" w:eastAsia="微软雅黑" w:cs="微软雅黑"/>
              </w:rPr>
            </w:pPr>
            <w:r>
              <w:rPr>
                <w:rFonts w:hint="eastAsia" w:ascii="微软雅黑" w:hAnsi="微软雅黑" w:eastAsia="微软雅黑" w:cs="微软雅黑"/>
                <w:color w:val="1F2937"/>
                <w:sz w:val="17"/>
              </w:rPr>
              <w:t>统一错误码与 API 契约变更</w:t>
            </w:r>
          </w:p>
        </w:tc>
        <w:tc>
          <w:tcPr>
            <w:tcW w:w="10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186B5209">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I</w:t>
            </w:r>
          </w:p>
        </w:tc>
        <w:tc>
          <w:tcPr>
            <w:tcW w:w="133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20690918">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C</w:t>
            </w:r>
          </w:p>
        </w:tc>
        <w:tc>
          <w:tcPr>
            <w:tcW w:w="10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51A20057">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C</w:t>
            </w:r>
          </w:p>
        </w:tc>
        <w:tc>
          <w:tcPr>
            <w:tcW w:w="65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511AF3C2">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A</w:t>
            </w:r>
          </w:p>
        </w:tc>
        <w:tc>
          <w:tcPr>
            <w:tcW w:w="71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240E6B0C">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R</w:t>
            </w:r>
          </w:p>
        </w:tc>
        <w:tc>
          <w:tcPr>
            <w:tcW w:w="62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51E90915">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C</w:t>
            </w:r>
          </w:p>
        </w:tc>
        <w:tc>
          <w:tcPr>
            <w:tcW w:w="72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22EDCEDC">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I</w:t>
            </w:r>
          </w:p>
        </w:tc>
      </w:tr>
      <w:tr w14:paraId="3081261B">
        <w:tblPrEx>
          <w:tblCellMar>
            <w:top w:w="0" w:type="dxa"/>
            <w:left w:w="108" w:type="dxa"/>
            <w:bottom w:w="0" w:type="dxa"/>
            <w:right w:w="108" w:type="dxa"/>
          </w:tblCellMar>
        </w:tblPrEx>
        <w:trPr>
          <w:trHeight w:val="0" w:hRule="atLeast"/>
          <w:jc w:val="center"/>
        </w:trPr>
        <w:tc>
          <w:tcPr>
            <w:tcW w:w="354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5F419184">
            <w:pPr>
              <w:snapToGrid w:val="0"/>
              <w:jc w:val="center"/>
              <w:rPr>
                <w:rFonts w:hint="eastAsia" w:ascii="微软雅黑" w:hAnsi="微软雅黑" w:eastAsia="微软雅黑" w:cs="微软雅黑"/>
              </w:rPr>
            </w:pPr>
            <w:r>
              <w:rPr>
                <w:rFonts w:hint="eastAsia" w:ascii="微软雅黑" w:hAnsi="微软雅黑" w:eastAsia="微软雅黑" w:cs="微软雅黑"/>
                <w:color w:val="1F2937"/>
                <w:sz w:val="17"/>
              </w:rPr>
              <w:t>tbea-industrial-design 铁律修订</w:t>
            </w:r>
          </w:p>
        </w:tc>
        <w:tc>
          <w:tcPr>
            <w:tcW w:w="10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00FA382D">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I</w:t>
            </w:r>
          </w:p>
        </w:tc>
        <w:tc>
          <w:tcPr>
            <w:tcW w:w="1334"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1A4A7247">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I</w:t>
            </w:r>
          </w:p>
        </w:tc>
        <w:tc>
          <w:tcPr>
            <w:tcW w:w="109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6F567FDC">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I</w:t>
            </w:r>
          </w:p>
        </w:tc>
        <w:tc>
          <w:tcPr>
            <w:tcW w:w="65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35EF5752">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C</w:t>
            </w:r>
          </w:p>
        </w:tc>
        <w:tc>
          <w:tcPr>
            <w:tcW w:w="714"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3BCBDC73">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A</w:t>
            </w:r>
          </w:p>
        </w:tc>
        <w:tc>
          <w:tcPr>
            <w:tcW w:w="62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7D06D43A">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R</w:t>
            </w:r>
          </w:p>
        </w:tc>
        <w:tc>
          <w:tcPr>
            <w:tcW w:w="72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tcPr>
          <w:p w14:paraId="7D507A75">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I</w:t>
            </w:r>
          </w:p>
        </w:tc>
      </w:tr>
      <w:tr w14:paraId="039F44A0">
        <w:tblPrEx>
          <w:tblCellMar>
            <w:top w:w="0" w:type="dxa"/>
            <w:left w:w="108" w:type="dxa"/>
            <w:bottom w:w="0" w:type="dxa"/>
            <w:right w:w="108" w:type="dxa"/>
          </w:tblCellMar>
        </w:tblPrEx>
        <w:trPr>
          <w:trHeight w:val="0" w:hRule="atLeast"/>
          <w:jc w:val="center"/>
        </w:trPr>
        <w:tc>
          <w:tcPr>
            <w:tcW w:w="354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754A7A47">
            <w:pPr>
              <w:snapToGrid w:val="0"/>
              <w:jc w:val="center"/>
              <w:rPr>
                <w:rFonts w:hint="eastAsia" w:ascii="微软雅黑" w:hAnsi="微软雅黑" w:eastAsia="微软雅黑" w:cs="微软雅黑"/>
              </w:rPr>
            </w:pPr>
            <w:r>
              <w:rPr>
                <w:rFonts w:hint="eastAsia" w:ascii="微软雅黑" w:hAnsi="微软雅黑" w:eastAsia="微软雅黑" w:cs="微软雅黑"/>
                <w:color w:val="1F2937"/>
                <w:sz w:val="17"/>
              </w:rPr>
              <w:t>权威工序白名单判定扩展</w:t>
            </w:r>
          </w:p>
        </w:tc>
        <w:tc>
          <w:tcPr>
            <w:tcW w:w="10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43AA353B">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I</w:t>
            </w:r>
          </w:p>
        </w:tc>
        <w:tc>
          <w:tcPr>
            <w:tcW w:w="133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2B1CAD11">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w:t>
            </w:r>
          </w:p>
        </w:tc>
        <w:tc>
          <w:tcPr>
            <w:tcW w:w="109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634A05BB">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w:t>
            </w:r>
          </w:p>
        </w:tc>
        <w:tc>
          <w:tcPr>
            <w:tcW w:w="652"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3CAFFBC4">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C</w:t>
            </w:r>
          </w:p>
        </w:tc>
        <w:tc>
          <w:tcPr>
            <w:tcW w:w="714"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77BD3430">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R</w:t>
            </w:r>
          </w:p>
        </w:tc>
        <w:tc>
          <w:tcPr>
            <w:tcW w:w="62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1B5CAEB6">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A</w:t>
            </w:r>
          </w:p>
        </w:tc>
        <w:tc>
          <w:tcPr>
            <w:tcW w:w="72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tcPr>
          <w:p w14:paraId="270DD057">
            <w:pPr>
              <w:snapToGrid w:val="0"/>
              <w:jc w:val="left"/>
              <w:rPr>
                <w:rFonts w:hint="eastAsia" w:ascii="微软雅黑" w:hAnsi="微软雅黑" w:eastAsia="微软雅黑" w:cs="微软雅黑"/>
              </w:rPr>
            </w:pPr>
            <w:r>
              <w:rPr>
                <w:rFonts w:hint="eastAsia" w:ascii="微软雅黑" w:hAnsi="微软雅黑" w:eastAsia="微软雅黑" w:cs="微软雅黑"/>
                <w:color w:val="1F2937"/>
                <w:sz w:val="17"/>
              </w:rPr>
              <w:t>I</w:t>
            </w:r>
          </w:p>
        </w:tc>
      </w:tr>
    </w:tbl>
    <w:p w14:paraId="424B256B">
      <w:pPr>
        <w:spacing w:after="60"/>
        <w:rPr>
          <w:rFonts w:hint="eastAsia" w:ascii="微软雅黑" w:hAnsi="微软雅黑" w:eastAsia="微软雅黑" w:cs="微软雅黑"/>
        </w:rPr>
      </w:pPr>
    </w:p>
    <w:p w14:paraId="7797935D">
      <w:pPr>
        <w:pStyle w:val="4"/>
        <w:keepNext/>
        <w:spacing w:before="260" w:after="100"/>
        <w:outlineLvl w:val="1"/>
        <w:rPr>
          <w:rFonts w:hint="eastAsia" w:ascii="微软雅黑" w:hAnsi="微软雅黑" w:eastAsia="微软雅黑" w:cs="微软雅黑"/>
        </w:rPr>
      </w:pPr>
      <w:bookmarkStart w:id="57" w:name="_Toc16690"/>
      <w:r>
        <w:rPr>
          <w:rFonts w:hint="eastAsia" w:ascii="微软雅黑" w:hAnsi="微软雅黑" w:eastAsia="微软雅黑" w:cs="微软雅黑"/>
          <w:b/>
          <w:color w:val="0284C7"/>
          <w:sz w:val="25"/>
        </w:rPr>
        <w:t>第 24 章 Skill 依赖契约与降级策略</w:t>
      </w:r>
      <w:bookmarkEnd w:id="57"/>
    </w:p>
    <w:p w14:paraId="64AA1D47">
      <w:pPr>
        <w:spacing w:after="80" w:line="288" w:lineRule="auto"/>
        <w:rPr>
          <w:rFonts w:hint="eastAsia" w:ascii="微软雅黑" w:hAnsi="微软雅黑" w:eastAsia="微软雅黑" w:cs="微软雅黑"/>
        </w:rPr>
      </w:pPr>
      <w:r>
        <w:rPr>
          <w:rFonts w:hint="eastAsia" w:ascii="微软雅黑" w:hAnsi="微软雅黑" w:eastAsia="微软雅黑" w:cs="微软雅黑"/>
          <w:color w:val="1F2937"/>
          <w:sz w:val="19"/>
        </w:rPr>
        <w:t>1. 强制硬依赖：tbea-industrial-design（44px表格/客观中立/状态自解释/单行判空/微透蓝游标/双端同构），缺失时系统与 Agent 必须显式阻断并拒绝出稿；</w:t>
      </w:r>
      <w:r>
        <w:rPr>
          <w:rFonts w:hint="eastAsia" w:ascii="微软雅黑" w:hAnsi="微软雅黑" w:eastAsia="微软雅黑" w:cs="微软雅黑"/>
          <w:color w:val="1F2937"/>
          <w:sz w:val="19"/>
        </w:rPr>
        <w:br w:type="textWrapping"/>
      </w:r>
      <w:r>
        <w:rPr>
          <w:rFonts w:hint="eastAsia" w:ascii="微软雅黑" w:hAnsi="微软雅黑" w:eastAsia="微软雅黑" w:cs="微软雅黑"/>
          <w:color w:val="1F2937"/>
          <w:sz w:val="19"/>
        </w:rPr>
        <w:t>2. 软依赖优雅降级：tbea-data-dictionary、tbea-qa-destructive-testing、tbea-domain-glossary 缺失时，自动启用本文档内联标准规范平滑继续执行，并在文档头部打上 [FALLBACK] 降级标识。</w:t>
      </w:r>
    </w:p>
    <w:p w14:paraId="37057E42">
      <w:pPr>
        <w:pStyle w:val="4"/>
        <w:keepNext/>
        <w:spacing w:before="260" w:after="100"/>
        <w:outlineLvl w:val="0"/>
        <w:rPr>
          <w:rFonts w:hint="eastAsia" w:ascii="微软雅黑" w:hAnsi="微软雅黑" w:eastAsia="微软雅黑" w:cs="微软雅黑"/>
          <w:sz w:val="28"/>
          <w:szCs w:val="28"/>
        </w:rPr>
      </w:pPr>
      <w:bookmarkStart w:id="58" w:name="_Toc3301"/>
      <w:r>
        <w:rPr>
          <w:rFonts w:hint="eastAsia" w:ascii="微软雅黑" w:hAnsi="微软雅黑" w:eastAsia="微软雅黑" w:cs="微软雅黑"/>
          <w:b/>
          <w:color w:val="0284C7"/>
          <w:sz w:val="28"/>
          <w:szCs w:val="28"/>
        </w:rPr>
        <w:t>附录 A：现行国标 / 行标 / 欧标 法规映射表</w:t>
      </w:r>
      <w:bookmarkEnd w:id="58"/>
    </w:p>
    <w:tbl>
      <w:tblPr>
        <w:tblStyle w:val="35"/>
        <w:tblW w:w="9792" w:type="dxa"/>
        <w:jc w:val="center"/>
        <w:tblLayout w:type="autofit"/>
        <w:tblCellMar>
          <w:top w:w="0" w:type="dxa"/>
          <w:left w:w="108" w:type="dxa"/>
          <w:bottom w:w="0" w:type="dxa"/>
          <w:right w:w="108" w:type="dxa"/>
        </w:tblCellMar>
      </w:tblPr>
      <w:tblGrid>
        <w:gridCol w:w="1742"/>
        <w:gridCol w:w="2991"/>
        <w:gridCol w:w="3571"/>
        <w:gridCol w:w="1488"/>
      </w:tblGrid>
      <w:tr w14:paraId="65CCB085">
        <w:tblPrEx>
          <w:tblCellMar>
            <w:top w:w="0" w:type="dxa"/>
            <w:left w:w="108" w:type="dxa"/>
            <w:bottom w:w="0" w:type="dxa"/>
            <w:right w:w="108" w:type="dxa"/>
          </w:tblCellMar>
        </w:tblPrEx>
        <w:trPr>
          <w:trHeight w:val="0" w:hRule="atLeast"/>
          <w:tblHeader/>
          <w:jc w:val="center"/>
        </w:trPr>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7A137019">
            <w:pPr>
              <w:snapToGrid w:val="0"/>
              <w:spacing w:line="240" w:lineRule="auto"/>
              <w:ind w:left="0" w:leftChars="0" w:right="0" w:rightChars="0" w:firstLine="0" w:firstLineChars="0"/>
              <w:jc w:val="center"/>
              <w:rPr>
                <w:rFonts w:hint="eastAsia" w:ascii="微软雅黑" w:hAnsi="微软雅黑" w:eastAsia="微软雅黑" w:cs="微软雅黑"/>
                <w:b/>
                <w:sz w:val="18"/>
              </w:rPr>
            </w:pPr>
            <w:r>
              <w:rPr>
                <w:rFonts w:hint="eastAsia" w:ascii="微软雅黑" w:hAnsi="微软雅黑" w:eastAsia="微软雅黑" w:cs="微软雅黑"/>
                <w:b/>
                <w:color w:val="FFFFFF"/>
                <w:sz w:val="18"/>
              </w:rPr>
              <w:t>标准代号</w:t>
            </w:r>
          </w:p>
        </w:tc>
        <w:tc>
          <w:tcPr>
            <w:tcW w:w="0" w:type="auto"/>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2B704696">
            <w:pPr>
              <w:snapToGrid w:val="0"/>
              <w:spacing w:line="240" w:lineRule="auto"/>
              <w:ind w:left="0" w:leftChars="0" w:right="0" w:rightChars="0" w:firstLine="0" w:firstLineChars="0"/>
              <w:jc w:val="center"/>
              <w:rPr>
                <w:rFonts w:hint="eastAsia" w:ascii="微软雅黑" w:hAnsi="微软雅黑" w:eastAsia="微软雅黑" w:cs="微软雅黑"/>
                <w:b/>
                <w:sz w:val="18"/>
              </w:rPr>
            </w:pPr>
            <w:r>
              <w:rPr>
                <w:rFonts w:hint="eastAsia" w:ascii="微软雅黑" w:hAnsi="微软雅黑" w:eastAsia="微软雅黑" w:cs="微软雅黑"/>
                <w:b/>
                <w:color w:val="FFFFFF"/>
                <w:sz w:val="18"/>
              </w:rPr>
              <w:t>标准名称</w:t>
            </w:r>
          </w:p>
        </w:tc>
        <w:tc>
          <w:tcPr>
            <w:tcW w:w="3571"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094DB264">
            <w:pPr>
              <w:snapToGrid w:val="0"/>
              <w:spacing w:line="240" w:lineRule="auto"/>
              <w:ind w:left="0" w:leftChars="0" w:right="0" w:rightChars="0" w:firstLine="0" w:firstLineChars="0"/>
              <w:jc w:val="center"/>
              <w:rPr>
                <w:rFonts w:hint="eastAsia" w:ascii="微软雅黑" w:hAnsi="微软雅黑" w:eastAsia="微软雅黑" w:cs="微软雅黑"/>
                <w:b/>
                <w:sz w:val="18"/>
              </w:rPr>
            </w:pPr>
            <w:r>
              <w:rPr>
                <w:rFonts w:hint="eastAsia" w:ascii="微软雅黑" w:hAnsi="微软雅黑" w:eastAsia="微软雅黑" w:cs="微软雅黑"/>
                <w:b/>
                <w:color w:val="FFFFFF"/>
                <w:sz w:val="18"/>
              </w:rPr>
              <w:t>工程适用范围</w:t>
            </w:r>
          </w:p>
        </w:tc>
        <w:tc>
          <w:tcPr>
            <w:tcW w:w="1488"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349C9041">
            <w:pPr>
              <w:snapToGrid w:val="0"/>
              <w:spacing w:line="240" w:lineRule="auto"/>
              <w:ind w:left="0" w:leftChars="0" w:right="0" w:rightChars="0" w:firstLine="0" w:firstLineChars="0"/>
              <w:jc w:val="center"/>
              <w:rPr>
                <w:rFonts w:hint="eastAsia" w:ascii="微软雅黑" w:hAnsi="微软雅黑" w:eastAsia="微软雅黑" w:cs="微软雅黑"/>
                <w:b/>
                <w:sz w:val="18"/>
              </w:rPr>
            </w:pPr>
            <w:r>
              <w:rPr>
                <w:rFonts w:hint="eastAsia" w:ascii="微软雅黑" w:hAnsi="微软雅黑" w:eastAsia="微软雅黑" w:cs="微软雅黑"/>
                <w:b/>
                <w:color w:val="FFFFFF"/>
                <w:sz w:val="18"/>
              </w:rPr>
              <w:t>PRD关联章节</w:t>
            </w:r>
          </w:p>
        </w:tc>
      </w:tr>
      <w:tr w14:paraId="76975453">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CF48537">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GB/T 2589-2020</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6E2F085">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综合能耗计算通则</w:t>
            </w:r>
          </w:p>
        </w:tc>
        <w:tc>
          <w:tcPr>
            <w:tcW w:w="357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281D170">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全平台能耗折算、折标煤系数库</w:t>
            </w:r>
          </w:p>
        </w:tc>
        <w:tc>
          <w:tcPr>
            <w:tcW w:w="148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9B16910">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第 3、5、6、8 章</w:t>
            </w:r>
          </w:p>
        </w:tc>
      </w:tr>
      <w:tr w14:paraId="5F06D7DC">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23D4A15">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GB 17167-2006</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F147AF4">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用能单位能源计量器具配备和管理通则</w:t>
            </w:r>
          </w:p>
        </w:tc>
        <w:tc>
          <w:tcPr>
            <w:tcW w:w="357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2D12A3C">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重点用能设备表计配备、物联点位布设</w:t>
            </w:r>
          </w:p>
        </w:tc>
        <w:tc>
          <w:tcPr>
            <w:tcW w:w="148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E13C03F">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第 5、17 章</w:t>
            </w:r>
          </w:p>
        </w:tc>
      </w:tr>
      <w:tr w14:paraId="34F82A49">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6CBC876">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GB/T 32150-2015</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434216F">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工业企业温室气体排放核算和报告通则</w:t>
            </w:r>
          </w:p>
        </w:tc>
        <w:tc>
          <w:tcPr>
            <w:tcW w:w="357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8054B22">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Scope 1 直接化石燃烧 + Scope 2 外购电热测算</w:t>
            </w:r>
          </w:p>
        </w:tc>
        <w:tc>
          <w:tcPr>
            <w:tcW w:w="148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408D386">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第 5 章</w:t>
            </w:r>
          </w:p>
        </w:tc>
      </w:tr>
      <w:tr w14:paraId="0E8CBA5F">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218F08A">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ISO 14067:2018</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3D6CC6F7">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温室气体 产品碳足迹 量化要求和指南</w:t>
            </w:r>
          </w:p>
        </w:tc>
        <w:tc>
          <w:tcPr>
            <w:tcW w:w="357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C624B76">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变压器/线缆生命周期评价与双语报告导出</w:t>
            </w:r>
          </w:p>
        </w:tc>
        <w:tc>
          <w:tcPr>
            <w:tcW w:w="148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40D1F83">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第 12 章</w:t>
            </w:r>
          </w:p>
        </w:tc>
      </w:tr>
      <w:tr w14:paraId="4B355DE0">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A854F60">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ISO 14064-1:2018</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FCB0742">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组织层次上温室气体排放清单编制指南</w:t>
            </w:r>
          </w:p>
        </w:tc>
        <w:tc>
          <w:tcPr>
            <w:tcW w:w="357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B7CC010">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零碳园区全景碳盘查与减排抵消量核算</w:t>
            </w:r>
          </w:p>
        </w:tc>
        <w:tc>
          <w:tcPr>
            <w:tcW w:w="148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A36CB49">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第 5 章</w:t>
            </w:r>
          </w:p>
        </w:tc>
      </w:tr>
      <w:tr w14:paraId="5E155F64">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744F8A8">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ISO 50001:2018</w:t>
            </w:r>
          </w:p>
        </w:tc>
        <w:tc>
          <w:tcPr>
            <w:tcW w:w="0" w:type="auto"/>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924A10C">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能源管理体系 要求及使用指南</w:t>
            </w:r>
          </w:p>
        </w:tc>
        <w:tc>
          <w:tcPr>
            <w:tcW w:w="357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79093B4">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零碳工厂自评估运营管理考核维度</w:t>
            </w:r>
          </w:p>
        </w:tc>
        <w:tc>
          <w:tcPr>
            <w:tcW w:w="148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FFE2F1C">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第 7 章</w:t>
            </w:r>
          </w:p>
        </w:tc>
      </w:tr>
      <w:tr w14:paraId="58015BF7">
        <w:tblPrEx>
          <w:tblCellMar>
            <w:top w:w="0" w:type="dxa"/>
            <w:left w:w="108" w:type="dxa"/>
            <w:bottom w:w="0" w:type="dxa"/>
            <w:right w:w="108" w:type="dxa"/>
          </w:tblCellMar>
        </w:tblPrEx>
        <w:trPr>
          <w:trHeight w:val="0" w:hRule="atLeast"/>
          <w:jc w:val="center"/>
        </w:trPr>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70F7DBF1">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EU CBAM 2023/956</w:t>
            </w:r>
          </w:p>
        </w:tc>
        <w:tc>
          <w:tcPr>
            <w:tcW w:w="0" w:type="auto"/>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844B1C4">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欧盟碳边境调节机制正式条例</w:t>
            </w:r>
          </w:p>
        </w:tc>
        <w:tc>
          <w:tcPr>
            <w:tcW w:w="3571"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58147F88">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欧盟海关税号映射、前驱物测算、XML导出</w:t>
            </w:r>
          </w:p>
        </w:tc>
        <w:tc>
          <w:tcPr>
            <w:tcW w:w="1488"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ACEC517">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第 13 章</w:t>
            </w:r>
          </w:p>
        </w:tc>
      </w:tr>
      <w:tr w14:paraId="09909B08">
        <w:tblPrEx>
          <w:tblCellMar>
            <w:top w:w="0" w:type="dxa"/>
            <w:left w:w="108" w:type="dxa"/>
            <w:bottom w:w="0" w:type="dxa"/>
            <w:right w:w="108" w:type="dxa"/>
          </w:tblCellMar>
        </w:tblPrEx>
        <w:trPr>
          <w:trHeight w:val="0" w:hRule="atLeast"/>
          <w:jc w:val="center"/>
        </w:trPr>
        <w:tc>
          <w:tcPr>
            <w:tcW w:w="1742"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3A1700A">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EU ETS 2003/87/EC</w:t>
            </w:r>
          </w:p>
        </w:tc>
        <w:tc>
          <w:tcPr>
            <w:tcW w:w="299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42F1C279">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欧盟温室气体排放配额交易体系指令</w:t>
            </w:r>
          </w:p>
        </w:tc>
        <w:tc>
          <w:tcPr>
            <w:tcW w:w="3571"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1A2DEE18">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CBAM 关税扣减测算联动实时 ETS 碳价</w:t>
            </w:r>
          </w:p>
        </w:tc>
        <w:tc>
          <w:tcPr>
            <w:tcW w:w="1488"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2D69CBA">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第 13 章</w:t>
            </w:r>
          </w:p>
        </w:tc>
      </w:tr>
    </w:tbl>
    <w:p w14:paraId="6AD5DDDF">
      <w:pPr>
        <w:spacing w:after="60"/>
        <w:rPr>
          <w:rFonts w:hint="eastAsia" w:ascii="微软雅黑" w:hAnsi="微软雅黑" w:eastAsia="微软雅黑" w:cs="微软雅黑"/>
        </w:rPr>
      </w:pPr>
    </w:p>
    <w:p w14:paraId="5AD71751">
      <w:pPr>
        <w:pStyle w:val="4"/>
        <w:keepNext/>
        <w:spacing w:before="260" w:after="100"/>
        <w:outlineLvl w:val="0"/>
        <w:rPr>
          <w:rFonts w:hint="eastAsia" w:ascii="微软雅黑" w:hAnsi="微软雅黑" w:eastAsia="微软雅黑" w:cs="微软雅黑"/>
          <w:sz w:val="28"/>
          <w:szCs w:val="28"/>
        </w:rPr>
      </w:pPr>
      <w:bookmarkStart w:id="59" w:name="_Toc18950"/>
      <w:r>
        <w:rPr>
          <w:rFonts w:hint="eastAsia" w:ascii="微软雅黑" w:hAnsi="微软雅黑" w:eastAsia="微软雅黑" w:cs="微软雅黑"/>
          <w:b/>
          <w:color w:val="0284C7"/>
          <w:sz w:val="28"/>
          <w:szCs w:val="28"/>
        </w:rPr>
        <w:t>附录 B：反模式与反例对照治理清单</w:t>
      </w:r>
      <w:bookmarkEnd w:id="59"/>
    </w:p>
    <w:tbl>
      <w:tblPr>
        <w:tblStyle w:val="35"/>
        <w:tblW w:w="9792" w:type="dxa"/>
        <w:jc w:val="center"/>
        <w:tblLayout w:type="autofit"/>
        <w:tblCellMar>
          <w:top w:w="0" w:type="dxa"/>
          <w:left w:w="108" w:type="dxa"/>
          <w:bottom w:w="0" w:type="dxa"/>
          <w:right w:w="108" w:type="dxa"/>
        </w:tblCellMar>
      </w:tblPr>
      <w:tblGrid>
        <w:gridCol w:w="1447"/>
        <w:gridCol w:w="3832"/>
        <w:gridCol w:w="4513"/>
      </w:tblGrid>
      <w:tr w14:paraId="3D9CA8BB">
        <w:tblPrEx>
          <w:tblCellMar>
            <w:top w:w="0" w:type="dxa"/>
            <w:left w:w="108" w:type="dxa"/>
            <w:bottom w:w="0" w:type="dxa"/>
            <w:right w:w="108" w:type="dxa"/>
          </w:tblCellMar>
        </w:tblPrEx>
        <w:trPr>
          <w:trHeight w:val="0" w:hRule="atLeast"/>
          <w:tblHeader/>
          <w:jc w:val="center"/>
        </w:trPr>
        <w:tc>
          <w:tcPr>
            <w:tcW w:w="1447"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038354AC">
            <w:pPr>
              <w:snapToGrid w:val="0"/>
              <w:spacing w:line="240" w:lineRule="auto"/>
              <w:ind w:left="0" w:leftChars="0" w:right="0" w:rightChars="0" w:firstLine="0" w:firstLineChars="0"/>
              <w:jc w:val="center"/>
              <w:rPr>
                <w:rFonts w:hint="eastAsia" w:ascii="微软雅黑" w:hAnsi="微软雅黑" w:eastAsia="微软雅黑" w:cs="微软雅黑"/>
                <w:b/>
                <w:sz w:val="18"/>
              </w:rPr>
            </w:pPr>
            <w:r>
              <w:rPr>
                <w:rFonts w:hint="eastAsia" w:ascii="微软雅黑" w:hAnsi="微软雅黑" w:eastAsia="微软雅黑" w:cs="微软雅黑"/>
                <w:b/>
                <w:color w:val="FFFFFF"/>
                <w:sz w:val="18"/>
              </w:rPr>
              <w:t>反模式类别</w:t>
            </w:r>
          </w:p>
        </w:tc>
        <w:tc>
          <w:tcPr>
            <w:tcW w:w="3833"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275BA0BE">
            <w:pPr>
              <w:snapToGrid w:val="0"/>
              <w:spacing w:line="240" w:lineRule="auto"/>
              <w:ind w:left="0" w:leftChars="0" w:right="0" w:rightChars="0" w:firstLine="0" w:firstLineChars="0"/>
              <w:jc w:val="center"/>
              <w:rPr>
                <w:rFonts w:hint="eastAsia" w:ascii="微软雅黑" w:hAnsi="微软雅黑" w:eastAsia="微软雅黑" w:cs="微软雅黑"/>
                <w:b/>
                <w:sz w:val="18"/>
              </w:rPr>
            </w:pPr>
            <w:r>
              <w:rPr>
                <w:rFonts w:hint="eastAsia" w:ascii="微软雅黑" w:hAnsi="微软雅黑" w:eastAsia="微软雅黑" w:cs="微软雅黑"/>
                <w:b/>
                <w:color w:val="FFFFFF"/>
                <w:sz w:val="18"/>
              </w:rPr>
              <w:t>典型错误反例(严禁使用)</w:t>
            </w:r>
          </w:p>
        </w:tc>
        <w:tc>
          <w:tcPr>
            <w:tcW w:w="4513" w:type="dxa"/>
            <w:tcBorders>
              <w:top w:val="single" w:color="CBD5E1" w:sz="4" w:space="0"/>
              <w:left w:val="single" w:color="CBD5E1" w:sz="4" w:space="0"/>
              <w:bottom w:val="single" w:color="CBD5E1" w:sz="4" w:space="0"/>
              <w:right w:val="single" w:color="CBD5E1" w:sz="4" w:space="0"/>
            </w:tcBorders>
            <w:shd w:val="clear" w:color="auto" w:fill="1E3A8A"/>
            <w:tcMar>
              <w:top w:w="70" w:type="dxa"/>
              <w:left w:w="90" w:type="dxa"/>
              <w:bottom w:w="70" w:type="dxa"/>
              <w:right w:w="90" w:type="dxa"/>
            </w:tcMar>
            <w:vAlign w:val="center"/>
          </w:tcPr>
          <w:p w14:paraId="44CDE23A">
            <w:pPr>
              <w:snapToGrid w:val="0"/>
              <w:spacing w:line="240" w:lineRule="auto"/>
              <w:ind w:left="0" w:leftChars="0" w:right="0" w:rightChars="0" w:firstLine="0" w:firstLineChars="0"/>
              <w:jc w:val="center"/>
              <w:rPr>
                <w:rFonts w:hint="eastAsia" w:ascii="微软雅黑" w:hAnsi="微软雅黑" w:eastAsia="微软雅黑" w:cs="微软雅黑"/>
                <w:b/>
                <w:sz w:val="18"/>
              </w:rPr>
            </w:pPr>
            <w:r>
              <w:rPr>
                <w:rFonts w:hint="eastAsia" w:ascii="微软雅黑" w:hAnsi="微软雅黑" w:eastAsia="微软雅黑" w:cs="微软雅黑"/>
                <w:b/>
                <w:color w:val="FFFFFF"/>
                <w:sz w:val="18"/>
              </w:rPr>
              <w:t>工业级标准正例(强制执行)</w:t>
            </w:r>
          </w:p>
        </w:tc>
      </w:tr>
      <w:tr w14:paraId="472DFD3F">
        <w:tblPrEx>
          <w:tblCellMar>
            <w:top w:w="0" w:type="dxa"/>
            <w:left w:w="108" w:type="dxa"/>
            <w:bottom w:w="0" w:type="dxa"/>
            <w:right w:w="108" w:type="dxa"/>
          </w:tblCellMar>
        </w:tblPrEx>
        <w:trPr>
          <w:trHeight w:val="0" w:hRule="atLeast"/>
          <w:jc w:val="center"/>
        </w:trPr>
        <w:tc>
          <w:tcPr>
            <w:tcW w:w="144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BD13EC4">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主观定性评价</w:t>
            </w:r>
          </w:p>
        </w:tc>
        <w:tc>
          <w:tcPr>
            <w:tcW w:w="383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68873476">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该车间电能品质优良，运行表现极为欠佳，处于落后单位</w:t>
            </w:r>
          </w:p>
        </w:tc>
        <w:tc>
          <w:tcPr>
            <w:tcW w:w="451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4DA05024">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功率因数 0.96，负荷率 68.5%，万元产值能耗同比 +5.2% ↑</w:t>
            </w:r>
          </w:p>
        </w:tc>
      </w:tr>
      <w:tr w14:paraId="73E6D0DE">
        <w:tblPrEx>
          <w:tblCellMar>
            <w:top w:w="0" w:type="dxa"/>
            <w:left w:w="108" w:type="dxa"/>
            <w:bottom w:w="0" w:type="dxa"/>
            <w:right w:w="108" w:type="dxa"/>
          </w:tblCellMar>
        </w:tblPrEx>
        <w:trPr>
          <w:trHeight w:val="0" w:hRule="atLeast"/>
          <w:jc w:val="center"/>
        </w:trPr>
        <w:tc>
          <w:tcPr>
            <w:tcW w:w="144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0A9849A3">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说教指责建议</w:t>
            </w:r>
          </w:p>
        </w:tc>
        <w:tc>
          <w:tcPr>
            <w:tcW w:w="383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788FFA25">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沈变厂处于领跑标杆；鲁缆公司能效偏低，需限期推进技改</w:t>
            </w:r>
          </w:p>
        </w:tc>
        <w:tc>
          <w:tcPr>
            <w:tcW w:w="451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293FDE47">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客观绘制行业先进基准虚线与集团历史平均线，数据位置自解释</w:t>
            </w:r>
          </w:p>
        </w:tc>
      </w:tr>
      <w:tr w14:paraId="3B541025">
        <w:tblPrEx>
          <w:tblCellMar>
            <w:top w:w="0" w:type="dxa"/>
            <w:left w:w="108" w:type="dxa"/>
            <w:bottom w:w="0" w:type="dxa"/>
            <w:right w:w="108" w:type="dxa"/>
          </w:tblCellMar>
        </w:tblPrEx>
        <w:trPr>
          <w:trHeight w:val="0" w:hRule="atLeast"/>
          <w:jc w:val="center"/>
        </w:trPr>
        <w:tc>
          <w:tcPr>
            <w:tcW w:w="144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0B500CF">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模糊状态标签</w:t>
            </w:r>
          </w:p>
        </w:tc>
        <w:tc>
          <w:tcPr>
            <w:tcW w:w="383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0D66267">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卡片右上角显示“已选中”、“图表正在联动中，请稍候”</w:t>
            </w:r>
          </w:p>
        </w:tc>
        <w:tc>
          <w:tcPr>
            <w:tcW w:w="451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34D1958E">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卡片边框高亮 (border-primary ring-2) 自解释，右上角纯留白</w:t>
            </w:r>
          </w:p>
        </w:tc>
      </w:tr>
      <w:tr w14:paraId="49D1D13B">
        <w:tblPrEx>
          <w:tblCellMar>
            <w:top w:w="0" w:type="dxa"/>
            <w:left w:w="108" w:type="dxa"/>
            <w:bottom w:w="0" w:type="dxa"/>
            <w:right w:w="108" w:type="dxa"/>
          </w:tblCellMar>
        </w:tblPrEx>
        <w:trPr>
          <w:trHeight w:val="0" w:hRule="atLeast"/>
          <w:jc w:val="center"/>
        </w:trPr>
        <w:tc>
          <w:tcPr>
            <w:tcW w:w="1447"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EB379F2">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大段解释判空</w:t>
            </w:r>
          </w:p>
        </w:tc>
        <w:tc>
          <w:tcPr>
            <w:tcW w:w="383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608B44C1">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未查到相关工序数据，请核对生产单位白名单配置或联系管理员</w:t>
            </w:r>
          </w:p>
        </w:tc>
        <w:tc>
          <w:tcPr>
            <w:tcW w:w="4513" w:type="dxa"/>
            <w:tcBorders>
              <w:top w:val="single" w:color="CBD5E1" w:sz="4" w:space="0"/>
              <w:left w:val="single" w:color="CBD5E1" w:sz="4" w:space="0"/>
              <w:bottom w:val="single" w:color="CBD5E1" w:sz="4" w:space="0"/>
              <w:right w:val="single" w:color="CBD5E1" w:sz="4" w:space="0"/>
            </w:tcBorders>
            <w:shd w:val="clear" w:color="auto" w:fill="F8FAFC"/>
            <w:tcMar>
              <w:top w:w="60" w:type="dxa"/>
              <w:left w:w="80" w:type="dxa"/>
              <w:bottom w:w="60" w:type="dxa"/>
              <w:right w:w="80" w:type="dxa"/>
            </w:tcMar>
            <w:vAlign w:val="center"/>
          </w:tcPr>
          <w:p w14:paraId="532C6CA3">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单行干练输出：暂无相关工序！</w:t>
            </w:r>
          </w:p>
        </w:tc>
      </w:tr>
      <w:tr w14:paraId="55935902">
        <w:tblPrEx>
          <w:tblCellMar>
            <w:top w:w="0" w:type="dxa"/>
            <w:left w:w="108" w:type="dxa"/>
            <w:bottom w:w="0" w:type="dxa"/>
            <w:right w:w="108" w:type="dxa"/>
          </w:tblCellMar>
        </w:tblPrEx>
        <w:trPr>
          <w:trHeight w:val="0" w:hRule="atLeast"/>
          <w:jc w:val="center"/>
        </w:trPr>
        <w:tc>
          <w:tcPr>
            <w:tcW w:w="1447"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B79E577">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负数非法吞没</w:t>
            </w:r>
          </w:p>
        </w:tc>
        <w:tc>
          <w:tcPr>
            <w:tcW w:w="383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010BA9B0">
            <w:pPr>
              <w:snapToGrid w:val="0"/>
              <w:spacing w:line="240" w:lineRule="auto"/>
              <w:ind w:left="0" w:leftChars="0" w:right="0" w:rightChars="0" w:firstLine="0" w:firstLineChars="0"/>
              <w:jc w:val="center"/>
              <w:rPr>
                <w:rFonts w:hint="eastAsia" w:ascii="微软雅黑" w:hAnsi="微软雅黑" w:eastAsia="微软雅黑" w:cs="微软雅黑"/>
                <w:sz w:val="17"/>
              </w:rPr>
            </w:pPr>
            <w:r>
              <w:rPr>
                <w:rFonts w:hint="eastAsia" w:ascii="微软雅黑" w:hAnsi="微软雅黑" w:eastAsia="微软雅黑" w:cs="微软雅黑"/>
                <w:color w:val="1F2937"/>
                <w:sz w:val="17"/>
              </w:rPr>
              <w:t>录入 -500 kVA 产量前端静默通过或存入负数</w:t>
            </w:r>
          </w:p>
        </w:tc>
        <w:tc>
          <w:tcPr>
            <w:tcW w:w="4513" w:type="dxa"/>
            <w:tcBorders>
              <w:top w:val="single" w:color="CBD5E1" w:sz="4" w:space="0"/>
              <w:left w:val="single" w:color="CBD5E1" w:sz="4" w:space="0"/>
              <w:bottom w:val="single" w:color="CBD5E1" w:sz="4" w:space="0"/>
              <w:right w:val="single" w:color="CBD5E1" w:sz="4" w:space="0"/>
            </w:tcBorders>
            <w:shd w:val="clear" w:color="auto" w:fill="FFFFFF"/>
            <w:tcMar>
              <w:top w:w="60" w:type="dxa"/>
              <w:left w:w="80" w:type="dxa"/>
              <w:bottom w:w="60" w:type="dxa"/>
              <w:right w:w="80" w:type="dxa"/>
            </w:tcMar>
            <w:vAlign w:val="center"/>
          </w:tcPr>
          <w:p w14:paraId="27EA5BB4">
            <w:pPr>
              <w:snapToGrid w:val="0"/>
              <w:spacing w:line="240" w:lineRule="auto"/>
              <w:ind w:left="0" w:leftChars="0" w:right="0" w:rightChars="0" w:firstLine="0" w:firstLineChars="0"/>
              <w:jc w:val="left"/>
              <w:rPr>
                <w:rFonts w:hint="eastAsia" w:ascii="微软雅黑" w:hAnsi="微软雅黑" w:eastAsia="微软雅黑" w:cs="微软雅黑"/>
                <w:sz w:val="17"/>
              </w:rPr>
            </w:pPr>
            <w:r>
              <w:rPr>
                <w:rFonts w:hint="eastAsia" w:ascii="微软雅黑" w:hAnsi="微软雅黑" w:eastAsia="微软雅黑" w:cs="微软雅黑"/>
                <w:color w:val="1F2937"/>
                <w:sz w:val="17"/>
              </w:rPr>
              <w:t>触发 E_VAL_ENERGY_NEGATIVE，输入框红框拦截并提示请输入非负数</w:t>
            </w:r>
          </w:p>
        </w:tc>
      </w:tr>
    </w:tbl>
    <w:p w14:paraId="0950474B">
      <w:pPr>
        <w:spacing w:after="60"/>
      </w:pPr>
    </w:p>
    <w:sectPr>
      <w:headerReference r:id="rId5" w:type="default"/>
      <w:footerReference r:id="rId6" w:type="default"/>
      <w:pgSz w:w="12240" w:h="15840"/>
      <w:pgMar w:top="1224" w:right="1224" w:bottom="1224" w:left="1224"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Segoe UI Emoji">
    <w:panose1 w:val="020B0502040204020203"/>
    <w:charset w:val="00"/>
    <w:family w:val="auto"/>
    <w:pitch w:val="default"/>
    <w:sig w:usb0="00000001" w:usb1="02000000" w:usb2="08000000" w:usb3="00000000" w:csb0="00000001" w:csb1="0000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方正楷体_GBK">
    <w:panose1 w:val="02000000000000000000"/>
    <w:charset w:val="86"/>
    <w:family w:val="auto"/>
    <w:pitch w:val="default"/>
    <w:sig w:usb0="800002BF" w:usb1="38C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6CD10D">
    <w:pPr>
      <w:pStyle w:val="25"/>
      <w:jc w:val="center"/>
    </w:pPr>
    <w:r>
      <w:rPr>
        <w:rFonts w:ascii="微软雅黑" w:hAnsi="微软雅黑"/>
        <w:color w:val="64748B"/>
        <w:sz w:val="17"/>
      </w:rPr>
      <w:t xml:space="preserve">特变电工股份有限公司 · </w:t>
    </w:r>
    <w:r>
      <w:rPr>
        <w:rFonts w:hint="eastAsia" w:ascii="微软雅黑" w:hAnsi="微软雅黑"/>
        <w:color w:val="64748B"/>
        <w:sz w:val="17"/>
      </w:rPr>
      <w:t>能碳数字化“双中心”集成平台</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A22AEE">
    <w:pPr>
      <w:pStyle w:val="26"/>
      <w:jc w:val="right"/>
    </w:pPr>
    <w:r>
      <w:rPr>
        <w:rFonts w:ascii="微软雅黑" w:hAnsi="微软雅黑"/>
        <w:color w:val="64748B"/>
        <w:sz w:val="17"/>
      </w:rPr>
      <w:t>特变电工能碳数字化双中心 · 产品需求规格说明书 (PRD) v1.1.0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0360C34"/>
    <w:rsid w:val="36851659"/>
    <w:rsid w:val="37F214F9"/>
    <w:rsid w:val="59A9792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41"/>
    <w:qFormat/>
    <w:uiPriority w:val="9"/>
    <w:pPr>
      <w:keepNext/>
      <w:keepLines/>
      <w:spacing w:before="480" w:after="0"/>
      <w:outlineLvl w:val="0"/>
    </w:pPr>
    <w:rPr>
      <w:rFonts w:asciiTheme="majorAscii" w:hAnsiTheme="majorAscii" w:eastAsiaTheme="majorEastAsia" w:cstheme="majorBidi"/>
      <w:b/>
      <w:bCs/>
      <w:color w:val="376092" w:themeColor="accent1" w:themeShade="BF"/>
      <w:sz w:val="28"/>
      <w:szCs w:val="28"/>
    </w:rPr>
  </w:style>
  <w:style w:type="paragraph" w:styleId="4">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basedOn w:val="1"/>
    <w:next w:val="1"/>
    <w:semiHidden/>
    <w:unhideWhenUsed/>
    <w:uiPriority w:val="39"/>
    <w:pPr>
      <w:ind w:left="840" w:leftChars="400"/>
    </w:pPr>
  </w:style>
  <w:style w:type="paragraph" w:styleId="25">
    <w:name w:val="footer"/>
    <w:basedOn w:val="1"/>
    <w:link w:val="139"/>
    <w:unhideWhenUsed/>
    <w:qFormat/>
    <w:uiPriority w:val="99"/>
    <w:pPr>
      <w:tabs>
        <w:tab w:val="center" w:pos="4680"/>
        <w:tab w:val="right" w:pos="9360"/>
      </w:tabs>
      <w:spacing w:after="0" w:line="240" w:lineRule="auto"/>
    </w:pPr>
  </w:style>
  <w:style w:type="paragraph" w:styleId="26">
    <w:name w:val="header"/>
    <w:basedOn w:val="1"/>
    <w:link w:val="138"/>
    <w:unhideWhenUsed/>
    <w:uiPriority w:val="99"/>
    <w:pPr>
      <w:tabs>
        <w:tab w:val="center" w:pos="4680"/>
        <w:tab w:val="right" w:pos="9360"/>
      </w:tabs>
      <w:spacing w:after="0" w:line="240" w:lineRule="auto"/>
    </w:pPr>
  </w:style>
  <w:style w:type="paragraph" w:styleId="27">
    <w:name w:val="toc 1"/>
    <w:basedOn w:val="1"/>
    <w:next w:val="1"/>
    <w:semiHidden/>
    <w:unhideWhenUsed/>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semiHidden/>
    <w:unhideWhenUsed/>
    <w:uiPriority w:val="39"/>
    <w:pPr>
      <w:ind w:left="420" w:leftChars="200"/>
    </w:pPr>
  </w:style>
  <w:style w:type="paragraph" w:styleId="31">
    <w:name w:val="Body Text 2"/>
    <w:basedOn w:val="1"/>
    <w:link w:val="148"/>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uiPriority w:val="99"/>
  </w:style>
  <w:style w:type="character" w:customStyle="1" w:styleId="139">
    <w:name w:val="Footer Char"/>
    <w:basedOn w:val="135"/>
    <w:link w:val="25"/>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qFormat/>
    <w:uiPriority w:val="9"/>
    <w:rPr>
      <w:rFonts w:asciiTheme="majorAscii" w:hAnsiTheme="majorAscii" w:eastAsiaTheme="majorEastAsia" w:cstheme="majorBidi"/>
      <w:b/>
      <w:bCs/>
      <w:color w:val="376092" w:themeColor="accent1" w:themeShade="BF"/>
      <w:sz w:val="28"/>
      <w:szCs w:val="28"/>
    </w:rPr>
  </w:style>
  <w:style w:type="character" w:customStyle="1" w:styleId="142">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1"/>
    <w:qFormat/>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qFormat/>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39</Pages>
  <Words>1801</Words>
  <Characters>2364</Characters>
  <Lines>0</Lines>
  <Paragraphs>0</Paragraphs>
  <TotalTime>21</TotalTime>
  <ScaleCrop>false</ScaleCrop>
  <LinksUpToDate>false</LinksUpToDate>
  <CharactersWithSpaces>2498</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王亮</cp:lastModifiedBy>
  <dcterms:modified xsi:type="dcterms:W3CDTF">2026-09-08T09:25:22Z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eyJoZGlkIjoiYWI3ZjY5NzZmOTc1MDNkMWE5OWFlYWEzYTNmM2Y2NjYiLCJ1c2VySWQiOiIxMjM4ODM0NDc0In0=</vt:lpwstr>
  </property>
  <property fmtid="{D5CDD505-2E9C-101B-9397-08002B2CF9AE}" pid="3" name="KSOProductBuildVer">
    <vt:lpwstr>2052-12.1.0.28505</vt:lpwstr>
  </property>
  <property fmtid="{D5CDD505-2E9C-101B-9397-08002B2CF9AE}" pid="4" name="ICV">
    <vt:lpwstr>57610316FEFD4A29A7CFBF9CDDFB8E93_12</vt:lpwstr>
  </property>
</Properties>
</file>