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30EC" w14:textId="77777777" w:rsidR="00AB28C5" w:rsidRPr="006448A3" w:rsidRDefault="00000000">
      <w:pPr>
        <w:jc w:val="center"/>
        <w:rPr>
          <w:rFonts w:ascii="Times New Roman" w:hAnsi="Times New Roman" w:cs="Times New Roman"/>
        </w:rPr>
      </w:pPr>
      <w:r w:rsidRPr="006448A3">
        <w:rPr>
          <w:rFonts w:ascii="Times New Roman" w:hAnsi="Times New Roman" w:cs="Times New Roman"/>
          <w:b/>
        </w:rPr>
        <w:t>РОССИЙСКИЙ УНИВЕРСИТЕТ ДРУЖБЫ НАРОДОВ ИМЕНИ ПАТРИСА ЛУМУМБЫ</w:t>
      </w:r>
    </w:p>
    <w:p w14:paraId="353DD74E" w14:textId="77777777" w:rsidR="00AB28C5" w:rsidRPr="006448A3" w:rsidRDefault="00000000">
      <w:pPr>
        <w:jc w:val="center"/>
        <w:rPr>
          <w:rFonts w:ascii="Times New Roman" w:hAnsi="Times New Roman" w:cs="Times New Roman"/>
        </w:rPr>
      </w:pPr>
      <w:r w:rsidRPr="006448A3">
        <w:rPr>
          <w:rFonts w:ascii="Times New Roman" w:hAnsi="Times New Roman" w:cs="Times New Roman"/>
          <w:b/>
          <w:sz w:val="26"/>
        </w:rPr>
        <w:t>Факультет физико-математических и естественных наук</w:t>
      </w:r>
    </w:p>
    <w:p w14:paraId="207991B2" w14:textId="77777777" w:rsidR="00AB28C5" w:rsidRPr="006448A3" w:rsidRDefault="00000000">
      <w:pPr>
        <w:jc w:val="center"/>
        <w:rPr>
          <w:rFonts w:ascii="Times New Roman" w:hAnsi="Times New Roman" w:cs="Times New Roman"/>
        </w:rPr>
      </w:pPr>
      <w:r w:rsidRPr="006448A3">
        <w:rPr>
          <w:rFonts w:ascii="Times New Roman" w:hAnsi="Times New Roman" w:cs="Times New Roman"/>
        </w:rPr>
        <w:t>Кафедра математического моделирования и искусственного интеллекта</w:t>
      </w:r>
    </w:p>
    <w:p w14:paraId="72D722A4" w14:textId="77777777" w:rsidR="00AB28C5" w:rsidRPr="006448A3" w:rsidRDefault="00AB28C5">
      <w:pPr>
        <w:rPr>
          <w:rFonts w:ascii="Times New Roman" w:hAnsi="Times New Roman" w:cs="Times New Roman"/>
        </w:rPr>
      </w:pPr>
    </w:p>
    <w:p w14:paraId="4258EAA2" w14:textId="77777777" w:rsidR="00AB28C5" w:rsidRPr="006448A3" w:rsidRDefault="00000000">
      <w:pPr>
        <w:spacing w:before="120"/>
        <w:jc w:val="center"/>
        <w:rPr>
          <w:rFonts w:ascii="Times New Roman" w:hAnsi="Times New Roman" w:cs="Times New Roman"/>
        </w:rPr>
      </w:pPr>
      <w:r w:rsidRPr="006448A3">
        <w:rPr>
          <w:rFonts w:ascii="Times New Roman" w:hAnsi="Times New Roman" w:cs="Times New Roman"/>
          <w:sz w:val="32"/>
        </w:rPr>
        <w:t>Индивидуальное задание на преддипломную практику</w:t>
      </w:r>
    </w:p>
    <w:p w14:paraId="682E28D5" w14:textId="237FDCD4" w:rsidR="00AB28C5" w:rsidRPr="006448A3" w:rsidRDefault="006448A3" w:rsidP="006448A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000000" w:rsidRPr="006448A3"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 w:rsidRPr="006448A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000000" w:rsidRPr="006448A3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6448A3">
        <w:rPr>
          <w:rFonts w:ascii="Times New Roman" w:hAnsi="Times New Roman" w:cs="Times New Roman"/>
          <w:sz w:val="28"/>
          <w:szCs w:val="28"/>
          <w:u w:val="single"/>
        </w:rPr>
        <w:t>Петров Артём Евгеньевич</w:t>
      </w:r>
      <w:r w:rsidRPr="006448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00000" w:rsidRPr="006448A3">
        <w:rPr>
          <w:rFonts w:ascii="Times New Roman" w:hAnsi="Times New Roman" w:cs="Times New Roman"/>
          <w:sz w:val="28"/>
          <w:szCs w:val="28"/>
        </w:rPr>
        <w:t>НКНбд-01-22</w:t>
      </w:r>
    </w:p>
    <w:p w14:paraId="4DE1675E" w14:textId="77777777" w:rsidR="00AB28C5" w:rsidRPr="006448A3" w:rsidRDefault="00000000" w:rsidP="006448A3">
      <w:pPr>
        <w:jc w:val="center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 xml:space="preserve">Тема ВКР: </w:t>
      </w:r>
      <w:r w:rsidRPr="006448A3">
        <w:rPr>
          <w:rFonts w:ascii="Times New Roman" w:hAnsi="Times New Roman" w:cs="Times New Roman"/>
          <w:sz w:val="28"/>
          <w:szCs w:val="28"/>
          <w:u w:val="single"/>
        </w:rPr>
        <w:t>Оценка американских опционов нейронной сетью на основе биномиального дерева</w:t>
      </w:r>
    </w:p>
    <w:p w14:paraId="5B4761E1" w14:textId="77777777" w:rsidR="00AB28C5" w:rsidRPr="006448A3" w:rsidRDefault="00000000" w:rsidP="006448A3">
      <w:pPr>
        <w:spacing w:after="12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</w:rPr>
        <w:t xml:space="preserve">Трек выполнения: </w:t>
      </w:r>
      <w:r w:rsidRPr="006448A3">
        <w:rPr>
          <w:rFonts w:ascii="Times New Roman" w:hAnsi="Times New Roman" w:cs="Times New Roman"/>
          <w:sz w:val="28"/>
          <w:szCs w:val="28"/>
          <w:u w:val="single"/>
        </w:rPr>
        <w:t>П (программный комплекс)</w:t>
      </w:r>
    </w:p>
    <w:p w14:paraId="34CC55A8" w14:textId="77777777" w:rsidR="006448A3" w:rsidRPr="006448A3" w:rsidRDefault="006448A3" w:rsidP="006448A3">
      <w:pPr>
        <w:spacing w:after="120"/>
        <w:jc w:val="center"/>
        <w:rPr>
          <w:rFonts w:ascii="Times New Roman" w:hAnsi="Times New Roman" w:cs="Times New Roman"/>
          <w:lang w:val="en-US"/>
        </w:rPr>
      </w:pPr>
    </w:p>
    <w:p w14:paraId="5C82E1AF" w14:textId="77777777" w:rsidR="00AB28C5" w:rsidRPr="006448A3" w:rsidRDefault="00000000">
      <w:pPr>
        <w:spacing w:before="12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  <w:u w:val="single"/>
        </w:rPr>
        <w:t>Календарный план работы на практику:</w:t>
      </w:r>
    </w:p>
    <w:p w14:paraId="1DE4B3C9" w14:textId="77777777" w:rsidR="006448A3" w:rsidRPr="006448A3" w:rsidRDefault="006448A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6690"/>
        <w:gridCol w:w="1701"/>
      </w:tblGrid>
      <w:tr w:rsidR="00AB28C5" w:rsidRPr="006448A3" w14:paraId="5EF3089E" w14:textId="77777777">
        <w:tc>
          <w:tcPr>
            <w:tcW w:w="680" w:type="dxa"/>
          </w:tcPr>
          <w:p w14:paraId="2418D476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6690" w:type="dxa"/>
          </w:tcPr>
          <w:p w14:paraId="679B7D32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b/>
                <w:sz w:val="28"/>
                <w:szCs w:val="28"/>
              </w:rPr>
              <w:t>Задание и мероприятия</w:t>
            </w:r>
          </w:p>
        </w:tc>
        <w:tc>
          <w:tcPr>
            <w:tcW w:w="1701" w:type="dxa"/>
          </w:tcPr>
          <w:p w14:paraId="531EC832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b/>
                <w:sz w:val="28"/>
                <w:szCs w:val="28"/>
              </w:rPr>
              <w:t>Срок сдачи</w:t>
            </w:r>
          </w:p>
        </w:tc>
      </w:tr>
      <w:tr w:rsidR="00AB28C5" w:rsidRPr="006448A3" w14:paraId="7C9875F2" w14:textId="77777777">
        <w:tc>
          <w:tcPr>
            <w:tcW w:w="680" w:type="dxa"/>
          </w:tcPr>
          <w:p w14:paraId="2C9E892A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90" w:type="dxa"/>
          </w:tcPr>
          <w:p w14:paraId="5900DC16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Задание 1. Оформление индивидуального задания на преддипломную практику: тема ВКР, трек П, календарный план, перечень документов, подпись научного руководителя.</w:t>
            </w:r>
          </w:p>
        </w:tc>
        <w:tc>
          <w:tcPr>
            <w:tcW w:w="1701" w:type="dxa"/>
          </w:tcPr>
          <w:p w14:paraId="11080AF1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6–13 апреля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(неделя 1)</w:t>
            </w:r>
          </w:p>
        </w:tc>
      </w:tr>
      <w:tr w:rsidR="00AB28C5" w:rsidRPr="006448A3" w14:paraId="2C3C21A4" w14:textId="77777777">
        <w:tc>
          <w:tcPr>
            <w:tcW w:w="680" w:type="dxa"/>
          </w:tcPr>
          <w:p w14:paraId="7FF1C02B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690" w:type="dxa"/>
          </w:tcPr>
          <w:p w14:paraId="78662A2D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Задание 2. Введение к ВКР по ГОСТ Р 7.0.11-2011: актуальность, цель, задачи (≥4), объект и предмет исследования, научная новизна, теоретическая и практическая значимость, методология, положения на защиту, апробация. Объём 3–5 страниц.</w:t>
            </w:r>
          </w:p>
        </w:tc>
        <w:tc>
          <w:tcPr>
            <w:tcW w:w="1701" w:type="dxa"/>
          </w:tcPr>
          <w:p w14:paraId="026D0A98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13–20 апреля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(неделя 2)</w:t>
            </w:r>
          </w:p>
        </w:tc>
      </w:tr>
      <w:tr w:rsidR="00AB28C5" w:rsidRPr="006448A3" w14:paraId="001BDCCF" w14:textId="77777777">
        <w:tc>
          <w:tcPr>
            <w:tcW w:w="680" w:type="dxa"/>
          </w:tcPr>
          <w:p w14:paraId="19E361CE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690" w:type="dxa"/>
          </w:tcPr>
          <w:p w14:paraId="432BE26B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Задание 3П. Завершение экспериментальной части ВКР: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– проведение всех запланированных экспериментов: прайсинг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BTNetAmerican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, вычисление греческих символов (Delta,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Gamma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Vega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Theta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) через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torch.autograd.grad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, эксперимент с переносом весов из европейской модели;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– не менее 3 таблиц с численными результатами, не менее 4 графиков с подписями осей и легендой;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–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torchinfo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-вывод архитектуры для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BTNetEuropean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BTNetAmerican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– граф архитектуры из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Netron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 (ONNX-экспорт всех трёх моделей);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– код воспроизводит результаты, данные и артефакты размещены в репозитории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059A00C3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20–27 апреля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(неделя 3)</w:t>
            </w:r>
          </w:p>
        </w:tc>
      </w:tr>
      <w:tr w:rsidR="00AB28C5" w:rsidRPr="006448A3" w14:paraId="63EE959D" w14:textId="77777777">
        <w:tc>
          <w:tcPr>
            <w:tcW w:w="680" w:type="dxa"/>
          </w:tcPr>
          <w:p w14:paraId="47F2ABDE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6690" w:type="dxa"/>
          </w:tcPr>
          <w:p w14:paraId="43B8461B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Задание 4. Анализ результатов и заключение ВКР: интерпретация результатов, сравнение с эталоном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QuantLib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 CRR (500 шагов) и формулой Блэка-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Шоулса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, обсуждение ограничений (эффект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Gamma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 = 0 для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-архитектур), вывод по каждой из пяти задач, направления дальнейших исследований.</w:t>
            </w:r>
          </w:p>
        </w:tc>
        <w:tc>
          <w:tcPr>
            <w:tcW w:w="1701" w:type="dxa"/>
          </w:tcPr>
          <w:p w14:paraId="0F665599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27–28 апреля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(неделя 4)</w:t>
            </w:r>
          </w:p>
        </w:tc>
      </w:tr>
      <w:tr w:rsidR="00AB28C5" w:rsidRPr="006448A3" w14:paraId="1FBC1941" w14:textId="77777777">
        <w:tc>
          <w:tcPr>
            <w:tcW w:w="680" w:type="dxa"/>
          </w:tcPr>
          <w:p w14:paraId="52EE895E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690" w:type="dxa"/>
          </w:tcPr>
          <w:p w14:paraId="2418B31E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Задание 5. Презентация для предзащиты: 5–7 слайдов, структура Титул → Актуальность/Цель → Задачи → Методы → Результаты → Выводы → Направления развития; шрифт ≥18pt, доклад рассчитан на 3–5 минут.</w:t>
            </w:r>
          </w:p>
        </w:tc>
        <w:tc>
          <w:tcPr>
            <w:tcW w:w="1701" w:type="dxa"/>
          </w:tcPr>
          <w:p w14:paraId="629C42D0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28–29 апреля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(неделя 4)</w:t>
            </w:r>
          </w:p>
        </w:tc>
      </w:tr>
      <w:tr w:rsidR="00AB28C5" w:rsidRPr="006448A3" w14:paraId="63B48117" w14:textId="77777777">
        <w:tc>
          <w:tcPr>
            <w:tcW w:w="680" w:type="dxa"/>
          </w:tcPr>
          <w:p w14:paraId="0E21977A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690" w:type="dxa"/>
          </w:tcPr>
          <w:p w14:paraId="39BCD406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Задание 6. Предзащита ВКР перед комиссией: доклад 3–15 мин, демонстрация работы программного комплекса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btnn_bs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 xml:space="preserve"> (запуск </w:t>
            </w:r>
            <w:proofErr w:type="spellStart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Jupyter</w:t>
            </w:r>
            <w:proofErr w:type="spellEnd"/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-ноутбука, вывод результатов прайсинга и греческих символов), ответы на вопросы членов комиссии.</w:t>
            </w:r>
          </w:p>
        </w:tc>
        <w:tc>
          <w:tcPr>
            <w:tcW w:w="1701" w:type="dxa"/>
          </w:tcPr>
          <w:p w14:paraId="1C1EC692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25–30 апреля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(неделя 4)</w:t>
            </w:r>
          </w:p>
        </w:tc>
      </w:tr>
    </w:tbl>
    <w:p w14:paraId="1EC93616" w14:textId="77777777" w:rsidR="00AB28C5" w:rsidRPr="006448A3" w:rsidRDefault="00AB28C5">
      <w:pPr>
        <w:rPr>
          <w:rFonts w:ascii="Times New Roman" w:hAnsi="Times New Roman" w:cs="Times New Roman"/>
          <w:sz w:val="28"/>
          <w:szCs w:val="28"/>
        </w:rPr>
      </w:pPr>
    </w:p>
    <w:p w14:paraId="282C9E98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>Перечень документов, подлежащих подготовке:</w:t>
      </w:r>
    </w:p>
    <w:p w14:paraId="52CCF453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>• Индивидуальное задание на преддипломную практику (настоящий документ)</w:t>
      </w:r>
    </w:p>
    <w:p w14:paraId="1BC5FC74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>• Введение к ВКР (3–5 стр., по ГОСТ Р 7.0.11-2011)</w:t>
      </w:r>
    </w:p>
    <w:p w14:paraId="1572C1FD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>• Итоговый текст ВКР с приложениями</w:t>
      </w:r>
    </w:p>
    <w:p w14:paraId="6E88C433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>• Презентация для предзащиты (Presentation.pdf, 5–7 слайдов)</w:t>
      </w:r>
    </w:p>
    <w:p w14:paraId="0FDBC8B3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>• Доклад для предзащиты (Report.pdf)</w:t>
      </w:r>
    </w:p>
    <w:p w14:paraId="7DAF2B5A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 xml:space="preserve">• Репозиторий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 xml:space="preserve"> с кодом пакета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btnn_bs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>-ноутбуком и ONNX-экспортами моделей</w:t>
      </w:r>
    </w:p>
    <w:p w14:paraId="441F21F8" w14:textId="77777777" w:rsidR="00AB28C5" w:rsidRDefault="00AB28C5">
      <w:pPr>
        <w:rPr>
          <w:rFonts w:ascii="Times New Roman" w:hAnsi="Times New Roman" w:cs="Times New Roman"/>
          <w:lang w:val="en-US"/>
        </w:rPr>
      </w:pP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6448A3" w:rsidRPr="006448A3" w14:paraId="05C55071" w14:textId="77777777" w:rsidTr="00DA6606">
        <w:tc>
          <w:tcPr>
            <w:tcW w:w="4677" w:type="dxa"/>
          </w:tcPr>
          <w:p w14:paraId="46B49883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  <w:r w:rsidRPr="006448A3">
              <w:rPr>
                <w:rFonts w:ascii="Times New Roman" w:hAnsi="Times New Roman" w:cs="Times New Roman"/>
                <w:b/>
              </w:rPr>
              <w:t>Научный руководитель:</w:t>
            </w:r>
          </w:p>
        </w:tc>
        <w:tc>
          <w:tcPr>
            <w:tcW w:w="4677" w:type="dxa"/>
          </w:tcPr>
          <w:p w14:paraId="194BA352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</w:p>
        </w:tc>
      </w:tr>
      <w:tr w:rsidR="006448A3" w:rsidRPr="006448A3" w14:paraId="1FFE2D3F" w14:textId="77777777" w:rsidTr="00DA6606">
        <w:tc>
          <w:tcPr>
            <w:tcW w:w="4677" w:type="dxa"/>
          </w:tcPr>
          <w:p w14:paraId="7DABB5BF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  <w:r w:rsidRPr="006448A3">
              <w:rPr>
                <w:rFonts w:ascii="Times New Roman" w:hAnsi="Times New Roman" w:cs="Times New Roman"/>
              </w:rPr>
              <w:t>к.ф.н., доцент, Шорохов Сергей Геннадьевич</w:t>
            </w:r>
            <w:r w:rsidRPr="006448A3">
              <w:rPr>
                <w:rFonts w:ascii="Times New Roman" w:hAnsi="Times New Roman" w:cs="Times New Roman"/>
                <w:sz w:val="18"/>
              </w:rPr>
              <w:br/>
              <w:t>(учёная степень, звание, ФИО)</w:t>
            </w:r>
          </w:p>
        </w:tc>
        <w:tc>
          <w:tcPr>
            <w:tcW w:w="4677" w:type="dxa"/>
          </w:tcPr>
          <w:p w14:paraId="3F685127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  <w:r w:rsidRPr="006448A3">
              <w:rPr>
                <w:rFonts w:ascii="Times New Roman" w:hAnsi="Times New Roman" w:cs="Times New Roman"/>
                <w:sz w:val="18"/>
              </w:rPr>
              <w:br/>
              <w:t>(подпись)</w:t>
            </w:r>
          </w:p>
        </w:tc>
      </w:tr>
      <w:tr w:rsidR="006448A3" w:rsidRPr="006448A3" w14:paraId="17A6ED3E" w14:textId="77777777" w:rsidTr="00DA6606">
        <w:tc>
          <w:tcPr>
            <w:tcW w:w="4677" w:type="dxa"/>
          </w:tcPr>
          <w:p w14:paraId="751A88D3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  <w:r w:rsidRPr="006448A3">
              <w:rPr>
                <w:rFonts w:ascii="Times New Roman" w:hAnsi="Times New Roman" w:cs="Times New Roman"/>
                <w:b/>
              </w:rPr>
              <w:t>Студент:</w:t>
            </w:r>
          </w:p>
        </w:tc>
        <w:tc>
          <w:tcPr>
            <w:tcW w:w="4677" w:type="dxa"/>
          </w:tcPr>
          <w:p w14:paraId="15FFF6AC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</w:p>
        </w:tc>
      </w:tr>
      <w:tr w:rsidR="006448A3" w:rsidRPr="006448A3" w14:paraId="55929D10" w14:textId="77777777" w:rsidTr="00DA6606">
        <w:tc>
          <w:tcPr>
            <w:tcW w:w="4677" w:type="dxa"/>
          </w:tcPr>
          <w:p w14:paraId="79E8254F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  <w:r w:rsidRPr="006448A3">
              <w:rPr>
                <w:rFonts w:ascii="Times New Roman" w:hAnsi="Times New Roman" w:cs="Times New Roman"/>
              </w:rPr>
              <w:t>Петров Артём Евгеньевич</w:t>
            </w:r>
            <w:r w:rsidRPr="006448A3">
              <w:rPr>
                <w:rFonts w:ascii="Times New Roman" w:hAnsi="Times New Roman" w:cs="Times New Roman"/>
                <w:sz w:val="18"/>
              </w:rPr>
              <w:br/>
              <w:t>(ФИО)</w:t>
            </w:r>
          </w:p>
        </w:tc>
        <w:tc>
          <w:tcPr>
            <w:tcW w:w="4677" w:type="dxa"/>
          </w:tcPr>
          <w:p w14:paraId="59EC33F8" w14:textId="77777777" w:rsidR="006448A3" w:rsidRPr="006448A3" w:rsidRDefault="006448A3" w:rsidP="00DA6606">
            <w:pPr>
              <w:rPr>
                <w:rFonts w:ascii="Times New Roman" w:hAnsi="Times New Roman" w:cs="Times New Roman"/>
              </w:rPr>
            </w:pPr>
            <w:r w:rsidRPr="006448A3">
              <w:rPr>
                <w:rFonts w:ascii="Times New Roman" w:hAnsi="Times New Roman" w:cs="Times New Roman"/>
                <w:sz w:val="18"/>
              </w:rPr>
              <w:br/>
              <w:t>(подпись)</w:t>
            </w:r>
          </w:p>
        </w:tc>
      </w:tr>
    </w:tbl>
    <w:p w14:paraId="3109C6BA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75BF7E3F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197D6036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3EEA7D08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4D45A87D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169FEF57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6C9191E7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70FEC375" w14:textId="77777777" w:rsidR="006448A3" w:rsidRDefault="006448A3">
      <w:pPr>
        <w:rPr>
          <w:rFonts w:ascii="Times New Roman" w:hAnsi="Times New Roman" w:cs="Times New Roman"/>
          <w:lang w:val="en-US"/>
        </w:rPr>
      </w:pPr>
    </w:p>
    <w:p w14:paraId="63C0C11B" w14:textId="77777777" w:rsidR="006448A3" w:rsidRPr="006448A3" w:rsidRDefault="006448A3">
      <w:pPr>
        <w:rPr>
          <w:rFonts w:ascii="Times New Roman" w:hAnsi="Times New Roman" w:cs="Times New Roman"/>
          <w:lang w:val="en-US"/>
        </w:rPr>
      </w:pPr>
    </w:p>
    <w:p w14:paraId="7966EDBF" w14:textId="77777777" w:rsidR="00AB28C5" w:rsidRPr="006448A3" w:rsidRDefault="00000000">
      <w:pPr>
        <w:spacing w:before="1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lastRenderedPageBreak/>
        <w:t>Планируемое содержание краткого аналитического отчета по НИР</w:t>
      </w:r>
    </w:p>
    <w:p w14:paraId="46C1CBA4" w14:textId="77777777" w:rsidR="006448A3" w:rsidRPr="006448A3" w:rsidRDefault="006448A3">
      <w:pPr>
        <w:spacing w:before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7CBBC39A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</w:rPr>
        <w:t>В разделах отчета по НИР изложить:</w:t>
      </w:r>
    </w:p>
    <w:p w14:paraId="2AEF4844" w14:textId="77777777" w:rsidR="006448A3" w:rsidRPr="006448A3" w:rsidRDefault="006448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BD784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t xml:space="preserve">В введении: </w:t>
      </w:r>
      <w:r w:rsidRPr="006448A3">
        <w:rPr>
          <w:rFonts w:ascii="Times New Roman" w:hAnsi="Times New Roman" w:cs="Times New Roman"/>
          <w:sz w:val="28"/>
          <w:szCs w:val="28"/>
        </w:rPr>
        <w:t>обоснована актуальность применения нейросетевых методов для оценки американских опционов, сформулированы цель и задачи работы.</w:t>
      </w:r>
    </w:p>
    <w:p w14:paraId="5A97C46F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t xml:space="preserve">Раздел 1: </w:t>
      </w:r>
      <w:r w:rsidRPr="006448A3">
        <w:rPr>
          <w:rFonts w:ascii="Times New Roman" w:hAnsi="Times New Roman" w:cs="Times New Roman"/>
          <w:sz w:val="28"/>
          <w:szCs w:val="28"/>
        </w:rPr>
        <w:t>представлен обзор литературы по биномиальной модели CRR и нейросетевым подходам к ценообразованию опционов, выделены основные результаты предшественников.</w:t>
      </w:r>
    </w:p>
    <w:p w14:paraId="0B57BC3B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t xml:space="preserve">Раздел 2: </w:t>
      </w:r>
      <w:r w:rsidRPr="006448A3">
        <w:rPr>
          <w:rFonts w:ascii="Times New Roman" w:hAnsi="Times New Roman" w:cs="Times New Roman"/>
          <w:sz w:val="28"/>
          <w:szCs w:val="28"/>
        </w:rPr>
        <w:t xml:space="preserve">описана математическая модель биномиального дерева и её отображение на архитектуру нейронной сети с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полносвязным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 xml:space="preserve">, свёрточными и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maxout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>-слоями, приведены условия теоретической эквивалентности.</w:t>
      </w:r>
    </w:p>
    <w:p w14:paraId="3FDCD81C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t xml:space="preserve">Раздел 3: </w:t>
      </w:r>
      <w:r w:rsidRPr="006448A3">
        <w:rPr>
          <w:rFonts w:ascii="Times New Roman" w:hAnsi="Times New Roman" w:cs="Times New Roman"/>
          <w:sz w:val="28"/>
          <w:szCs w:val="28"/>
        </w:rPr>
        <w:t>изложена программная реализация на Python (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>), план вычислительных экспериментов, результаты сравнения с эталонными значениями (CRR, Black-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Scholes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>) и анализ точности.</w:t>
      </w:r>
    </w:p>
    <w:p w14:paraId="165B7840" w14:textId="77777777" w:rsidR="00AB28C5" w:rsidRPr="006448A3" w:rsidRDefault="00000000">
      <w:pPr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t xml:space="preserve">В заключении: </w:t>
      </w:r>
      <w:r w:rsidRPr="006448A3">
        <w:rPr>
          <w:rFonts w:ascii="Times New Roman" w:hAnsi="Times New Roman" w:cs="Times New Roman"/>
          <w:sz w:val="28"/>
          <w:szCs w:val="28"/>
        </w:rPr>
        <w:t>подведены итоги работы, подтверждена работоспособность предложенной архитектуры, намечены направления дальнейших исследований.</w:t>
      </w:r>
    </w:p>
    <w:p w14:paraId="4E20ED11" w14:textId="77777777" w:rsidR="00AB28C5" w:rsidRPr="006448A3" w:rsidRDefault="00000000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b/>
          <w:sz w:val="28"/>
          <w:szCs w:val="28"/>
        </w:rPr>
        <w:t>Основная рекомендуемая литература:</w:t>
      </w:r>
    </w:p>
    <w:p w14:paraId="60337965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6448A3">
        <w:rPr>
          <w:rFonts w:ascii="Times New Roman" w:hAnsi="Times New Roman" w:cs="Times New Roman"/>
          <w:sz w:val="28"/>
          <w:szCs w:val="28"/>
        </w:rPr>
        <w:t xml:space="preserve">1. Шорохов С.Г. Оценка финансовых деривативов нейронной сетью на основе биномиального дерева // International Journal </w:t>
      </w:r>
      <w:proofErr w:type="spellStart"/>
      <w:r w:rsidRPr="006448A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448A3">
        <w:rPr>
          <w:rFonts w:ascii="Times New Roman" w:hAnsi="Times New Roman" w:cs="Times New Roman"/>
          <w:sz w:val="28"/>
          <w:szCs w:val="28"/>
        </w:rPr>
        <w:t xml:space="preserve"> Open Information Technologies. – 2024. – Т. 12, № 5. – С. 108–114.</w:t>
      </w:r>
    </w:p>
    <w:p w14:paraId="31C4F7D3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  <w:lang w:val="en-US"/>
        </w:rPr>
        <w:t>2. Cox J.C., Ross S.A., Rubinstein M. Option pricing: A simplified approach // Journal of Financial Economics. – 1979. – Vol. 7, No. 3. – P. 229–263.</w:t>
      </w:r>
    </w:p>
    <w:p w14:paraId="6C643536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  <w:lang w:val="en-US"/>
        </w:rPr>
        <w:t>3. Black F., Scholes M. The Pricing of Options and Corporate Liabilities // Journal of Political Economy. – 1973. – Vol. 81. – P. 637–654.</w:t>
      </w:r>
    </w:p>
    <w:p w14:paraId="5B5A5778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  <w:lang w:val="en-US"/>
        </w:rPr>
        <w:t>4. Hull J.C. Options, Futures, and Other Derivatives. – 11th ed. – Pearson, 2021. – (</w:t>
      </w:r>
      <w:r w:rsidRPr="006448A3">
        <w:rPr>
          <w:rFonts w:ascii="Times New Roman" w:hAnsi="Times New Roman" w:cs="Times New Roman"/>
          <w:sz w:val="28"/>
          <w:szCs w:val="28"/>
        </w:rPr>
        <w:t>главы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8A3">
        <w:rPr>
          <w:rFonts w:ascii="Times New Roman" w:hAnsi="Times New Roman" w:cs="Times New Roman"/>
          <w:sz w:val="28"/>
          <w:szCs w:val="28"/>
        </w:rPr>
        <w:t>по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8A3">
        <w:rPr>
          <w:rFonts w:ascii="Times New Roman" w:hAnsi="Times New Roman" w:cs="Times New Roman"/>
          <w:sz w:val="28"/>
          <w:szCs w:val="28"/>
        </w:rPr>
        <w:t>биномиальным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8A3">
        <w:rPr>
          <w:rFonts w:ascii="Times New Roman" w:hAnsi="Times New Roman" w:cs="Times New Roman"/>
          <w:sz w:val="28"/>
          <w:szCs w:val="28"/>
        </w:rPr>
        <w:t>деревьям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8A3">
        <w:rPr>
          <w:rFonts w:ascii="Times New Roman" w:hAnsi="Times New Roman" w:cs="Times New Roman"/>
          <w:sz w:val="28"/>
          <w:szCs w:val="28"/>
        </w:rPr>
        <w:t>и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8A3">
        <w:rPr>
          <w:rFonts w:ascii="Times New Roman" w:hAnsi="Times New Roman" w:cs="Times New Roman"/>
          <w:sz w:val="28"/>
          <w:szCs w:val="28"/>
        </w:rPr>
        <w:t>американским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8A3">
        <w:rPr>
          <w:rFonts w:ascii="Times New Roman" w:hAnsi="Times New Roman" w:cs="Times New Roman"/>
          <w:sz w:val="28"/>
          <w:szCs w:val="28"/>
        </w:rPr>
        <w:t>опционам</w:t>
      </w:r>
      <w:r w:rsidRPr="006448A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3DA845D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5. Liu S., </w:t>
      </w:r>
      <w:proofErr w:type="spellStart"/>
      <w:r w:rsidRPr="006448A3">
        <w:rPr>
          <w:rFonts w:ascii="Times New Roman" w:hAnsi="Times New Roman" w:cs="Times New Roman"/>
          <w:sz w:val="28"/>
          <w:szCs w:val="28"/>
          <w:lang w:val="en-US"/>
        </w:rPr>
        <w:t>Oosterlee</w:t>
      </w:r>
      <w:proofErr w:type="spellEnd"/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C.W., Bohte S.M. Pricing Options and Computing Implied Volatilities using Neural Networks // Risks. – 2019. – Vol. 7, No. 1. – P. 16.</w:t>
      </w:r>
    </w:p>
    <w:p w14:paraId="6114C198" w14:textId="77777777" w:rsidR="00AB28C5" w:rsidRPr="006448A3" w:rsidRDefault="00000000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6448A3">
        <w:rPr>
          <w:rFonts w:ascii="Times New Roman" w:hAnsi="Times New Roman" w:cs="Times New Roman"/>
          <w:sz w:val="28"/>
          <w:szCs w:val="28"/>
          <w:lang w:val="en-US"/>
        </w:rPr>
        <w:t>QuantLib</w:t>
      </w:r>
      <w:proofErr w:type="spellEnd"/>
      <w:r w:rsidRPr="006448A3">
        <w:rPr>
          <w:rFonts w:ascii="Times New Roman" w:hAnsi="Times New Roman" w:cs="Times New Roman"/>
          <w:sz w:val="28"/>
          <w:szCs w:val="28"/>
          <w:lang w:val="en-US"/>
        </w:rPr>
        <w:t xml:space="preserve"> Python Documentation – https://quantlib-python-docs.readthedocs.io/</w:t>
      </w:r>
    </w:p>
    <w:p w14:paraId="7453CDF1" w14:textId="77777777" w:rsidR="00AB28C5" w:rsidRPr="006448A3" w:rsidRDefault="00AB28C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AB28C5" w:rsidRPr="006448A3" w14:paraId="1DDB14E2" w14:textId="77777777">
        <w:tc>
          <w:tcPr>
            <w:tcW w:w="4677" w:type="dxa"/>
          </w:tcPr>
          <w:p w14:paraId="4E107BB4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</w:tc>
        <w:tc>
          <w:tcPr>
            <w:tcW w:w="4677" w:type="dxa"/>
          </w:tcPr>
          <w:p w14:paraId="69668A78" w14:textId="77777777" w:rsidR="00AB28C5" w:rsidRPr="006448A3" w:rsidRDefault="00AB28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8C5" w:rsidRPr="006448A3" w14:paraId="3166E875" w14:textId="77777777">
        <w:tc>
          <w:tcPr>
            <w:tcW w:w="4677" w:type="dxa"/>
          </w:tcPr>
          <w:p w14:paraId="78BCDC2B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к.ф.н., доцент, Шорохов Сергей Геннадьевич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(учёная степень, звание, ФИО)</w:t>
            </w:r>
          </w:p>
        </w:tc>
        <w:tc>
          <w:tcPr>
            <w:tcW w:w="4677" w:type="dxa"/>
          </w:tcPr>
          <w:p w14:paraId="00575510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(подпись)</w:t>
            </w:r>
          </w:p>
        </w:tc>
      </w:tr>
      <w:tr w:rsidR="00AB28C5" w:rsidRPr="006448A3" w14:paraId="74ED45F4" w14:textId="77777777">
        <w:tc>
          <w:tcPr>
            <w:tcW w:w="4677" w:type="dxa"/>
          </w:tcPr>
          <w:p w14:paraId="53F09956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b/>
                <w:sz w:val="28"/>
                <w:szCs w:val="28"/>
              </w:rPr>
              <w:t>Студент:</w:t>
            </w:r>
          </w:p>
        </w:tc>
        <w:tc>
          <w:tcPr>
            <w:tcW w:w="4677" w:type="dxa"/>
          </w:tcPr>
          <w:p w14:paraId="50374F62" w14:textId="77777777" w:rsidR="00AB28C5" w:rsidRPr="006448A3" w:rsidRDefault="00AB28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8C5" w:rsidRPr="006448A3" w14:paraId="36095B6E" w14:textId="77777777">
        <w:tc>
          <w:tcPr>
            <w:tcW w:w="4677" w:type="dxa"/>
          </w:tcPr>
          <w:p w14:paraId="4DA19C4C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t>Петров Артём Евгеньевич</w:t>
            </w: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(ФИО)</w:t>
            </w:r>
          </w:p>
        </w:tc>
        <w:tc>
          <w:tcPr>
            <w:tcW w:w="4677" w:type="dxa"/>
          </w:tcPr>
          <w:p w14:paraId="4BF5F6C9" w14:textId="77777777" w:rsidR="00AB28C5" w:rsidRPr="006448A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48A3">
              <w:rPr>
                <w:rFonts w:ascii="Times New Roman" w:hAnsi="Times New Roman" w:cs="Times New Roman"/>
                <w:sz w:val="28"/>
                <w:szCs w:val="28"/>
              </w:rPr>
              <w:br/>
              <w:t>(подпись)</w:t>
            </w:r>
          </w:p>
        </w:tc>
      </w:tr>
    </w:tbl>
    <w:p w14:paraId="20055FB5" w14:textId="77777777" w:rsidR="00DC050B" w:rsidRDefault="00DC050B"/>
    <w:sectPr w:rsidR="00DC050B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6B317174-CE19-EE4B-9706-7D91DA6E9167}"/>
    <w:embedBold r:id="rId2" w:fontKey="{E7A9D276-DE48-C046-9AA3-8660591043E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2F568FF5-D84B-164C-BFB2-F4352327A361}"/>
  </w:font>
  <w:font w:name="Noto Sans Symbols">
    <w:charset w:val="00"/>
    <w:family w:val="auto"/>
    <w:pitch w:val="default"/>
    <w:embedRegular r:id="rId4" w:fontKey="{3F30C586-AB74-3B41-AAEA-49CBA67B5905}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29A25BC-0141-294C-AF55-204151578FD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9" w:fontKey="{DEFED057-787C-204A-A50B-A130E809E61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0D0B703-97C7-7042-AC1F-9D1E2D8BB2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838"/>
    <w:multiLevelType w:val="multilevel"/>
    <w:tmpl w:val="9DE02DCA"/>
    <w:lvl w:ilvl="0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005961"/>
    <w:multiLevelType w:val="multilevel"/>
    <w:tmpl w:val="6F14B5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505625495">
    <w:abstractNumId w:val="1"/>
  </w:num>
  <w:num w:numId="2" w16cid:durableId="135754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8C5"/>
    <w:rsid w:val="00037CE7"/>
    <w:rsid w:val="006448A3"/>
    <w:rsid w:val="00AB28C5"/>
    <w:rsid w:val="00DC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B0DFF8"/>
  <w15:docId w15:val="{DE0F71DC-3FCB-C248-A0F9-BE07F5B8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Петров Артем</cp:lastModifiedBy>
  <cp:revision>2</cp:revision>
  <dcterms:created xsi:type="dcterms:W3CDTF">2026-04-26T02:02:00Z</dcterms:created>
  <dcterms:modified xsi:type="dcterms:W3CDTF">2026-04-26T02:06:00Z</dcterms:modified>
</cp:coreProperties>
</file>