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28CD" w:rsidRDefault="00000000">
      <w:pPr>
        <w:jc w:val="center"/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  <w:t>Методические рекомендации по оформлению отчета практиканта</w:t>
      </w:r>
    </w:p>
    <w:p w:rsidR="004228CD" w:rsidRDefault="004228CD">
      <w:pPr>
        <w:jc w:val="center"/>
        <w:rPr>
          <w:rFonts w:ascii="Times New Roman" w:hAnsi="Times New Roman" w:cs="Times New Roman"/>
          <w:b/>
          <w:bCs/>
          <w:sz w:val="26"/>
          <w:szCs w:val="26"/>
          <w:shd w:val="clear" w:color="auto" w:fill="FFFFFF"/>
        </w:rPr>
      </w:pP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Отчет по практике является основным документом обучающегося, отражающим выполненную работу во время практики и </w:t>
      </w:r>
      <w:r>
        <w:rPr>
          <w:rFonts w:ascii="Times New Roman" w:hAnsi="Times New Roman" w:cs="Times New Roman"/>
          <w:sz w:val="26"/>
          <w:szCs w:val="26"/>
        </w:rPr>
        <w:t xml:space="preserve">приобретенные компетенции. 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Отчет по практике должен содержать: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 титульный лист;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содержание;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введение;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основную часть;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заключение;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список использованных источников;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приложения.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Объем отчета должен составлять 10–15 листов (</w:t>
      </w:r>
      <w:r>
        <w:rPr>
          <w:rFonts w:ascii="Times New Roman" w:hAnsi="Times New Roman" w:cs="Times New Roman"/>
          <w:bCs/>
          <w:iCs/>
          <w:color w:val="000000"/>
          <w:sz w:val="26"/>
          <w:szCs w:val="26"/>
        </w:rPr>
        <w:t xml:space="preserve">шрифт – Times New </w:t>
      </w:r>
      <w:proofErr w:type="spellStart"/>
      <w:r>
        <w:rPr>
          <w:rFonts w:ascii="Times New Roman" w:hAnsi="Times New Roman" w:cs="Times New Roman"/>
          <w:bCs/>
          <w:iCs/>
          <w:color w:val="000000"/>
          <w:sz w:val="26"/>
          <w:szCs w:val="26"/>
        </w:rPr>
        <w:t>Roman</w:t>
      </w:r>
      <w:proofErr w:type="spellEnd"/>
      <w:r>
        <w:rPr>
          <w:rFonts w:ascii="Times New Roman" w:hAnsi="Times New Roman" w:cs="Times New Roman"/>
          <w:bCs/>
          <w:iCs/>
          <w:color w:val="000000"/>
          <w:sz w:val="26"/>
          <w:szCs w:val="26"/>
        </w:rPr>
        <w:t>, размер шрифта – 13-14, все поля – 2 см, отступ - 1 см, выравнивание – по ширине</w:t>
      </w:r>
      <w:r>
        <w:rPr>
          <w:rFonts w:ascii="Times New Roman" w:hAnsi="Times New Roman" w:cs="Times New Roman"/>
          <w:color w:val="000000"/>
          <w:sz w:val="26"/>
          <w:szCs w:val="26"/>
        </w:rPr>
        <w:t>, таблицы и схемы располагаются по тексту и нумеруются по разделам). Количество приложений не ограничивается и в указанный объем не включается.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>В введении должны быть отражены:</w:t>
      </w:r>
    </w:p>
    <w:p w:rsidR="004228CD" w:rsidRDefault="00000000">
      <w:pPr>
        <w:numPr>
          <w:ilvl w:val="0"/>
          <w:numId w:val="1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цель, место и время прохождения практики (сроки, продолжительность </w:t>
      </w:r>
      <w:r>
        <w:rPr>
          <w:rFonts w:ascii="Times New Roman" w:hAnsi="Times New Roman" w:cs="Times New Roman"/>
          <w:sz w:val="26"/>
          <w:szCs w:val="26"/>
        </w:rPr>
        <w:t>в неделях/раб. днях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); </w:t>
      </w:r>
    </w:p>
    <w:p w:rsidR="004228CD" w:rsidRDefault="00000000">
      <w:pPr>
        <w:numPr>
          <w:ilvl w:val="0"/>
          <w:numId w:val="1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последовательность прохождения практики, перечень работ, выполненных в процессе практики.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В основную часть отчета необходимо включить: </w:t>
      </w:r>
    </w:p>
    <w:p w:rsidR="004228CD" w:rsidRDefault="00000000">
      <w:pPr>
        <w:numPr>
          <w:ilvl w:val="0"/>
          <w:numId w:val="2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описание организации работы в процессе практики; </w:t>
      </w:r>
    </w:p>
    <w:p w:rsidR="004228CD" w:rsidRDefault="00000000">
      <w:pPr>
        <w:numPr>
          <w:ilvl w:val="0"/>
          <w:numId w:val="2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описание выполненной работы по разделам программы практики; </w:t>
      </w:r>
    </w:p>
    <w:p w:rsidR="004228CD" w:rsidRDefault="00000000">
      <w:pPr>
        <w:numPr>
          <w:ilvl w:val="0"/>
          <w:numId w:val="2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описание практических задач, решаемых обучающимся за время прохождения практики; </w:t>
      </w:r>
    </w:p>
    <w:p w:rsidR="004228CD" w:rsidRDefault="00000000">
      <w:pPr>
        <w:numPr>
          <w:ilvl w:val="0"/>
          <w:numId w:val="2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указания на затруднения, которые возникли при прохождении практики; </w:t>
      </w:r>
    </w:p>
    <w:p w:rsidR="004228CD" w:rsidRDefault="00000000">
      <w:pPr>
        <w:numPr>
          <w:ilvl w:val="0"/>
          <w:numId w:val="2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изложение спорных вопросов, которые возникли по конкретным вопросам, и их решение.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Заключение должно содержать: </w:t>
      </w:r>
    </w:p>
    <w:p w:rsidR="004228CD" w:rsidRDefault="00000000">
      <w:pPr>
        <w:numPr>
          <w:ilvl w:val="0"/>
          <w:numId w:val="3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описание знаний, умений, навыков (компетенций), приобретенных практикантом в период практики; </w:t>
      </w:r>
    </w:p>
    <w:p w:rsidR="004228CD" w:rsidRDefault="00000000">
      <w:pPr>
        <w:numPr>
          <w:ilvl w:val="0"/>
          <w:numId w:val="3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lastRenderedPageBreak/>
        <w:t xml:space="preserve">характеристику информационно-программных продуктов, необходимых для прохождения практики; </w:t>
      </w:r>
    </w:p>
    <w:p w:rsidR="004228CD" w:rsidRDefault="00000000">
      <w:pPr>
        <w:numPr>
          <w:ilvl w:val="0"/>
          <w:numId w:val="3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предложения и рекомендации обучающегося, сделанные в ходе практики.</w:t>
      </w:r>
    </w:p>
    <w:p w:rsidR="004228CD" w:rsidRDefault="0000000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Список использованных источников формируется в порядке появления ссылок.</w:t>
      </w:r>
    </w:p>
    <w:p w:rsidR="004228CD" w:rsidRDefault="004228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>К отчету также прилагаются:</w:t>
      </w:r>
    </w:p>
    <w:p w:rsidR="004228CD" w:rsidRDefault="00000000">
      <w:pPr>
        <w:numPr>
          <w:ilvl w:val="0"/>
          <w:numId w:val="4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Индивидуальное задание практиканта</w:t>
      </w:r>
      <w:r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:rsidR="004228CD" w:rsidRDefault="00000000">
      <w:pPr>
        <w:numPr>
          <w:ilvl w:val="0"/>
          <w:numId w:val="4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Дневник практиканта;</w:t>
      </w:r>
    </w:p>
    <w:p w:rsidR="004228CD" w:rsidRDefault="00000000">
      <w:pPr>
        <w:numPr>
          <w:ilvl w:val="0"/>
          <w:numId w:val="4"/>
        </w:numPr>
        <w:tabs>
          <w:tab w:val="clear" w:pos="720"/>
          <w:tab w:val="left" w:pos="360"/>
        </w:tabs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Отзыв-характеристика руководителя практики от предприятия </w:t>
      </w:r>
      <w:r>
        <w:rPr>
          <w:rFonts w:ascii="Times New Roman" w:hAnsi="Times New Roman" w:cs="Times New Roman"/>
          <w:sz w:val="26"/>
          <w:szCs w:val="26"/>
        </w:rPr>
        <w:t>о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 работе практиканта.</w:t>
      </w:r>
    </w:p>
    <w:p w:rsidR="004228CD" w:rsidRDefault="004228C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6"/>
          <w:szCs w:val="26"/>
        </w:rPr>
      </w:pP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Отчет, заверенный руководителем практики от организации, должен быть представлен руководителю практики от РУДН по окончанию практики. Защита отчетов проводится на кафедре/в департаменте.</w:t>
      </w:r>
    </w:p>
    <w:p w:rsidR="004228CD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По результатам защиты отчета обучающийся получает оценку по практике.</w:t>
      </w:r>
    </w:p>
    <w:p w:rsidR="004228CD" w:rsidRDefault="00000000">
      <w:pPr>
        <w:rPr>
          <w:rFonts w:ascii="Times New Roman" w:hAnsi="Times New Roman" w:cs="Times New Roman"/>
          <w:sz w:val="26"/>
          <w:szCs w:val="26"/>
        </w:rPr>
      </w:pPr>
      <w:r>
        <w:br w:type="page" w:clear="all"/>
      </w:r>
    </w:p>
    <w:p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Федеральное государственное автономное образовательное учреждение высшего образования</w:t>
      </w:r>
    </w:p>
    <w:p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«РОССИЙСКИЙ УНИВЕРСИТЕТ ДРУЖБЫ НАРОДОВ </w:t>
      </w:r>
    </w:p>
    <w:p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ИМЕНИ ПАТРИСА ЛУМУМБЫ»</w:t>
      </w:r>
    </w:p>
    <w:p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(РУДН)</w:t>
      </w:r>
    </w:p>
    <w:p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4228CD" w:rsidRDefault="0000000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Основное учебное подразделение </w:t>
      </w:r>
      <w:r>
        <w:rPr>
          <w:rFonts w:ascii="Times New Roman" w:hAnsi="Times New Roman"/>
          <w:sz w:val="28"/>
          <w:szCs w:val="28"/>
          <w:u w:val="single"/>
        </w:rPr>
        <w:t>факультет физико-математических и                   естественных наук</w:t>
      </w:r>
    </w:p>
    <w:p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Направление/специальность</w:t>
      </w:r>
      <w:r w:rsidRPr="00EF379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eastAsia="Times New Roman" w:hAnsi="Times New Roman" w:cs="Times New Roman"/>
          <w:sz w:val="28"/>
          <w:szCs w:val="28"/>
          <w:u w:val="single"/>
        </w:rPr>
        <w:t>02.03.01 «Математика и компьютерные науки», специализация «Математика и компьютерные науки»</w:t>
      </w:r>
    </w:p>
    <w:p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  <w:u w:val="single"/>
        </w:rPr>
      </w:pPr>
    </w:p>
    <w:p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4228CD" w:rsidRDefault="004228CD">
      <w:pPr>
        <w:jc w:val="center"/>
        <w:rPr>
          <w:rFonts w:ascii="Times New Roman" w:hAnsi="Times New Roman" w:cs="Times New Roman"/>
        </w:rPr>
      </w:pPr>
    </w:p>
    <w:p w:rsidR="004228CD" w:rsidRDefault="004228CD">
      <w:pPr>
        <w:jc w:val="center"/>
        <w:rPr>
          <w:rFonts w:ascii="Times New Roman" w:hAnsi="Times New Roman" w:cs="Times New Roman"/>
        </w:rPr>
      </w:pPr>
    </w:p>
    <w:p w:rsidR="004228CD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:rsidR="004228CD" w:rsidRDefault="0000000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о прохождении </w:t>
      </w:r>
      <w:proofErr w:type="spellStart"/>
      <w:r w:rsidRPr="00EF3799">
        <w:rPr>
          <w:rFonts w:ascii="Times New Roman" w:hAnsi="Times New Roman" w:cs="Times New Roman"/>
          <w:b/>
          <w:sz w:val="28"/>
          <w:szCs w:val="28"/>
        </w:rPr>
        <w:t>преддипмолной</w:t>
      </w:r>
      <w:proofErr w:type="spellEnd"/>
      <w:r w:rsidRPr="00EF3799">
        <w:rPr>
          <w:rFonts w:ascii="Times New Roman" w:hAnsi="Times New Roman" w:cs="Times New Roman"/>
          <w:b/>
          <w:sz w:val="28"/>
          <w:szCs w:val="28"/>
        </w:rPr>
        <w:t xml:space="preserve"> практики</w:t>
      </w:r>
    </w:p>
    <w:p w:rsidR="004228CD" w:rsidRDefault="00000000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>(вид и наименование практики)</w:t>
      </w:r>
    </w:p>
    <w:p w:rsidR="004228CD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</w:t>
      </w:r>
    </w:p>
    <w:p w:rsidR="004228CD" w:rsidRDefault="00000000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highlight w:val="yellow"/>
          <w:vertAlign w:val="superscript"/>
        </w:rPr>
        <w:t>(Ф.И.О. обучающегося)</w:t>
      </w:r>
    </w:p>
    <w:p w:rsidR="004228CD" w:rsidRDefault="00000000">
      <w:pPr>
        <w:pStyle w:val="NoSpacing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 xml:space="preserve">Курс, группа </w:t>
      </w:r>
      <w:r w:rsidRPr="00EF3799">
        <w:rPr>
          <w:rFonts w:ascii="Times New Roman" w:hAnsi="Times New Roman" w:cs="Times New Roman"/>
          <w:sz w:val="28"/>
          <w:szCs w:val="28"/>
          <w:highlight w:val="yellow"/>
        </w:rPr>
        <w:t>4, НКНбд-00-22</w:t>
      </w:r>
    </w:p>
    <w:p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Место прохождения практики </w:t>
      </w:r>
      <w:bookmarkStart w:id="0" w:name="yui_3_17_2_1_1756913874888_2224"/>
      <w:bookmarkStart w:id="1" w:name="yui_3_17_2_1_1756913874888_2225"/>
      <w:bookmarkStart w:id="2" w:name="yui_3_17_2_1_1756913874888_2226"/>
      <w:bookmarkStart w:id="3" w:name="yui_3_17_2_1_1756913874888_2227"/>
      <w:bookmarkStart w:id="4" w:name="yui_3_17_2_1_1756913874888_2228"/>
      <w:bookmarkStart w:id="5" w:name="yui_3_17_2_1_1756913874888_2229"/>
      <w:bookmarkStart w:id="6" w:name="yui_3_17_2_1_1756913874888_2230"/>
      <w:bookmarkStart w:id="7" w:name="yui_3_17_2_1_1756913874888_2231"/>
      <w:bookmarkStart w:id="8" w:name="yui_3_17_2_1_1756913874888_2232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r w:rsidRPr="00EF3799">
        <w:rPr>
          <w:rFonts w:ascii="Times New Roman" w:eastAsia="Times New Roman" w:hAnsi="Times New Roman" w:cs="Times New Roman"/>
          <w:sz w:val="28"/>
          <w:szCs w:val="28"/>
          <w:u w:val="single"/>
        </w:rPr>
        <w:t>Научный центр вычислительных методов и моделирования киберфизических систем РУДН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</w:p>
    <w:p w:rsidR="004228CD" w:rsidRDefault="00000000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полное наименование организации (предприятия)</w:t>
      </w:r>
    </w:p>
    <w:p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Сроки прохождения</w:t>
      </w:r>
      <w:r w:rsidRPr="00EF37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hAnsi="Times New Roman" w:cs="Times New Roman"/>
          <w:sz w:val="26"/>
          <w:szCs w:val="26"/>
        </w:rPr>
        <w:t xml:space="preserve">06.04.2026 </w:t>
      </w:r>
      <w:r>
        <w:rPr>
          <w:rFonts w:ascii="Times New Roman" w:hAnsi="Times New Roman" w:cs="Times New Roman"/>
          <w:sz w:val="26"/>
          <w:szCs w:val="26"/>
        </w:rPr>
        <w:t xml:space="preserve">г. по </w:t>
      </w:r>
      <w:r w:rsidRPr="00EF3799">
        <w:rPr>
          <w:rFonts w:ascii="Times New Roman" w:hAnsi="Times New Roman" w:cs="Times New Roman"/>
          <w:sz w:val="26"/>
          <w:szCs w:val="26"/>
        </w:rPr>
        <w:t xml:space="preserve">30.04.2026 </w:t>
      </w:r>
      <w:r>
        <w:rPr>
          <w:rFonts w:ascii="Times New Roman" w:hAnsi="Times New Roman" w:cs="Times New Roman"/>
          <w:sz w:val="26"/>
          <w:szCs w:val="26"/>
        </w:rPr>
        <w:t>г.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Руководители практики:</w:t>
      </w:r>
    </w:p>
    <w:p w:rsidR="004228CD" w:rsidRDefault="004228CD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 РУДН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Кройтор О.К., асс. каф.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ММиИИ</w:t>
      </w:r>
      <w:proofErr w:type="spellEnd"/>
    </w:p>
    <w:p w:rsidR="004228CD" w:rsidRDefault="00000000">
      <w:pPr>
        <w:pStyle w:val="NoSpacing"/>
        <w:ind w:left="425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Ф.И.О., должность</w:t>
      </w:r>
    </w:p>
    <w:p w:rsidR="004228CD" w:rsidRDefault="004228CD">
      <w:pPr>
        <w:pStyle w:val="NoSpacing"/>
        <w:ind w:left="4253"/>
        <w:rPr>
          <w:rFonts w:ascii="Times New Roman" w:hAnsi="Times New Roman" w:cs="Times New Roman"/>
        </w:rPr>
      </w:pPr>
    </w:p>
    <w:p w:rsidR="004228CD" w:rsidRDefault="00000000">
      <w:pPr>
        <w:pStyle w:val="NoSpacing"/>
        <w:ind w:left="4253"/>
      </w:pPr>
      <w:r>
        <w:rPr>
          <w:rFonts w:ascii="Times New Roman" w:hAnsi="Times New Roman" w:cs="Times New Roman"/>
          <w:sz w:val="28"/>
          <w:szCs w:val="28"/>
        </w:rPr>
        <w:t>от организации (предприятия)</w:t>
      </w:r>
      <w:r>
        <w:t xml:space="preserve"> </w:t>
      </w:r>
    </w:p>
    <w:p w:rsidR="004228CD" w:rsidRDefault="00000000">
      <w:pPr>
        <w:pStyle w:val="NoSpacing"/>
        <w:ind w:left="4253"/>
        <w:rPr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проф.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Самуйлов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К.Е., директор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ИКНиТ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w:rsidR="004228CD" w:rsidRDefault="00000000">
      <w:pPr>
        <w:pStyle w:val="NoSpacing"/>
        <w:ind w:left="425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Ф.И.О., должность</w:t>
      </w:r>
    </w:p>
    <w:p w:rsidR="004228CD" w:rsidRDefault="004228CD">
      <w:pPr>
        <w:pStyle w:val="NoSpacing"/>
        <w:ind w:left="3969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Оценка</w:t>
      </w:r>
      <w:r>
        <w:rPr>
          <w:rFonts w:ascii="Times New Roman" w:hAnsi="Times New Roman" w:cs="Times New Roman"/>
          <w:sz w:val="28"/>
          <w:szCs w:val="28"/>
        </w:rPr>
        <w:t>____________________</w:t>
      </w:r>
    </w:p>
    <w:p w:rsidR="004228CD" w:rsidRDefault="004228CD"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Москва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2026 </w:t>
      </w:r>
      <w:r>
        <w:rPr>
          <w:rFonts w:ascii="Times New Roman" w:hAnsi="Times New Roman" w:cs="Times New Roman"/>
          <w:sz w:val="28"/>
          <w:szCs w:val="28"/>
        </w:rPr>
        <w:t>г.</w:t>
      </w:r>
    </w:p>
    <w:p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:rsidR="004228CD" w:rsidRPr="00F55AD1" w:rsidRDefault="00000000">
      <w:pPr>
        <w:pStyle w:val="NoSpacing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F55AD1">
        <w:rPr>
          <w:rFonts w:ascii="Times New Roman" w:hAnsi="Times New Roman" w:cs="Times New Roman"/>
          <w:b/>
          <w:sz w:val="32"/>
          <w:szCs w:val="32"/>
        </w:rPr>
        <w:lastRenderedPageBreak/>
        <w:t>Оглавление</w:t>
      </w:r>
    </w:p>
    <w:p w:rsidR="00F55AD1" w:rsidRPr="00F55AD1" w:rsidRDefault="00F55AD1"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dt>
      <w:sdtPr>
        <w:id w:val="294418048"/>
        <w:docPartObj>
          <w:docPartGallery w:val="Table of Contents"/>
          <w:docPartUnique/>
        </w:docPartObj>
      </w:sdtPr>
      <w:sdtContent>
        <w:p w:rsidR="004228CD" w:rsidRDefault="00000000" w:rsidP="00EF3799">
          <w:pPr>
            <w:pStyle w:val="TOC1"/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  <w:between w:val="single" w:sz="4" w:space="1" w:color="auto"/>
              <w:bar w:val="single" w:sz="4" w:color="auto"/>
            </w:pBdr>
            <w:tabs>
              <w:tab w:val="right" w:leader="dot" w:pos="9911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"1-1" \h</w:instrText>
          </w:r>
          <w:r>
            <w:rPr>
              <w:rStyle w:val="IndexLink"/>
            </w:rPr>
            <w:fldChar w:fldCharType="separate"/>
          </w:r>
          <w:hyperlink w:anchor="_Toc158643489" w:tooltip="#_Toc158643489" w:history="1">
            <w:r w:rsidR="004228CD">
              <w:rPr>
                <w:rStyle w:val="IndexLink"/>
              </w:rPr>
              <w:t>Список сокращений</w:t>
            </w:r>
            <w:r w:rsidR="004228CD">
              <w:rPr>
                <w:rStyle w:val="IndexLink"/>
                <w:lang w:val="en-US"/>
              </w:rPr>
              <w:t xml:space="preserve"> </w:t>
            </w:r>
            <w:r w:rsidR="004228CD">
              <w:rPr>
                <w:rStyle w:val="IndexLink"/>
                <w:lang w:val="en-US"/>
              </w:rPr>
              <w:tab/>
            </w:r>
            <w:r w:rsidR="004228CD">
              <w:rPr>
                <w:rStyle w:val="IndexLink"/>
                <w:vanish/>
              </w:rPr>
              <w:tab/>
            </w:r>
            <w:r w:rsidR="004228CD">
              <w:fldChar w:fldCharType="begin"/>
            </w:r>
            <w:r w:rsidR="004228CD">
              <w:instrText>PAGEREF _Toc158643489 \h</w:instrText>
            </w:r>
            <w:r w:rsidR="004228CD">
              <w:fldChar w:fldCharType="separate"/>
            </w:r>
            <w:r w:rsidR="004228CD">
              <w:rPr>
                <w:rStyle w:val="IndexLink"/>
              </w:rPr>
              <w:t>5</w:t>
            </w:r>
            <w:r w:rsidR="004228CD">
              <w:fldChar w:fldCharType="end"/>
            </w:r>
          </w:hyperlink>
        </w:p>
        <w:p w:rsidR="004228CD" w:rsidRDefault="004228CD" w:rsidP="00EF3799">
          <w:pPr>
            <w:pStyle w:val="TOC1"/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  <w:between w:val="single" w:sz="4" w:space="1" w:color="auto"/>
              <w:bar w:val="single" w:sz="4" w:color="auto"/>
            </w:pBdr>
            <w:tabs>
              <w:tab w:val="right" w:leader="dot" w:pos="9911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643490" w:tooltip="#_Toc158643490" w:history="1">
            <w:r>
              <w:rPr>
                <w:rStyle w:val="IndexLink"/>
              </w:rPr>
              <w:t>Список основных обозначений</w:t>
            </w:r>
            <w:r>
              <w:rPr>
                <w:rStyle w:val="IndexLink"/>
                <w:lang w:val="en-US"/>
              </w:rPr>
              <w:tab/>
            </w:r>
            <w:r>
              <w:rPr>
                <w:rStyle w:val="IndexLink"/>
                <w:vanish/>
              </w:rPr>
              <w:tab/>
            </w:r>
            <w:r>
              <w:fldChar w:fldCharType="begin"/>
            </w:r>
            <w:r>
              <w:instrText>PAGEREF _Toc158643490 \h</w:instrText>
            </w:r>
            <w:r>
              <w:fldChar w:fldCharType="separate"/>
            </w:r>
            <w:r>
              <w:rPr>
                <w:rStyle w:val="IndexLink"/>
              </w:rPr>
              <w:t>7</w:t>
            </w:r>
            <w:r>
              <w:fldChar w:fldCharType="end"/>
            </w:r>
          </w:hyperlink>
        </w:p>
        <w:p w:rsidR="004228CD" w:rsidRDefault="004228CD" w:rsidP="00EF3799">
          <w:pPr>
            <w:pStyle w:val="TOC1"/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  <w:between w:val="single" w:sz="4" w:space="1" w:color="auto"/>
              <w:bar w:val="single" w:sz="4" w:color="auto"/>
            </w:pBdr>
            <w:tabs>
              <w:tab w:val="right" w:leader="dot" w:pos="9911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643491" w:tooltip="#_Toc158643491" w:history="1">
            <w:r>
              <w:rPr>
                <w:rStyle w:val="IndexLink"/>
              </w:rPr>
              <w:t>Введение</w:t>
            </w:r>
            <w:r>
              <w:rPr>
                <w:rStyle w:val="IndexLink"/>
                <w:lang w:val="en-US"/>
              </w:rPr>
              <w:tab/>
            </w:r>
            <w:r>
              <w:rPr>
                <w:rStyle w:val="IndexLink"/>
                <w:vanish/>
              </w:rPr>
              <w:tab/>
            </w:r>
            <w:r>
              <w:fldChar w:fldCharType="begin"/>
            </w:r>
            <w:r>
              <w:instrText>PAGEREF _Toc158643491 \h</w:instrText>
            </w:r>
            <w:r>
              <w:fldChar w:fldCharType="separate"/>
            </w:r>
            <w:r>
              <w:rPr>
                <w:rStyle w:val="IndexLink"/>
              </w:rPr>
              <w:t>8</w:t>
            </w:r>
            <w:r>
              <w:fldChar w:fldCharType="end"/>
            </w:r>
          </w:hyperlink>
        </w:p>
        <w:p w:rsidR="004228CD" w:rsidRDefault="004228CD" w:rsidP="00EF3799">
          <w:pPr>
            <w:pStyle w:val="TOC1"/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  <w:between w:val="single" w:sz="4" w:space="1" w:color="auto"/>
              <w:bar w:val="single" w:sz="4" w:color="auto"/>
            </w:pBdr>
            <w:tabs>
              <w:tab w:val="right" w:leader="dot" w:pos="9911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643492" w:tooltip="#_Toc158643492" w:history="1">
            <w:r>
              <w:rPr>
                <w:rStyle w:val="IndexLink"/>
              </w:rPr>
              <w:t>Основная часть</w:t>
            </w:r>
            <w:r>
              <w:rPr>
                <w:rStyle w:val="IndexLink"/>
                <w:lang w:val="en-US"/>
              </w:rPr>
              <w:tab/>
            </w:r>
            <w:r>
              <w:rPr>
                <w:rStyle w:val="IndexLink"/>
                <w:vanish/>
              </w:rPr>
              <w:tab/>
            </w:r>
            <w:r>
              <w:fldChar w:fldCharType="begin"/>
            </w:r>
            <w:r>
              <w:instrText>PAGEREF _Toc158643492 \h</w:instrText>
            </w:r>
            <w:r>
              <w:fldChar w:fldCharType="separate"/>
            </w:r>
            <w:r>
              <w:rPr>
                <w:rStyle w:val="IndexLink"/>
              </w:rPr>
              <w:t>10</w:t>
            </w:r>
            <w:r>
              <w:fldChar w:fldCharType="end"/>
            </w:r>
          </w:hyperlink>
        </w:p>
        <w:p w:rsidR="004228CD" w:rsidRDefault="004228CD" w:rsidP="00EF3799">
          <w:pPr>
            <w:pStyle w:val="TOC1"/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  <w:between w:val="single" w:sz="4" w:space="1" w:color="auto"/>
              <w:bar w:val="single" w:sz="4" w:color="auto"/>
            </w:pBdr>
            <w:tabs>
              <w:tab w:val="right" w:leader="dot" w:pos="9911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643493" w:tooltip="#_Toc158643493" w:history="1">
            <w:r>
              <w:rPr>
                <w:rStyle w:val="IndexLink"/>
              </w:rPr>
              <w:t>Заключение</w:t>
            </w:r>
            <w:r>
              <w:rPr>
                <w:rStyle w:val="IndexLink"/>
                <w:lang w:val="en-US"/>
              </w:rPr>
              <w:tab/>
            </w:r>
            <w:r>
              <w:rPr>
                <w:rStyle w:val="IndexLink"/>
                <w:vanish/>
              </w:rPr>
              <w:tab/>
            </w:r>
            <w:r>
              <w:fldChar w:fldCharType="begin"/>
            </w:r>
            <w:r>
              <w:instrText>PAGEREF _Toc158643493 \h</w:instrText>
            </w:r>
            <w:r>
              <w:fldChar w:fldCharType="separate"/>
            </w:r>
            <w:r>
              <w:rPr>
                <w:rStyle w:val="IndexLink"/>
              </w:rPr>
              <w:t>17</w:t>
            </w:r>
            <w:r>
              <w:fldChar w:fldCharType="end"/>
            </w:r>
          </w:hyperlink>
        </w:p>
        <w:p w:rsidR="004228CD" w:rsidRDefault="004228CD" w:rsidP="00EF3799">
          <w:pPr>
            <w:pStyle w:val="TOC1"/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  <w:between w:val="single" w:sz="4" w:space="1" w:color="auto"/>
              <w:bar w:val="single" w:sz="4" w:color="auto"/>
            </w:pBdr>
            <w:tabs>
              <w:tab w:val="right" w:leader="dot" w:pos="9911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58643494" w:tooltip="#_Toc158643494" w:history="1">
            <w:r>
              <w:rPr>
                <w:rStyle w:val="IndexLink"/>
              </w:rPr>
              <w:t>Список источников</w:t>
            </w:r>
            <w:r>
              <w:rPr>
                <w:rStyle w:val="IndexLink"/>
                <w:lang w:val="en-US"/>
              </w:rPr>
              <w:tab/>
            </w:r>
            <w:r>
              <w:rPr>
                <w:rStyle w:val="IndexLink"/>
                <w:vanish/>
              </w:rPr>
              <w:tab/>
            </w:r>
            <w:r>
              <w:fldChar w:fldCharType="begin"/>
            </w:r>
            <w:r>
              <w:instrText>PAGEREF _Toc158643494 \h</w:instrText>
            </w:r>
            <w:r>
              <w:fldChar w:fldCharType="separate"/>
            </w:r>
            <w:r>
              <w:rPr>
                <w:rStyle w:val="IndexLink"/>
              </w:rPr>
              <w:t>19</w:t>
            </w:r>
            <w:r>
              <w:fldChar w:fldCharType="end"/>
            </w:r>
          </w:hyperlink>
          <w:r w:rsidR="00000000">
            <w:rPr>
              <w:rStyle w:val="IndexLink"/>
            </w:rPr>
            <w:fldChar w:fldCharType="end"/>
          </w:r>
        </w:p>
      </w:sdtContent>
    </w:sdt>
    <w:p w:rsidR="004228CD" w:rsidRDefault="004228CD">
      <w:pPr>
        <w:rPr>
          <w:sz w:val="28"/>
          <w:szCs w:val="28"/>
        </w:rPr>
      </w:pPr>
    </w:p>
    <w:p w:rsidR="004228CD" w:rsidRDefault="00000000">
      <w:pPr>
        <w:rPr>
          <w:color w:val="000000"/>
          <w:sz w:val="28"/>
          <w:szCs w:val="28"/>
          <w:shd w:val="clear" w:color="auto" w:fill="FFFFFF"/>
        </w:rPr>
      </w:pPr>
      <w:r>
        <w:br w:type="page" w:clear="all"/>
      </w:r>
    </w:p>
    <w:p w:rsidR="004228CD" w:rsidRPr="00F55AD1" w:rsidRDefault="00000000">
      <w:pPr>
        <w:pStyle w:val="Heading1"/>
        <w:spacing w:after="280"/>
        <w:rPr>
          <w:sz w:val="32"/>
          <w:szCs w:val="32"/>
        </w:rPr>
      </w:pPr>
      <w:bookmarkStart w:id="9" w:name="_Toc158643489"/>
      <w:bookmarkStart w:id="10" w:name="_Toc449551140"/>
      <w:r w:rsidRPr="00F55AD1">
        <w:rPr>
          <w:sz w:val="32"/>
          <w:szCs w:val="32"/>
        </w:rPr>
        <w:lastRenderedPageBreak/>
        <w:t>Список сокращений</w:t>
      </w:r>
      <w:bookmarkEnd w:id="9"/>
      <w:bookmarkEnd w:id="10"/>
    </w:p>
    <w:p w:rsidR="004228CD" w:rsidRDefault="004228CD">
      <w:pPr>
        <w:rPr>
          <w:rFonts w:ascii="Times New Roman" w:hAnsi="Times New Roman" w:cs="Times New Roman"/>
          <w:sz w:val="28"/>
          <w:szCs w:val="28"/>
          <w:highlight w:val="yellow"/>
        </w:rPr>
      </w:pPr>
    </w:p>
    <w:p w:rsidR="004228CD" w:rsidRPr="00F55AD1" w:rsidRDefault="00000000">
      <w:pPr>
        <w:spacing w:after="240"/>
        <w:rPr>
          <w:rFonts w:ascii="Times New Roman" w:hAnsi="Times New Roman" w:cs="Times New Roman"/>
          <w:b/>
          <w:sz w:val="28"/>
          <w:szCs w:val="28"/>
        </w:rPr>
      </w:pPr>
      <w:r w:rsidRPr="00F55AD1">
        <w:rPr>
          <w:rFonts w:ascii="Times New Roman" w:hAnsi="Times New Roman" w:cs="Times New Roman"/>
          <w:b/>
          <w:sz w:val="28"/>
          <w:szCs w:val="28"/>
        </w:rPr>
        <w:t>Русскоязычные</w:t>
      </w:r>
      <w:r w:rsidRPr="00F55AD1">
        <w:rPr>
          <w:rFonts w:ascii="Times New Roman" w:hAnsi="Times New Roman" w:cs="Times New Roman"/>
          <w:sz w:val="28"/>
          <w:szCs w:val="28"/>
        </w:rPr>
        <w:t xml:space="preserve"> </w:t>
      </w:r>
      <w:r w:rsidRPr="00F55AD1">
        <w:rPr>
          <w:rFonts w:ascii="Times New Roman" w:hAnsi="Times New Roman" w:cs="Times New Roman"/>
          <w:b/>
          <w:sz w:val="28"/>
          <w:szCs w:val="28"/>
        </w:rPr>
        <w:t>сокращения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ВКР — выпускная квалификационная работа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ПК — программный комплекс</w:t>
      </w:r>
    </w:p>
    <w:p w:rsidR="004228CD" w:rsidRDefault="004228CD">
      <w:pPr>
        <w:rPr>
          <w:rFonts w:ascii="Times New Roman" w:hAnsi="Times New Roman" w:cs="Times New Roman"/>
          <w:sz w:val="28"/>
          <w:szCs w:val="28"/>
          <w:highlight w:val="yellow"/>
        </w:rPr>
      </w:pPr>
    </w:p>
    <w:p w:rsidR="004228CD" w:rsidRPr="00F55AD1" w:rsidRDefault="00000000">
      <w:pPr>
        <w:rPr>
          <w:rFonts w:ascii="Times New Roman" w:hAnsi="Times New Roman" w:cs="Times New Roman"/>
          <w:b/>
          <w:sz w:val="28"/>
          <w:szCs w:val="28"/>
        </w:rPr>
      </w:pPr>
      <w:r w:rsidRPr="00F55AD1">
        <w:rPr>
          <w:rFonts w:ascii="Times New Roman" w:hAnsi="Times New Roman" w:cs="Times New Roman"/>
          <w:b/>
          <w:sz w:val="28"/>
          <w:szCs w:val="28"/>
        </w:rPr>
        <w:t>Англоязычные сокращения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API — Application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Interface (интерфейс прикладного программирования)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BAW —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Barone-Adesi-Whaley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(аналитическое приближение для американских опционов)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BS — Black-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Scholes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(модель ценообразования опционов)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CRR —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Cox-Ross-Rubinstein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(биномиальная модель ценообразования)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55AD1">
        <w:rPr>
          <w:rFonts w:ascii="Times New Roman" w:hAnsi="Times New Roman" w:cs="Times New Roman"/>
          <w:sz w:val="28"/>
          <w:szCs w:val="28"/>
          <w:lang w:val="en-US"/>
        </w:rPr>
        <w:t>MAE — Mean Absolute Error (</w:t>
      </w:r>
      <w:r w:rsidRPr="00F55AD1">
        <w:rPr>
          <w:rFonts w:ascii="Times New Roman" w:hAnsi="Times New Roman" w:cs="Times New Roman"/>
          <w:sz w:val="28"/>
          <w:szCs w:val="28"/>
        </w:rPr>
        <w:t>средняя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абсолютная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ошибка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55AD1">
        <w:rPr>
          <w:rFonts w:ascii="Times New Roman" w:hAnsi="Times New Roman" w:cs="Times New Roman"/>
          <w:sz w:val="28"/>
          <w:szCs w:val="28"/>
          <w:lang w:val="en-US"/>
        </w:rPr>
        <w:t>RMSE — Root Mean Square Error (</w:t>
      </w:r>
      <w:r w:rsidRPr="00F55AD1">
        <w:rPr>
          <w:rFonts w:ascii="Times New Roman" w:hAnsi="Times New Roman" w:cs="Times New Roman"/>
          <w:sz w:val="28"/>
          <w:szCs w:val="28"/>
        </w:rPr>
        <w:t>среднеквадратичная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ошибка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4228CD" w:rsidRPr="00EF3799" w:rsidRDefault="004228CD">
      <w:pPr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:rsidR="004228CD" w:rsidRPr="00EF3799" w:rsidRDefault="00000000">
      <w:pPr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 w:rsidRPr="00EF3799">
        <w:rPr>
          <w:lang w:val="en-US"/>
        </w:rPr>
        <w:br w:type="page" w:clear="all"/>
      </w:r>
    </w:p>
    <w:p w:rsidR="004228CD" w:rsidRPr="00F55AD1" w:rsidRDefault="00000000">
      <w:pPr>
        <w:pStyle w:val="Heading1"/>
        <w:spacing w:after="280"/>
        <w:rPr>
          <w:color w:val="000000"/>
          <w:sz w:val="32"/>
          <w:szCs w:val="32"/>
        </w:rPr>
      </w:pPr>
      <w:bookmarkStart w:id="11" w:name="_Toc449551141"/>
      <w:bookmarkStart w:id="12" w:name="_Toc158643490"/>
      <w:r w:rsidRPr="00F55AD1">
        <w:rPr>
          <w:color w:val="000000"/>
          <w:sz w:val="32"/>
          <w:szCs w:val="32"/>
        </w:rPr>
        <w:lastRenderedPageBreak/>
        <w:t>Список основных обозначений</w:t>
      </w:r>
      <w:bookmarkEnd w:id="11"/>
      <w:bookmarkEnd w:id="12"/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S₀ — текущая цена базового актива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K — цена исполнения опциона (страйк)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T — время до экспирации, лет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r — безрисковая процентная ставка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σ — волатильность доходности базового актива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55AD1">
        <w:rPr>
          <w:rFonts w:ascii="Times New Roman" w:hAnsi="Times New Roman" w:cs="Times New Roman"/>
          <w:sz w:val="28"/>
          <w:szCs w:val="28"/>
        </w:rPr>
        <w:t>V(</w:t>
      </w:r>
      <w:proofErr w:type="gramEnd"/>
      <w:r w:rsidRPr="00F55AD1">
        <w:rPr>
          <w:rFonts w:ascii="Times New Roman" w:hAnsi="Times New Roman" w:cs="Times New Roman"/>
          <w:sz w:val="28"/>
          <w:szCs w:val="28"/>
        </w:rPr>
        <w:t>S, t) — цена опциона при цене актива S в момент времени t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Δ (Delta) — производная цены опциона по цене базового актива,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dS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₀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Γ (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) — вторая производная цены по S₀, d²V/dS₀²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ν (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) — производная цены опциона по волатильности,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dσ</w:t>
      </w:r>
      <w:proofErr w:type="spellEnd"/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Θ (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) — производная цены опциона по времени, –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dT</w:t>
      </w:r>
      <w:proofErr w:type="spellEnd"/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u, d — коэффициенты роста и убывания цены в биномиальной модели CRR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p — риск-нейтральная вероятность роста цены актива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n — число временных шагов биномиального дерева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55AD1">
        <w:rPr>
          <w:rFonts w:ascii="Times New Roman" w:hAnsi="Times New Roman" w:cs="Times New Roman"/>
          <w:sz w:val="28"/>
          <w:szCs w:val="28"/>
        </w:rPr>
        <w:t>Δt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— длина одного временного шага,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Δt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= T/n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W — весовой фильтр нейросетевой архитектуры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BTNet</w:t>
      </w:r>
      <w:proofErr w:type="spellEnd"/>
    </w:p>
    <w:p w:rsidR="004228CD" w:rsidRDefault="004228CD">
      <w:pPr>
        <w:rPr>
          <w:rFonts w:ascii="Times New Roman" w:hAnsi="Times New Roman" w:cs="Times New Roman"/>
          <w:sz w:val="28"/>
          <w:szCs w:val="28"/>
        </w:rPr>
      </w:pPr>
    </w:p>
    <w:p w:rsidR="004228CD" w:rsidRDefault="004228C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br w:type="page" w:clear="all"/>
      </w:r>
    </w:p>
    <w:p w:rsidR="004228CD" w:rsidRPr="00F55AD1" w:rsidRDefault="00000000">
      <w:pPr>
        <w:pStyle w:val="Heading1"/>
        <w:spacing w:after="280"/>
        <w:rPr>
          <w:sz w:val="32"/>
          <w:szCs w:val="32"/>
        </w:rPr>
      </w:pPr>
      <w:bookmarkStart w:id="13" w:name="_Toc471580119"/>
      <w:bookmarkStart w:id="14" w:name="_Toc158643491"/>
      <w:r w:rsidRPr="00F55AD1">
        <w:rPr>
          <w:sz w:val="32"/>
          <w:szCs w:val="32"/>
        </w:rPr>
        <w:lastRenderedPageBreak/>
        <w:t>Введение</w:t>
      </w:r>
      <w:bookmarkEnd w:id="13"/>
      <w:bookmarkEnd w:id="14"/>
    </w:p>
    <w:p w:rsidR="004228CD" w:rsidRDefault="0000000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программе производственной практики направления подготовки </w:t>
      </w:r>
      <w:r w:rsidRPr="00EF3799">
        <w:rPr>
          <w:rFonts w:ascii="Times New Roman" w:hAnsi="Times New Roman" w:cs="Times New Roman"/>
          <w:sz w:val="28"/>
          <w:szCs w:val="28"/>
        </w:rPr>
        <w:t xml:space="preserve">02.03.01 «Математика и компьютерные науки», специализация «Математика и компьютерные науки» </w:t>
      </w:r>
      <w:r>
        <w:rPr>
          <w:rFonts w:ascii="Times New Roman" w:hAnsi="Times New Roman" w:cs="Times New Roman"/>
          <w:sz w:val="28"/>
          <w:szCs w:val="28"/>
        </w:rPr>
        <w:t>целями практики являются:</w:t>
      </w:r>
    </w:p>
    <w:p w:rsidR="004228CD" w:rsidRDefault="00000000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формирование профессиональных навыков в проведении научных исследований;</w:t>
      </w:r>
    </w:p>
    <w:p w:rsidR="004228CD" w:rsidRDefault="00000000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формирование навыков использования современных научных методов для решения научных и практических задач;</w:t>
      </w:r>
    </w:p>
    <w:p w:rsidR="004228CD" w:rsidRDefault="00000000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формирование практических навыков написания вспомогательных программных комплексов для проведения вычислительных экспериментов;</w:t>
      </w:r>
    </w:p>
    <w:p w:rsidR="004228CD" w:rsidRDefault="00000000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формирование общекультурных, общепрофессиональный и профессиональных компетенций в соответствии с ОС ВО РУДН;</w:t>
      </w:r>
    </w:p>
    <w:p w:rsidR="004228CD" w:rsidRDefault="00000000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формирование навыков оформления и представления результатов научного исследования;</w:t>
      </w:r>
    </w:p>
    <w:p w:rsidR="004228CD" w:rsidRDefault="00000000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формирование навыков работы с источниками данных.</w:t>
      </w:r>
    </w:p>
    <w:p w:rsidR="004228CD" w:rsidRDefault="0000000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целей в рамках производственной практики был выполнен обзор публикаций российских и международных научных изданий по теме выпускной квалификационной работы (ВКР) </w:t>
      </w:r>
      <w:r w:rsidRPr="00EF3799">
        <w:rPr>
          <w:rFonts w:ascii="Times New Roman" w:hAnsi="Times New Roman" w:cs="Times New Roman"/>
          <w:sz w:val="28"/>
          <w:szCs w:val="28"/>
        </w:rPr>
        <w:t>бакалавра</w:t>
      </w:r>
      <w:r>
        <w:rPr>
          <w:rFonts w:ascii="Times New Roman" w:hAnsi="Times New Roman" w:cs="Times New Roman"/>
          <w:sz w:val="28"/>
          <w:szCs w:val="28"/>
        </w:rPr>
        <w:t>, которая определена как «</w:t>
      </w:r>
      <w:r>
        <w:rPr>
          <w:rFonts w:ascii="Times New Roman" w:hAnsi="Times New Roman" w:cs="Times New Roman"/>
          <w:sz w:val="28"/>
          <w:szCs w:val="28"/>
          <w:highlight w:val="yellow"/>
        </w:rPr>
        <w:t>НАЗВАНИЕ ВЫПУСКНОЙ РАБОТЫ</w:t>
      </w:r>
      <w:r>
        <w:rPr>
          <w:rFonts w:ascii="Times New Roman" w:hAnsi="Times New Roman" w:cs="Times New Roman"/>
          <w:sz w:val="28"/>
          <w:szCs w:val="28"/>
        </w:rPr>
        <w:t>».</w:t>
      </w:r>
    </w:p>
    <w:p w:rsidR="004228CD" w:rsidRDefault="0000000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Время проведения производственной практики – </w:t>
      </w:r>
      <w:r w:rsidRPr="00EF3799">
        <w:rPr>
          <w:rFonts w:ascii="Times New Roman" w:hAnsi="Times New Roman" w:cs="Times New Roman"/>
          <w:sz w:val="26"/>
          <w:szCs w:val="26"/>
        </w:rPr>
        <w:t xml:space="preserve">06.04.2026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3799">
        <w:rPr>
          <w:rFonts w:ascii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hAnsi="Times New Roman" w:cs="Times New Roman"/>
          <w:sz w:val="26"/>
          <w:szCs w:val="26"/>
        </w:rPr>
        <w:t>30.04.2026</w:t>
      </w:r>
      <w:r>
        <w:rPr>
          <w:rFonts w:ascii="Times New Roman" w:hAnsi="Times New Roman" w:cs="Times New Roman"/>
          <w:sz w:val="26"/>
          <w:szCs w:val="26"/>
        </w:rPr>
        <w:t xml:space="preserve"> г.</w:t>
      </w:r>
      <w:r>
        <w:rPr>
          <w:rFonts w:ascii="Times New Roman" w:hAnsi="Times New Roman" w:cs="Times New Roman"/>
          <w:sz w:val="28"/>
          <w:szCs w:val="28"/>
        </w:rPr>
        <w:t xml:space="preserve">, место проведения практики – </w:t>
      </w:r>
      <w:r w:rsidRPr="00EF3799">
        <w:rPr>
          <w:rFonts w:ascii="Times New Roman" w:hAnsi="Times New Roman" w:cs="Times New Roman"/>
          <w:sz w:val="28"/>
          <w:szCs w:val="28"/>
        </w:rPr>
        <w:t>Научный центр вычислительных методов и моделирования киберфизических систем РУДН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228CD" w:rsidRPr="003678DE" w:rsidRDefault="00000000" w:rsidP="00F55AD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Последовательность прохождения практики, перечень работ, выполненных в процессе практики:</w:t>
      </w:r>
    </w:p>
    <w:tbl>
      <w:tblPr>
        <w:tblW w:w="1530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96"/>
        <w:gridCol w:w="2955"/>
        <w:gridCol w:w="3829"/>
        <w:gridCol w:w="4251"/>
        <w:gridCol w:w="2978"/>
      </w:tblGrid>
      <w:tr w:rsidR="00EF3799" w:rsidTr="00A30518">
        <w:trPr>
          <w:trHeight w:val="630"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Дата</w:t>
            </w:r>
          </w:p>
        </w:tc>
        <w:tc>
          <w:tcPr>
            <w:tcW w:w="2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Тема занятия / вид работы</w:t>
            </w:r>
          </w:p>
        </w:tc>
        <w:tc>
          <w:tcPr>
            <w:tcW w:w="38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Содержание выполненной работы</w:t>
            </w:r>
          </w:p>
        </w:tc>
        <w:tc>
          <w:tcPr>
            <w:tcW w:w="425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Замечания и предложения практиканта</w:t>
            </w:r>
          </w:p>
        </w:tc>
        <w:tc>
          <w:tcPr>
            <w:tcW w:w="297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Заключение руководителя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06.04.2026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Установочное занятие. Встреча с руководителем практики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Инструктаж по технике безопасности и пожарной безопасности. Получение и обсуждение индивидуального задания на практику. Ознакомление с требованиями к оформлению дневника и отчёта по практике.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07.04.2026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1. Изучение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 Настройка окружения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Изучение документации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Установка и настройка Python-привязок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-Python. Подключение библиотеки к проекту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Ознакомление с базовыми классами: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SimpleQuote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FlatForward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BlackScholesMertonProcess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08.04.2026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1. Реализация прайсинга европейского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пута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Реализация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функции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european_put_grid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через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AnalyticEuropeanEngine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Тестирование на параметрах эксперимента: S0=0.5, σ=0.25, r=0.05, T=1. Верификация цен относительно аналитических формул Блэка-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Шоулса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09.04.2026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1. Прайсинг американского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пута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: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BinomialVanillaEngine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(CRR)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Реализация функции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american_put_grid_crr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BinomialVanillaEngine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с CRR-схемой (500 шагов). Анализ сходимости по числу шагов дерева. Сравнение с собственной реализацией биномиального дерева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10.04.2026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Блок</w:t>
            </w:r>
            <w:r w:rsidRPr="00EF3799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1.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Метод</w:t>
            </w:r>
            <w:r w:rsidRPr="00EF3799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Barone-</w:t>
            </w:r>
            <w:proofErr w:type="spellStart"/>
            <w:r w:rsidRPr="00EF3799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Adesi</w:t>
            </w:r>
            <w:proofErr w:type="spellEnd"/>
            <w:r w:rsidRPr="00EF3799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-Whaley (BAW).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Таблица сравнения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Реализация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american_put_grid_baw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через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BaroneAdesiWhaleyApproximationEngine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Сравнение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скорости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и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точности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: BAW vs CRR (500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шагов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).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Составление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таблицы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цен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BTNet vs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CRR vs BAW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по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метрикам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MAE, RMSE,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max|err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|.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13.04.2026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Блок 1. Визуализация результатов. Оформление модуля quantlib.py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Построение графиков сравнения цен и погрешностей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plot_prices_with_quantlib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plot_errors_vs_quantlib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). Оформление модуля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btnn_bs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/quantlib.py. Запуск ноутбука btnn-bs-torch-v</w:t>
            </w:r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2.ipynb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, проверка результатов. Подведение итогов Блока 1.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14.04.2026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2. Дифференцируемый проход CRR. Delta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европейского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пута</w:t>
            </w:r>
            <w:proofErr w:type="spellEnd"/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Разработка функционального прохода _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crr_european_put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в котором S0, σ, r, T — дифференцируемые тензоры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PyTorch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requires_grad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=True). Реализация Delta=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dV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/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=d2V/dS2 через </w:t>
            </w:r>
            <w:proofErr w:type="spellStart"/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torch.autograd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с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create_graph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=True.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15.04.2026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2.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Theta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 Верификация относительно Black-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Scholes</w:t>
            </w:r>
            <w:proofErr w:type="spellEnd"/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Реализация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dV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/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dσ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Theta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dV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/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autograd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Функция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btnet_greeks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объединяющая все четыре грека. Реализация аналитических формул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bs_greeks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Верификация Delta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относительно BS-формул.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16.04.2026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2. Анализ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=0. Таблица ошибок. Графики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Выявлен и задокументирован эффект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=0: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ReLU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-сеть является кусочно-линейной функцией S0, поэтому d2V/dS2=0 почти всюду. Реализованы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greeks_error_table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plot_greeks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plot_greeks_errors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Построены 4-панельные графики греков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BS.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17.04.2026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2. Греки американского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пута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autograd</w:t>
            </w:r>
            <w:proofErr w:type="spellEnd"/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Разработка дифференцируемого прохода _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crr_american_put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с исправленным индексом времени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time_idx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=n-1-i. Реализация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btnet_american_greeks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autograd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american_greeks_fd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центральные конечные разности. Верификация: MAE Delta около 8e-3,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около 3e-3.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20.04.2026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Блок 2. Эксперимент с переносом весов. Греки модели с перенесённым W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Разработка _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crr_american_put_fixed_W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btnet_american_greeks_fixed_W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для анализа чувствительностей при фиксированном фильтре W. Сравнение греков аналитической и перенесённой моделей. Вывод: отклонение W на 0.004 искажает Delta на MAE около 8e-3. Оформление ноутбука btnn-bs-torch-v</w:t>
            </w:r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4.ipynb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21.04.2026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первой главы ВКР. Теоретические основы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Систематизация литературных источников (Шорохов 2024, Black-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Scholes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1973,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Cox-Ross-Rubinstein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1979). Изложение математических основ: биномиальная модель CRR, риск-нейтральное ценообразование, дискретная обратная индукция.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22.04.2026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первой главы ВКР. Задача оптимальной остановки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Описание задачи оптимальной остановки для американских опционов. Математическое обоснование критерия раннего исполнения. Изложение рекуррентного соотношения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V_i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= </w:t>
            </w:r>
            <w:proofErr w:type="spellStart"/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max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(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K-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S_i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exp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(-r*</w:t>
            </w:r>
            <w:proofErr w:type="spellStart"/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)*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(p*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V_up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+ (1-</w:t>
            </w:r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p)*</w:t>
            </w:r>
            <w:proofErr w:type="spellStart"/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V_down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)).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23.04.2026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первой главы ВКР. Нейросетевая эквивалентность CRR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Описание архитектурной эквивалентности CRR и нейронных сетей (Теоремы 1 и 2 Шорохова 2024).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BTNetEuropean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как свёрточная сеть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DenseLayer+n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ConvLayer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).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BTNetAmerican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как сеть с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maxout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-активациями. Оформление математических выкладок и схем.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24.04.2026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первой главы ВКР. Оформление и согласование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Структурирование и вычитка первой главы. Добавление иллюстраций архитектур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BTNetEuropean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BTNetAmerican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 Согласование содержания главы с научным руководителем.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27.04.2026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второй главы ВКР. Описание программного комплекса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Описание пакета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btnn_bs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: архитектуры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BTNetEuropean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DenseLayer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+ n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ConvLayer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BTNetAmerican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DenseLayer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+ n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MaxoutLayer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), инициализация весов согласно Теоремам 1-2. Описание модуля интеграции с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методики бенчмаркинга.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28.04.2026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второй главы ВКР. Чувствительности и эксперимент с переносом весов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Описание вычисления греков (Delta,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Theta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 через </w:t>
            </w:r>
            <w:proofErr w:type="spellStart"/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torch.autograd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Анализ эффекта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=0 у кусочно-линейных сетей. Описание эксперимента с переносом весов European-American и его влияния на чувствительности.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29.04.2026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второй главы ВКР. Анализ результатов. Оформление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Анализ результатов численных экспериментов: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(MAE около 2.8e-4 для аналитической инициализации). Интерпретация ключевых выводов. Оформление второй главы ВКР, подготовка списка литературы.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30.04.2026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Подготовка и сдача отчёта по практике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Финальная вычитка дневника и отчёта по практике. Собеседование с научным руководителем и руководителем практики. Загрузка материалов в систему ТУИС. Сдача дневника и отчёта руководителю практики.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</w:tbl>
    <w:p w:rsidR="00EF3799" w:rsidRDefault="00EF3799">
      <w:pPr>
        <w:pStyle w:val="Heading1"/>
        <w:spacing w:after="280"/>
        <w:rPr>
          <w:sz w:val="28"/>
          <w:szCs w:val="28"/>
          <w:highlight w:val="yellow"/>
          <w:lang w:val="en-US"/>
        </w:rPr>
      </w:pPr>
      <w:bookmarkStart w:id="15" w:name="_Toc158643492"/>
    </w:p>
    <w:p w:rsidR="00EF3799" w:rsidRDefault="00EF3799">
      <w:pPr>
        <w:pStyle w:val="Heading1"/>
        <w:spacing w:after="280"/>
        <w:rPr>
          <w:sz w:val="28"/>
          <w:szCs w:val="28"/>
          <w:highlight w:val="yellow"/>
          <w:lang w:val="en-US"/>
        </w:rPr>
      </w:pPr>
    </w:p>
    <w:p w:rsidR="00EF3799" w:rsidRDefault="00EF3799">
      <w:pPr>
        <w:pStyle w:val="Heading1"/>
        <w:spacing w:after="280"/>
        <w:rPr>
          <w:sz w:val="28"/>
          <w:szCs w:val="28"/>
          <w:highlight w:val="yellow"/>
          <w:lang w:val="en-US"/>
        </w:rPr>
      </w:pPr>
    </w:p>
    <w:p w:rsidR="00EF3799" w:rsidRDefault="00EF3799">
      <w:pPr>
        <w:pStyle w:val="Heading1"/>
        <w:spacing w:after="280"/>
        <w:rPr>
          <w:sz w:val="28"/>
          <w:szCs w:val="28"/>
          <w:highlight w:val="yellow"/>
          <w:lang w:val="en-US"/>
        </w:rPr>
      </w:pPr>
    </w:p>
    <w:p w:rsidR="00EF3799" w:rsidRDefault="00EF3799">
      <w:pPr>
        <w:pStyle w:val="Heading1"/>
        <w:spacing w:after="280"/>
        <w:rPr>
          <w:sz w:val="28"/>
          <w:szCs w:val="28"/>
          <w:highlight w:val="yellow"/>
          <w:lang w:val="en-US"/>
        </w:rPr>
      </w:pPr>
    </w:p>
    <w:p w:rsidR="00F55AD1" w:rsidRDefault="00F55AD1">
      <w:pPr>
        <w:pStyle w:val="Heading1"/>
        <w:spacing w:after="280"/>
        <w:rPr>
          <w:sz w:val="28"/>
          <w:szCs w:val="28"/>
          <w:highlight w:val="yellow"/>
          <w:lang w:val="en-US"/>
        </w:rPr>
      </w:pPr>
    </w:p>
    <w:p w:rsidR="00F55AD1" w:rsidRDefault="00F55AD1">
      <w:pPr>
        <w:pStyle w:val="Heading1"/>
        <w:spacing w:after="280"/>
        <w:rPr>
          <w:sz w:val="28"/>
          <w:szCs w:val="28"/>
          <w:highlight w:val="yellow"/>
          <w:lang w:val="en-US"/>
        </w:rPr>
      </w:pPr>
    </w:p>
    <w:p w:rsidR="00F55AD1" w:rsidRDefault="00F55AD1">
      <w:pPr>
        <w:pStyle w:val="Heading1"/>
        <w:spacing w:after="280"/>
        <w:rPr>
          <w:sz w:val="28"/>
          <w:szCs w:val="28"/>
          <w:highlight w:val="yellow"/>
          <w:lang w:val="en-US"/>
        </w:rPr>
      </w:pPr>
    </w:p>
    <w:p w:rsidR="00F55AD1" w:rsidRDefault="00F55AD1">
      <w:pPr>
        <w:pStyle w:val="Heading1"/>
        <w:spacing w:after="280"/>
        <w:rPr>
          <w:sz w:val="28"/>
          <w:szCs w:val="28"/>
          <w:highlight w:val="yellow"/>
          <w:lang w:val="en-US"/>
        </w:rPr>
      </w:pPr>
    </w:p>
    <w:p w:rsidR="00F55AD1" w:rsidRDefault="00F55AD1">
      <w:pPr>
        <w:pStyle w:val="Heading1"/>
        <w:spacing w:after="280"/>
        <w:rPr>
          <w:sz w:val="28"/>
          <w:szCs w:val="28"/>
          <w:highlight w:val="yellow"/>
          <w:lang w:val="en-US"/>
        </w:rPr>
      </w:pPr>
    </w:p>
    <w:p w:rsidR="00F55AD1" w:rsidRDefault="00F55AD1">
      <w:pPr>
        <w:pStyle w:val="Heading1"/>
        <w:spacing w:after="280"/>
        <w:rPr>
          <w:sz w:val="28"/>
          <w:szCs w:val="28"/>
          <w:highlight w:val="yellow"/>
          <w:lang w:val="en-US"/>
        </w:rPr>
      </w:pPr>
    </w:p>
    <w:p w:rsidR="00F55AD1" w:rsidRDefault="00F55AD1">
      <w:pPr>
        <w:pStyle w:val="Heading1"/>
        <w:spacing w:after="280"/>
        <w:rPr>
          <w:sz w:val="28"/>
          <w:szCs w:val="28"/>
          <w:highlight w:val="yellow"/>
          <w:lang w:val="en-US"/>
        </w:rPr>
      </w:pPr>
    </w:p>
    <w:p w:rsidR="004228CD" w:rsidRPr="00F55AD1" w:rsidRDefault="00000000">
      <w:pPr>
        <w:pStyle w:val="Heading1"/>
        <w:spacing w:after="280"/>
        <w:rPr>
          <w:sz w:val="32"/>
          <w:szCs w:val="32"/>
        </w:rPr>
      </w:pPr>
      <w:r w:rsidRPr="00F55AD1">
        <w:rPr>
          <w:sz w:val="32"/>
          <w:szCs w:val="32"/>
        </w:rPr>
        <w:lastRenderedPageBreak/>
        <w:t>Основная часть</w:t>
      </w:r>
      <w:bookmarkEnd w:id="15"/>
    </w:p>
    <w:p w:rsidR="004228CD" w:rsidRPr="00DF3703" w:rsidRDefault="00000000">
      <w:pPr>
        <w:pStyle w:val="Heading2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 xml:space="preserve">1. Интеграция библиотеки </w:t>
      </w:r>
      <w:proofErr w:type="spellStart"/>
      <w:r w:rsidRPr="00DF3703">
        <w:rPr>
          <w:rFonts w:ascii="Times New Roman" w:hAnsi="Times New Roman" w:cs="Times New Roman"/>
        </w:rPr>
        <w:t>QuantLib</w:t>
      </w:r>
      <w:proofErr w:type="spellEnd"/>
      <w:r w:rsidRPr="00DF3703">
        <w:rPr>
          <w:rFonts w:ascii="Times New Roman" w:hAnsi="Times New Roman" w:cs="Times New Roman"/>
        </w:rPr>
        <w:t xml:space="preserve"> с программным комплексом </w:t>
      </w:r>
      <w:proofErr w:type="spellStart"/>
      <w:r w:rsidRPr="00DF3703">
        <w:rPr>
          <w:rFonts w:ascii="Times New Roman" w:hAnsi="Times New Roman" w:cs="Times New Roman"/>
        </w:rPr>
        <w:t>BTNet</w:t>
      </w:r>
      <w:proofErr w:type="spellEnd"/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 xml:space="preserve">1.1. Описание программного комплекса </w:t>
      </w:r>
      <w:proofErr w:type="spellStart"/>
      <w:r w:rsidRPr="00DF3703">
        <w:rPr>
          <w:rFonts w:ascii="Times New Roman" w:hAnsi="Times New Roman" w:cs="Times New Roman"/>
        </w:rPr>
        <w:t>BTNet</w:t>
      </w:r>
      <w:proofErr w:type="spellEnd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Объектом исследования в рамках преддипломной практики является программный комплекс BTNet — нейросетевая архитектура, математически эквивалентная биномиальному дереву Кокса–Росса–Рубинштейна (CRR) [2]. Эквивалентность установлена теоремами Шорохова (2024) [1].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Теорема 1 (европейский пут): прямой проход сети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, состоящей из одного плотного слоя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DenseLayer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и n свёрточных слоёв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ConvLayer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), при аналитической инициализации весов точно воспроизводит прямую индукцию CRR-дерева для европейского пут-опциона.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Теорема 2 (американский пут): прямой проход сети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BTNetAmerican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, содержащей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DenseLayer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и n слоёв с активациями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maxout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, при аналитической инициализации точно воспроизводит обратную индукцию с учётом условия раннего исполнения.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Веса аналитически инициализируются из параметров CRR: коэффициенты u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σ√Δt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), d = 1/u и риск-нейтральная вероятность p =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rΔt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− d)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/(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 xml:space="preserve">u − d), где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Δt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T/n. В экспериментах использовалась архитектура с n = 9 слоями; параметры тестовой задачи: S₀ = 0.5, σ = 0.25, r = 0.05, T = 1 (обучающая выборка — 200 точек, тестовая сетка — 100 точек).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 xml:space="preserve">1.2. Настройка среды и подключение библиотеки </w:t>
      </w:r>
      <w:proofErr w:type="spellStart"/>
      <w:r w:rsidRPr="00DF3703">
        <w:rPr>
          <w:rFonts w:ascii="Times New Roman" w:hAnsi="Times New Roman" w:cs="Times New Roman"/>
        </w:rPr>
        <w:t>QuantLib</w:t>
      </w:r>
      <w:proofErr w:type="spellEnd"/>
    </w:p>
    <w:p w:rsidR="004228CD" w:rsidRPr="00DF3703" w:rsidRDefault="004228CD">
      <w:pPr>
        <w:rPr>
          <w:rFonts w:ascii="Times New Roman" w:hAnsi="Times New Roman" w:cs="Times New Roman"/>
          <w:sz w:val="28"/>
          <w:szCs w:val="28"/>
        </w:rPr>
      </w:pP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SimpleQuote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объект котирования рыночного параметра, поддерживающий динамическое обновление значения;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FlatForward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плоская кривая безрисковой доходности;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BlackScholesMertonProcess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стохастический процесс БШМ, объединяющий цену актива, дивидендную доходность, безрисковую ставку и волатильность.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Реализованный модуль интеграции — btnn_bs/quantlib.py [10].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>1.3. Реализация функций прайсинга опционов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Для бенчмаркинга результатов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реализованы три функции вычисления цен на сетке из 100 значений S₀ при фиксированных K = 1.0, σ = 0.25, r = 0.05, T = 1: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1. european_put_grid — цены европейского пута через AnalyticEuropeanEngine (замкнутая формула Блэка–Шоулса [3]). Результаты верифицированы относительно аналитических BS-формул.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american_put_grid_crr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цены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BinomialVanillaEngine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CRR-схемой (500 шагов). Анализ сходимости показал устойчивость результата при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steps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≥ 300; значение при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steps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500 принято в качестве эталона.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3. american_put_grid_baw — цены через BaroneAdesiWhaleyApproximationEngine — аналитическое приближение Barone–Adesi–Whaley [4]. </w:t>
      </w:r>
      <w:r w:rsidRPr="003678DE">
        <w:rPr>
          <w:rFonts w:ascii="Times New Roman" w:hAnsi="Times New Roman" w:cs="Times New Roman"/>
          <w:sz w:val="28"/>
          <w:szCs w:val="28"/>
        </w:rPr>
        <w:t xml:space="preserve">Метод обеспечивает скорость, сопоставимую с аналитической формулой, при точности, близкой к результатам полного дерева 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>CRR</w:t>
      </w:r>
      <w:r w:rsidRPr="003678DE">
        <w:rPr>
          <w:rFonts w:ascii="Times New Roman" w:hAnsi="Times New Roman" w:cs="Times New Roman"/>
          <w:sz w:val="28"/>
          <w:szCs w:val="28"/>
        </w:rPr>
        <w:t>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>1.4. Сравнительный анализ точности методов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По итогам Блока 1 проведён сравнительный анализ точности прайсинга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относительно эталонных методов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. В таблице 1 приведены метрики ошибок для аналитической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Analytical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W) и перенесённой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Transferred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W) инициализаций весов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BTNetAmerican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относительно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BinomialVanillaEngine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CRR (500 шагов).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Таблица 1 — Ошибки прайсинга американского пут-опциона: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CRR (500 шагов)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9"/>
        <w:gridCol w:w="2275"/>
        <w:gridCol w:w="2322"/>
        <w:gridCol w:w="2071"/>
      </w:tblGrid>
      <w:tr w:rsidR="00DF3703" w:rsidRPr="00DF3703" w:rsidTr="00DF3703">
        <w:tc>
          <w:tcPr>
            <w:tcW w:w="3469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Вариант инициализации</w:t>
            </w:r>
          </w:p>
        </w:tc>
        <w:tc>
          <w:tcPr>
            <w:tcW w:w="2275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2322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RMSE</w:t>
            </w:r>
          </w:p>
        </w:tc>
        <w:tc>
          <w:tcPr>
            <w:tcW w:w="2071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max|err</w:t>
            </w:r>
            <w:proofErr w:type="spellEnd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|</w:t>
            </w:r>
          </w:p>
        </w:tc>
      </w:tr>
      <w:tr w:rsidR="00DF3703" w:rsidRPr="00DF3703" w:rsidTr="00DF3703">
        <w:tc>
          <w:tcPr>
            <w:tcW w:w="3469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Analytical</w:t>
            </w:r>
            <w:proofErr w:type="spellEnd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 xml:space="preserve"> W</w:t>
            </w:r>
          </w:p>
        </w:tc>
        <w:tc>
          <w:tcPr>
            <w:tcW w:w="2275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2.84·10⁻⁴</w:t>
            </w:r>
          </w:p>
        </w:tc>
        <w:tc>
          <w:tcPr>
            <w:tcW w:w="2322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4.06·10⁻⁴</w:t>
            </w:r>
          </w:p>
        </w:tc>
        <w:tc>
          <w:tcPr>
            <w:tcW w:w="2071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1.10·10⁻³</w:t>
            </w:r>
          </w:p>
        </w:tc>
      </w:tr>
      <w:tr w:rsidR="00DF3703" w:rsidRPr="00DF3703" w:rsidTr="00DF3703">
        <w:tc>
          <w:tcPr>
            <w:tcW w:w="3469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Transferred</w:t>
            </w:r>
            <w:proofErr w:type="spellEnd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 xml:space="preserve"> W</w:t>
            </w:r>
          </w:p>
        </w:tc>
        <w:tc>
          <w:tcPr>
            <w:tcW w:w="2275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4.38·10⁻⁴</w:t>
            </w:r>
          </w:p>
        </w:tc>
        <w:tc>
          <w:tcPr>
            <w:tcW w:w="2322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6.81·10⁻⁴</w:t>
            </w:r>
          </w:p>
        </w:tc>
        <w:tc>
          <w:tcPr>
            <w:tcW w:w="2071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1.71·10⁻³</w:t>
            </w:r>
          </w:p>
        </w:tc>
      </w:tr>
    </w:tbl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Аналитическая инициализация BTNet демонстрирует ошибку прайсинга MAE = 2.84·10⁻⁴, что сопоставимо с численной погрешностью самого метода CRR. Перенос обученных весов европейской модели ухудшает точность приблизительно в 1.5 раза, однако ошибка остаётся на уровне ниже 10⁻³. Результаты визуализированы в ноутбуке btnn-bs-torch-v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4.ipynb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 xml:space="preserve"> с помощью функций plot_prices_with_quantlib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plot_errors_vs_quantlib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[10], [13].</w:t>
      </w:r>
    </w:p>
    <w:p w:rsidR="004228CD" w:rsidRPr="00DF3703" w:rsidRDefault="00000000">
      <w:pPr>
        <w:pStyle w:val="Heading2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>2. Вычисление чувствительностей опционов через автоматическое дифференцирование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>2.1. Реализация чувствительностей европейского пут-опциона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На втором этапе (14.04–15.04.2026) был разработан дифференцируемый вычислительный граф прохода CRR для европейского пута. Ключевое отличие от классической реализации состоит в том, что все рыночные параметры (S₀, σ, r, T) передаются как тензоры PyTorch [11] с флагом requires_grad=True, что позволяет применить механизм автоматического дифференцирования.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Реализованные чувствительности (греки):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Delta (Δ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₀) — первая производная цены по цене базового актива;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(Γ = d²V/dS₀²) — вторая производная, вычисляется через </w:t>
      </w:r>
      <w:proofErr w:type="spellStart"/>
      <w:proofErr w:type="gramStart"/>
      <w:r w:rsidRPr="00DF3703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create_graph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=True;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(ν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dσ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— производная цены по волатильности;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(Θ = –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— производная цены по времени.</w:t>
      </w:r>
    </w:p>
    <w:p w:rsidR="004228CD" w:rsidRPr="00DF3703" w:rsidRDefault="00000000">
      <w:pPr>
        <w:rPr>
          <w:sz w:val="28"/>
          <w:szCs w:val="28"/>
        </w:rPr>
      </w:pPr>
      <w:r w:rsidRPr="00DF3703">
        <w:rPr>
          <w:sz w:val="28"/>
          <w:szCs w:val="28"/>
        </w:rPr>
        <w:lastRenderedPageBreak/>
        <w:t xml:space="preserve">Все четыре грека объединены в функции </w:t>
      </w:r>
      <w:proofErr w:type="spellStart"/>
      <w:r w:rsidRPr="00DF3703">
        <w:rPr>
          <w:sz w:val="28"/>
          <w:szCs w:val="28"/>
        </w:rPr>
        <w:t>btnet_greeks</w:t>
      </w:r>
      <w:proofErr w:type="spellEnd"/>
      <w:r w:rsidRPr="00DF3703">
        <w:rPr>
          <w:sz w:val="28"/>
          <w:szCs w:val="28"/>
        </w:rPr>
        <w:t>. Верификация проводилась относительно аналитических формул Блэка–</w:t>
      </w:r>
      <w:proofErr w:type="spellStart"/>
      <w:r w:rsidRPr="00DF3703">
        <w:rPr>
          <w:sz w:val="28"/>
          <w:szCs w:val="28"/>
        </w:rPr>
        <w:t>Шоулса</w:t>
      </w:r>
      <w:proofErr w:type="spellEnd"/>
      <w:r w:rsidRPr="00DF3703">
        <w:rPr>
          <w:sz w:val="28"/>
          <w:szCs w:val="28"/>
        </w:rPr>
        <w:t xml:space="preserve"> (</w:t>
      </w:r>
      <w:proofErr w:type="spellStart"/>
      <w:r w:rsidRPr="00DF3703">
        <w:rPr>
          <w:sz w:val="28"/>
          <w:szCs w:val="28"/>
        </w:rPr>
        <w:t>bs_greeks</w:t>
      </w:r>
      <w:proofErr w:type="spellEnd"/>
      <w:r w:rsidRPr="00DF3703">
        <w:rPr>
          <w:sz w:val="28"/>
          <w:szCs w:val="28"/>
        </w:rPr>
        <w:t xml:space="preserve">): отклонения Delta и </w:t>
      </w:r>
      <w:proofErr w:type="spellStart"/>
      <w:r w:rsidRPr="00DF3703">
        <w:rPr>
          <w:sz w:val="28"/>
          <w:szCs w:val="28"/>
        </w:rPr>
        <w:t>Vega</w:t>
      </w:r>
      <w:proofErr w:type="spellEnd"/>
      <w:r w:rsidRPr="00DF3703">
        <w:rPr>
          <w:sz w:val="28"/>
          <w:szCs w:val="28"/>
        </w:rPr>
        <w:t xml:space="preserve"> составили менее 1·10⁻⁴ на тестовой сетке параметров.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 xml:space="preserve">2.2. Эффект </w:t>
      </w:r>
      <w:proofErr w:type="spellStart"/>
      <w:r w:rsidRPr="00DF3703">
        <w:rPr>
          <w:rFonts w:ascii="Times New Roman" w:hAnsi="Times New Roman" w:cs="Times New Roman"/>
        </w:rPr>
        <w:t>Gamma</w:t>
      </w:r>
      <w:proofErr w:type="spellEnd"/>
      <w:r w:rsidRPr="00DF3703">
        <w:rPr>
          <w:rFonts w:ascii="Times New Roman" w:hAnsi="Times New Roman" w:cs="Times New Roman"/>
        </w:rPr>
        <w:t xml:space="preserve"> = 0 у кусочно-линейных нейронных сетей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В ходе анализа был выявлен и задокументирован принципиальный эффект, обусловленный архитектурой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. Поскольку сеть использует функции активации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, она является кусочно-линейной функцией от S₀. Следовательно, вторая производная d²V/dS₀² равна нулю почти всюду — между точками излома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вторая производная тождественно равна нулю, а в самих точках излома она не определена. Это означает, что вычисление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proofErr w:type="gramStart"/>
      <w:r w:rsidRPr="00DF3703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дает результат, идентичный нулю.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Данное ограничение является фундаментальным свойством архитектур с кусочно-линейными активациями [6] (ReLU, Leaky ReLU) и документировано в ноутбуке btnn-bs-torch-v4.ipynb. Потенциальное решение — замена ReLU на гладкие функции активации (SiLU, GELU, ELU), однако это нарушило бы точную эквивалентность с CRR-деревом, установленную теоремами Шорохова.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>2.3. Реализация чувствительностей американского пут-опциона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На основе разработанного в Блоке 2 дифференцируемого прохода (16.04–17.04.2026) была реализована функция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btnet_american_greeks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для вычисления греков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. В отличие от европейского случая, обратная индукция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включает операцию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для учёта условия раннего исполнения, что требует аккуратного управления индексами времени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time_idx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n − 1 − i).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Для верификации результатов реализована функция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american_greeks_fd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на основе центральных конечных разностей. В таблице 2 приведены метрики ошибок для каждого грека.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Таблица 2 — Ошибки греков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autograd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центральные конечные разности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Грек      MAE         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max|diff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|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Delta     7.92·10⁻³   9.25·10⁻²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    0            0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     3.31·10⁻³   3.65·10⁻²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    4.13·10⁻⁴   4.57·10⁻³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Расхождение между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autograd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-оценками и конечными разностями для Delta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объясняется кусочно-линейностью сети (эффект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0, раздел 2.2).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демонстрирует наилучшее совпадение ввиду гладкости зависимости по временному параметру.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равна нулю для обоих методов по той же причине.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lastRenderedPageBreak/>
        <w:t>2.4. Эксперимент с переносом весов European → American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На этапе 20.04.2026 был проведён эксперимент по исследованию влияния переноса весов, обученных на европейской модели, на качество чувствительностей американской. Аналитические и перенесённые веса сравниваются следующим образом: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Analytical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W: [0.4847, 0.5097]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Transferred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W: [0.4889, 0.5063]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Отклонение ΔW: [+0.0042, −0.0034]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Для анализа чувствительностей при фиксированном весовом фильтре W реализованы функции _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crr_american_put_fixed_W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btnet_american_greeks_fixed_W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. Различие в сумме весов: аналитическая сумма W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(−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rΔt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= 0.9944, перенесённая — 0.9952. В таблице 3 представлены метрики расхождения чувствительностей между двумя вариантами весов.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Таблица 3 — Влияние переноса весов на чувствительности: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Analytical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Transferred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Грек      MAE         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max|diff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|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Delta     7.92·10⁻³   9.25·10⁻²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    0            0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     3.31·10⁻³   3.65·10⁻²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    4.13·10⁻⁴   4.57·10⁻³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Результаты показывают, что отклонение весового фильтра на ΔW ≈ 0.004 приводит к искажению Delta на MAE ≈ 7.9·10⁻³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на MAE ≈ 3.3·10⁻³. Это свидетельствует о чувствительности греков второго порядка к точности инициализации весов, что является важным практическим выводом при применении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весами, полученными в процессе обучения, а не из аналитической формулы. Полученные результаты оформлены в ноутбуке btnn-bs-torch-v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4.ipynb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</w:t>
      </w:r>
    </w:p>
    <w:p w:rsidR="004228CD" w:rsidRPr="00DF3703" w:rsidRDefault="00000000">
      <w:pPr>
        <w:pStyle w:val="Heading2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>3. Работа над выпускной квалификационной работой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>3.1. Написание первой главы ВКР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В период с 21 по 24 апреля 2026 г. велась работа по написанию первой главы ВКР «Оценка американских опционов нейронной сети на основе биномиального дерева». Первая глава включает следующие разделы.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Биномиальная модель CRR. Изложены математические основы модели Кокса–Росса–Рубинштейна [2], [4]: коэффициенты роста u = exp(σ√Δt) и убывания d = 1/u; риск-нейтральная вероятность p = (exp(rΔt) − d)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/(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u − d); дисконтированная обратная индукция для вычисления цены опциона в терминальных и промежуточных узлах дерева.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lastRenderedPageBreak/>
        <w:t>Задача оптимальной остановки для американских опционов. Описан критерий раннего исполнения и рекуррентное соотношение для американского пут-опциона: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F3703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DF3703">
        <w:rPr>
          <w:rFonts w:ascii="Times New Roman" w:hAnsi="Times New Roman" w:cs="Times New Roman"/>
          <w:sz w:val="28"/>
          <w:szCs w:val="28"/>
        </w:rPr>
        <w:t>ᵢ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DF3703">
        <w:rPr>
          <w:rFonts w:ascii="Times New Roman" w:hAnsi="Times New Roman" w:cs="Times New Roman"/>
          <w:sz w:val="28"/>
          <w:szCs w:val="28"/>
          <w:lang w:val="en-US"/>
        </w:rPr>
        <w:t>max(</w:t>
      </w:r>
      <w:proofErr w:type="gramEnd"/>
      <w:r w:rsidRPr="00DF3703">
        <w:rPr>
          <w:rFonts w:ascii="Times New Roman" w:hAnsi="Times New Roman" w:cs="Times New Roman"/>
          <w:sz w:val="28"/>
          <w:szCs w:val="28"/>
          <w:lang w:val="en-US"/>
        </w:rPr>
        <w:t>K − S</w:t>
      </w:r>
      <w:r w:rsidRPr="00DF3703">
        <w:rPr>
          <w:rFonts w:ascii="Times New Roman" w:hAnsi="Times New Roman" w:cs="Times New Roman"/>
          <w:sz w:val="28"/>
          <w:szCs w:val="28"/>
        </w:rPr>
        <w:t>ᵢ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>, exp(−r</w:t>
      </w:r>
      <w:r w:rsidRPr="00DF3703">
        <w:rPr>
          <w:rFonts w:ascii="Times New Roman" w:hAnsi="Times New Roman" w:cs="Times New Roman"/>
          <w:sz w:val="28"/>
          <w:szCs w:val="28"/>
        </w:rPr>
        <w:t>Δ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 xml:space="preserve">t) · (p · </w:t>
      </w:r>
      <w:proofErr w:type="spellStart"/>
      <w:r w:rsidRPr="00DF3703">
        <w:rPr>
          <w:rFonts w:ascii="Times New Roman" w:hAnsi="Times New Roman" w:cs="Times New Roman"/>
          <w:sz w:val="28"/>
          <w:szCs w:val="28"/>
          <w:lang w:val="en-US"/>
        </w:rPr>
        <w:t>V_up</w:t>
      </w:r>
      <w:proofErr w:type="spellEnd"/>
      <w:r w:rsidRPr="00DF3703">
        <w:rPr>
          <w:rFonts w:ascii="Times New Roman" w:hAnsi="Times New Roman" w:cs="Times New Roman"/>
          <w:sz w:val="28"/>
          <w:szCs w:val="28"/>
          <w:lang w:val="en-US"/>
        </w:rPr>
        <w:t xml:space="preserve"> + (1 − p) · </w:t>
      </w:r>
      <w:proofErr w:type="spellStart"/>
      <w:r w:rsidRPr="00DF3703">
        <w:rPr>
          <w:rFonts w:ascii="Times New Roman" w:hAnsi="Times New Roman" w:cs="Times New Roman"/>
          <w:sz w:val="28"/>
          <w:szCs w:val="28"/>
          <w:lang w:val="en-US"/>
        </w:rPr>
        <w:t>V_down</w:t>
      </w:r>
      <w:proofErr w:type="spellEnd"/>
      <w:r w:rsidRPr="00DF3703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Нейросетевая эквивалентность биномиального дерева. Изложено содержание Теорем 1 и 2 из работы Шорохова (2024) [1]: формальное доказательство эквивалентности архитектур BTNetEuropean и BTNetAmerican биномиальному дереву CRR при аналитической инициализации весов. Включены схемы обеих архитектур; материал согласован с научным руководителем.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>3.2. Написание второй главы ВКР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В период с 27 по 29 апреля 2026 г. написана вторая глава ВКР, охватывающая следующие аспекты: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Описание пакета btnn_bs: архитектуры BTNetEuropean (DenseLayer + n ConvLayer) и BTNetAmerican (DenseLayer + n MaxoutLayer), процедура аналитической инициализации весов согласно Теоремам 1–2 [1].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Описание методики бенчмаркинга с использованием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: функции прайсинга, метрики оценки качества (MAE, RMSE,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max|err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|).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Описание методики вычисления греков через </w:t>
      </w:r>
      <w:proofErr w:type="spellStart"/>
      <w:proofErr w:type="gramStart"/>
      <w:r w:rsidRPr="00DF3703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; анализ эффекта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0.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Описание и анализ эксперимента с переносом весов European → American.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Итоговый анализ численных результатов: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BTNetAmerican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аналитической инициализацией обеспечивает MAE = 2.84·10⁻⁴ относительно эталона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CRR (500 шагов), что подтверждает корректность теоретической эквивалентности на практике.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По завершении главы сформирован список литературы; оформление согласовано с научным руководителем.</w:t>
      </w:r>
    </w:p>
    <w:p w:rsidR="004228CD" w:rsidRPr="00DF3703" w:rsidRDefault="00000000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F3703">
        <w:rPr>
          <w:rFonts w:ascii="Times New Roman" w:hAnsi="Times New Roman" w:cs="Times New Roman"/>
          <w:sz w:val="28"/>
          <w:szCs w:val="28"/>
        </w:rPr>
        <w:br w:type="page" w:clear="all"/>
      </w:r>
    </w:p>
    <w:p w:rsidR="004228CD" w:rsidRPr="00DF3703" w:rsidRDefault="00000000">
      <w:pPr>
        <w:pStyle w:val="Heading1"/>
        <w:spacing w:after="280"/>
        <w:rPr>
          <w:sz w:val="32"/>
          <w:szCs w:val="32"/>
        </w:rPr>
      </w:pPr>
      <w:bookmarkStart w:id="16" w:name="_Toc158643493"/>
      <w:r w:rsidRPr="00DF3703">
        <w:rPr>
          <w:sz w:val="32"/>
          <w:szCs w:val="32"/>
        </w:rPr>
        <w:lastRenderedPageBreak/>
        <w:t>Заключение</w:t>
      </w:r>
      <w:bookmarkEnd w:id="16"/>
    </w:p>
    <w:p w:rsidR="004228CD" w:rsidRDefault="0000000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период практики, которая осуществлялась в </w:t>
      </w:r>
      <w:r w:rsidRPr="00EF3799">
        <w:rPr>
          <w:rFonts w:ascii="Times New Roman" w:hAnsi="Times New Roman" w:cs="Times New Roman"/>
          <w:sz w:val="26"/>
          <w:szCs w:val="26"/>
        </w:rPr>
        <w:t>Научном центре вычислительных методов и моделирования киберфизических систем РУДН</w:t>
      </w:r>
      <w:r>
        <w:rPr>
          <w:rFonts w:ascii="Times New Roman" w:hAnsi="Times New Roman" w:cs="Times New Roman"/>
          <w:sz w:val="28"/>
          <w:szCs w:val="28"/>
        </w:rPr>
        <w:t xml:space="preserve">, были достигнуты все цели и решены все поставленные задачи, определенные в программе </w:t>
      </w:r>
      <w:r w:rsidRPr="00EF3799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EF3799">
        <w:rPr>
          <w:rFonts w:ascii="Times New Roman" w:hAnsi="Times New Roman" w:cs="Times New Roman"/>
          <w:sz w:val="28"/>
          <w:szCs w:val="28"/>
        </w:rPr>
        <w:t>преддипмолной</w:t>
      </w:r>
      <w:proofErr w:type="spellEnd"/>
      <w:r w:rsidRPr="00EF3799">
        <w:rPr>
          <w:rFonts w:ascii="Times New Roman" w:hAnsi="Times New Roman" w:cs="Times New Roman"/>
          <w:sz w:val="28"/>
          <w:szCs w:val="28"/>
        </w:rPr>
        <w:t xml:space="preserve"> практики</w:t>
      </w:r>
      <w:r>
        <w:rPr>
          <w:rFonts w:ascii="Times New Roman" w:hAnsi="Times New Roman" w:cs="Times New Roman"/>
          <w:sz w:val="28"/>
          <w:szCs w:val="28"/>
        </w:rPr>
        <w:t xml:space="preserve"> направления подготовки </w:t>
      </w:r>
      <w:r w:rsidRPr="00EF3799">
        <w:rPr>
          <w:rFonts w:ascii="Times New Roman" w:hAnsi="Times New Roman" w:cs="Times New Roman"/>
          <w:sz w:val="28"/>
          <w:szCs w:val="28"/>
        </w:rPr>
        <w:t>02.03.01 «Математика и компьютерные науки», специализация «Математика и компьютерные науки»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228CD" w:rsidRDefault="0000000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При прохождении практики я разобрался с научной терминологией области исследований; научился осуществлять сбор, анализ и обработку данных, необходимых для решения профессиональных задач; собирать, обрабатывать и интерпретировать данные современных научных исследований, необходимые для формирования выводов по соответствующим научным исследованиям; осуществлять целенаправленный поиск информации о новейших научных и технологических достижениях в сети Интернет и из других источников; строить и анализировать математические модели объекта исследований; разрабатывать и отлаживать вспомогательные программные комплексы; проводить численный эксперимент; оформлять результаты своих исследований. Также я о</w:t>
      </w:r>
      <w:r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владел </w:t>
      </w:r>
      <w:r>
        <w:rPr>
          <w:rFonts w:ascii="Times New Roman" w:hAnsi="Times New Roman" w:cs="Times New Roman"/>
          <w:sz w:val="28"/>
          <w:szCs w:val="28"/>
          <w:highlight w:val="yellow"/>
        </w:rPr>
        <w:t>необходимым математическим и программным аппаратом исследований; навыками математического моделирования, применения численных методов для выполнения необходимых расчетов и получения численных оценок по теме исследований.</w:t>
      </w:r>
    </w:p>
    <w:p w:rsidR="004228CD" w:rsidRDefault="00000000">
      <w:pPr>
        <w:spacing w:after="0" w:line="360" w:lineRule="auto"/>
        <w:ind w:firstLine="567"/>
        <w:jc w:val="both"/>
        <w:rPr>
          <w:rFonts w:ascii="Times New Roman" w:hAnsi="Times New Roman" w:cs="Times New Roman"/>
          <w:spacing w:val="-3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прохождения данной практики мной были получены следующие практические навыки, умения, универсальные и </w:t>
      </w:r>
      <w:r>
        <w:rPr>
          <w:rFonts w:ascii="Times New Roman" w:hAnsi="Times New Roman" w:cs="Times New Roman"/>
          <w:spacing w:val="-3"/>
          <w:sz w:val="28"/>
          <w:szCs w:val="28"/>
        </w:rPr>
        <w:t>профессиональные компетенции:</w:t>
      </w:r>
    </w:p>
    <w:p w:rsidR="004228CD" w:rsidRDefault="0000000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способностью к самоорганизации и к самообразованию;</w:t>
      </w:r>
    </w:p>
    <w:p w:rsidR="004228CD" w:rsidRDefault="0000000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способностью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безопасности;</w:t>
      </w:r>
    </w:p>
    <w:p w:rsidR="004228CD" w:rsidRDefault="0000000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способностью к самостоятельной научно-исследовательской работе;</w:t>
      </w:r>
    </w:p>
    <w:p w:rsidR="004228CD" w:rsidRDefault="0000000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 xml:space="preserve">способностью находить, анализировать, реализовывать </w:t>
      </w:r>
      <w:proofErr w:type="spellStart"/>
      <w:r>
        <w:rPr>
          <w:rFonts w:ascii="Times New Roman" w:hAnsi="Times New Roman" w:cs="Times New Roman"/>
          <w:sz w:val="28"/>
          <w:szCs w:val="28"/>
          <w:highlight w:val="yellow"/>
        </w:rPr>
        <w:t>программно</w:t>
      </w:r>
      <w:proofErr w:type="spellEnd"/>
      <w:r>
        <w:rPr>
          <w:rFonts w:ascii="Times New Roman" w:hAnsi="Times New Roman" w:cs="Times New Roman"/>
          <w:sz w:val="28"/>
          <w:szCs w:val="28"/>
          <w:highlight w:val="yellow"/>
        </w:rPr>
        <w:t xml:space="preserve"> и использовать на практике математические алгоритмы, в том числе с применением современных вычислительных систем;</w:t>
      </w:r>
    </w:p>
    <w:p w:rsidR="004228CD" w:rsidRDefault="0000000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способностью к определению общих форм и закономерностей отдельной предметной области;</w:t>
      </w:r>
    </w:p>
    <w:p w:rsidR="004228CD" w:rsidRDefault="0000000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способностью математически корректно ставить естественнонаучные задачи, знание постановок классических задач математики;</w:t>
      </w:r>
    </w:p>
    <w:p w:rsidR="004228CD" w:rsidRDefault="0000000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способностью строго доказать утверждение, сформулировать результат, увидеть следствия полученного результата;</w:t>
      </w:r>
    </w:p>
    <w:p w:rsidR="004228CD" w:rsidRDefault="0000000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способностью публично представлять собственные и известные научные результаты;</w:t>
      </w:r>
    </w:p>
    <w:p w:rsidR="004228CD" w:rsidRDefault="0000000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 xml:space="preserve">способностью использовать методы математического и алгоритмического моделирования при решении теоретических и прикладных задач; </w:t>
      </w:r>
    </w:p>
    <w:p w:rsidR="004228CD" w:rsidRDefault="0000000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способностью передавать результат проведенных физико-математических и прикладных исследований в виде конкретных рекомендаций, выраженной в терминах предметной области изучавшегося явления;</w:t>
      </w:r>
    </w:p>
    <w:p w:rsidR="004228CD" w:rsidRDefault="0000000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способностью представлять и адаптировать знания с учетом уровня аудитории;</w:t>
      </w:r>
    </w:p>
    <w:p w:rsidR="004228CD" w:rsidRDefault="0000000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способностью к проведению методических и экспертных работ в области математики.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Выполненные в ходе преддипломной практики работы непосредственно направлены на подготовку выпускной квалификационной работы «Оценка американских опционов нейронной сети на основе биномиального дерева». Реализованный программный комплекс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btnn_bs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, включающий интеграцию с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и модуль вычисления чувствительностей через автоматическое дифференцирование, составит основу программной части ВКР. Полученные результаты численных экспериментов (MAE прайсинга ≈ 2.84·10⁻⁴ для аналитической инициализации) и выявленные закономерности (эффект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0 для кусочно-линейных сетей, влияние точности весов на чувствительности) будут отражены в аналитических разделах ВКР.</w:t>
      </w:r>
    </w:p>
    <w:tbl>
      <w:tblPr>
        <w:tblW w:w="9812" w:type="dxa"/>
        <w:jc w:val="center"/>
        <w:tblLayout w:type="fixed"/>
        <w:tblLook w:val="04A0" w:firstRow="1" w:lastRow="0" w:firstColumn="1" w:lastColumn="0" w:noHBand="0" w:noVBand="1"/>
      </w:tblPr>
      <w:tblGrid>
        <w:gridCol w:w="6091"/>
        <w:gridCol w:w="2834"/>
        <w:gridCol w:w="887"/>
      </w:tblGrid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Критерии оценки, в том числе наличие и соответствие представленных документов требованиям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Максимальное число баллов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jc w:val="center"/>
              <w:rPr>
                <w:rFonts w:ascii="Calibri" w:eastAsia="Calibri" w:hAnsi="Calibri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Факт</w:t>
            </w: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Подпись в подписном листе инструктажа об ознакомлении с инструкцией по безопасности труда и правилам пожарной безопасности при выполнении лабораторных и практических работ.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Pr="00EF3799" w:rsidRDefault="00000000">
            <w:pPr>
              <w:pStyle w:val="a"/>
            </w:pPr>
            <w:r>
              <w:rPr>
                <w:rFonts w:eastAsia="Calibri"/>
                <w:b/>
              </w:rPr>
              <w:t>5</w:t>
            </w:r>
            <w:r>
              <w:rPr>
                <w:rFonts w:eastAsia="Calibri"/>
              </w:rPr>
              <w:t xml:space="preserve"> – если до </w:t>
            </w:r>
            <w:r w:rsidRPr="00EF3799">
              <w:t>06.04.2026</w:t>
            </w:r>
            <w:r>
              <w:rPr>
                <w:rFonts w:eastAsia="Calibri"/>
              </w:rPr>
              <w:t>.</w:t>
            </w:r>
          </w:p>
          <w:p w:rsidR="004228CD" w:rsidRDefault="00422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Недопуск к практике – если позже.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Детализация индивидуального задания, полученного от руководителя практики. Отправка согласованного с научным руководителем задания руководителю практики.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6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10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до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14.04.2026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  <w:p w:rsidR="004228CD" w:rsidRDefault="00422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0-5 – если позже.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Соответствие дневника практики требованиям рабочей программы и ФОС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Соответствие отчета практики требованиям рабочей программы и ФОС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Своевременное представление дневника и отчёта по практике в ТУИС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если до </w:t>
            </w:r>
            <w:r w:rsidRPr="00EF3799">
              <w:rPr>
                <w:rFonts w:ascii="Times New Roman" w:eastAsia="Times New Roman" w:hAnsi="Times New Roman" w:cs="Times New Roman"/>
              </w:rPr>
              <w:t>30.04.2026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4228CD" w:rsidRDefault="00422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Незачет – если позже.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ИТОГО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Тезисы до 3 стр.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2 бонусных балла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Статья свыше 3 стр.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3 бонусных балла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bookmarkStart w:id="17" w:name="_Hlk207552705"/>
            <w:bookmarkEnd w:id="17"/>
          </w:p>
        </w:tc>
      </w:tr>
    </w:tbl>
    <w:p w:rsidR="004228CD" w:rsidRDefault="00000000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br w:type="page" w:clear="all"/>
      </w:r>
    </w:p>
    <w:p w:rsidR="004228CD" w:rsidRPr="00DF3703" w:rsidRDefault="00000000">
      <w:pPr>
        <w:pStyle w:val="Heading1"/>
        <w:spacing w:after="280"/>
        <w:rPr>
          <w:sz w:val="32"/>
          <w:szCs w:val="32"/>
        </w:rPr>
      </w:pPr>
      <w:bookmarkStart w:id="18" w:name="_Toc158643494"/>
      <w:r w:rsidRPr="00DF3703">
        <w:rPr>
          <w:sz w:val="32"/>
          <w:szCs w:val="32"/>
        </w:rPr>
        <w:lastRenderedPageBreak/>
        <w:t>Список источников</w:t>
      </w:r>
      <w:bookmarkEnd w:id="18"/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</w:rPr>
      </w:pPr>
      <w:r w:rsidRPr="003678DE">
        <w:rPr>
          <w:rFonts w:ascii="Times New Roman" w:hAnsi="Times New Roman" w:cs="Times New Roman"/>
          <w:sz w:val="28"/>
          <w:szCs w:val="28"/>
        </w:rPr>
        <w:t>1. Шорохов С.Г. Оценка финансовых деривативов нейронной сетью на основе биномиального дерева // International Journal of Open Information Technologies. — 2024. — Т. 12, № 5. — С. 108–114.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2. Cox J.C., Ross S.A., Rubinstein M. Option pricing: A simplified approach // Journal of Financial Economics. — 1979. — Vol. 7, No. 3. — P. 229–263.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3. Black F., Scholes M. The pricing of options and corporate liabilities // Journal of Political Economy. — 1973. — Vol. 81, No. 3. — P. 637–654.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4. Hull J.C. Options, Futures, and Other Derivatives. — 11th ed. — Pearson, 2021.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5. van der Hoek J., Elliott R.J. Binomial Models in Finance. — New York : Springer, 2006. — 306 p.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6. Kwok Y.K. Mathematical Models of Financial Derivatives. — 2nd ed. — Berlin : Springer, 2008. — 530 p.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 w:rsidRPr="003678DE">
        <w:rPr>
          <w:rFonts w:ascii="Times New Roman" w:hAnsi="Times New Roman" w:cs="Times New Roman"/>
          <w:sz w:val="28"/>
          <w:szCs w:val="28"/>
        </w:rPr>
        <w:t>Лю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3678DE">
        <w:rPr>
          <w:rFonts w:ascii="Times New Roman" w:hAnsi="Times New Roman" w:cs="Times New Roman"/>
          <w:sz w:val="28"/>
          <w:szCs w:val="28"/>
        </w:rPr>
        <w:t>Оостерли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К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3678DE">
        <w:rPr>
          <w:rFonts w:ascii="Times New Roman" w:hAnsi="Times New Roman" w:cs="Times New Roman"/>
          <w:sz w:val="28"/>
          <w:szCs w:val="28"/>
        </w:rPr>
        <w:t>В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3678DE">
        <w:rPr>
          <w:rFonts w:ascii="Times New Roman" w:hAnsi="Times New Roman" w:cs="Times New Roman"/>
          <w:sz w:val="28"/>
          <w:szCs w:val="28"/>
        </w:rPr>
        <w:t>Ботэ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3678DE">
        <w:rPr>
          <w:rFonts w:ascii="Times New Roman" w:hAnsi="Times New Roman" w:cs="Times New Roman"/>
          <w:sz w:val="28"/>
          <w:szCs w:val="28"/>
        </w:rPr>
        <w:t>М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3678DE">
        <w:rPr>
          <w:rFonts w:ascii="Times New Roman" w:hAnsi="Times New Roman" w:cs="Times New Roman"/>
          <w:sz w:val="28"/>
          <w:szCs w:val="28"/>
        </w:rPr>
        <w:t>Оценка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опционов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вычисление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подразумеваемой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волатильности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помощью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нейронных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сетей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= Pricing Options and Computing Implied Volatilities using Neural Networks // Risks. — 2019. — Vol. 7, No. 1. — P. 16. — DOI: 10.3390/risks7010016.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8. Glasserman P. Monte Carlo Methods in Financial Engineering. — New York : Springer, 2003. — XIII, 596 p.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9. Longstaff F.A., Schwartz E.S. Valuing American Options by Simulation: A Simple Least-Squares Approach // The Review of Financial Studies. — 2001. — Vol. 14, No. 1. — P. 113–147.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10. QuantLib Python </w:t>
      </w:r>
      <w:proofErr w:type="gramStart"/>
      <w:r w:rsidRPr="003678DE">
        <w:rPr>
          <w:rFonts w:ascii="Times New Roman" w:hAnsi="Times New Roman" w:cs="Times New Roman"/>
          <w:sz w:val="28"/>
          <w:szCs w:val="28"/>
          <w:lang w:val="en-US"/>
        </w:rPr>
        <w:t>Documentation :</w:t>
      </w:r>
      <w:proofErr w:type="gramEnd"/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документация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— URL: https://quantlib-python-docs.readthedocs.io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11. Paszke A.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др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PyTorch: An Imperative Style, High-Performance Deep Learning Library // Advances in Neural Information Processing Systems 32. — Curran Associates, Inc., 2019. — P. 8024–8035.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12. Virtanen P.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др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SciPy 1.0: Fundamental Algorithms for Scientific Computing in Python // Nature Methods. — 2020. — Vol. 17. — P. 261–272. — DOI: 10.1038/s41592-019-0686-2.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13. Hunter J.D. Matplotlib: A 2D Graphics Environment // Computing in Science &amp; Engineering. — 2007. — Vol. 9, No. 3. — P. 90–95.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14. Kingma D.P., Ba J. Adam: A Method for Stochastic Optimization // Proc. of the 3rd International Conference on Learning Representations (ICLR). — 2015.</w:t>
      </w:r>
    </w:p>
    <w:p w:rsidR="004228CD" w:rsidRPr="00EF3799" w:rsidRDefault="004228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sectPr w:rsidR="004228CD" w:rsidRPr="00EF3799">
      <w:footerReference w:type="even" r:id="rId8"/>
      <w:footerReference w:type="default" r:id="rId9"/>
      <w:footerReference w:type="first" r:id="rId10"/>
      <w:pgSz w:w="11906" w:h="16838"/>
      <w:pgMar w:top="851" w:right="567" w:bottom="851" w:left="1418" w:header="0" w:footer="300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85869" w:rsidRDefault="00885869">
      <w:pPr>
        <w:spacing w:after="0" w:line="240" w:lineRule="auto"/>
      </w:pPr>
      <w:r>
        <w:separator/>
      </w:r>
    </w:p>
  </w:endnote>
  <w:endnote w:type="continuationSeparator" w:id="0">
    <w:p w:rsidR="00885869" w:rsidRDefault="008858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erif">
    <w:altName w:val="Times New Roman"/>
    <w:panose1 w:val="020B0604020202020204"/>
    <w:charset w:val="00"/>
    <w:family w:val="auto"/>
    <w:pitch w:val="default"/>
  </w:font>
  <w:font w:name="DejaVu Sans">
    <w:panose1 w:val="020B0604020202020204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auto"/>
    <w:pitch w:val="default"/>
  </w:font>
  <w:font w:name="Noto Sans CJK SC">
    <w:panose1 w:val="020B0604020202020204"/>
    <w:charset w:val="00"/>
    <w:family w:val="auto"/>
    <w:pitch w:val="default"/>
  </w:font>
  <w:font w:name="FreeSans"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28CD" w:rsidRDefault="004228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28CD" w:rsidRDefault="004228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28CD" w:rsidRDefault="004228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85869" w:rsidRDefault="00885869">
      <w:pPr>
        <w:spacing w:after="0" w:line="240" w:lineRule="auto"/>
      </w:pPr>
      <w:r>
        <w:separator/>
      </w:r>
    </w:p>
  </w:footnote>
  <w:footnote w:type="continuationSeparator" w:id="0">
    <w:p w:rsidR="00885869" w:rsidRDefault="008858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46F4"/>
    <w:multiLevelType w:val="multilevel"/>
    <w:tmpl w:val="760E79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50B003D"/>
    <w:multiLevelType w:val="multilevel"/>
    <w:tmpl w:val="9D6A9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4906C47"/>
    <w:multiLevelType w:val="multilevel"/>
    <w:tmpl w:val="434E8D5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0E037E7"/>
    <w:multiLevelType w:val="multilevel"/>
    <w:tmpl w:val="B1B866A6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2D47784"/>
    <w:multiLevelType w:val="multilevel"/>
    <w:tmpl w:val="C51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8B17EB7"/>
    <w:multiLevelType w:val="multilevel"/>
    <w:tmpl w:val="1FB836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5AA40CCC"/>
    <w:multiLevelType w:val="multilevel"/>
    <w:tmpl w:val="57B8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12462B1"/>
    <w:multiLevelType w:val="multilevel"/>
    <w:tmpl w:val="DD686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C522665"/>
    <w:multiLevelType w:val="multilevel"/>
    <w:tmpl w:val="4A68001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num w:numId="1" w16cid:durableId="1232614821">
    <w:abstractNumId w:val="6"/>
  </w:num>
  <w:num w:numId="2" w16cid:durableId="1691222226">
    <w:abstractNumId w:val="1"/>
  </w:num>
  <w:num w:numId="3" w16cid:durableId="108862929">
    <w:abstractNumId w:val="7"/>
  </w:num>
  <w:num w:numId="4" w16cid:durableId="62027467">
    <w:abstractNumId w:val="4"/>
  </w:num>
  <w:num w:numId="5" w16cid:durableId="1801418447">
    <w:abstractNumId w:val="3"/>
  </w:num>
  <w:num w:numId="6" w16cid:durableId="419525425">
    <w:abstractNumId w:val="8"/>
  </w:num>
  <w:num w:numId="7" w16cid:durableId="681904754">
    <w:abstractNumId w:val="0"/>
  </w:num>
  <w:num w:numId="8" w16cid:durableId="1132282385">
    <w:abstractNumId w:val="5"/>
  </w:num>
  <w:num w:numId="9" w16cid:durableId="1894657012">
    <w:abstractNumId w:val="7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none"/>
        <w:suff w:val="nothing"/>
        <w:lvlText w:val=""/>
        <w:lvlJc w:val="left"/>
        <w:pPr>
          <w:tabs>
            <w:tab w:val="num" w:pos="0"/>
          </w:tabs>
          <w:ind w:left="0" w:firstLine="0"/>
        </w:pPr>
      </w:lvl>
    </w:lvlOverride>
  </w:num>
  <w:num w:numId="10" w16cid:durableId="15329557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228CD"/>
    <w:rsid w:val="00280864"/>
    <w:rsid w:val="003678DE"/>
    <w:rsid w:val="004228CD"/>
    <w:rsid w:val="00885869"/>
    <w:rsid w:val="009016E3"/>
    <w:rsid w:val="00921388"/>
    <w:rsid w:val="00DF3703"/>
    <w:rsid w:val="00EF3799"/>
    <w:rsid w:val="00F55AD1"/>
    <w:rsid w:val="00FF6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B100859C-4C14-8940-9211-EC37D42D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link w:val="Heading1Char1"/>
    <w:uiPriority w:val="9"/>
    <w:qFormat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link w:val="Heading4Char1"/>
    <w:uiPriority w:val="9"/>
    <w:qFormat/>
    <w:pPr>
      <w:spacing w:beforeAutospacing="1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eading5">
    <w:name w:val="heading 5"/>
    <w:basedOn w:val="Heading"/>
    <w:next w:val="BodyText"/>
    <w:link w:val="Heading5Char"/>
    <w:qFormat/>
    <w:pPr>
      <w:spacing w:before="120" w:after="60"/>
      <w:outlineLvl w:val="4"/>
    </w:pPr>
    <w:rPr>
      <w:rFonts w:ascii="Liberation Serif" w:eastAsia="DejaVu Sans" w:hAnsi="Liberation Serif" w:cs="DejaVu Sans"/>
      <w:b/>
      <w:bCs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u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u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u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u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sz w:val="48"/>
      <w:szCs w:val="48"/>
      <w:lang w:eastAsia="ru-RU"/>
    </w:rPr>
  </w:style>
  <w:style w:type="character" w:customStyle="1" w:styleId="Heading4Char1">
    <w:name w:val="Heading 4 Char1"/>
    <w:basedOn w:val="DefaultParagraphFont"/>
    <w:link w:val="Heading4"/>
    <w:uiPriority w:val="9"/>
    <w:qFormat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s10">
    <w:name w:val="s_10"/>
    <w:basedOn w:val="DefaultParagraphFont"/>
    <w:qFormat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customStyle="1" w:styleId="HeaderChar1">
    <w:name w:val="Header Char1"/>
    <w:basedOn w:val="DefaultParagraphFont"/>
    <w:link w:val="Header"/>
    <w:uiPriority w:val="99"/>
    <w:qFormat/>
  </w:style>
  <w:style w:type="character" w:customStyle="1" w:styleId="FooterChar1">
    <w:name w:val="Footer Char1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w">
    <w:name w:val="w"/>
    <w:basedOn w:val="DefaultParagraphFont"/>
    <w:qFormat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customStyle="1" w:styleId="BodyTextIndentChar">
    <w:name w:val="Body Text Indent Char"/>
    <w:basedOn w:val="DefaultParagraphFont"/>
    <w:link w:val="BodyTextIndent"/>
    <w:qFormat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pple-converted-space">
    <w:name w:val="apple-converted-space"/>
    <w:basedOn w:val="DefaultParagraphFont"/>
    <w:qFormat/>
  </w:style>
  <w:style w:type="character" w:customStyle="1" w:styleId="wmi-callto">
    <w:name w:val="wmi-callto"/>
    <w:basedOn w:val="DefaultParagraphFont"/>
    <w:qFormat/>
  </w:style>
  <w:style w:type="character" w:customStyle="1" w:styleId="SubtitleChar1">
    <w:name w:val="Subtitle Char1"/>
    <w:basedOn w:val="DefaultParagraphFont"/>
    <w:link w:val="Subtitle"/>
    <w:uiPriority w:val="11"/>
    <w:qFormat/>
    <w:rPr>
      <w:rFonts w:eastAsiaTheme="minorEastAsia"/>
      <w:color w:val="5A5A5A" w:themeColor="text1" w:themeTint="A5"/>
      <w:spacing w:val="15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s1">
    <w:name w:val="s_1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rmalWeb">
    <w:name w:val="Normal (Web)"/>
    <w:basedOn w:val="Normal"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3">
    <w:name w:val="s_3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52">
    <w:name w:val="s_52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22">
    <w:name w:val="s_22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BodyTextIndent">
    <w:name w:val="Body Text Indent"/>
    <w:basedOn w:val="Normal"/>
    <w:link w:val="BodyTextIndentChar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</w:style>
  <w:style w:type="paragraph" w:styleId="TOC1">
    <w:name w:val="toc 1"/>
    <w:basedOn w:val="Normal"/>
    <w:next w:val="Normal"/>
    <w:uiPriority w:val="39"/>
    <w:unhideWhenUsed/>
    <w:pPr>
      <w:spacing w:after="100" w:line="240" w:lineRule="auto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Subtitle">
    <w:name w:val="Subtitle"/>
    <w:basedOn w:val="Normal"/>
    <w:next w:val="Normal"/>
    <w:link w:val="SubtitleChar1"/>
    <w:uiPriority w:val="11"/>
    <w:qFormat/>
    <w:rPr>
      <w:rFonts w:eastAsiaTheme="minorEastAsia"/>
      <w:color w:val="5A5A5A" w:themeColor="text1" w:themeTint="A5"/>
      <w:spacing w:val="15"/>
    </w:rPr>
  </w:style>
  <w:style w:type="paragraph" w:customStyle="1" w:styleId="a">
    <w:name w:val="Содержимое таблицы"/>
    <w:basedOn w:val="Normal"/>
    <w:qFormat/>
    <w:pPr>
      <w:widowControl w:val="0"/>
      <w:suppressLineNumbers/>
      <w:spacing w:after="0" w:line="240" w:lineRule="auto"/>
    </w:pPr>
    <w:rPr>
      <w:rFonts w:ascii="Times New Roman" w:eastAsia="Liberation Sans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8EDFE1-5E98-0D45-BE2A-E949C234A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19</Pages>
  <Words>4291</Words>
  <Characters>24462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t.ushkats</dc:creator>
  <dc:description/>
  <cp:lastModifiedBy>Петров Артем</cp:lastModifiedBy>
  <cp:revision>43</cp:revision>
  <dcterms:created xsi:type="dcterms:W3CDTF">2019-10-30T10:59:00Z</dcterms:created>
  <dcterms:modified xsi:type="dcterms:W3CDTF">2026-04-21T22:54:00Z</dcterms:modified>
  <dc:language>ru-RU</dc:language>
</cp:coreProperties>
</file>