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8CD" w:rsidRDefault="00000000">
      <w:pPr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Методические рекомендации по оформлению отчета практиканта</w:t>
      </w:r>
    </w:p>
    <w:p w:rsidR="004228CD" w:rsidRDefault="004228CD">
      <w:pPr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 по практике является основным документом обучающегося, отражающим выполненную работу во время практики и </w:t>
      </w:r>
      <w:r>
        <w:rPr>
          <w:rFonts w:ascii="Times New Roman" w:hAnsi="Times New Roman" w:cs="Times New Roman"/>
          <w:sz w:val="26"/>
          <w:szCs w:val="26"/>
        </w:rPr>
        <w:t xml:space="preserve">приобретенные компетенции. 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Отчет по практике должен содержать: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 титульный лист;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содержание;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введение;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основную часть;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заключение;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список использованных источников;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приложения.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Объем отчета должен составлять 10–15 листов (</w:t>
      </w:r>
      <w:r>
        <w:rPr>
          <w:rFonts w:ascii="Times New Roman" w:hAnsi="Times New Roman" w:cs="Times New Roman"/>
          <w:bCs/>
          <w:iCs/>
          <w:color w:val="000000"/>
          <w:sz w:val="26"/>
          <w:szCs w:val="26"/>
        </w:rPr>
        <w:t xml:space="preserve">шрифт – Times New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6"/>
          <w:szCs w:val="26"/>
        </w:rPr>
        <w:t>Roman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6"/>
          <w:szCs w:val="26"/>
        </w:rPr>
        <w:t>, размер шрифта – 13-14, все поля – 2 см, отступ - 1 см, выравнивание – по ширине</w:t>
      </w:r>
      <w:r>
        <w:rPr>
          <w:rFonts w:ascii="Times New Roman" w:hAnsi="Times New Roman" w:cs="Times New Roman"/>
          <w:color w:val="000000"/>
          <w:sz w:val="26"/>
          <w:szCs w:val="26"/>
        </w:rPr>
        <w:t>, таблицы и схемы располагаются по тексту и нумеруются по разделам). Количество приложений не ограничивается и в указанный объем не включается.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В введении должны быть отражены:</w:t>
      </w:r>
    </w:p>
    <w:p w:rsidR="004228CD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цель, место и время прохождения практики (сроки, продолжительность </w:t>
      </w:r>
      <w:r>
        <w:rPr>
          <w:rFonts w:ascii="Times New Roman" w:hAnsi="Times New Roman" w:cs="Times New Roman"/>
          <w:sz w:val="26"/>
          <w:szCs w:val="26"/>
        </w:rPr>
        <w:t>в неделях/раб. днях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); </w:t>
      </w:r>
    </w:p>
    <w:p w:rsidR="004228CD" w:rsidRDefault="00000000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последовательность прохождения практики, перечень работ, выполненных в процессе практики.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В основную часть отчета необходимо включить: </w:t>
      </w:r>
    </w:p>
    <w:p w:rsidR="004228CD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организации работы в процессе практики; </w:t>
      </w:r>
    </w:p>
    <w:p w:rsidR="004228CD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выполненной работы по разделам программы практики; </w:t>
      </w:r>
    </w:p>
    <w:p w:rsidR="004228CD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практических задач, решаемых обучающимся за время прохождения практики; </w:t>
      </w:r>
    </w:p>
    <w:p w:rsidR="004228CD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указания на затруднения, которые возникли при прохождении практики; </w:t>
      </w:r>
    </w:p>
    <w:p w:rsidR="004228CD" w:rsidRDefault="00000000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изложение спорных вопросов, которые возникли по конкретным вопросам, и их решение.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Заключение должно содержать: </w:t>
      </w:r>
    </w:p>
    <w:p w:rsidR="004228CD" w:rsidRDefault="00000000">
      <w:pPr>
        <w:numPr>
          <w:ilvl w:val="0"/>
          <w:numId w:val="3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знаний, умений, навыков (компетенций), приобретенных практикантом в период практики; </w:t>
      </w:r>
    </w:p>
    <w:p w:rsidR="004228CD" w:rsidRDefault="00000000">
      <w:pPr>
        <w:numPr>
          <w:ilvl w:val="0"/>
          <w:numId w:val="3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характеристику информационно-программных продуктов, необходимых для прохождения практики; </w:t>
      </w:r>
    </w:p>
    <w:p w:rsidR="004228CD" w:rsidRDefault="00000000">
      <w:pPr>
        <w:numPr>
          <w:ilvl w:val="0"/>
          <w:numId w:val="3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предложения и рекомендации обучающегося, сделанные в ходе практики.</w:t>
      </w:r>
    </w:p>
    <w:p w:rsidR="004228CD" w:rsidRDefault="0000000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Список использованных источников формируется в порядке появления ссылок.</w:t>
      </w:r>
    </w:p>
    <w:p w:rsidR="004228CD" w:rsidRDefault="004228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К отчету также прилагаются:</w:t>
      </w:r>
    </w:p>
    <w:p w:rsidR="004228CD" w:rsidRDefault="00000000">
      <w:pPr>
        <w:numPr>
          <w:ilvl w:val="0"/>
          <w:numId w:val="4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Индивидуальное задание практиканта</w:t>
      </w:r>
      <w:r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4228CD" w:rsidRDefault="00000000">
      <w:pPr>
        <w:numPr>
          <w:ilvl w:val="0"/>
          <w:numId w:val="4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Дневник практиканта;</w:t>
      </w:r>
    </w:p>
    <w:p w:rsidR="004228CD" w:rsidRDefault="00000000">
      <w:pPr>
        <w:numPr>
          <w:ilvl w:val="0"/>
          <w:numId w:val="4"/>
        </w:numPr>
        <w:tabs>
          <w:tab w:val="clear" w:pos="720"/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Отзыв-характеристика руководителя практики от предприятия </w:t>
      </w:r>
      <w:r>
        <w:rPr>
          <w:rFonts w:ascii="Times New Roman" w:hAnsi="Times New Roman" w:cs="Times New Roman"/>
          <w:sz w:val="26"/>
          <w:szCs w:val="26"/>
        </w:rPr>
        <w:t>о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работе практиканта.</w:t>
      </w:r>
    </w:p>
    <w:p w:rsidR="004228CD" w:rsidRDefault="004228C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Отчет, заверенный руководителем практики от организации, должен быть представлен руководителю практики от РУДН по окончанию практики. Защита отчетов проводится на кафедре/в департаменте.</w:t>
      </w:r>
    </w:p>
    <w:p w:rsidR="004228C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результатам защиты отчета обучающийся получает оценку по практике.</w:t>
      </w:r>
    </w:p>
    <w:p w:rsidR="004228CD" w:rsidRDefault="00000000">
      <w:pPr>
        <w:rPr>
          <w:rFonts w:ascii="Times New Roman" w:hAnsi="Times New Roman" w:cs="Times New Roman"/>
          <w:sz w:val="26"/>
          <w:szCs w:val="26"/>
        </w:rPr>
      </w:pPr>
      <w:r>
        <w:br w:type="page" w:clear="all"/>
      </w:r>
    </w:p>
    <w:p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Федеральное государственное автономное образовательное учреждение высшего образования</w:t>
      </w:r>
    </w:p>
    <w:p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(РУДН)</w:t>
      </w:r>
    </w:p>
    <w:p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228CD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228C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Направление/специальность</w:t>
      </w:r>
      <w:r w:rsidRPr="00EF37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3799">
        <w:rPr>
          <w:rFonts w:ascii="Times New Roman" w:eastAsia="Times New Roman" w:hAnsi="Times New Roman" w:cs="Times New Roman"/>
          <w:sz w:val="28"/>
          <w:szCs w:val="28"/>
          <w:u w:val="single"/>
        </w:rPr>
        <w:t>02.03.01 «Математика и компьютерные науки», специализация «Математика и компьютерные науки»</w:t>
      </w:r>
    </w:p>
    <w:p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</w:p>
    <w:p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228CD" w:rsidRDefault="004228CD">
      <w:pPr>
        <w:jc w:val="center"/>
        <w:rPr>
          <w:rFonts w:ascii="Times New Roman" w:hAnsi="Times New Roman" w:cs="Times New Roman"/>
        </w:rPr>
      </w:pPr>
    </w:p>
    <w:p w:rsidR="004228CD" w:rsidRDefault="004228CD">
      <w:pPr>
        <w:jc w:val="center"/>
        <w:rPr>
          <w:rFonts w:ascii="Times New Roman" w:hAnsi="Times New Roman" w:cs="Times New Roman"/>
        </w:rPr>
      </w:pPr>
    </w:p>
    <w:p w:rsidR="004228C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4228CD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прохождении </w:t>
      </w:r>
      <w:proofErr w:type="spellStart"/>
      <w:r w:rsidRPr="00EF3799">
        <w:rPr>
          <w:rFonts w:ascii="Times New Roman" w:hAnsi="Times New Roman" w:cs="Times New Roman"/>
          <w:b/>
          <w:sz w:val="28"/>
          <w:szCs w:val="28"/>
        </w:rPr>
        <w:t>преддипмолной</w:t>
      </w:r>
      <w:proofErr w:type="spellEnd"/>
      <w:r w:rsidRPr="00EF3799">
        <w:rPr>
          <w:rFonts w:ascii="Times New Roman" w:hAnsi="Times New Roman" w:cs="Times New Roman"/>
          <w:b/>
          <w:sz w:val="28"/>
          <w:szCs w:val="28"/>
        </w:rPr>
        <w:t xml:space="preserve"> практики</w:t>
      </w:r>
    </w:p>
    <w:p w:rsidR="004228CD" w:rsidRDefault="00000000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(вид и наименование практики)</w:t>
      </w:r>
    </w:p>
    <w:p w:rsidR="004228C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</w:t>
      </w:r>
    </w:p>
    <w:p w:rsidR="004228CD" w:rsidRDefault="00000000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highlight w:val="yellow"/>
          <w:vertAlign w:val="superscript"/>
        </w:rPr>
        <w:t>(Ф.И.О. обучающегося)</w:t>
      </w:r>
    </w:p>
    <w:p w:rsidR="004228CD" w:rsidRDefault="00000000">
      <w:pPr>
        <w:pStyle w:val="NoSpacing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Курс, группа </w:t>
      </w:r>
      <w:r w:rsidRPr="00EF3799">
        <w:rPr>
          <w:rFonts w:ascii="Times New Roman" w:hAnsi="Times New Roman" w:cs="Times New Roman"/>
          <w:sz w:val="28"/>
          <w:szCs w:val="28"/>
          <w:highlight w:val="yellow"/>
        </w:rPr>
        <w:t>4, НКНбд-00-22</w:t>
      </w:r>
    </w:p>
    <w:p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228C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bookmarkStart w:id="0" w:name="yui_3_17_2_1_1756913874888_2224"/>
      <w:bookmarkStart w:id="1" w:name="yui_3_17_2_1_1756913874888_2225"/>
      <w:bookmarkStart w:id="2" w:name="yui_3_17_2_1_1756913874888_2226"/>
      <w:bookmarkStart w:id="3" w:name="yui_3_17_2_1_1756913874888_2227"/>
      <w:bookmarkStart w:id="4" w:name="yui_3_17_2_1_1756913874888_2228"/>
      <w:bookmarkStart w:id="5" w:name="yui_3_17_2_1_1756913874888_2229"/>
      <w:bookmarkStart w:id="6" w:name="yui_3_17_2_1_1756913874888_2230"/>
      <w:bookmarkStart w:id="7" w:name="yui_3_17_2_1_1756913874888_2231"/>
      <w:bookmarkStart w:id="8" w:name="yui_3_17_2_1_1756913874888_223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EF3799">
        <w:rPr>
          <w:rFonts w:ascii="Times New Roman" w:eastAsia="Times New Roman" w:hAnsi="Times New Roman" w:cs="Times New Roman"/>
          <w:sz w:val="28"/>
          <w:szCs w:val="28"/>
          <w:u w:val="single"/>
        </w:rPr>
        <w:t>Научный центр вычислительных методов и моделирования киберфизических систем РУДН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4228CD" w:rsidRDefault="0000000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228CD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прохождения</w:t>
      </w:r>
      <w:r w:rsidRPr="00EF37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3799">
        <w:rPr>
          <w:rFonts w:ascii="Times New Roman" w:hAnsi="Times New Roman" w:cs="Times New Roman"/>
          <w:sz w:val="26"/>
          <w:szCs w:val="26"/>
        </w:rPr>
        <w:t xml:space="preserve">06.04.2026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 w:rsidRPr="00EF3799">
        <w:rPr>
          <w:rFonts w:ascii="Times New Roman" w:hAnsi="Times New Roman" w:cs="Times New Roman"/>
          <w:sz w:val="26"/>
          <w:szCs w:val="26"/>
        </w:rPr>
        <w:t xml:space="preserve">30.04.2026 </w:t>
      </w:r>
      <w:r>
        <w:rPr>
          <w:rFonts w:ascii="Times New Roman" w:hAnsi="Times New Roman" w:cs="Times New Roman"/>
          <w:sz w:val="26"/>
          <w:szCs w:val="26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228CD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:rsidR="004228CD" w:rsidRDefault="004228CD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</w:p>
    <w:p w:rsidR="004228CD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О.К., асс. каф.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ММиИИ</w:t>
      </w:r>
      <w:proofErr w:type="spellEnd"/>
    </w:p>
    <w:p w:rsidR="004228CD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:rsidR="004228CD" w:rsidRDefault="004228CD">
      <w:pPr>
        <w:pStyle w:val="NoSpacing"/>
        <w:ind w:left="4253"/>
        <w:rPr>
          <w:rFonts w:ascii="Times New Roman" w:hAnsi="Times New Roman" w:cs="Times New Roman"/>
        </w:rPr>
      </w:pPr>
    </w:p>
    <w:p w:rsidR="004228CD" w:rsidRDefault="00000000">
      <w:pPr>
        <w:pStyle w:val="NoSpacing"/>
        <w:ind w:left="4253"/>
      </w:pPr>
      <w:r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>
        <w:t xml:space="preserve"> </w:t>
      </w:r>
    </w:p>
    <w:p w:rsidR="004228CD" w:rsidRDefault="00000000">
      <w:pPr>
        <w:pStyle w:val="NoSpacing"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Самуйлов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К.Е., директор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ИКНиТ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4228CD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Ф.И.О., должность</w:t>
      </w:r>
    </w:p>
    <w:p w:rsidR="004228CD" w:rsidRDefault="004228CD">
      <w:pPr>
        <w:pStyle w:val="NoSpacing"/>
        <w:ind w:left="3969"/>
        <w:rPr>
          <w:rFonts w:ascii="Times New Roman" w:hAnsi="Times New Roman" w:cs="Times New Roman"/>
          <w:sz w:val="28"/>
          <w:szCs w:val="28"/>
        </w:rPr>
      </w:pPr>
    </w:p>
    <w:p w:rsidR="004228CD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>____________________</w:t>
      </w:r>
    </w:p>
    <w:p w:rsidR="004228CD" w:rsidRDefault="004228CD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4228CD" w:rsidRDefault="0000000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2026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:rsidR="004228C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:rsidR="004228CD" w:rsidRPr="00F55AD1" w:rsidRDefault="00000000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55AD1">
        <w:rPr>
          <w:rFonts w:ascii="Times New Roman" w:hAnsi="Times New Roman" w:cs="Times New Roman"/>
          <w:b/>
          <w:sz w:val="32"/>
          <w:szCs w:val="32"/>
        </w:rPr>
        <w:lastRenderedPageBreak/>
        <w:t>Оглавление</w:t>
      </w:r>
    </w:p>
    <w:p w:rsidR="00F55AD1" w:rsidRPr="00F55AD1" w:rsidRDefault="00F55AD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dt>
      <w:sdtPr>
        <w:id w:val="294418048"/>
        <w:docPartObj>
          <w:docPartGallery w:val="Table of Contents"/>
          <w:docPartUnique/>
        </w:docPartObj>
      </w:sdtPr>
      <w:sdtContent>
        <w:p w:rsidR="004228CD" w:rsidRDefault="00000000" w:rsidP="00EF3799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</w:rPr>
            <w:instrText xml:space="preserve"> TOC \z \o "1-1" \h</w:instrText>
          </w:r>
          <w:r>
            <w:rPr>
              <w:rStyle w:val="IndexLink"/>
            </w:rPr>
            <w:fldChar w:fldCharType="separate"/>
          </w:r>
          <w:hyperlink w:anchor="_Toc158643489" w:tooltip="#_Toc158643489" w:history="1">
            <w:r>
              <w:rPr>
                <w:rStyle w:val="IndexLink"/>
              </w:rPr>
              <w:t>Список сокращений</w:t>
            </w:r>
            <w:r w:rsidR="00EF3799">
              <w:rPr>
                <w:rStyle w:val="IndexLink"/>
                <w:lang w:val="en-US"/>
              </w:rPr>
              <w:t xml:space="preserve"> </w:t>
            </w:r>
            <w:r w:rsidR="00EF3799">
              <w:rPr>
                <w:rStyle w:val="IndexLink"/>
                <w:lang w:val="en-US"/>
              </w:rPr>
              <w:tab/>
            </w:r>
            <w:r>
              <w:rPr>
                <w:rStyle w:val="IndexLink"/>
                <w:vanish/>
              </w:rPr>
              <w:tab/>
            </w:r>
            <w:r>
              <w:fldChar w:fldCharType="begin"/>
            </w:r>
            <w:r>
              <w:instrText>PAGEREF _Toc158643489 \h</w:instrText>
            </w:r>
            <w:r>
              <w:fldChar w:fldCharType="separate"/>
            </w:r>
            <w:r>
              <w:rPr>
                <w:rStyle w:val="IndexLink"/>
              </w:rPr>
              <w:t>5</w:t>
            </w:r>
            <w:r>
              <w:fldChar w:fldCharType="end"/>
            </w:r>
          </w:hyperlink>
        </w:p>
        <w:p w:rsidR="004228CD" w:rsidRDefault="00000000" w:rsidP="00EF3799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8643490" w:tooltip="#_Toc158643490" w:history="1">
            <w:r>
              <w:rPr>
                <w:rStyle w:val="IndexLink"/>
              </w:rPr>
              <w:t>Список основных обозначений</w:t>
            </w:r>
            <w:r w:rsidR="00EF3799">
              <w:rPr>
                <w:rStyle w:val="IndexLink"/>
                <w:lang w:val="en-US"/>
              </w:rPr>
              <w:tab/>
            </w:r>
            <w:r>
              <w:rPr>
                <w:rStyle w:val="IndexLink"/>
                <w:vanish/>
              </w:rPr>
              <w:tab/>
            </w:r>
            <w:r>
              <w:fldChar w:fldCharType="begin"/>
            </w:r>
            <w:r>
              <w:instrText>PAGEREF _Toc158643490 \h</w:instrText>
            </w:r>
            <w:r>
              <w:fldChar w:fldCharType="separate"/>
            </w:r>
            <w:r>
              <w:rPr>
                <w:rStyle w:val="IndexLink"/>
              </w:rPr>
              <w:t>7</w:t>
            </w:r>
            <w:r>
              <w:fldChar w:fldCharType="end"/>
            </w:r>
          </w:hyperlink>
        </w:p>
        <w:p w:rsidR="004228CD" w:rsidRDefault="00000000" w:rsidP="00EF3799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8643491" w:tooltip="#_Toc158643491" w:history="1">
            <w:r>
              <w:rPr>
                <w:rStyle w:val="IndexLink"/>
              </w:rPr>
              <w:t>Введение</w:t>
            </w:r>
            <w:r w:rsidR="00EF3799">
              <w:rPr>
                <w:rStyle w:val="IndexLink"/>
                <w:lang w:val="en-US"/>
              </w:rPr>
              <w:tab/>
            </w:r>
            <w:r>
              <w:rPr>
                <w:rStyle w:val="IndexLink"/>
                <w:vanish/>
              </w:rPr>
              <w:tab/>
            </w:r>
            <w:r>
              <w:fldChar w:fldCharType="begin"/>
            </w:r>
            <w:r>
              <w:instrText>PAGEREF _Toc158643491 \h</w:instrText>
            </w:r>
            <w:r>
              <w:fldChar w:fldCharType="separate"/>
            </w:r>
            <w:r>
              <w:rPr>
                <w:rStyle w:val="IndexLink"/>
              </w:rPr>
              <w:t>8</w:t>
            </w:r>
            <w:r>
              <w:fldChar w:fldCharType="end"/>
            </w:r>
          </w:hyperlink>
        </w:p>
        <w:p w:rsidR="004228CD" w:rsidRDefault="00000000" w:rsidP="00EF3799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8643492" w:tooltip="#_Toc158643492" w:history="1">
            <w:r>
              <w:rPr>
                <w:rStyle w:val="IndexLink"/>
              </w:rPr>
              <w:t>Основная часть</w:t>
            </w:r>
            <w:r w:rsidR="00EF3799">
              <w:rPr>
                <w:rStyle w:val="IndexLink"/>
                <w:lang w:val="en-US"/>
              </w:rPr>
              <w:tab/>
            </w:r>
            <w:r>
              <w:rPr>
                <w:rStyle w:val="IndexLink"/>
                <w:vanish/>
              </w:rPr>
              <w:tab/>
            </w:r>
            <w:r>
              <w:fldChar w:fldCharType="begin"/>
            </w:r>
            <w:r>
              <w:instrText>PAGEREF _Toc158643492 \h</w:instrText>
            </w:r>
            <w:r>
              <w:fldChar w:fldCharType="separate"/>
            </w:r>
            <w:r>
              <w:rPr>
                <w:rStyle w:val="IndexLink"/>
              </w:rPr>
              <w:t>10</w:t>
            </w:r>
            <w:r>
              <w:fldChar w:fldCharType="end"/>
            </w:r>
          </w:hyperlink>
        </w:p>
        <w:p w:rsidR="004228CD" w:rsidRDefault="00000000" w:rsidP="00EF3799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8643493" w:tooltip="#_Toc158643493" w:history="1">
            <w:r>
              <w:rPr>
                <w:rStyle w:val="IndexLink"/>
              </w:rPr>
              <w:t>Заключение</w:t>
            </w:r>
            <w:r w:rsidR="00EF3799">
              <w:rPr>
                <w:rStyle w:val="IndexLink"/>
                <w:lang w:val="en-US"/>
              </w:rPr>
              <w:tab/>
            </w:r>
            <w:r>
              <w:rPr>
                <w:rStyle w:val="IndexLink"/>
                <w:vanish/>
              </w:rPr>
              <w:tab/>
            </w:r>
            <w:r>
              <w:fldChar w:fldCharType="begin"/>
            </w:r>
            <w:r>
              <w:instrText>PAGEREF _Toc158643493 \h</w:instrText>
            </w:r>
            <w:r>
              <w:fldChar w:fldCharType="separate"/>
            </w:r>
            <w:r>
              <w:rPr>
                <w:rStyle w:val="IndexLink"/>
              </w:rPr>
              <w:t>17</w:t>
            </w:r>
            <w:r>
              <w:fldChar w:fldCharType="end"/>
            </w:r>
          </w:hyperlink>
        </w:p>
        <w:p w:rsidR="004228CD" w:rsidRDefault="00000000" w:rsidP="00EF3799">
          <w:pPr>
            <w:pStyle w:val="TOC1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tabs>
              <w:tab w:val="right" w:leader="dot" w:pos="991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8643494" w:tooltip="#_Toc158643494" w:history="1">
            <w:r>
              <w:rPr>
                <w:rStyle w:val="IndexLink"/>
              </w:rPr>
              <w:t>Список источников</w:t>
            </w:r>
            <w:r w:rsidR="00EF3799">
              <w:rPr>
                <w:rStyle w:val="IndexLink"/>
                <w:lang w:val="en-US"/>
              </w:rPr>
              <w:tab/>
            </w:r>
            <w:r>
              <w:rPr>
                <w:rStyle w:val="IndexLink"/>
                <w:vanish/>
              </w:rPr>
              <w:tab/>
            </w:r>
            <w:r>
              <w:fldChar w:fldCharType="begin"/>
            </w:r>
            <w:r>
              <w:instrText>PAGEREF _Toc158643494 \h</w:instrText>
            </w:r>
            <w:r>
              <w:fldChar w:fldCharType="separate"/>
            </w:r>
            <w:r>
              <w:rPr>
                <w:rStyle w:val="IndexLink"/>
              </w:rPr>
              <w:t>19</w:t>
            </w:r>
            <w: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 w:rsidR="004228CD" w:rsidRDefault="004228CD">
      <w:pPr>
        <w:rPr>
          <w:sz w:val="28"/>
          <w:szCs w:val="28"/>
        </w:rPr>
      </w:pPr>
    </w:p>
    <w:p w:rsidR="004228CD" w:rsidRDefault="00000000">
      <w:pPr>
        <w:rPr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:rsidR="004228CD" w:rsidRPr="00F55AD1" w:rsidRDefault="00000000">
      <w:pPr>
        <w:pStyle w:val="Heading1"/>
        <w:spacing w:after="280"/>
        <w:rPr>
          <w:sz w:val="32"/>
          <w:szCs w:val="32"/>
        </w:rPr>
      </w:pPr>
      <w:bookmarkStart w:id="9" w:name="_Toc158643489"/>
      <w:bookmarkStart w:id="10" w:name="_Toc449551140"/>
      <w:r w:rsidRPr="00F55AD1">
        <w:rPr>
          <w:sz w:val="32"/>
          <w:szCs w:val="32"/>
        </w:rPr>
        <w:lastRenderedPageBreak/>
        <w:t>Список сокращений</w:t>
      </w:r>
      <w:bookmarkEnd w:id="9"/>
      <w:bookmarkEnd w:id="10"/>
    </w:p>
    <w:p w:rsidR="004228CD" w:rsidRDefault="004228CD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4228CD" w:rsidRPr="00F55AD1" w:rsidRDefault="00000000">
      <w:pPr>
        <w:spacing w:after="240"/>
        <w:rPr>
          <w:rFonts w:ascii="Times New Roman" w:hAnsi="Times New Roman" w:cs="Times New Roman"/>
          <w:b/>
          <w:sz w:val="28"/>
          <w:szCs w:val="28"/>
        </w:rPr>
      </w:pPr>
      <w:r w:rsidRPr="00F55AD1">
        <w:rPr>
          <w:rFonts w:ascii="Times New Roman" w:hAnsi="Times New Roman" w:cs="Times New Roman"/>
          <w:b/>
          <w:sz w:val="28"/>
          <w:szCs w:val="28"/>
        </w:rPr>
        <w:t>Русскоязычные</w:t>
      </w:r>
      <w:r w:rsidRPr="00F55AD1">
        <w:rPr>
          <w:rFonts w:ascii="Times New Roman" w:hAnsi="Times New Roman" w:cs="Times New Roman"/>
          <w:sz w:val="28"/>
          <w:szCs w:val="28"/>
        </w:rPr>
        <w:t xml:space="preserve"> </w:t>
      </w:r>
      <w:r w:rsidRPr="00F55AD1">
        <w:rPr>
          <w:rFonts w:ascii="Times New Roman" w:hAnsi="Times New Roman" w:cs="Times New Roman"/>
          <w:b/>
          <w:sz w:val="28"/>
          <w:szCs w:val="28"/>
        </w:rPr>
        <w:t>сокращения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ВКР — выпускная квалификационная работа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ПК — программный комплекс</w:t>
      </w:r>
    </w:p>
    <w:p w:rsidR="004228CD" w:rsidRDefault="004228CD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4228CD" w:rsidRPr="00F55AD1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F55AD1">
        <w:rPr>
          <w:rFonts w:ascii="Times New Roman" w:hAnsi="Times New Roman" w:cs="Times New Roman"/>
          <w:b/>
          <w:sz w:val="28"/>
          <w:szCs w:val="28"/>
        </w:rPr>
        <w:t>Англоязычные сокращения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API — Application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Interface (интерфейс прикладного программирования)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BAW —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Barone-Adesi-Whaley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(аналитическое приближение для американских опционов)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BS — Black-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Scholes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(модель ценообразования опционов)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CRR —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Cox-Ross-Rubinstein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(биномиальная модель ценообразования)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D1">
        <w:rPr>
          <w:rFonts w:ascii="Times New Roman" w:hAnsi="Times New Roman" w:cs="Times New Roman"/>
          <w:sz w:val="28"/>
          <w:szCs w:val="28"/>
          <w:lang w:val="en-US"/>
        </w:rPr>
        <w:t>MAE — Mean Absolute Error (</w:t>
      </w:r>
      <w:r w:rsidRPr="00F55AD1">
        <w:rPr>
          <w:rFonts w:ascii="Times New Roman" w:hAnsi="Times New Roman" w:cs="Times New Roman"/>
          <w:sz w:val="28"/>
          <w:szCs w:val="28"/>
        </w:rPr>
        <w:t>средняя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AD1">
        <w:rPr>
          <w:rFonts w:ascii="Times New Roman" w:hAnsi="Times New Roman" w:cs="Times New Roman"/>
          <w:sz w:val="28"/>
          <w:szCs w:val="28"/>
        </w:rPr>
        <w:t>абсолютная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AD1">
        <w:rPr>
          <w:rFonts w:ascii="Times New Roman" w:hAnsi="Times New Roman" w:cs="Times New Roman"/>
          <w:sz w:val="28"/>
          <w:szCs w:val="28"/>
        </w:rPr>
        <w:t>ошибка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D1">
        <w:rPr>
          <w:rFonts w:ascii="Times New Roman" w:hAnsi="Times New Roman" w:cs="Times New Roman"/>
          <w:sz w:val="28"/>
          <w:szCs w:val="28"/>
          <w:lang w:val="en-US"/>
        </w:rPr>
        <w:t>RMSE — Root Mean Square Error (</w:t>
      </w:r>
      <w:r w:rsidRPr="00F55AD1">
        <w:rPr>
          <w:rFonts w:ascii="Times New Roman" w:hAnsi="Times New Roman" w:cs="Times New Roman"/>
          <w:sz w:val="28"/>
          <w:szCs w:val="28"/>
        </w:rPr>
        <w:t>среднеквадратичная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AD1">
        <w:rPr>
          <w:rFonts w:ascii="Times New Roman" w:hAnsi="Times New Roman" w:cs="Times New Roman"/>
          <w:sz w:val="28"/>
          <w:szCs w:val="28"/>
        </w:rPr>
        <w:t>ошибка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228CD" w:rsidRPr="00EF3799" w:rsidRDefault="004228CD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:rsidR="004228CD" w:rsidRPr="00EF3799" w:rsidRDefault="0000000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3799">
        <w:rPr>
          <w:lang w:val="en-US"/>
        </w:rPr>
        <w:br w:type="page" w:clear="all"/>
      </w:r>
    </w:p>
    <w:p w:rsidR="004228CD" w:rsidRPr="00F55AD1" w:rsidRDefault="00000000">
      <w:pPr>
        <w:pStyle w:val="Heading1"/>
        <w:spacing w:after="280"/>
        <w:rPr>
          <w:color w:val="000000"/>
          <w:sz w:val="32"/>
          <w:szCs w:val="32"/>
        </w:rPr>
      </w:pPr>
      <w:bookmarkStart w:id="11" w:name="_Toc449551141"/>
      <w:bookmarkStart w:id="12" w:name="_Toc158643490"/>
      <w:r w:rsidRPr="00F55AD1">
        <w:rPr>
          <w:color w:val="000000"/>
          <w:sz w:val="32"/>
          <w:szCs w:val="32"/>
        </w:rPr>
        <w:lastRenderedPageBreak/>
        <w:t>Список основных обозначений</w:t>
      </w:r>
      <w:bookmarkEnd w:id="11"/>
      <w:bookmarkEnd w:id="12"/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S₀ — текущая цена базового актива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K — цена исполнения опциона (страйк)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T — время до экспирации, лет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r — безрисковая процентная ставка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σ — волатильность доходности базового актива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5AD1">
        <w:rPr>
          <w:rFonts w:ascii="Times New Roman" w:hAnsi="Times New Roman" w:cs="Times New Roman"/>
          <w:sz w:val="28"/>
          <w:szCs w:val="28"/>
        </w:rPr>
        <w:t>V(</w:t>
      </w:r>
      <w:proofErr w:type="gramEnd"/>
      <w:r w:rsidRPr="00F55AD1">
        <w:rPr>
          <w:rFonts w:ascii="Times New Roman" w:hAnsi="Times New Roman" w:cs="Times New Roman"/>
          <w:sz w:val="28"/>
          <w:szCs w:val="28"/>
        </w:rPr>
        <w:t>S, t) — цена опциона при цене актива S в момент времени t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Δ (Delta) — производная цены опциона по цене базового актива,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dS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₀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Γ (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) — вторая производная цены по S₀, d²V/dS₀²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ν (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) — производная цены опциона по волатильности,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dσ</w:t>
      </w:r>
      <w:proofErr w:type="spellEnd"/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Θ (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) — производная цены опциона по времени, –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dT</w:t>
      </w:r>
      <w:proofErr w:type="spellEnd"/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u, d — коэффициенты роста и убывания цены в биномиальной модели CRR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p — риск-нейтральная вероятность роста цены актива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n — число временных шагов биномиального дерева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5AD1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— длина одного временного шага,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= T/n</w:t>
      </w:r>
    </w:p>
    <w:p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W — весовой фильтр нейросетевой архитектуры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BTNet</w:t>
      </w:r>
      <w:proofErr w:type="spellEnd"/>
    </w:p>
    <w:p w:rsidR="004228CD" w:rsidRDefault="004228CD">
      <w:pPr>
        <w:rPr>
          <w:rFonts w:ascii="Times New Roman" w:hAnsi="Times New Roman" w:cs="Times New Roman"/>
          <w:sz w:val="28"/>
          <w:szCs w:val="28"/>
        </w:rPr>
      </w:pPr>
    </w:p>
    <w:p w:rsidR="004228CD" w:rsidRDefault="004228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28CD" w:rsidRDefault="000000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:rsidR="004228CD" w:rsidRPr="00F55AD1" w:rsidRDefault="00000000">
      <w:pPr>
        <w:pStyle w:val="Heading1"/>
        <w:spacing w:after="280"/>
        <w:rPr>
          <w:sz w:val="32"/>
          <w:szCs w:val="32"/>
        </w:rPr>
      </w:pPr>
      <w:bookmarkStart w:id="13" w:name="_Toc471580119"/>
      <w:bookmarkStart w:id="14" w:name="_Toc158643491"/>
      <w:r w:rsidRPr="00F55AD1">
        <w:rPr>
          <w:sz w:val="32"/>
          <w:szCs w:val="32"/>
        </w:rPr>
        <w:lastRenderedPageBreak/>
        <w:t>Введение</w:t>
      </w:r>
      <w:bookmarkEnd w:id="13"/>
      <w:bookmarkEnd w:id="14"/>
    </w:p>
    <w:p w:rsidR="004228CD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программе производственной практики направления подготовки </w:t>
      </w:r>
      <w:r w:rsidRPr="00EF3799">
        <w:rPr>
          <w:rFonts w:ascii="Times New Roman" w:hAnsi="Times New Roman" w:cs="Times New Roman"/>
          <w:sz w:val="28"/>
          <w:szCs w:val="28"/>
        </w:rPr>
        <w:t xml:space="preserve">02.03.01 «Математика и компьютерные науки», специализация «Математика и компьютерные науки» </w:t>
      </w:r>
      <w:r>
        <w:rPr>
          <w:rFonts w:ascii="Times New Roman" w:hAnsi="Times New Roman" w:cs="Times New Roman"/>
          <w:sz w:val="28"/>
          <w:szCs w:val="28"/>
        </w:rPr>
        <w:t>целями практики являются:</w:t>
      </w:r>
    </w:p>
    <w:p w:rsidR="004228CD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формирование профессиональных навыков в проведении научных исследований;</w:t>
      </w:r>
    </w:p>
    <w:p w:rsidR="004228CD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формирование навыков использования современных научных методов для решения научных и практических задач;</w:t>
      </w:r>
    </w:p>
    <w:p w:rsidR="004228CD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формирование практических навыков написания вспомогательных программных комплексов для проведения вычислительных экспериментов;</w:t>
      </w:r>
    </w:p>
    <w:p w:rsidR="004228CD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формирование общекультурных, общепрофессиональный и профессиональных компетенций в соответствии с ОС ВО РУДН;</w:t>
      </w:r>
    </w:p>
    <w:p w:rsidR="004228CD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формирование навыков оформления и представления результатов научного исследования;</w:t>
      </w:r>
    </w:p>
    <w:p w:rsidR="004228CD" w:rsidRDefault="0000000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формирование навыков работы с источниками данных.</w:t>
      </w:r>
    </w:p>
    <w:p w:rsidR="004228CD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целей в рамках производственной практики был выполнен обзор публикаций российских и международных научных изданий по теме выпускной квалификационной работы (ВКР) </w:t>
      </w:r>
      <w:r w:rsidRPr="00EF3799">
        <w:rPr>
          <w:rFonts w:ascii="Times New Roman" w:hAnsi="Times New Roman" w:cs="Times New Roman"/>
          <w:sz w:val="28"/>
          <w:szCs w:val="28"/>
        </w:rPr>
        <w:t>бакалавра</w:t>
      </w:r>
      <w:r>
        <w:rPr>
          <w:rFonts w:ascii="Times New Roman" w:hAnsi="Times New Roman" w:cs="Times New Roman"/>
          <w:sz w:val="28"/>
          <w:szCs w:val="28"/>
        </w:rPr>
        <w:t>, которая определена как «</w:t>
      </w:r>
      <w:r>
        <w:rPr>
          <w:rFonts w:ascii="Times New Roman" w:hAnsi="Times New Roman" w:cs="Times New Roman"/>
          <w:sz w:val="28"/>
          <w:szCs w:val="28"/>
          <w:highlight w:val="yellow"/>
        </w:rPr>
        <w:t>НАЗВАНИЕ ВЫПУСКНОЙ РАБОТЫ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4228CD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проведения производственной практики – </w:t>
      </w:r>
      <w:r w:rsidRPr="00EF3799">
        <w:rPr>
          <w:rFonts w:ascii="Times New Roman" w:hAnsi="Times New Roman" w:cs="Times New Roman"/>
          <w:sz w:val="26"/>
          <w:szCs w:val="26"/>
        </w:rPr>
        <w:t xml:space="preserve">06.04.2026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3799">
        <w:rPr>
          <w:rFonts w:ascii="Times New Roman" w:hAnsi="Times New Roman" w:cs="Times New Roman"/>
          <w:sz w:val="28"/>
          <w:szCs w:val="28"/>
        </w:rPr>
        <w:t xml:space="preserve"> </w:t>
      </w:r>
      <w:r w:rsidRPr="00EF3799">
        <w:rPr>
          <w:rFonts w:ascii="Times New Roman" w:hAnsi="Times New Roman" w:cs="Times New Roman"/>
          <w:sz w:val="26"/>
          <w:szCs w:val="26"/>
        </w:rPr>
        <w:t>30.04.2026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 xml:space="preserve">, место проведения практики – </w:t>
      </w:r>
      <w:r w:rsidRPr="00EF3799">
        <w:rPr>
          <w:rFonts w:ascii="Times New Roman" w:hAnsi="Times New Roman" w:cs="Times New Roman"/>
          <w:sz w:val="28"/>
          <w:szCs w:val="28"/>
        </w:rPr>
        <w:t>Научный центр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228CD" w:rsidRPr="00F55AD1" w:rsidRDefault="00000000" w:rsidP="00F55A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прохождения практики, перечень работ, выполненных в процессе практики:</w:t>
      </w:r>
    </w:p>
    <w:tbl>
      <w:tblPr>
        <w:tblW w:w="153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96"/>
        <w:gridCol w:w="2955"/>
        <w:gridCol w:w="3829"/>
        <w:gridCol w:w="4251"/>
        <w:gridCol w:w="2978"/>
      </w:tblGrid>
      <w:tr w:rsidR="00EF3799" w:rsidTr="00A30518">
        <w:trPr>
          <w:trHeight w:val="63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  <w:tc>
          <w:tcPr>
            <w:tcW w:w="2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Тема занятия / вид работы</w:t>
            </w:r>
          </w:p>
        </w:tc>
        <w:tc>
          <w:tcPr>
            <w:tcW w:w="3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Содержание выполненной работы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Замечания и предложения практиканта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Заключение руководителя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06.04.2026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Установочное занятие. Встреча с руководителем практики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Инструктаж по технике безопасности и пожарной безопасности. Получение и обсуждение индивидуального задания на практику. Ознакомление с требованиями к оформлению дневника и отчёта по практике.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07.04.2026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Изучение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Настройка окружения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Изучение документации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Установка и настройка Python-привязок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-Python. Подключение библиотеки к проекту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Ознакомление с базовыми классами: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SimpleQuote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FlatForward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BlackScholesMertonProcess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08.04.2026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Реализация прайсинга европейского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Реализация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функции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european_put_grid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через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AnalyticEuropeanEngine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Тестирование на параметрах эксперимента: S0=0.5, σ=0.25, r=0.05, T=1. Верификация цен относительно аналитических формул Блэка-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Шоулса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09.04.2026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Прайсинг американского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BinomialVanillaEngine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(CRR)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Реализация функции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american_put_grid_crr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BinomialVanillaEngine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CRR-схемой (500 шагов). Анализ сходимости по числу шагов дерева. Сравнение с собственной реализацией биномиального дерева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</w:t>
            </w:r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Метод</w:t>
            </w:r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Barone-</w:t>
            </w:r>
            <w:proofErr w:type="spellStart"/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Adesi</w:t>
            </w:r>
            <w:proofErr w:type="spellEnd"/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-Whaley (BAW).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Таблица сравнения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Реализация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american_put_grid_baw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через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BaroneAdesiWhaleyApproximationEngine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Сравнение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скорости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точности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: BAW vs CRR (500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шагов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).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Составление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таблицы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цен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BTNet vs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CRR vs BAW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метрикам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MAE, RMSE,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max|err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|.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13.04.2026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 1. Визуализация результатов. Оформление модуля quantlib.py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Построение графиков сравнения цен и погрешностей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plot_prices_with_quantlib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plot_errors_vs_quantlib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). Оформление модуля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btnn_bs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/quantlib.py. Запуск ноутбука btnn-bs-torch-v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2.ipynb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, проверка результатов. Подведение итогов Блока 1.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14.04.2026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Дифференцируемый проход CRR. Delta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европейского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функционального прохода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crr_european_put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в котором S0, σ, r, T — дифференцируемые тензоры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PyTorch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requires_grad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=True). Реализация Delta=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=d2V/dS2 через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torch.autograd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create_graph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=True.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15.04.2026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Верификация относительно Black-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Scholes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Реализация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dσ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Функция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объединяющая все четыре грека. Реализация аналитических формул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bs_greeks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Верификация Delta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относительно BS-формул.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16.04.2026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Анализ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=0. Таблица ошибок. Графики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Выявлен и задокументирован эффект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=0: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ReLU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-сеть является кусочно-линейной функцией S0, поэтому d2V/dS2=0 почти всюду. Реализованы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greeks_error_table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plot_greeks_errors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Построены 4-панельные графики греков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BS.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Греки американского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дифференцируемого прохода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crr_american_put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исправленным индексом времени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time_idx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=n-1-i. Реализация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btnet_american_greeks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american_greeks_fd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центральные конечные разности. Верификация: MAE Delta около 8e-3,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около 3e-3.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 2. Эксперимент с переносом весов. Греки модели с перенесённым W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crr_american_put_fixed_W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btnet_american_greeks_fixed_W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для анализа чувствительностей при фиксированном фильтре W. Сравнение греков аналитической и перенесённой моделей. Вывод: отклонение W на 0.004 искажает Delta на MAE около 8e-3. Оформление ноутбука btnn-bs-torch-v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4.ipynb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21.04.2026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Теоретические основы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Систематизация литературных источников (Шорохов 2024, Black-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Scholes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1973,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Cox-Ross-Rubinstein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1979). Изложение математических основ: биномиальная модель CRR, риск-нейтральное ценообразование, дискретная обратная индукция.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22.04.2026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Задача оптимальной остановки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задачи оптимальной остановки для американских опционов. Математическое обоснование критерия раннего исполнения. Изложение рекуррентного соотношения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V_i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=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S_i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exp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(-r*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)*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(p*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V_up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(1-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p)*</w:t>
            </w:r>
            <w:proofErr w:type="spellStart"/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V_down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)).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23.04.2026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Нейросетевая эквивалентность CRR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архитектурной эквивалентности CRR и нейронных сетей (Теоремы 1 и 2 Шорохова 2024).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как свёрточная сеть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DenseLayer+n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ConvLayer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как сеть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maxout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-активациями. Оформление математических выкладок и схем.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24.04.2026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Оформление и согласование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Структурирование и вычитка первой главы. Добавление иллюстраций архитектур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Согласование содержания главы с научным руководителем.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Описание программного комплекса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пакета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btnn_bs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: архитектуры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n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ConvLayer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n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MaxoutLayer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), инициализация весов согласно Теоремам 1-2. Описание модуля интеграции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методики бенчмаркинга.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28.04.2026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Чувствительности и эксперимент с переносом весов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вычисления греков (Delta,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 через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torch.autograd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Анализ эффекта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=0 у кусочно-линейных сетей. Описание эксперимента с переносом весов European-American и его влияния на чувствительности.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29.04.2026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Анализ результатов. Оформление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Анализ результатов численных экспериментов: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(MAE около 2.8e-4 для аналитической инициализации). Интерпретация ключевых выводов. Оформление второй главы ВКР, подготовка списка литературы.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30.04.2026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Подготовка и сдача отчёта по практике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Финальная вычитка дневника и отчёта по практике. Собеседование с научным руководителем и руководителем практики. Загрузка материалов в систему ТУИС. Сдача дневника и отчёта руководителю практики.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</w:tbl>
    <w:p w:rsidR="00EF3799" w:rsidRDefault="00EF3799">
      <w:pPr>
        <w:pStyle w:val="Heading1"/>
        <w:spacing w:after="280"/>
        <w:rPr>
          <w:sz w:val="28"/>
          <w:szCs w:val="28"/>
          <w:highlight w:val="yellow"/>
          <w:lang w:val="en-US"/>
        </w:rPr>
      </w:pPr>
      <w:bookmarkStart w:id="15" w:name="_Toc158643492"/>
    </w:p>
    <w:p w:rsidR="00EF3799" w:rsidRDefault="00EF3799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EF3799" w:rsidRDefault="00EF3799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EF3799" w:rsidRDefault="00EF3799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EF3799" w:rsidRDefault="00EF3799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F55AD1" w:rsidRDefault="00F55AD1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F55AD1" w:rsidRDefault="00F55AD1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F55AD1" w:rsidRDefault="00F55AD1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F55AD1" w:rsidRDefault="00F55AD1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F55AD1" w:rsidRDefault="00F55AD1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F55AD1" w:rsidRDefault="00F55AD1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F55AD1" w:rsidRDefault="00F55AD1">
      <w:pPr>
        <w:pStyle w:val="Heading1"/>
        <w:spacing w:after="280"/>
        <w:rPr>
          <w:sz w:val="28"/>
          <w:szCs w:val="28"/>
          <w:highlight w:val="yellow"/>
          <w:lang w:val="en-US"/>
        </w:rPr>
      </w:pPr>
    </w:p>
    <w:p w:rsidR="004228CD" w:rsidRPr="00F55AD1" w:rsidRDefault="00000000">
      <w:pPr>
        <w:pStyle w:val="Heading1"/>
        <w:spacing w:after="280"/>
        <w:rPr>
          <w:sz w:val="32"/>
          <w:szCs w:val="32"/>
        </w:rPr>
      </w:pPr>
      <w:r w:rsidRPr="00F55AD1">
        <w:rPr>
          <w:sz w:val="32"/>
          <w:szCs w:val="32"/>
        </w:rPr>
        <w:lastRenderedPageBreak/>
        <w:t>Основная часть</w:t>
      </w:r>
      <w:bookmarkEnd w:id="15"/>
    </w:p>
    <w:p w:rsidR="004228CD" w:rsidRPr="00DF3703" w:rsidRDefault="00000000">
      <w:pPr>
        <w:pStyle w:val="Heading2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 xml:space="preserve">1. Интеграция библиотеки </w:t>
      </w:r>
      <w:proofErr w:type="spellStart"/>
      <w:r w:rsidRPr="00DF3703">
        <w:rPr>
          <w:rFonts w:ascii="Times New Roman" w:hAnsi="Times New Roman" w:cs="Times New Roman"/>
        </w:rPr>
        <w:t>QuantLib</w:t>
      </w:r>
      <w:proofErr w:type="spellEnd"/>
      <w:r w:rsidRPr="00DF3703">
        <w:rPr>
          <w:rFonts w:ascii="Times New Roman" w:hAnsi="Times New Roman" w:cs="Times New Roman"/>
        </w:rPr>
        <w:t xml:space="preserve"> с программным комплексом </w:t>
      </w:r>
      <w:proofErr w:type="spellStart"/>
      <w:r w:rsidRPr="00DF3703">
        <w:rPr>
          <w:rFonts w:ascii="Times New Roman" w:hAnsi="Times New Roman" w:cs="Times New Roman"/>
        </w:rPr>
        <w:t>BTNet</w:t>
      </w:r>
      <w:proofErr w:type="spellEnd"/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 xml:space="preserve">1.1. Описание программного комплекса </w:t>
      </w:r>
      <w:proofErr w:type="spellStart"/>
      <w:r w:rsidRPr="00DF3703">
        <w:rPr>
          <w:rFonts w:ascii="Times New Roman" w:hAnsi="Times New Roman" w:cs="Times New Roman"/>
        </w:rPr>
        <w:t>BTNet</w:t>
      </w:r>
      <w:proofErr w:type="spellEnd"/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Объектом исследования в рамках преддипломной практики является программный комплекс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нейросетевая архитектура, математически эквивалентная биномиальному дереву Кокса–Росса–Рубинштейна (CRR) [2]. Эквивалентность установлена теоремами Шорохова (2024) [3].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Теорема 1 (европейский пут): прямой проход сети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, состоящей из одного плотного слоя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DenseLayer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и n свёрточных слоёв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ConvLayer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), при аналитической инициализации весов точно воспроизводит прямую индукцию CRR-дерева для европейского пут-опциона.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Теорема 2 (американский пут): прямой проход сети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, содержащей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DenseLayer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n слоёв с активациями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maxout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, при аналитической инициализации точно воспроизводит обратную индукцию с учётом условия раннего исполнения.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Веса аналитически инициализируются из параметров CRR: коэффициенты u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σ√Δt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), d = 1/u и риск-нейтральная вероятность p =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rΔt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− d)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 xml:space="preserve">u − d), где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T/n. В экспериментах использовалась архитектура с n = 9 слоями; параметры тестовой задачи: S₀ = 0.5, σ = 0.25, r = 0.05, T = 1 (обучающая выборка — 200 точек, тестовая сетка — 100 точек).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 xml:space="preserve">1.2. Настройка среды и подключение библиотеки </w:t>
      </w:r>
      <w:proofErr w:type="spellStart"/>
      <w:r w:rsidRPr="00DF3703">
        <w:rPr>
          <w:rFonts w:ascii="Times New Roman" w:hAnsi="Times New Roman" w:cs="Times New Roman"/>
        </w:rPr>
        <w:t>QuantLib</w:t>
      </w:r>
      <w:proofErr w:type="spellEnd"/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На первом этапе (07.04.2026) была установлена и настроена библиотека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-Python — Python-привязки к открытой библиотеке количественных финансов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[4]. В ходе работы были изучены базовые классы: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SimpleQuote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объект котирования рыночного параметра, поддерживающий динамическое обновление значения;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FlatForward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плоская кривая безрисковой доходности;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BlackScholesMertonProcess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стохастический процесс БШМ, объединяющий цену актива, дивидендную доходность, безрисковую ставку и волатильность.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Реализованный модуль интеграции 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btnn_bs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/quantlib.py.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1.3. Реализация функций прайсинга опционов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Для бенчмаркинга результатов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реализованы три функции вычисления цен на сетке из 100 значений S₀ при фиксированных K = 1.0, σ = 0.25, r = 0.05, T = 1: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european_put_grid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цены европейского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AnalyticEuropeanEngine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(замкнутая формула Блэка–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Шоулса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[1]). Результаты верифицированы относительно аналитических BS-формул.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american_put_grid_crr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цены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BinomialVanillaEngine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CRR-схемой (500 шагов). Анализ сходимости показал устойчивость результата при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≥ 300; значение при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500 принято в качестве эталона.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american_put_grid_baw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F3703">
        <w:rPr>
          <w:rFonts w:ascii="Times New Roman" w:hAnsi="Times New Roman" w:cs="Times New Roman"/>
          <w:sz w:val="28"/>
          <w:szCs w:val="28"/>
        </w:rPr>
        <w:t>цены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703">
        <w:rPr>
          <w:rFonts w:ascii="Times New Roman" w:hAnsi="Times New Roman" w:cs="Times New Roman"/>
          <w:sz w:val="28"/>
          <w:szCs w:val="28"/>
        </w:rPr>
        <w:t>через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BaroneAdesiWhaleyApproximationEngine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DF3703">
        <w:rPr>
          <w:rFonts w:ascii="Times New Roman" w:hAnsi="Times New Roman" w:cs="Times New Roman"/>
          <w:sz w:val="28"/>
          <w:szCs w:val="28"/>
        </w:rPr>
        <w:t>аналитическое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703">
        <w:rPr>
          <w:rFonts w:ascii="Times New Roman" w:hAnsi="Times New Roman" w:cs="Times New Roman"/>
          <w:sz w:val="28"/>
          <w:szCs w:val="28"/>
        </w:rPr>
        <w:t>приближение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Barone–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Adesi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–Whaley [5]. </w:t>
      </w:r>
      <w:r w:rsidRPr="00DF3703">
        <w:rPr>
          <w:rFonts w:ascii="Times New Roman" w:hAnsi="Times New Roman" w:cs="Times New Roman"/>
          <w:sz w:val="28"/>
          <w:szCs w:val="28"/>
        </w:rPr>
        <w:t>Метод обеспечивает скорость, сопоставимую с аналитической формулой, при точности, близкой к результатам полного дерева CRR.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1.4. Сравнительный анализ точности методов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По итогам Блока 1 проведён сравнительный анализ точности прайсинга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относительно эталонных методов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. В таблице 1 приведены метрики ошибок для аналитической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W) и перенесённой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Transferred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W) инициализаций весов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относительно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BinomialVanillaEngine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CRR (500 шагов).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Таблица 1 — Ошибки прайсинга американского пут-опциона: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CRR (500 шагов)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8"/>
        <w:gridCol w:w="2228"/>
        <w:gridCol w:w="2272"/>
        <w:gridCol w:w="2033"/>
      </w:tblGrid>
      <w:tr w:rsidR="00DF3703" w:rsidRPr="00DF3703" w:rsidTr="00DF3703">
        <w:tc>
          <w:tcPr>
            <w:tcW w:w="3469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Вариант инициализации</w:t>
            </w:r>
          </w:p>
        </w:tc>
        <w:tc>
          <w:tcPr>
            <w:tcW w:w="2275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2322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2071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max|err</w:t>
            </w:r>
            <w:proofErr w:type="spellEnd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DF3703" w:rsidRPr="00DF3703" w:rsidTr="00DF3703">
        <w:tc>
          <w:tcPr>
            <w:tcW w:w="3469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Analytical</w:t>
            </w:r>
            <w:proofErr w:type="spellEnd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 xml:space="preserve"> W</w:t>
            </w:r>
          </w:p>
        </w:tc>
        <w:tc>
          <w:tcPr>
            <w:tcW w:w="2275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2.84·10⁻⁴</w:t>
            </w:r>
          </w:p>
        </w:tc>
        <w:tc>
          <w:tcPr>
            <w:tcW w:w="2322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4.06·10⁻⁴</w:t>
            </w:r>
          </w:p>
        </w:tc>
        <w:tc>
          <w:tcPr>
            <w:tcW w:w="2071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1.10·10⁻³</w:t>
            </w:r>
          </w:p>
        </w:tc>
      </w:tr>
      <w:tr w:rsidR="00DF3703" w:rsidRPr="00DF3703" w:rsidTr="00DF3703">
        <w:tc>
          <w:tcPr>
            <w:tcW w:w="3469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Transferred</w:t>
            </w:r>
            <w:proofErr w:type="spellEnd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 xml:space="preserve"> W</w:t>
            </w:r>
          </w:p>
        </w:tc>
        <w:tc>
          <w:tcPr>
            <w:tcW w:w="2275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4.38·10⁻⁴</w:t>
            </w:r>
          </w:p>
        </w:tc>
        <w:tc>
          <w:tcPr>
            <w:tcW w:w="2322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6.81·10⁻⁴</w:t>
            </w:r>
          </w:p>
        </w:tc>
        <w:tc>
          <w:tcPr>
            <w:tcW w:w="2071" w:type="dxa"/>
          </w:tcPr>
          <w:p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1.71·10⁻³</w:t>
            </w:r>
          </w:p>
        </w:tc>
      </w:tr>
    </w:tbl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Аналитическая инициализация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демонстрирует ошибку прайсинга MAE = 2.84·10⁻⁴, что сопоставимо с численной погрешностью самого метода CRR. Перенос обученных весов европейской модели ухудшает точность приблизительно в 1.5 раза, однако ошибка остаётся на уровне ниже 10⁻³. Результаты визуализированы в ноутбуке btnn-bs-torch-v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4.ipynb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 xml:space="preserve"> с помощью функций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plot_prices_with_quantlib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plot_errors_vs_quantlib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.</w:t>
      </w:r>
    </w:p>
    <w:p w:rsidR="004228CD" w:rsidRPr="00DF3703" w:rsidRDefault="00000000">
      <w:pPr>
        <w:pStyle w:val="Heading2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2. Вычисление чувствительностей опционов через автоматическое дифференцирование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2.1. Реализация чувствительностей европейского пут-опциона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На втором этапе (14.04–15.04.2026) был разработан дифференцируемый вычислительный граф прохода CRR для европейского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. Ключевое отличие от классической реализации состоит в том, что все рыночные параметры (S₀, σ, r, T) передаются как тензоры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флагом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requires_grad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=True, что позволяет применить механизм автоматического дифференцирования.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Реализованные чувствительности (греки):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Delta (Δ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₀) — первая производная цены по цене базового актива;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(Γ = d²V/dS₀²) — вторая производная, вычисляется через </w:t>
      </w:r>
      <w:proofErr w:type="spellStart"/>
      <w:proofErr w:type="gramStart"/>
      <w:r w:rsidRPr="00DF3703">
        <w:rPr>
          <w:rFonts w:ascii="Times New Roman" w:hAnsi="Times New Roman" w:cs="Times New Roman"/>
          <w:sz w:val="28"/>
          <w:szCs w:val="28"/>
        </w:rPr>
        <w:t>torch.autograd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create_graph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=True;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lastRenderedPageBreak/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(ν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dσ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— производная цены по волатильности;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(Θ = –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— производная цены по времени.</w:t>
      </w:r>
    </w:p>
    <w:p w:rsidR="004228CD" w:rsidRPr="00DF3703" w:rsidRDefault="00000000">
      <w:pPr>
        <w:rPr>
          <w:sz w:val="28"/>
          <w:szCs w:val="28"/>
        </w:rPr>
      </w:pPr>
      <w:r w:rsidRPr="00DF3703">
        <w:rPr>
          <w:sz w:val="28"/>
          <w:szCs w:val="28"/>
        </w:rPr>
        <w:t xml:space="preserve">Все четыре грека объединены в функции </w:t>
      </w:r>
      <w:proofErr w:type="spellStart"/>
      <w:r w:rsidRPr="00DF3703">
        <w:rPr>
          <w:sz w:val="28"/>
          <w:szCs w:val="28"/>
        </w:rPr>
        <w:t>btnet_greeks</w:t>
      </w:r>
      <w:proofErr w:type="spellEnd"/>
      <w:r w:rsidRPr="00DF3703">
        <w:rPr>
          <w:sz w:val="28"/>
          <w:szCs w:val="28"/>
        </w:rPr>
        <w:t>. Верификация проводилась относительно аналитических формул Блэка–</w:t>
      </w:r>
      <w:proofErr w:type="spellStart"/>
      <w:r w:rsidRPr="00DF3703">
        <w:rPr>
          <w:sz w:val="28"/>
          <w:szCs w:val="28"/>
        </w:rPr>
        <w:t>Шоулса</w:t>
      </w:r>
      <w:proofErr w:type="spellEnd"/>
      <w:r w:rsidRPr="00DF3703">
        <w:rPr>
          <w:sz w:val="28"/>
          <w:szCs w:val="28"/>
        </w:rPr>
        <w:t xml:space="preserve"> (</w:t>
      </w:r>
      <w:proofErr w:type="spellStart"/>
      <w:r w:rsidRPr="00DF3703">
        <w:rPr>
          <w:sz w:val="28"/>
          <w:szCs w:val="28"/>
        </w:rPr>
        <w:t>bs_greeks</w:t>
      </w:r>
      <w:proofErr w:type="spellEnd"/>
      <w:r w:rsidRPr="00DF3703">
        <w:rPr>
          <w:sz w:val="28"/>
          <w:szCs w:val="28"/>
        </w:rPr>
        <w:t xml:space="preserve">): отклонения Delta и </w:t>
      </w:r>
      <w:proofErr w:type="spellStart"/>
      <w:r w:rsidRPr="00DF3703">
        <w:rPr>
          <w:sz w:val="28"/>
          <w:szCs w:val="28"/>
        </w:rPr>
        <w:t>Vega</w:t>
      </w:r>
      <w:proofErr w:type="spellEnd"/>
      <w:r w:rsidRPr="00DF3703">
        <w:rPr>
          <w:sz w:val="28"/>
          <w:szCs w:val="28"/>
        </w:rPr>
        <w:t xml:space="preserve"> составили менее 1·10⁻⁴ на тестовой сетке параметров.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 xml:space="preserve">2.2. Эффект </w:t>
      </w:r>
      <w:proofErr w:type="spellStart"/>
      <w:r w:rsidRPr="00DF3703">
        <w:rPr>
          <w:rFonts w:ascii="Times New Roman" w:hAnsi="Times New Roman" w:cs="Times New Roman"/>
        </w:rPr>
        <w:t>Gamma</w:t>
      </w:r>
      <w:proofErr w:type="spellEnd"/>
      <w:r w:rsidRPr="00DF3703">
        <w:rPr>
          <w:rFonts w:ascii="Times New Roman" w:hAnsi="Times New Roman" w:cs="Times New Roman"/>
        </w:rPr>
        <w:t xml:space="preserve"> = 0 у кусочно-линейных нейронных сетей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В ходе анализа был выявлен и задокументирован принципиальный эффект, обусловленный архитектурой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. Поскольку сеть использует функции активации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, она является кусочно-линейной функцией от S₀. Следовательно, вторая производная d²V/dS₀² равна нулю почти всюду — между точками излома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вторая производная тождественно равна нулю, а в самих точках излома она не определена. Это означает, что вычисление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DF3703">
        <w:rPr>
          <w:rFonts w:ascii="Times New Roman" w:hAnsi="Times New Roman" w:cs="Times New Roman"/>
          <w:sz w:val="28"/>
          <w:szCs w:val="28"/>
        </w:rPr>
        <w:t>torch.autograd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дает результат, идентичный нулю.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Данное ограничение является фундаментальным свойством архитектур с кусочно-линейными активациями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Leaky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и документировано в ноутбуке btnn-bs-torch-v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4.ipynb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 xml:space="preserve">. Потенциальное решение — замена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на гладкие функции активации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SiLU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, GELU, ELU), однако это нарушило бы точную эквивалентность с CRR-деревом, установленную теоремами Шорохова.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2.3. Реализация чувствительностей американского пут-опциона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На основе разработанного в Блоке 2 дифференцируемого прохода (16.04–17.04.2026) была реализована функция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btnet_american_greeks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для вычисления греков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. В отличие от европейского случая, обратная индукция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включает операцию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для учёта условия раннего исполнения, что требует аккуратного управления индексами времени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time_idx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n − 1 − i).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Для верификации результатов реализована функция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american_greeks_fd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на основе центральных конечных разностей. В таблице 2 приведены метрики ошибок для каждого грека.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Таблица 2 — Ошибки греков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autograd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центральные конечные разности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Грек      MAE         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max|diff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|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Delta     7.92·10⁻³   9.25·10⁻²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    0            0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     3.31·10⁻³   3.65·10⁻²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    4.13·10⁻⁴   4.57·10⁻³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Расхождение между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autograd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-оценками и конечными разностями для Delta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объясняется кусочно-линейностью сети (эффект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0, раздел 2.2).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де</w:t>
      </w:r>
      <w:r w:rsidRPr="00DF3703">
        <w:rPr>
          <w:rFonts w:ascii="Times New Roman" w:hAnsi="Times New Roman" w:cs="Times New Roman"/>
          <w:sz w:val="28"/>
          <w:szCs w:val="28"/>
        </w:rPr>
        <w:lastRenderedPageBreak/>
        <w:t xml:space="preserve">монстрирует наилучшее совпадение ввиду гладкости зависимости по временному параметру.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равна нулю для обоих методов по той же причине.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2.4. Эксперимент с переносом весов European → American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На этапе 20.04.2026 был проведён эксперимент по исследованию влияния переноса весов, обученных на европейской модели, на качество чувствительностей американской. Аналитические и перенесённые веса сравниваются следующим образом: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W: [0.4847, 0.5097]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Transferred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W: [0.4889, 0.5063]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— Отклонение ΔW: [+0.0042, −0.0034]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Для анализа чувствительностей при фиксированном весовом фильтре W реализованы функции _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crr_american_put_fixed_W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btnet_american_greeks_fixed_W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. Различие в сумме весов: аналитическая сумма W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(−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rΔt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= 0.9944, перенесённая — 0.9952. В таблице 3 представлены метрики расхождения чувствительностей между двумя вариантами весов.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Таблица 3 — Влияние переноса весов на чувствительности: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Transferred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Грек      MAE         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max|diff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|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Delta     7.92·10⁻³   9.25·10⁻²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    0            0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     3.31·10⁻³   3.65·10⁻²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    4.13·10⁻⁴   4.57·10⁻³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Результаты показывают, что отклонение весового фильтра на ΔW ≈ 0.004 приводит к искажению Delta на MAE ≈ 7.9·10⁻³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на MAE ≈ 3.3·10⁻³. Это свидетельствует о чувствительности греков второго порядка к точности инициализации весов, что является важным практическим выводом при применении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весами, полученными в процессе обучения, а не из аналитической формулы. Полученные результаты оформлены в ноутбуке btnn-bs-torch-v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4.ipynb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</w:t>
      </w:r>
    </w:p>
    <w:p w:rsidR="004228CD" w:rsidRPr="00DF3703" w:rsidRDefault="00000000">
      <w:pPr>
        <w:pStyle w:val="Heading2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3. Работа над выпускной квалификационной работой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3.1. Написание первой главы ВКР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В период с 21 по 24 апреля 2026 г. велась работа по написанию первой главы ВКР «Оценка американских опционов нейронной сети на основе биномиального дерева». Первая глава включает следующие разделы.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Биномиальная модель CRR. Изложены математические основы модели Кокса–Росса–Рубинштейна [2]: коэффициенты роста u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σ√Δt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и убывания d = 1/u; риск-нейтральная вероятность p =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rΔt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− d)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u − d); дисконтированная обрат</w:t>
      </w:r>
      <w:r w:rsidRPr="00DF3703">
        <w:rPr>
          <w:rFonts w:ascii="Times New Roman" w:hAnsi="Times New Roman" w:cs="Times New Roman"/>
          <w:sz w:val="28"/>
          <w:szCs w:val="28"/>
        </w:rPr>
        <w:lastRenderedPageBreak/>
        <w:t>ная индукция для вычисления цены опциона в терминальных и промежуточных узлах дерева.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Задача оптимальной остановки для американских опционов. Описан критерий раннего исполнения и рекуррентное соотношение для американского пут-опциона: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F3703">
        <w:rPr>
          <w:rFonts w:ascii="Times New Roman" w:hAnsi="Times New Roman" w:cs="Times New Roman"/>
          <w:sz w:val="28"/>
          <w:szCs w:val="28"/>
        </w:rPr>
        <w:t>ᵢ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F3703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DF3703">
        <w:rPr>
          <w:rFonts w:ascii="Times New Roman" w:hAnsi="Times New Roman" w:cs="Times New Roman"/>
          <w:sz w:val="28"/>
          <w:szCs w:val="28"/>
          <w:lang w:val="en-US"/>
        </w:rPr>
        <w:t>K − S</w:t>
      </w:r>
      <w:r w:rsidRPr="00DF3703">
        <w:rPr>
          <w:rFonts w:ascii="Times New Roman" w:hAnsi="Times New Roman" w:cs="Times New Roman"/>
          <w:sz w:val="28"/>
          <w:szCs w:val="28"/>
        </w:rPr>
        <w:t>ᵢ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>, exp(−r</w:t>
      </w:r>
      <w:r w:rsidRPr="00DF3703">
        <w:rPr>
          <w:rFonts w:ascii="Times New Roman" w:hAnsi="Times New Roman" w:cs="Times New Roman"/>
          <w:sz w:val="28"/>
          <w:szCs w:val="28"/>
        </w:rPr>
        <w:t>Δ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t) · (p ·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V_up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+ (1 − p) ·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V_down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Нейросетевая эквивалентность биномиального дерева. Изложено содержание Теорем 1 и 2 из работы Шорохова (2024) [3]: формальное доказательство эквивалентности архитектур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биномиальному дереву CRR при аналитической инициализации весов. Включены схемы обеих архитектур; материал согласован с научным руководителем.</w:t>
      </w:r>
    </w:p>
    <w:p w:rsidR="004228CD" w:rsidRPr="00DF3703" w:rsidRDefault="00000000">
      <w:pPr>
        <w:pStyle w:val="Heading3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3.2. Написание второй главы ВКР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В период с 27 по 29 апреля 2026 г. написана вторая глава ВКР, охватывающая следующие аспекты: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Описание пакета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btnn_bs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: архитектуры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DenseLayer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+ n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ConvLayer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DenseLayer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+ n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MaxoutLayer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), процедура аналитической инициализации весов согласно Теоремам 1–2.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Описание методики бенчмаркинга с использованием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: функции прайсинга, метрики оценки качества (MAE, RMSE,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max|err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|).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Описание методики вычисления греков через </w:t>
      </w:r>
      <w:proofErr w:type="spellStart"/>
      <w:proofErr w:type="gramStart"/>
      <w:r w:rsidRPr="00DF3703">
        <w:rPr>
          <w:rFonts w:ascii="Times New Roman" w:hAnsi="Times New Roman" w:cs="Times New Roman"/>
          <w:sz w:val="28"/>
          <w:szCs w:val="28"/>
        </w:rPr>
        <w:t>torch.autograd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; анализ эффекта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0.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— Описание и анализ эксперимента с переносом весов European → American.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Итоговый анализ численных результатов: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аналитической инициализацией обеспечивает MAE = 2.84·10⁻⁴ относительно эталона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CRR (500 шагов), что подтверждает корректность теоретической эквивалентности на практике.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По завершении главы сформирован список литературы; оформление согласовано с научным руководителем.</w:t>
      </w:r>
    </w:p>
    <w:p w:rsidR="004228CD" w:rsidRPr="00DF3703" w:rsidRDefault="000000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F3703">
        <w:rPr>
          <w:rFonts w:ascii="Times New Roman" w:hAnsi="Times New Roman" w:cs="Times New Roman"/>
          <w:sz w:val="28"/>
          <w:szCs w:val="28"/>
        </w:rPr>
        <w:br w:type="page" w:clear="all"/>
      </w:r>
    </w:p>
    <w:p w:rsidR="004228CD" w:rsidRPr="00DF3703" w:rsidRDefault="00000000">
      <w:pPr>
        <w:pStyle w:val="Heading1"/>
        <w:spacing w:after="280"/>
        <w:rPr>
          <w:sz w:val="32"/>
          <w:szCs w:val="32"/>
        </w:rPr>
      </w:pPr>
      <w:bookmarkStart w:id="16" w:name="_Toc158643493"/>
      <w:r w:rsidRPr="00DF3703">
        <w:rPr>
          <w:sz w:val="32"/>
          <w:szCs w:val="32"/>
        </w:rPr>
        <w:lastRenderedPageBreak/>
        <w:t>Заключение</w:t>
      </w:r>
      <w:bookmarkEnd w:id="16"/>
    </w:p>
    <w:p w:rsidR="004228CD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практики, которая осуществлялась в </w:t>
      </w:r>
      <w:r w:rsidRPr="00EF3799">
        <w:rPr>
          <w:rFonts w:ascii="Times New Roman" w:hAnsi="Times New Roman" w:cs="Times New Roman"/>
          <w:sz w:val="26"/>
          <w:szCs w:val="26"/>
        </w:rPr>
        <w:t>Научном центре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</w:rPr>
        <w:t xml:space="preserve">, были достигнуты все цели и решены все поставленные задачи, определенные в программе </w:t>
      </w:r>
      <w:r w:rsidRPr="00EF3799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EF3799">
        <w:rPr>
          <w:rFonts w:ascii="Times New Roman" w:hAnsi="Times New Roman" w:cs="Times New Roman"/>
          <w:sz w:val="28"/>
          <w:szCs w:val="28"/>
        </w:rPr>
        <w:t>преддипмолной</w:t>
      </w:r>
      <w:proofErr w:type="spellEnd"/>
      <w:r w:rsidRPr="00EF3799">
        <w:rPr>
          <w:rFonts w:ascii="Times New Roman" w:hAnsi="Times New Roman" w:cs="Times New Roman"/>
          <w:sz w:val="28"/>
          <w:szCs w:val="28"/>
        </w:rPr>
        <w:t xml:space="preserve"> практики</w:t>
      </w:r>
      <w:r>
        <w:rPr>
          <w:rFonts w:ascii="Times New Roman" w:hAnsi="Times New Roman" w:cs="Times New Roman"/>
          <w:sz w:val="28"/>
          <w:szCs w:val="28"/>
        </w:rPr>
        <w:t xml:space="preserve"> направления подготовки </w:t>
      </w:r>
      <w:r w:rsidRPr="00EF3799">
        <w:rPr>
          <w:rFonts w:ascii="Times New Roman" w:hAnsi="Times New Roman" w:cs="Times New Roman"/>
          <w:sz w:val="28"/>
          <w:szCs w:val="28"/>
        </w:rPr>
        <w:t>02.03.01 «Математика и компьютерные науки», специализация «Математика и компьютерные науки»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228CD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При прохождении практики я разобрался с научной терминологией области исследований; научился осуществлять сбор, анализ и обработку данных, необходимых для решения профессиональных задач;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осуществлять целенаправленный поиск информации о новейших научных и технологических достижениях в сети Интернет и из других источников; строить и анализировать математические модели объекта исследований; разрабатывать и отлаживать вспомогательные программные комплексы; проводить численный эксперимент; оформлять результаты своих исследований. Также я о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владел </w:t>
      </w:r>
      <w:r>
        <w:rPr>
          <w:rFonts w:ascii="Times New Roman" w:hAnsi="Times New Roman" w:cs="Times New Roman"/>
          <w:sz w:val="28"/>
          <w:szCs w:val="28"/>
          <w:highlight w:val="yellow"/>
        </w:rPr>
        <w:t>необходимым математическим и программным аппаратом исследований;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исследований.</w:t>
      </w:r>
    </w:p>
    <w:p w:rsidR="004228CD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прохождения данной практики мной были получены следующие практические навыки, умения, универсальные и </w:t>
      </w:r>
      <w:r>
        <w:rPr>
          <w:rFonts w:ascii="Times New Roman" w:hAnsi="Times New Roman" w:cs="Times New Roman"/>
          <w:spacing w:val="-3"/>
          <w:sz w:val="28"/>
          <w:szCs w:val="28"/>
        </w:rPr>
        <w:t>профессиональные компетенции: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к самоорганизации и к самообразованию;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к самостоятельной научно-исследовательской работе;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находить, анализировать, реализовывать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 xml:space="preserve"> и использовать на практике математические алгоритмы, в том числе с применением современных вычислительных систем;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способностью к определению общих форм и закономерностей отдельной предметной области;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математически корректно ставить естественнонаучные задачи, знание постановок классических задач математики;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строго доказать утверждение, сформулировать результат, увидеть следствия полученного результата;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публично представлять собственные и известные научные результаты;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использовать методы математического и алгоритмического моделирования при решении теоретических и прикладных задач; 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передавать результат проведенных физико-математических и прикладных исследований в виде конкретных рекомендаций, выраженной в терминах предметной области изучавшегося явления;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представлять и адаптировать знания с учетом уровня аудитории;</w:t>
      </w:r>
    </w:p>
    <w:p w:rsidR="004228CD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способностью к проведению методических и экспертных работ в области математики.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Выполненные в ходе преддипломной практики работы непосредственно направлены на подготовку выпускной квалификационной работы «Оценка американских опционов нейронной сети на основе биномиального дерева». Реализованный программный комплекс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btnn_bs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, включающий интеграцию с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модуль вычисления чувствительностей через автоматическое дифференцирование, составит основу программной части ВКР. Полученные результаты численных экспериментов (MAE прайсинга ≈ 2.84·10⁻⁴ для аналитической инициализации) и выявленные закономерности (эффект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0 для кусочно-линейных сетей, влияние точности весов на чувствительности) будут отражены в аналитических разделах ВКР.</w:t>
      </w:r>
    </w:p>
    <w:tbl>
      <w:tblPr>
        <w:tblW w:w="9812" w:type="dxa"/>
        <w:jc w:val="center"/>
        <w:tblLayout w:type="fixed"/>
        <w:tblLook w:val="04A0" w:firstRow="1" w:lastRow="0" w:firstColumn="1" w:lastColumn="0" w:noHBand="0" w:noVBand="1"/>
      </w:tblPr>
      <w:tblGrid>
        <w:gridCol w:w="6091"/>
        <w:gridCol w:w="2834"/>
        <w:gridCol w:w="887"/>
      </w:tblGrid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Максимальное число баллов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Факт</w:t>
            </w: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 в подписном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Pr="00EF3799" w:rsidRDefault="00000000">
            <w:pPr>
              <w:pStyle w:val="a"/>
            </w:pPr>
            <w:r>
              <w:rPr>
                <w:rFonts w:eastAsia="Calibri"/>
                <w:b/>
              </w:rPr>
              <w:t>5</w:t>
            </w:r>
            <w:r>
              <w:rPr>
                <w:rFonts w:eastAsia="Calibri"/>
              </w:rPr>
              <w:t xml:space="preserve"> – если до </w:t>
            </w:r>
            <w:r w:rsidRPr="00EF3799">
              <w:t>06.04.2026</w:t>
            </w:r>
            <w:r>
              <w:rPr>
                <w:rFonts w:eastAsia="Calibri"/>
              </w:rPr>
              <w:t>.</w:t>
            </w:r>
          </w:p>
          <w:p w:rsidR="004228CD" w:rsidRDefault="00422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Недопуск к практике – если позже.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до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14.04.2026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:rsidR="004228CD" w:rsidRDefault="00422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0-5 – если позже.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отчета практики требованиям рабочей программы и ФОС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Своевременное представление дневника и отчёта по практике в ТУИС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если до </w:t>
            </w:r>
            <w:r w:rsidRPr="00EF3799">
              <w:rPr>
                <w:rFonts w:ascii="Times New Roman" w:eastAsia="Times New Roman" w:hAnsi="Times New Roman" w:cs="Times New Roman"/>
              </w:rPr>
              <w:t>30.04.2026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4228CD" w:rsidRDefault="00422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Незачет – если позже.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Тезисы до 3 стр.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 бонусных балла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Статья свыше 3 стр.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 бонусных балла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17" w:name="_Hlk207552705"/>
            <w:bookmarkEnd w:id="17"/>
          </w:p>
        </w:tc>
      </w:tr>
    </w:tbl>
    <w:p w:rsidR="004228CD" w:rsidRDefault="000000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:rsidR="004228CD" w:rsidRPr="00DF3703" w:rsidRDefault="00000000">
      <w:pPr>
        <w:pStyle w:val="Heading1"/>
        <w:spacing w:after="280"/>
        <w:rPr>
          <w:sz w:val="32"/>
          <w:szCs w:val="32"/>
        </w:rPr>
      </w:pPr>
      <w:bookmarkStart w:id="18" w:name="_Toc158643494"/>
      <w:r w:rsidRPr="00DF3703">
        <w:rPr>
          <w:sz w:val="32"/>
          <w:szCs w:val="32"/>
        </w:rPr>
        <w:lastRenderedPageBreak/>
        <w:t>Список источников</w:t>
      </w:r>
      <w:bookmarkEnd w:id="18"/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>1. Black F., Scholes M. The Pricing of Options and Corporate Liabilities // The Journal of Political Economy. — 1973. — Vol. 81, No. 3. — P. 637–654.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>2. Cox J.C., Ross S.A., Rubinstein M. Option Pricing: A Simplified Approach // Journal of Financial Economics. — 1979. — Vol. 7, No. 3. — P. 229–263.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3. Шорохов Ф.В. Нейросетевая интерпретация биномиального дерева Кокса–Росса–Рубинштейна. — 2024.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>: A Free/Open-Source Library for Quantitative Finance [</w:t>
      </w:r>
      <w:r w:rsidRPr="00DF3703">
        <w:rPr>
          <w:rFonts w:ascii="Times New Roman" w:hAnsi="Times New Roman" w:cs="Times New Roman"/>
          <w:sz w:val="28"/>
          <w:szCs w:val="28"/>
        </w:rPr>
        <w:t>Электронный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703">
        <w:rPr>
          <w:rFonts w:ascii="Times New Roman" w:hAnsi="Times New Roman" w:cs="Times New Roman"/>
          <w:sz w:val="28"/>
          <w:szCs w:val="28"/>
        </w:rPr>
        <w:t>ресурс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>]. — URL: https://www.quantlib.org/ (</w:t>
      </w:r>
      <w:r w:rsidRPr="00DF3703">
        <w:rPr>
          <w:rFonts w:ascii="Times New Roman" w:hAnsi="Times New Roman" w:cs="Times New Roman"/>
          <w:sz w:val="28"/>
          <w:szCs w:val="28"/>
        </w:rPr>
        <w:t>дата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703">
        <w:rPr>
          <w:rFonts w:ascii="Times New Roman" w:hAnsi="Times New Roman" w:cs="Times New Roman"/>
          <w:sz w:val="28"/>
          <w:szCs w:val="28"/>
        </w:rPr>
        <w:t>обращения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>: 21.04.2026).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>5. Barone-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Adesi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G., Whaley R.E. Efficient Analytic Approximation of American Option Values // The Journal of Finance. — 1987. — Vol. 42, No. 2. — P. 301–320.</w:t>
      </w:r>
    </w:p>
    <w:p w:rsidR="004228CD" w:rsidRPr="00DF370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Paszke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A. et al.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>: An Imperative Style, High-Performance Deep Learning Library // Advances in Neural Information Processing Systems. — 2019. — Vol. 32.</w:t>
      </w:r>
    </w:p>
    <w:p w:rsidR="004228CD" w:rsidRPr="00EF3799" w:rsidRDefault="004228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228CD" w:rsidRPr="00EF3799">
      <w:footerReference w:type="even" r:id="rId8"/>
      <w:footerReference w:type="default" r:id="rId9"/>
      <w:footerReference w:type="first" r:id="rId10"/>
      <w:pgSz w:w="11906" w:h="16838"/>
      <w:pgMar w:top="851" w:right="567" w:bottom="851" w:left="1418" w:header="0" w:footer="30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25C2" w:rsidRDefault="00F025C2">
      <w:pPr>
        <w:spacing w:after="0" w:line="240" w:lineRule="auto"/>
      </w:pPr>
      <w:r>
        <w:separator/>
      </w:r>
    </w:p>
  </w:endnote>
  <w:endnote w:type="continuationSeparator" w:id="0">
    <w:p w:rsidR="00F025C2" w:rsidRDefault="00F02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28CD" w:rsidRDefault="004228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28CD" w:rsidRDefault="004228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28CD" w:rsidRDefault="004228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25C2" w:rsidRDefault="00F025C2">
      <w:pPr>
        <w:spacing w:after="0" w:line="240" w:lineRule="auto"/>
      </w:pPr>
      <w:r>
        <w:separator/>
      </w:r>
    </w:p>
  </w:footnote>
  <w:footnote w:type="continuationSeparator" w:id="0">
    <w:p w:rsidR="00F025C2" w:rsidRDefault="00F02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6F4"/>
    <w:multiLevelType w:val="multilevel"/>
    <w:tmpl w:val="760E79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0B003D"/>
    <w:multiLevelType w:val="multilevel"/>
    <w:tmpl w:val="9D6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906C47"/>
    <w:multiLevelType w:val="multilevel"/>
    <w:tmpl w:val="434E8D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0E037E7"/>
    <w:multiLevelType w:val="multilevel"/>
    <w:tmpl w:val="B1B866A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2D47784"/>
    <w:multiLevelType w:val="multilevel"/>
    <w:tmpl w:val="C51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8B17EB7"/>
    <w:multiLevelType w:val="multilevel"/>
    <w:tmpl w:val="1FB836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AA40CCC"/>
    <w:multiLevelType w:val="multilevel"/>
    <w:tmpl w:val="57B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2462B1"/>
    <w:multiLevelType w:val="multilevel"/>
    <w:tmpl w:val="DD68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C522665"/>
    <w:multiLevelType w:val="multilevel"/>
    <w:tmpl w:val="4A6800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232614821">
    <w:abstractNumId w:val="6"/>
  </w:num>
  <w:num w:numId="2" w16cid:durableId="1691222226">
    <w:abstractNumId w:val="1"/>
  </w:num>
  <w:num w:numId="3" w16cid:durableId="108862929">
    <w:abstractNumId w:val="7"/>
  </w:num>
  <w:num w:numId="4" w16cid:durableId="62027467">
    <w:abstractNumId w:val="4"/>
  </w:num>
  <w:num w:numId="5" w16cid:durableId="1801418447">
    <w:abstractNumId w:val="3"/>
  </w:num>
  <w:num w:numId="6" w16cid:durableId="419525425">
    <w:abstractNumId w:val="8"/>
  </w:num>
  <w:num w:numId="7" w16cid:durableId="681904754">
    <w:abstractNumId w:val="0"/>
  </w:num>
  <w:num w:numId="8" w16cid:durableId="1132282385">
    <w:abstractNumId w:val="5"/>
  </w:num>
  <w:num w:numId="9" w16cid:durableId="1894657012">
    <w:abstractNumId w:val="7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0" w16cid:durableId="1532955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CD"/>
    <w:rsid w:val="004228CD"/>
    <w:rsid w:val="00684EB6"/>
    <w:rsid w:val="00766AC7"/>
    <w:rsid w:val="00DF3703"/>
    <w:rsid w:val="00EF3799"/>
    <w:rsid w:val="00F025C2"/>
    <w:rsid w:val="00F55AD1"/>
    <w:rsid w:val="00F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DB2BF"/>
  <w15:docId w15:val="{B100859C-4C14-8940-9211-EC37D42D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Heading"/>
    <w:next w:val="BodyText"/>
    <w:link w:val="Heading5Char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wmi-callto">
    <w:name w:val="wmi-callto"/>
    <w:basedOn w:val="DefaultParagraphFont"/>
    <w:qFormat/>
  </w:style>
  <w:style w:type="character" w:customStyle="1" w:styleId="SubtitleChar1">
    <w:name w:val="Subtitle Char1"/>
    <w:basedOn w:val="DefaultParagraphFont"/>
    <w:link w:val="Subtitle"/>
    <w:uiPriority w:val="11"/>
    <w:qFormat/>
    <w:rPr>
      <w:rFonts w:eastAsiaTheme="minorEastAsia"/>
      <w:color w:val="5A5A5A" w:themeColor="text1" w:themeTint="A5"/>
      <w:spacing w:val="15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paragraph" w:styleId="TOC1">
    <w:name w:val="toc 1"/>
    <w:basedOn w:val="Normal"/>
    <w:next w:val="Normal"/>
    <w:uiPriority w:val="39"/>
    <w:unhideWhenUsed/>
    <w:pPr>
      <w:spacing w:after="10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Subtitle">
    <w:name w:val="Subtitle"/>
    <w:basedOn w:val="Normal"/>
    <w:next w:val="Normal"/>
    <w:link w:val="SubtitleChar1"/>
    <w:uiPriority w:val="11"/>
    <w:qFormat/>
    <w:rPr>
      <w:rFonts w:eastAsiaTheme="minorEastAsia"/>
      <w:color w:val="5A5A5A" w:themeColor="text1" w:themeTint="A5"/>
      <w:spacing w:val="15"/>
    </w:rPr>
  </w:style>
  <w:style w:type="paragraph" w:customStyle="1" w:styleId="a">
    <w:name w:val="Содержимое таблицы"/>
    <w:basedOn w:val="Normal"/>
    <w:qFormat/>
    <w:pPr>
      <w:widowControl w:val="0"/>
      <w:suppressLineNumbers/>
      <w:spacing w:after="0" w:line="240" w:lineRule="auto"/>
    </w:pPr>
    <w:rPr>
      <w:rFonts w:ascii="Times New Roman" w:eastAsia="Liberation Sans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EDFE1-5E98-0D45-BE2A-E949C234A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4135</Words>
  <Characters>23572</Characters>
  <Application>Microsoft Office Word</Application>
  <DocSecurity>0</DocSecurity>
  <Lines>196</Lines>
  <Paragraphs>55</Paragraphs>
  <ScaleCrop>false</ScaleCrop>
  <Company/>
  <LinksUpToDate>false</LinksUpToDate>
  <CharactersWithSpaces>27652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Петров Артем</cp:lastModifiedBy>
  <cp:revision>2</cp:revision>
  <dcterms:created xsi:type="dcterms:W3CDTF">2026-04-21T21:31:00Z</dcterms:created>
  <dcterms:modified xsi:type="dcterms:W3CDTF">2026-04-21T21:31:00Z</dcterms:modified>
  <dc:language>ru-RU</dc:language>
</cp:coreProperties>
</file>