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0211" w:rsidRPr="00613AE6" w:rsidRDefault="007D0211" w:rsidP="007D0211">
      <w:pPr>
        <w:rPr>
          <w:rFonts w:asciiTheme="majorEastAsia" w:eastAsiaTheme="majorEastAsia" w:hAnsiTheme="majorEastAsia" w:hint="eastAsia"/>
          <w:sz w:val="22"/>
          <w:szCs w:val="22"/>
        </w:rPr>
      </w:pPr>
      <w:r w:rsidRPr="00613AE6">
        <w:rPr>
          <w:rFonts w:asciiTheme="majorEastAsia" w:eastAsiaTheme="majorEastAsia" w:hAnsiTheme="majorEastAsia" w:hint="eastAsia"/>
          <w:b/>
          <w:bCs/>
          <w:sz w:val="36"/>
          <w:szCs w:val="36"/>
        </w:rPr>
        <w:t>王乐桓</w:t>
      </w:r>
      <w:r w:rsidRPr="00613AE6">
        <w:rPr>
          <w:rFonts w:asciiTheme="majorEastAsia" w:eastAsiaTheme="majorEastAsia" w:hAnsiTheme="majorEastAsia"/>
          <w:b/>
          <w:bCs/>
          <w:sz w:val="36"/>
          <w:szCs w:val="36"/>
        </w:rPr>
        <w:t xml:space="preserve"> </w:t>
      </w:r>
      <w:r w:rsidRPr="00613AE6">
        <w:rPr>
          <w:rFonts w:asciiTheme="majorEastAsia" w:eastAsiaTheme="majorEastAsia" w:hAnsiTheme="majorEastAsia"/>
          <w:b/>
          <w:bCs/>
          <w:sz w:val="36"/>
          <w:szCs w:val="36"/>
        </w:rPr>
        <w:tab/>
      </w:r>
      <w:r w:rsidRPr="00613AE6">
        <w:rPr>
          <w:rFonts w:asciiTheme="majorEastAsia" w:eastAsiaTheme="majorEastAsia" w:hAnsiTheme="majorEastAsia"/>
          <w:sz w:val="21"/>
          <w:szCs w:val="21"/>
        </w:rPr>
        <w:t xml:space="preserve">+86 18518230249 | </w:t>
      </w:r>
      <w:r w:rsidRPr="00613AE6">
        <w:rPr>
          <w:rFonts w:asciiTheme="majorEastAsia" w:eastAsiaTheme="majorEastAsia" w:hAnsiTheme="majorEastAsia" w:cs="Times New Roman"/>
          <w:sz w:val="21"/>
          <w:szCs w:val="21"/>
        </w:rPr>
        <w:t>wlele108@chicagobooth.edu</w:t>
      </w:r>
      <w:r w:rsidRPr="00613AE6">
        <w:rPr>
          <w:rFonts w:asciiTheme="majorEastAsia" w:eastAsiaTheme="majorEastAsia" w:hAnsiTheme="majorEastAsia"/>
          <w:sz w:val="21"/>
          <w:szCs w:val="21"/>
        </w:rPr>
        <w:t xml:space="preserve"> </w:t>
      </w:r>
      <w:r w:rsidR="006954F5">
        <w:rPr>
          <w:rFonts w:asciiTheme="majorEastAsia" w:eastAsiaTheme="majorEastAsia" w:hAnsiTheme="majorEastAsia" w:hint="eastAsia"/>
          <w:sz w:val="21"/>
          <w:szCs w:val="21"/>
        </w:rPr>
        <w:t>｜</w:t>
      </w:r>
      <w:r w:rsidR="006954F5" w:rsidRPr="006954F5">
        <w:rPr>
          <w:rFonts w:asciiTheme="majorEastAsia" w:eastAsiaTheme="majorEastAsia" w:hAnsiTheme="majorEastAsia"/>
          <w:sz w:val="21"/>
          <w:szCs w:val="21"/>
        </w:rPr>
        <w:t>https://wlele108.github.io/</w:t>
      </w:r>
      <w:r w:rsidR="00947222">
        <w:rPr>
          <w:rFonts w:asciiTheme="majorEastAsia" w:eastAsiaTheme="majorEastAsia" w:hAnsiTheme="majorEastAsia"/>
          <w:sz w:val="21"/>
          <w:szCs w:val="21"/>
        </w:rPr>
        <w:t xml:space="preserve"> </w:t>
      </w:r>
    </w:p>
    <w:p w:rsidR="007D0211" w:rsidRPr="00613AE6" w:rsidRDefault="007D0211" w:rsidP="007D0211">
      <w:pPr>
        <w:pBdr>
          <w:bottom w:val="single" w:sz="4" w:space="1" w:color="auto"/>
        </w:pBdr>
        <w:rPr>
          <w:rFonts w:asciiTheme="majorEastAsia" w:eastAsiaTheme="majorEastAsia" w:hAnsiTheme="majorEastAsia"/>
          <w:b/>
          <w:sz w:val="28"/>
          <w:szCs w:val="28"/>
        </w:rPr>
      </w:pPr>
      <w:r w:rsidRPr="00613AE6">
        <w:rPr>
          <w:rFonts w:asciiTheme="majorEastAsia" w:eastAsiaTheme="majorEastAsia" w:hAnsiTheme="majorEastAsia" w:hint="eastAsia"/>
          <w:b/>
          <w:sz w:val="28"/>
          <w:szCs w:val="28"/>
        </w:rPr>
        <w:t>教育背景</w:t>
      </w:r>
    </w:p>
    <w:p w:rsidR="003C4414" w:rsidRPr="00613AE6" w:rsidRDefault="003C4414" w:rsidP="003C4414">
      <w:pPr>
        <w:pStyle w:val="ResumeAlignRight"/>
        <w:rPr>
          <w:rFonts w:asciiTheme="majorEastAsia" w:eastAsiaTheme="majorEastAsia" w:hAnsiTheme="majorEastAsia"/>
          <w:sz w:val="21"/>
          <w:szCs w:val="21"/>
        </w:rPr>
      </w:pPr>
      <w:r>
        <w:rPr>
          <w:rFonts w:asciiTheme="majorEastAsia" w:eastAsiaTheme="majorEastAsia" w:hAnsiTheme="majorEastAsia" w:hint="eastAsia"/>
          <w:b/>
          <w:sz w:val="22"/>
          <w:szCs w:val="22"/>
        </w:rPr>
        <w:t>芝加哥大学</w:t>
      </w:r>
      <w:r w:rsidRPr="00613AE6">
        <w:rPr>
          <w:rFonts w:asciiTheme="majorEastAsia" w:eastAsiaTheme="majorEastAsia" w:hAnsiTheme="majorEastAsia"/>
          <w:b/>
          <w:sz w:val="21"/>
          <w:szCs w:val="21"/>
        </w:rPr>
        <w:tab/>
      </w:r>
      <w:r w:rsidRPr="00613AE6">
        <w:rPr>
          <w:rFonts w:asciiTheme="majorEastAsia" w:eastAsiaTheme="majorEastAsia" w:hAnsiTheme="majorEastAsia" w:hint="eastAsia"/>
          <w:b/>
          <w:sz w:val="21"/>
          <w:szCs w:val="21"/>
        </w:rPr>
        <w:t>美国</w:t>
      </w:r>
      <w:r>
        <w:rPr>
          <w:rFonts w:asciiTheme="majorEastAsia" w:eastAsiaTheme="majorEastAsia" w:hAnsiTheme="majorEastAsia" w:hint="eastAsia"/>
          <w:b/>
          <w:sz w:val="21"/>
          <w:szCs w:val="21"/>
        </w:rPr>
        <w:t>伊利诺伊</w:t>
      </w:r>
      <w:r w:rsidRPr="00613AE6">
        <w:rPr>
          <w:rFonts w:asciiTheme="majorEastAsia" w:eastAsiaTheme="majorEastAsia" w:hAnsiTheme="majorEastAsia" w:hint="eastAsia"/>
          <w:b/>
          <w:sz w:val="21"/>
          <w:szCs w:val="21"/>
        </w:rPr>
        <w:t>州</w:t>
      </w:r>
      <w:r>
        <w:rPr>
          <w:rFonts w:asciiTheme="majorEastAsia" w:eastAsiaTheme="majorEastAsia" w:hAnsiTheme="majorEastAsia" w:hint="eastAsia"/>
          <w:b/>
          <w:sz w:val="21"/>
          <w:szCs w:val="21"/>
        </w:rPr>
        <w:t xml:space="preserve"> 芝加哥</w:t>
      </w:r>
      <w:r w:rsidRPr="00613AE6">
        <w:rPr>
          <w:rFonts w:asciiTheme="majorEastAsia" w:eastAsiaTheme="majorEastAsia" w:hAnsiTheme="majorEastAsia" w:hint="eastAsia"/>
          <w:b/>
          <w:sz w:val="21"/>
          <w:szCs w:val="21"/>
        </w:rPr>
        <w:t>市</w:t>
      </w:r>
    </w:p>
    <w:p w:rsidR="003C4414" w:rsidRPr="003C4414" w:rsidRDefault="003C4414" w:rsidP="007D0211">
      <w:pPr>
        <w:pStyle w:val="ResumeAlignRight"/>
        <w:rPr>
          <w:rFonts w:asciiTheme="majorEastAsia" w:eastAsiaTheme="majorEastAsia" w:hAnsiTheme="majorEastAsia"/>
          <w:i/>
          <w:sz w:val="21"/>
          <w:szCs w:val="21"/>
        </w:rPr>
      </w:pPr>
      <w:r>
        <w:rPr>
          <w:rFonts w:asciiTheme="majorEastAsia" w:eastAsiaTheme="majorEastAsia" w:hAnsiTheme="majorEastAsia" w:hint="eastAsia"/>
          <w:sz w:val="21"/>
          <w:szCs w:val="21"/>
        </w:rPr>
        <w:t>金融学硕士</w:t>
      </w:r>
      <w:r w:rsidRPr="00613AE6">
        <w:rPr>
          <w:rFonts w:asciiTheme="majorEastAsia" w:eastAsiaTheme="majorEastAsia" w:hAnsiTheme="majorEastAsia" w:hint="eastAsia"/>
          <w:sz w:val="21"/>
          <w:szCs w:val="21"/>
        </w:rPr>
        <w:tab/>
      </w:r>
      <w:r w:rsidRPr="00613AE6">
        <w:rPr>
          <w:rFonts w:asciiTheme="majorEastAsia" w:eastAsiaTheme="majorEastAsia" w:hAnsiTheme="majorEastAsia"/>
          <w:i/>
          <w:iCs/>
          <w:sz w:val="21"/>
          <w:szCs w:val="21"/>
        </w:rPr>
        <w:t>202</w:t>
      </w:r>
      <w:r>
        <w:rPr>
          <w:rFonts w:asciiTheme="majorEastAsia" w:eastAsiaTheme="majorEastAsia" w:hAnsiTheme="majorEastAsia"/>
          <w:i/>
          <w:iCs/>
          <w:sz w:val="21"/>
          <w:szCs w:val="21"/>
        </w:rPr>
        <w:t>5</w:t>
      </w:r>
      <w:r w:rsidRPr="00613AE6">
        <w:rPr>
          <w:rFonts w:asciiTheme="majorEastAsia" w:eastAsiaTheme="majorEastAsia" w:hAnsiTheme="majorEastAsia" w:hint="eastAsia"/>
          <w:i/>
          <w:iCs/>
          <w:sz w:val="21"/>
          <w:szCs w:val="21"/>
        </w:rPr>
        <w:t>年</w:t>
      </w:r>
      <w:r>
        <w:rPr>
          <w:rFonts w:asciiTheme="majorEastAsia" w:eastAsiaTheme="majorEastAsia" w:hAnsiTheme="majorEastAsia"/>
          <w:i/>
          <w:iCs/>
          <w:sz w:val="21"/>
          <w:szCs w:val="21"/>
        </w:rPr>
        <w:t>9</w:t>
      </w:r>
      <w:r w:rsidRPr="00613AE6">
        <w:rPr>
          <w:rFonts w:asciiTheme="majorEastAsia" w:eastAsiaTheme="majorEastAsia" w:hAnsiTheme="majorEastAsia" w:hint="eastAsia"/>
          <w:i/>
          <w:iCs/>
          <w:sz w:val="21"/>
          <w:szCs w:val="21"/>
        </w:rPr>
        <w:t xml:space="preserve">月 </w:t>
      </w:r>
      <w:r w:rsidRPr="00613AE6">
        <w:rPr>
          <w:rFonts w:asciiTheme="majorEastAsia" w:eastAsiaTheme="majorEastAsia" w:hAnsiTheme="majorEastAsia"/>
          <w:i/>
          <w:iCs/>
          <w:sz w:val="21"/>
          <w:szCs w:val="21"/>
        </w:rPr>
        <w:t>– 202</w:t>
      </w:r>
      <w:r>
        <w:rPr>
          <w:rFonts w:asciiTheme="majorEastAsia" w:eastAsiaTheme="majorEastAsia" w:hAnsiTheme="majorEastAsia"/>
          <w:i/>
          <w:iCs/>
          <w:sz w:val="21"/>
          <w:szCs w:val="21"/>
        </w:rPr>
        <w:t>6</w:t>
      </w:r>
      <w:r w:rsidRPr="00613AE6">
        <w:rPr>
          <w:rFonts w:asciiTheme="majorEastAsia" w:eastAsiaTheme="majorEastAsia" w:hAnsiTheme="majorEastAsia" w:hint="eastAsia"/>
          <w:i/>
          <w:iCs/>
          <w:sz w:val="21"/>
          <w:szCs w:val="21"/>
        </w:rPr>
        <w:t>年</w:t>
      </w:r>
      <w:r>
        <w:rPr>
          <w:rFonts w:asciiTheme="majorEastAsia" w:eastAsiaTheme="majorEastAsia" w:hAnsiTheme="majorEastAsia"/>
          <w:i/>
          <w:iCs/>
          <w:sz w:val="21"/>
          <w:szCs w:val="21"/>
        </w:rPr>
        <w:t>12</w:t>
      </w:r>
      <w:r w:rsidRPr="00613AE6">
        <w:rPr>
          <w:rFonts w:asciiTheme="majorEastAsia" w:eastAsiaTheme="majorEastAsia" w:hAnsiTheme="majorEastAsia" w:hint="eastAsia"/>
          <w:i/>
          <w:iCs/>
          <w:sz w:val="21"/>
          <w:szCs w:val="21"/>
        </w:rPr>
        <w:t>月</w:t>
      </w:r>
      <w:r>
        <w:rPr>
          <w:rFonts w:asciiTheme="majorEastAsia" w:eastAsiaTheme="majorEastAsia" w:hAnsiTheme="majorEastAsia" w:hint="eastAsia"/>
          <w:i/>
          <w:iCs/>
          <w:sz w:val="21"/>
          <w:szCs w:val="21"/>
        </w:rPr>
        <w:t>（预期）</w:t>
      </w:r>
    </w:p>
    <w:p w:rsidR="007D0211" w:rsidRPr="00613AE6" w:rsidRDefault="007D0211" w:rsidP="007D0211">
      <w:pPr>
        <w:pStyle w:val="ResumeAlignRight"/>
        <w:rPr>
          <w:rFonts w:asciiTheme="majorEastAsia" w:eastAsiaTheme="majorEastAsia" w:hAnsiTheme="majorEastAsia"/>
          <w:sz w:val="21"/>
          <w:szCs w:val="21"/>
        </w:rPr>
      </w:pPr>
      <w:r w:rsidRPr="00613AE6">
        <w:rPr>
          <w:rFonts w:asciiTheme="majorEastAsia" w:eastAsiaTheme="majorEastAsia" w:hAnsiTheme="majorEastAsia" w:hint="eastAsia"/>
          <w:b/>
          <w:sz w:val="22"/>
          <w:szCs w:val="22"/>
        </w:rPr>
        <w:t>南加州大学</w:t>
      </w:r>
      <w:r w:rsidRPr="00613AE6">
        <w:rPr>
          <w:rFonts w:asciiTheme="majorEastAsia" w:eastAsiaTheme="majorEastAsia" w:hAnsiTheme="majorEastAsia"/>
          <w:b/>
          <w:sz w:val="21"/>
          <w:szCs w:val="21"/>
        </w:rPr>
        <w:tab/>
      </w:r>
      <w:r w:rsidRPr="00613AE6">
        <w:rPr>
          <w:rFonts w:asciiTheme="majorEastAsia" w:eastAsiaTheme="majorEastAsia" w:hAnsiTheme="majorEastAsia" w:hint="eastAsia"/>
          <w:b/>
          <w:sz w:val="21"/>
          <w:szCs w:val="21"/>
        </w:rPr>
        <w:t>美国加利佛尼亚州</w:t>
      </w:r>
      <w:r w:rsidR="00952606">
        <w:rPr>
          <w:rFonts w:asciiTheme="majorEastAsia" w:eastAsiaTheme="majorEastAsia" w:hAnsiTheme="majorEastAsia" w:hint="eastAsia"/>
          <w:b/>
          <w:sz w:val="21"/>
          <w:szCs w:val="21"/>
        </w:rPr>
        <w:t xml:space="preserve"> </w:t>
      </w:r>
      <w:r w:rsidRPr="00613AE6">
        <w:rPr>
          <w:rFonts w:asciiTheme="majorEastAsia" w:eastAsiaTheme="majorEastAsia" w:hAnsiTheme="majorEastAsia" w:hint="eastAsia"/>
          <w:b/>
          <w:sz w:val="21"/>
          <w:szCs w:val="21"/>
        </w:rPr>
        <w:t>洛杉矶市</w:t>
      </w:r>
    </w:p>
    <w:p w:rsidR="007D0211" w:rsidRPr="00613AE6" w:rsidRDefault="007D0211" w:rsidP="007D0211">
      <w:pPr>
        <w:pStyle w:val="ResumeAlignRight"/>
        <w:rPr>
          <w:rFonts w:asciiTheme="majorEastAsia" w:eastAsiaTheme="majorEastAsia" w:hAnsiTheme="majorEastAsia"/>
          <w:i/>
          <w:sz w:val="21"/>
          <w:szCs w:val="21"/>
        </w:rPr>
      </w:pPr>
      <w:r w:rsidRPr="00613AE6">
        <w:rPr>
          <w:rFonts w:asciiTheme="majorEastAsia" w:eastAsiaTheme="majorEastAsia" w:hAnsiTheme="majorEastAsia"/>
          <w:bCs/>
          <w:i/>
          <w:iCs/>
          <w:sz w:val="21"/>
          <w:szCs w:val="21"/>
        </w:rPr>
        <w:t xml:space="preserve">经济学与数据科学学士 </w:t>
      </w:r>
      <w:r w:rsidRPr="00613AE6">
        <w:rPr>
          <w:rFonts w:asciiTheme="majorEastAsia" w:eastAsiaTheme="majorEastAsia" w:hAnsiTheme="majorEastAsia" w:hint="eastAsia"/>
          <w:bCs/>
          <w:sz w:val="21"/>
          <w:szCs w:val="21"/>
        </w:rPr>
        <w:t xml:space="preserve">｜ </w:t>
      </w:r>
      <w:r w:rsidRPr="00613AE6">
        <w:rPr>
          <w:rFonts w:asciiTheme="majorEastAsia" w:eastAsiaTheme="majorEastAsia" w:hAnsiTheme="majorEastAsia"/>
          <w:bCs/>
          <w:i/>
          <w:iCs/>
          <w:sz w:val="21"/>
          <w:szCs w:val="21"/>
        </w:rPr>
        <w:t>商科金融辅修</w:t>
      </w:r>
      <w:r w:rsidRPr="00613AE6">
        <w:rPr>
          <w:rFonts w:asciiTheme="majorEastAsia" w:eastAsiaTheme="majorEastAsia" w:hAnsiTheme="majorEastAsia"/>
          <w:b/>
          <w:sz w:val="21"/>
          <w:szCs w:val="21"/>
        </w:rPr>
        <w:t> </w:t>
      </w:r>
      <w:r w:rsidRPr="00613AE6">
        <w:rPr>
          <w:rFonts w:asciiTheme="majorEastAsia" w:eastAsiaTheme="majorEastAsia" w:hAnsiTheme="majorEastAsia" w:hint="eastAsia"/>
          <w:sz w:val="21"/>
          <w:szCs w:val="21"/>
        </w:rPr>
        <w:tab/>
      </w:r>
      <w:r w:rsidRPr="00613AE6">
        <w:rPr>
          <w:rFonts w:asciiTheme="majorEastAsia" w:eastAsiaTheme="majorEastAsia" w:hAnsiTheme="majorEastAsia"/>
          <w:i/>
          <w:iCs/>
          <w:sz w:val="21"/>
          <w:szCs w:val="21"/>
        </w:rPr>
        <w:t>2021</w:t>
      </w:r>
      <w:r w:rsidRPr="00613AE6">
        <w:rPr>
          <w:rFonts w:asciiTheme="majorEastAsia" w:eastAsiaTheme="majorEastAsia" w:hAnsiTheme="majorEastAsia" w:hint="eastAsia"/>
          <w:i/>
          <w:iCs/>
          <w:sz w:val="21"/>
          <w:szCs w:val="21"/>
        </w:rPr>
        <w:t xml:space="preserve">年8月 </w:t>
      </w:r>
      <w:r w:rsidRPr="00613AE6">
        <w:rPr>
          <w:rFonts w:asciiTheme="majorEastAsia" w:eastAsiaTheme="majorEastAsia" w:hAnsiTheme="majorEastAsia"/>
          <w:i/>
          <w:iCs/>
          <w:sz w:val="21"/>
          <w:szCs w:val="21"/>
        </w:rPr>
        <w:t>– 2025</w:t>
      </w:r>
      <w:r w:rsidRPr="00613AE6">
        <w:rPr>
          <w:rFonts w:asciiTheme="majorEastAsia" w:eastAsiaTheme="majorEastAsia" w:hAnsiTheme="majorEastAsia" w:hint="eastAsia"/>
          <w:i/>
          <w:iCs/>
          <w:sz w:val="21"/>
          <w:szCs w:val="21"/>
        </w:rPr>
        <w:t>年5月</w:t>
      </w:r>
    </w:p>
    <w:p w:rsidR="007D0211" w:rsidRPr="00613AE6" w:rsidRDefault="007D0211" w:rsidP="007D0211">
      <w:pPr>
        <w:pStyle w:val="ResumeAlignRight"/>
        <w:numPr>
          <w:ilvl w:val="0"/>
          <w:numId w:val="7"/>
        </w:numPr>
        <w:tabs>
          <w:tab w:val="left" w:pos="360"/>
        </w:tabs>
        <w:rPr>
          <w:rStyle w:val="None"/>
          <w:rFonts w:asciiTheme="majorEastAsia" w:eastAsiaTheme="majorEastAsia" w:hAnsiTheme="majorEastAsia"/>
          <w:bCs/>
          <w:color w:val="000000" w:themeColor="text1"/>
          <w:sz w:val="21"/>
          <w:szCs w:val="21"/>
        </w:rPr>
      </w:pPr>
      <w:r w:rsidRPr="00613AE6">
        <w:rPr>
          <w:rStyle w:val="None"/>
          <w:rFonts w:asciiTheme="majorEastAsia" w:eastAsiaTheme="majorEastAsia" w:hAnsiTheme="majorEastAsia" w:hint="eastAsia"/>
          <w:bCs/>
          <w:color w:val="000000" w:themeColor="text1"/>
          <w:sz w:val="21"/>
          <w:szCs w:val="21"/>
        </w:rPr>
        <w:t>GPA: 3.9</w:t>
      </w:r>
      <w:r w:rsidR="00EF28F4">
        <w:rPr>
          <w:rStyle w:val="None"/>
          <w:rFonts w:asciiTheme="majorEastAsia" w:eastAsiaTheme="majorEastAsia" w:hAnsiTheme="majorEastAsia"/>
          <w:bCs/>
          <w:color w:val="000000" w:themeColor="text1"/>
          <w:sz w:val="21"/>
          <w:szCs w:val="21"/>
        </w:rPr>
        <w:t>1</w:t>
      </w:r>
      <w:r w:rsidRPr="00613AE6">
        <w:rPr>
          <w:rStyle w:val="None"/>
          <w:rFonts w:asciiTheme="majorEastAsia" w:eastAsiaTheme="majorEastAsia" w:hAnsiTheme="majorEastAsia" w:hint="eastAsia"/>
          <w:bCs/>
          <w:color w:val="000000" w:themeColor="text1"/>
          <w:sz w:val="21"/>
          <w:szCs w:val="21"/>
        </w:rPr>
        <w:t>/4.0；荣誉： 2021、2022、2023、2</w:t>
      </w:r>
      <w:r w:rsidRPr="00613AE6">
        <w:rPr>
          <w:rStyle w:val="None"/>
          <w:rFonts w:asciiTheme="majorEastAsia" w:eastAsiaTheme="majorEastAsia" w:hAnsiTheme="majorEastAsia"/>
          <w:bCs/>
          <w:color w:val="000000" w:themeColor="text1"/>
          <w:sz w:val="21"/>
          <w:szCs w:val="21"/>
        </w:rPr>
        <w:t>024</w:t>
      </w:r>
      <w:r w:rsidRPr="00613AE6">
        <w:rPr>
          <w:rStyle w:val="None"/>
          <w:rFonts w:asciiTheme="majorEastAsia" w:eastAsiaTheme="majorEastAsia" w:hAnsiTheme="majorEastAsia" w:hint="eastAsia"/>
          <w:bCs/>
          <w:color w:val="000000" w:themeColor="text1"/>
          <w:sz w:val="21"/>
          <w:szCs w:val="21"/>
        </w:rPr>
        <w:t>、2</w:t>
      </w:r>
      <w:r w:rsidRPr="00613AE6">
        <w:rPr>
          <w:rStyle w:val="None"/>
          <w:rFonts w:asciiTheme="majorEastAsia" w:eastAsiaTheme="majorEastAsia" w:hAnsiTheme="majorEastAsia"/>
          <w:bCs/>
          <w:color w:val="000000" w:themeColor="text1"/>
          <w:sz w:val="21"/>
          <w:szCs w:val="21"/>
        </w:rPr>
        <w:t>025</w:t>
      </w:r>
      <w:r w:rsidRPr="00613AE6">
        <w:rPr>
          <w:rStyle w:val="None"/>
          <w:rFonts w:asciiTheme="majorEastAsia" w:eastAsiaTheme="majorEastAsia" w:hAnsiTheme="majorEastAsia" w:hint="eastAsia"/>
          <w:bCs/>
          <w:color w:val="000000" w:themeColor="text1"/>
          <w:sz w:val="21"/>
          <w:szCs w:val="21"/>
        </w:rPr>
        <w:t>学年学院荣誉名单</w:t>
      </w:r>
    </w:p>
    <w:p w:rsidR="007D0211" w:rsidRPr="00613AE6" w:rsidRDefault="007D0211" w:rsidP="007D0211">
      <w:pPr>
        <w:pStyle w:val="ResumeAlignRight"/>
        <w:numPr>
          <w:ilvl w:val="0"/>
          <w:numId w:val="7"/>
        </w:numPr>
        <w:tabs>
          <w:tab w:val="left" w:pos="360"/>
        </w:tabs>
        <w:rPr>
          <w:rStyle w:val="None"/>
          <w:rFonts w:asciiTheme="majorEastAsia" w:eastAsiaTheme="majorEastAsia" w:hAnsiTheme="majorEastAsia"/>
          <w:bCs/>
          <w:color w:val="000000" w:themeColor="text1"/>
          <w:sz w:val="21"/>
          <w:szCs w:val="21"/>
        </w:rPr>
      </w:pPr>
      <w:r w:rsidRPr="00613AE6">
        <w:rPr>
          <w:rStyle w:val="None"/>
          <w:rFonts w:asciiTheme="majorEastAsia" w:eastAsiaTheme="majorEastAsia" w:hAnsiTheme="majorEastAsia" w:hint="eastAsia"/>
          <w:bCs/>
          <w:color w:val="000000" w:themeColor="text1"/>
          <w:sz w:val="21"/>
          <w:szCs w:val="21"/>
        </w:rPr>
        <w:t>相关课程：</w:t>
      </w:r>
      <w:r w:rsidRPr="00613AE6">
        <w:rPr>
          <w:rStyle w:val="None"/>
          <w:rFonts w:asciiTheme="majorEastAsia" w:eastAsiaTheme="majorEastAsia" w:hAnsiTheme="majorEastAsia"/>
          <w:bCs/>
          <w:color w:val="000000" w:themeColor="text1"/>
          <w:sz w:val="21"/>
          <w:szCs w:val="21"/>
        </w:rPr>
        <w:t>财务会计、微观经济学与宏观经济学、机器学习、数据可视化、计量经济学</w:t>
      </w:r>
    </w:p>
    <w:p w:rsidR="007D0211" w:rsidRPr="00613AE6" w:rsidRDefault="007D0211" w:rsidP="007D0211">
      <w:pPr>
        <w:pStyle w:val="ResumeAlignRight"/>
        <w:tabs>
          <w:tab w:val="left" w:pos="360"/>
        </w:tabs>
        <w:rPr>
          <w:rFonts w:asciiTheme="majorEastAsia" w:eastAsiaTheme="majorEastAsia" w:hAnsiTheme="majorEastAsia"/>
          <w:b/>
          <w:bCs/>
          <w:sz w:val="13"/>
          <w:szCs w:val="13"/>
        </w:rPr>
      </w:pPr>
    </w:p>
    <w:p w:rsidR="007D0211" w:rsidRPr="00613AE6" w:rsidRDefault="007D0211" w:rsidP="007D0211">
      <w:pPr>
        <w:pStyle w:val="ResumeAlignRight"/>
        <w:pBdr>
          <w:bottom w:val="single" w:sz="4" w:space="1" w:color="auto"/>
        </w:pBdr>
        <w:tabs>
          <w:tab w:val="left" w:pos="360"/>
        </w:tabs>
        <w:rPr>
          <w:rFonts w:asciiTheme="majorEastAsia" w:eastAsiaTheme="majorEastAsia" w:hAnsiTheme="majorEastAsia"/>
          <w:b/>
          <w:sz w:val="28"/>
          <w:szCs w:val="28"/>
        </w:rPr>
      </w:pPr>
      <w:r w:rsidRPr="00613AE6">
        <w:rPr>
          <w:rFonts w:asciiTheme="majorEastAsia" w:eastAsiaTheme="majorEastAsia" w:hAnsiTheme="majorEastAsia" w:hint="eastAsia"/>
          <w:b/>
          <w:sz w:val="28"/>
          <w:szCs w:val="28"/>
        </w:rPr>
        <w:t>实习经历</w:t>
      </w:r>
    </w:p>
    <w:p w:rsidR="007D0211" w:rsidRPr="00613AE6" w:rsidRDefault="007D0211" w:rsidP="007D0211">
      <w:pPr>
        <w:pStyle w:val="ResumeAlignRight"/>
        <w:tabs>
          <w:tab w:val="left" w:pos="360"/>
        </w:tabs>
        <w:rPr>
          <w:rFonts w:asciiTheme="majorEastAsia" w:eastAsiaTheme="majorEastAsia" w:hAnsiTheme="majorEastAsia"/>
          <w:b/>
          <w:bCs/>
          <w:sz w:val="21"/>
          <w:szCs w:val="21"/>
        </w:rPr>
      </w:pPr>
      <w:r w:rsidRPr="00613AE6">
        <w:rPr>
          <w:rFonts w:asciiTheme="majorEastAsia" w:eastAsiaTheme="majorEastAsia" w:hAnsiTheme="majorEastAsia"/>
          <w:b/>
          <w:sz w:val="22"/>
          <w:szCs w:val="22"/>
        </w:rPr>
        <w:t>景顺 (Invesco)</w:t>
      </w:r>
      <w:r w:rsidRPr="00613AE6">
        <w:rPr>
          <w:rFonts w:asciiTheme="majorEastAsia" w:eastAsiaTheme="majorEastAsia" w:hAnsiTheme="majorEastAsia"/>
          <w:sz w:val="21"/>
          <w:szCs w:val="21"/>
        </w:rPr>
        <w:tab/>
      </w:r>
      <w:r w:rsidRPr="00613AE6">
        <w:rPr>
          <w:rFonts w:asciiTheme="majorEastAsia" w:eastAsiaTheme="majorEastAsia" w:hAnsiTheme="majorEastAsia" w:hint="eastAsia"/>
          <w:b/>
          <w:bCs/>
          <w:sz w:val="21"/>
          <w:szCs w:val="21"/>
        </w:rPr>
        <w:t>香港特别行政区</w:t>
      </w:r>
    </w:p>
    <w:p w:rsidR="007D0211" w:rsidRPr="00613AE6" w:rsidRDefault="007D0211" w:rsidP="007D0211">
      <w:pPr>
        <w:pStyle w:val="ResumeAlignRight"/>
        <w:tabs>
          <w:tab w:val="left" w:pos="360"/>
        </w:tabs>
        <w:jc w:val="both"/>
        <w:rPr>
          <w:rFonts w:asciiTheme="majorEastAsia" w:eastAsiaTheme="majorEastAsia" w:hAnsiTheme="majorEastAsia"/>
          <w:bCs/>
          <w:i/>
          <w:iCs/>
          <w:sz w:val="21"/>
          <w:szCs w:val="21"/>
        </w:rPr>
      </w:pPr>
      <w:r w:rsidRPr="00613AE6">
        <w:rPr>
          <w:rFonts w:asciiTheme="majorEastAsia" w:eastAsiaTheme="majorEastAsia" w:hAnsiTheme="majorEastAsia"/>
          <w:bCs/>
          <w:i/>
          <w:iCs/>
          <w:sz w:val="21"/>
          <w:szCs w:val="21"/>
        </w:rPr>
        <w:t>固定收益部实习生</w:t>
      </w:r>
      <w:r w:rsidRPr="00613AE6">
        <w:rPr>
          <w:rFonts w:asciiTheme="majorEastAsia" w:eastAsiaTheme="majorEastAsia" w:hAnsiTheme="majorEastAsia"/>
          <w:i/>
          <w:sz w:val="21"/>
          <w:szCs w:val="21"/>
        </w:rPr>
        <w:tab/>
      </w:r>
      <w:r w:rsidRPr="00613AE6">
        <w:rPr>
          <w:rFonts w:asciiTheme="majorEastAsia" w:eastAsiaTheme="majorEastAsia" w:hAnsiTheme="majorEastAsia" w:hint="eastAsia"/>
          <w:sz w:val="21"/>
          <w:szCs w:val="21"/>
        </w:rPr>
        <w:t xml:space="preserve"> </w:t>
      </w:r>
      <w:r w:rsidRPr="00613AE6">
        <w:rPr>
          <w:rFonts w:asciiTheme="majorEastAsia" w:eastAsiaTheme="majorEastAsia" w:hAnsiTheme="majorEastAsia"/>
          <w:bCs/>
          <w:i/>
          <w:iCs/>
          <w:sz w:val="21"/>
          <w:szCs w:val="21"/>
        </w:rPr>
        <w:t>2024年6月 – 2024年12月</w:t>
      </w:r>
    </w:p>
    <w:p w:rsidR="007D0211" w:rsidRPr="00613AE6" w:rsidRDefault="007D0211" w:rsidP="007D0211">
      <w:pPr>
        <w:pStyle w:val="ResumeAlignRight"/>
        <w:numPr>
          <w:ilvl w:val="0"/>
          <w:numId w:val="12"/>
        </w:numPr>
        <w:tabs>
          <w:tab w:val="left" w:pos="360"/>
        </w:tabs>
        <w:spacing w:line="228" w:lineRule="auto"/>
        <w:jc w:val="both"/>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为6支开放式基金开投资建议书，整合区域项目（如“印度制造”）的投资主题及业绩亮点。</w:t>
      </w:r>
    </w:p>
    <w:p w:rsidR="007D0211" w:rsidRPr="00613AE6" w:rsidRDefault="007D0211" w:rsidP="007D0211">
      <w:pPr>
        <w:pStyle w:val="ResumeAlignRight"/>
        <w:numPr>
          <w:ilvl w:val="0"/>
          <w:numId w:val="12"/>
        </w:numPr>
        <w:tabs>
          <w:tab w:val="left" w:pos="360"/>
        </w:tabs>
        <w:spacing w:line="228" w:lineRule="auto"/>
        <w:jc w:val="both"/>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运用决策树模型进行机器学习生成信贷意见，使用Python中的彭博B Quant平台分析财务报告与定价，按行业和地域筛选关键指标。</w:t>
      </w:r>
    </w:p>
    <w:p w:rsidR="007D0211" w:rsidRPr="00613AE6" w:rsidRDefault="007D0211" w:rsidP="007D0211">
      <w:pPr>
        <w:pStyle w:val="ResumeAlignRight"/>
        <w:numPr>
          <w:ilvl w:val="0"/>
          <w:numId w:val="12"/>
        </w:numPr>
        <w:tabs>
          <w:tab w:val="left" w:pos="360"/>
        </w:tabs>
        <w:spacing w:line="228" w:lineRule="auto"/>
        <w:jc w:val="both"/>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使用Python自然语言工具包（NLTK）构建基于词典的模型，将术语分类为经济事件、描述和时间指标，以计算美联储讲话的鹰派程度及市场情绪评分。</w:t>
      </w:r>
    </w:p>
    <w:p w:rsidR="007D0211" w:rsidRPr="00613AE6" w:rsidRDefault="007D0211" w:rsidP="007D0211">
      <w:pPr>
        <w:pStyle w:val="ResumeAlignRight"/>
        <w:numPr>
          <w:ilvl w:val="0"/>
          <w:numId w:val="12"/>
        </w:numPr>
        <w:tabs>
          <w:tab w:val="left" w:pos="360"/>
        </w:tabs>
        <w:spacing w:line="228" w:lineRule="auto"/>
        <w:jc w:val="both"/>
        <w:rPr>
          <w:rFonts w:asciiTheme="majorEastAsia" w:eastAsiaTheme="majorEastAsia" w:hAnsiTheme="majorEastAsia"/>
          <w:sz w:val="13"/>
          <w:szCs w:val="13"/>
        </w:rPr>
      </w:pPr>
      <w:r w:rsidRPr="00613AE6">
        <w:rPr>
          <w:rFonts w:asciiTheme="majorEastAsia" w:eastAsiaTheme="majorEastAsia" w:hAnsiTheme="majorEastAsia" w:cstheme="minorBidi" w:hint="eastAsia"/>
          <w:kern w:val="2"/>
          <w:sz w:val="18"/>
          <w:szCs w:val="18"/>
          <w14:ligatures w14:val="standardContextual"/>
        </w:rPr>
        <w:t>分析关键中美地缘政治风险及对应的墨西哥、印度投资机遇，并在内部案例竞赛中向全球投资领导团队展示洞察。</w:t>
      </w:r>
    </w:p>
    <w:p w:rsidR="007D0211" w:rsidRPr="00613AE6" w:rsidRDefault="007D0211" w:rsidP="007D0211">
      <w:pPr>
        <w:pStyle w:val="ResumeAlignRight"/>
        <w:tabs>
          <w:tab w:val="left" w:pos="360"/>
        </w:tabs>
        <w:spacing w:line="228" w:lineRule="auto"/>
        <w:ind w:left="720"/>
        <w:jc w:val="both"/>
        <w:rPr>
          <w:rFonts w:asciiTheme="majorEastAsia" w:eastAsiaTheme="majorEastAsia" w:hAnsiTheme="majorEastAsia"/>
          <w:sz w:val="13"/>
          <w:szCs w:val="13"/>
        </w:rPr>
      </w:pPr>
    </w:p>
    <w:p w:rsidR="007D0211" w:rsidRPr="00613AE6" w:rsidRDefault="007D0211" w:rsidP="007D0211">
      <w:pPr>
        <w:pStyle w:val="ResumeAlignRight"/>
        <w:tabs>
          <w:tab w:val="left" w:pos="360"/>
        </w:tabs>
        <w:rPr>
          <w:rFonts w:asciiTheme="majorEastAsia" w:eastAsiaTheme="majorEastAsia" w:hAnsiTheme="majorEastAsia"/>
          <w:b/>
          <w:bCs/>
          <w:sz w:val="21"/>
          <w:szCs w:val="21"/>
        </w:rPr>
      </w:pPr>
      <w:r w:rsidRPr="00613AE6">
        <w:rPr>
          <w:rFonts w:asciiTheme="majorEastAsia" w:eastAsiaTheme="majorEastAsia" w:hAnsiTheme="majorEastAsia" w:hint="eastAsia"/>
          <w:b/>
          <w:sz w:val="22"/>
          <w:szCs w:val="22"/>
        </w:rPr>
        <w:t>中信银行国际有限公司</w:t>
      </w:r>
      <w:r w:rsidRPr="00613AE6">
        <w:rPr>
          <w:rFonts w:asciiTheme="majorEastAsia" w:eastAsiaTheme="majorEastAsia" w:hAnsiTheme="majorEastAsia"/>
          <w:sz w:val="21"/>
          <w:szCs w:val="21"/>
        </w:rPr>
        <w:tab/>
      </w:r>
      <w:r w:rsidRPr="00613AE6">
        <w:rPr>
          <w:rFonts w:asciiTheme="majorEastAsia" w:eastAsiaTheme="majorEastAsia" w:hAnsiTheme="majorEastAsia" w:hint="eastAsia"/>
          <w:b/>
          <w:bCs/>
          <w:sz w:val="21"/>
          <w:szCs w:val="21"/>
        </w:rPr>
        <w:t>美国加利福尼亚州</w:t>
      </w:r>
      <w:r w:rsidR="00952606">
        <w:rPr>
          <w:rFonts w:asciiTheme="majorEastAsia" w:eastAsiaTheme="majorEastAsia" w:hAnsiTheme="majorEastAsia" w:hint="eastAsia"/>
          <w:b/>
          <w:bCs/>
          <w:sz w:val="21"/>
          <w:szCs w:val="21"/>
        </w:rPr>
        <w:t xml:space="preserve"> </w:t>
      </w:r>
      <w:r w:rsidRPr="00613AE6">
        <w:rPr>
          <w:rFonts w:asciiTheme="majorEastAsia" w:eastAsiaTheme="majorEastAsia" w:hAnsiTheme="majorEastAsia" w:hint="eastAsia"/>
          <w:b/>
          <w:bCs/>
          <w:sz w:val="21"/>
          <w:szCs w:val="21"/>
        </w:rPr>
        <w:t>阿尔罕布拉市</w:t>
      </w:r>
    </w:p>
    <w:p w:rsidR="007D0211" w:rsidRPr="00613AE6" w:rsidRDefault="007D0211" w:rsidP="007D0211">
      <w:pPr>
        <w:pStyle w:val="ResumeAlignRight"/>
        <w:tabs>
          <w:tab w:val="left" w:pos="360"/>
        </w:tabs>
        <w:rPr>
          <w:rFonts w:asciiTheme="majorEastAsia" w:eastAsiaTheme="majorEastAsia" w:hAnsiTheme="majorEastAsia"/>
          <w:i/>
          <w:sz w:val="21"/>
          <w:szCs w:val="21"/>
        </w:rPr>
      </w:pPr>
      <w:r w:rsidRPr="00613AE6">
        <w:rPr>
          <w:rFonts w:asciiTheme="majorEastAsia" w:eastAsiaTheme="majorEastAsia" w:hAnsiTheme="majorEastAsia"/>
          <w:bCs/>
          <w:i/>
          <w:iCs/>
          <w:sz w:val="21"/>
          <w:szCs w:val="21"/>
        </w:rPr>
        <w:t>研究团队兼职实习生</w:t>
      </w:r>
      <w:r w:rsidRPr="00613AE6">
        <w:rPr>
          <w:rFonts w:asciiTheme="majorEastAsia" w:eastAsiaTheme="majorEastAsia" w:hAnsiTheme="majorEastAsia"/>
          <w:b/>
          <w:sz w:val="21"/>
          <w:szCs w:val="21"/>
        </w:rPr>
        <w:t> </w:t>
      </w:r>
      <w:r w:rsidRPr="00613AE6">
        <w:rPr>
          <w:rFonts w:asciiTheme="majorEastAsia" w:eastAsiaTheme="majorEastAsia" w:hAnsiTheme="majorEastAsia"/>
          <w:i/>
          <w:sz w:val="21"/>
          <w:szCs w:val="21"/>
        </w:rPr>
        <w:tab/>
      </w:r>
      <w:r w:rsidRPr="00613AE6">
        <w:rPr>
          <w:rFonts w:asciiTheme="majorEastAsia" w:eastAsiaTheme="majorEastAsia" w:hAnsiTheme="majorEastAsia" w:hint="eastAsia"/>
          <w:bCs/>
          <w:i/>
          <w:iCs/>
          <w:sz w:val="21"/>
          <w:szCs w:val="21"/>
        </w:rPr>
        <w:t>2023年8月 – 2023年12月</w:t>
      </w:r>
    </w:p>
    <w:p w:rsidR="007D0211" w:rsidRPr="00613AE6" w:rsidRDefault="007D0211" w:rsidP="007D0211">
      <w:pPr>
        <w:pStyle w:val="ResumeAlignRight"/>
        <w:numPr>
          <w:ilvl w:val="0"/>
          <w:numId w:val="12"/>
        </w:numPr>
        <w:tabs>
          <w:tab w:val="left" w:pos="360"/>
        </w:tabs>
        <w:jc w:val="both"/>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发表5页关于中国外汇市场的研究文章，评估联邦政策对美国商业房地产贷款展期和重组的影响，并分析其对中国市场的启示及可比案例。</w:t>
      </w:r>
    </w:p>
    <w:p w:rsidR="007D0211" w:rsidRPr="00613AE6" w:rsidRDefault="007D0211" w:rsidP="007D0211">
      <w:pPr>
        <w:pStyle w:val="ResumeAlignRight"/>
        <w:numPr>
          <w:ilvl w:val="0"/>
          <w:numId w:val="12"/>
        </w:numPr>
        <w:tabs>
          <w:tab w:val="left" w:pos="360"/>
        </w:tabs>
        <w:jc w:val="both"/>
        <w:rPr>
          <w:rFonts w:asciiTheme="majorEastAsia" w:eastAsiaTheme="majorEastAsia" w:hAnsiTheme="majorEastAsia"/>
          <w:b/>
          <w:sz w:val="13"/>
          <w:szCs w:val="13"/>
        </w:rPr>
      </w:pPr>
      <w:r w:rsidRPr="00613AE6">
        <w:rPr>
          <w:rFonts w:asciiTheme="majorEastAsia" w:eastAsiaTheme="majorEastAsia" w:hAnsiTheme="majorEastAsia" w:cstheme="minorBidi" w:hint="eastAsia"/>
          <w:kern w:val="2"/>
          <w:sz w:val="18"/>
          <w:szCs w:val="18"/>
          <w14:ligatures w14:val="standardContextual"/>
        </w:rPr>
        <w:t>撰写6份金融危机与新冠疫情期间成功房地产企业重组的报告，对比其与表现不佳企业（如碧桂园）的资本结构与商业策略。</w:t>
      </w:r>
    </w:p>
    <w:p w:rsidR="00613AE6" w:rsidRPr="00613AE6" w:rsidRDefault="00613AE6" w:rsidP="00613AE6">
      <w:pPr>
        <w:pStyle w:val="ResumeAlignRight"/>
        <w:tabs>
          <w:tab w:val="left" w:pos="360"/>
        </w:tabs>
        <w:ind w:left="720"/>
        <w:jc w:val="both"/>
        <w:rPr>
          <w:rFonts w:asciiTheme="majorEastAsia" w:eastAsiaTheme="majorEastAsia" w:hAnsiTheme="majorEastAsia"/>
          <w:b/>
          <w:sz w:val="13"/>
          <w:szCs w:val="13"/>
        </w:rPr>
      </w:pPr>
    </w:p>
    <w:p w:rsidR="007D0211" w:rsidRPr="00613AE6" w:rsidRDefault="007D0211" w:rsidP="007D0211">
      <w:pPr>
        <w:pStyle w:val="ResumeAlignRight"/>
        <w:tabs>
          <w:tab w:val="left" w:pos="360"/>
        </w:tabs>
        <w:rPr>
          <w:rFonts w:asciiTheme="majorEastAsia" w:eastAsiaTheme="majorEastAsia" w:hAnsiTheme="majorEastAsia"/>
          <w:b/>
          <w:bCs/>
          <w:sz w:val="21"/>
          <w:szCs w:val="21"/>
        </w:rPr>
      </w:pPr>
      <w:r w:rsidRPr="00613AE6">
        <w:rPr>
          <w:rFonts w:asciiTheme="majorEastAsia" w:eastAsiaTheme="majorEastAsia" w:hAnsiTheme="majorEastAsia" w:hint="eastAsia"/>
          <w:b/>
          <w:sz w:val="22"/>
          <w:szCs w:val="22"/>
        </w:rPr>
        <w:t>里昂证券</w:t>
      </w:r>
      <w:r w:rsidRPr="00613AE6">
        <w:rPr>
          <w:rFonts w:asciiTheme="majorEastAsia" w:eastAsiaTheme="majorEastAsia" w:hAnsiTheme="majorEastAsia"/>
          <w:sz w:val="21"/>
          <w:szCs w:val="21"/>
        </w:rPr>
        <w:tab/>
      </w:r>
      <w:r w:rsidRPr="00613AE6">
        <w:rPr>
          <w:rFonts w:asciiTheme="majorEastAsia" w:eastAsiaTheme="majorEastAsia" w:hAnsiTheme="majorEastAsia" w:hint="eastAsia"/>
          <w:b/>
          <w:bCs/>
          <w:sz w:val="21"/>
          <w:szCs w:val="21"/>
        </w:rPr>
        <w:t>香港特别行政区</w:t>
      </w:r>
    </w:p>
    <w:p w:rsidR="007D0211" w:rsidRPr="00613AE6" w:rsidRDefault="007D0211" w:rsidP="007D0211">
      <w:pPr>
        <w:pStyle w:val="ResumeAlignRight"/>
        <w:tabs>
          <w:tab w:val="left" w:pos="360"/>
        </w:tabs>
        <w:rPr>
          <w:bCs/>
          <w:sz w:val="21"/>
          <w:szCs w:val="21"/>
        </w:rPr>
      </w:pPr>
      <w:r w:rsidRPr="00613AE6">
        <w:rPr>
          <w:rFonts w:asciiTheme="majorEastAsia" w:eastAsiaTheme="majorEastAsia" w:hAnsiTheme="majorEastAsia"/>
          <w:bCs/>
          <w:i/>
          <w:iCs/>
          <w:sz w:val="21"/>
          <w:szCs w:val="21"/>
        </w:rPr>
        <w:t>金融部暑期实习生</w:t>
      </w:r>
      <w:r w:rsidRPr="00613AE6">
        <w:rPr>
          <w:rFonts w:asciiTheme="majorEastAsia" w:eastAsiaTheme="majorEastAsia" w:hAnsiTheme="majorEastAsia"/>
          <w:sz w:val="21"/>
          <w:szCs w:val="21"/>
        </w:rPr>
        <w:tab/>
      </w:r>
      <w:r w:rsidRPr="00613AE6">
        <w:rPr>
          <w:rFonts w:asciiTheme="majorEastAsia" w:eastAsiaTheme="majorEastAsia" w:hAnsiTheme="majorEastAsia"/>
          <w:bCs/>
          <w:i/>
          <w:iCs/>
          <w:sz w:val="21"/>
          <w:szCs w:val="21"/>
        </w:rPr>
        <w:t>2023年6月 – 2023年8月</w:t>
      </w:r>
    </w:p>
    <w:p w:rsidR="007D0211" w:rsidRPr="00613AE6" w:rsidRDefault="007D0211" w:rsidP="007D0211">
      <w:pPr>
        <w:pStyle w:val="ResumeAlignRight"/>
        <w:numPr>
          <w:ilvl w:val="0"/>
          <w:numId w:val="12"/>
        </w:numPr>
        <w:tabs>
          <w:tab w:val="left" w:pos="360"/>
        </w:tabs>
        <w:jc w:val="both"/>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通过部署Alteryx和UiPath优化公司数据系统，推动财务部门的自动化与数据分析；协调6个跨部门学习小组并设计2个培训演示。</w:t>
      </w:r>
    </w:p>
    <w:p w:rsidR="007D0211" w:rsidRPr="00613AE6" w:rsidRDefault="007D0211" w:rsidP="007D0211">
      <w:pPr>
        <w:pStyle w:val="ResumeAlignRight"/>
        <w:numPr>
          <w:ilvl w:val="0"/>
          <w:numId w:val="12"/>
        </w:numPr>
        <w:tabs>
          <w:tab w:val="left" w:pos="360"/>
        </w:tabs>
        <w:jc w:val="both"/>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利用Python自动化生成季度国家/市场报告，整合从港交所（HKEX）网络爬取的IPO数据，并生成可视化分析用于业务线评估。</w:t>
      </w:r>
    </w:p>
    <w:p w:rsidR="007D0211" w:rsidRDefault="007D0211" w:rsidP="007D0211">
      <w:pPr>
        <w:pStyle w:val="ResumeAlignRight"/>
        <w:numPr>
          <w:ilvl w:val="0"/>
          <w:numId w:val="12"/>
        </w:numPr>
        <w:tabs>
          <w:tab w:val="left" w:pos="360"/>
        </w:tabs>
        <w:jc w:val="both"/>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研究消费者行为理论在现代社交媒体中的应用，并在研究竞赛中就该理论对“助推”消费者的影响进行20分钟演讲。</w:t>
      </w:r>
    </w:p>
    <w:p w:rsidR="00613AE6" w:rsidRPr="00613AE6" w:rsidRDefault="00613AE6" w:rsidP="00613AE6">
      <w:pPr>
        <w:pStyle w:val="ResumeAlignRight"/>
        <w:tabs>
          <w:tab w:val="left" w:pos="360"/>
        </w:tabs>
        <w:ind w:left="360"/>
        <w:jc w:val="both"/>
        <w:rPr>
          <w:rFonts w:asciiTheme="majorEastAsia" w:eastAsiaTheme="majorEastAsia" w:hAnsiTheme="majorEastAsia" w:cstheme="minorBidi"/>
          <w:kern w:val="2"/>
          <w:sz w:val="18"/>
          <w:szCs w:val="18"/>
          <w14:ligatures w14:val="standardContextual"/>
        </w:rPr>
      </w:pPr>
    </w:p>
    <w:p w:rsidR="007D0211" w:rsidRPr="00613AE6" w:rsidRDefault="007D0211" w:rsidP="007D0211">
      <w:pPr>
        <w:pStyle w:val="ResumeAlignRight"/>
        <w:pBdr>
          <w:bottom w:val="single" w:sz="4" w:space="1" w:color="auto"/>
        </w:pBdr>
        <w:tabs>
          <w:tab w:val="left" w:pos="360"/>
        </w:tabs>
        <w:rPr>
          <w:rFonts w:asciiTheme="majorEastAsia" w:eastAsiaTheme="majorEastAsia" w:hAnsiTheme="majorEastAsia"/>
          <w:b/>
          <w:sz w:val="28"/>
          <w:szCs w:val="28"/>
        </w:rPr>
      </w:pPr>
      <w:r w:rsidRPr="00613AE6">
        <w:rPr>
          <w:rFonts w:asciiTheme="majorEastAsia" w:eastAsiaTheme="majorEastAsia" w:hAnsiTheme="majorEastAsia" w:hint="eastAsia"/>
          <w:b/>
          <w:sz w:val="28"/>
          <w:szCs w:val="28"/>
        </w:rPr>
        <w:t>学术研究</w:t>
      </w:r>
    </w:p>
    <w:p w:rsidR="007D0211" w:rsidRPr="00613AE6" w:rsidRDefault="007D0211" w:rsidP="007D0211">
      <w:pPr>
        <w:pStyle w:val="ResumeAlignRight"/>
        <w:tabs>
          <w:tab w:val="left" w:pos="360"/>
        </w:tabs>
        <w:rPr>
          <w:rFonts w:asciiTheme="majorEastAsia" w:eastAsiaTheme="majorEastAsia" w:hAnsiTheme="majorEastAsia"/>
          <w:b/>
          <w:bCs/>
          <w:sz w:val="21"/>
          <w:szCs w:val="21"/>
        </w:rPr>
      </w:pPr>
      <w:r w:rsidRPr="00613AE6">
        <w:rPr>
          <w:rFonts w:asciiTheme="majorEastAsia" w:eastAsiaTheme="majorEastAsia" w:hAnsiTheme="majorEastAsia"/>
          <w:b/>
          <w:sz w:val="22"/>
          <w:szCs w:val="22"/>
        </w:rPr>
        <w:t>南加州大学多恩西夫文理学院经济系</w:t>
      </w:r>
      <w:r w:rsidRPr="00613AE6">
        <w:rPr>
          <w:rFonts w:asciiTheme="majorEastAsia" w:eastAsiaTheme="majorEastAsia" w:hAnsiTheme="majorEastAsia"/>
          <w:b/>
          <w:sz w:val="21"/>
          <w:szCs w:val="21"/>
        </w:rPr>
        <w:tab/>
      </w:r>
      <w:r w:rsidRPr="00613AE6">
        <w:rPr>
          <w:rFonts w:asciiTheme="majorEastAsia" w:eastAsiaTheme="majorEastAsia" w:hAnsiTheme="majorEastAsia"/>
          <w:b/>
          <w:bCs/>
          <w:sz w:val="21"/>
          <w:szCs w:val="21"/>
        </w:rPr>
        <w:t>美国加利福尼亚州</w:t>
      </w:r>
      <w:r w:rsidR="00952606">
        <w:rPr>
          <w:rFonts w:asciiTheme="majorEastAsia" w:eastAsiaTheme="majorEastAsia" w:hAnsiTheme="majorEastAsia" w:hint="eastAsia"/>
          <w:b/>
          <w:bCs/>
          <w:sz w:val="21"/>
          <w:szCs w:val="21"/>
        </w:rPr>
        <w:t xml:space="preserve"> </w:t>
      </w:r>
      <w:r w:rsidRPr="00613AE6">
        <w:rPr>
          <w:rFonts w:asciiTheme="majorEastAsia" w:eastAsiaTheme="majorEastAsia" w:hAnsiTheme="majorEastAsia"/>
          <w:b/>
          <w:bCs/>
          <w:sz w:val="21"/>
          <w:szCs w:val="21"/>
        </w:rPr>
        <w:t>洛杉矶</w:t>
      </w:r>
      <w:r w:rsidRPr="00613AE6">
        <w:rPr>
          <w:rFonts w:asciiTheme="majorEastAsia" w:eastAsiaTheme="majorEastAsia" w:hAnsiTheme="majorEastAsia" w:hint="eastAsia"/>
          <w:b/>
          <w:bCs/>
          <w:sz w:val="21"/>
          <w:szCs w:val="21"/>
        </w:rPr>
        <w:t>市</w:t>
      </w:r>
    </w:p>
    <w:p w:rsidR="007D0211" w:rsidRPr="00613AE6" w:rsidRDefault="007D0211" w:rsidP="007D0211">
      <w:pPr>
        <w:spacing w:line="200" w:lineRule="atLeast"/>
        <w:rPr>
          <w:rFonts w:asciiTheme="majorEastAsia" w:eastAsiaTheme="majorEastAsia" w:hAnsiTheme="majorEastAsia" w:cs="Times New Roman"/>
          <w:bCs/>
          <w:i/>
          <w:iCs/>
          <w:kern w:val="0"/>
          <w:sz w:val="21"/>
          <w:szCs w:val="21"/>
          <w14:ligatures w14:val="none"/>
        </w:rPr>
      </w:pPr>
      <w:r w:rsidRPr="00613AE6">
        <w:rPr>
          <w:rFonts w:asciiTheme="majorEastAsia" w:eastAsiaTheme="majorEastAsia" w:hAnsiTheme="majorEastAsia" w:cs="Times New Roman"/>
          <w:bCs/>
          <w:i/>
          <w:iCs/>
          <w:kern w:val="0"/>
          <w:sz w:val="21"/>
          <w:szCs w:val="21"/>
          <w14:ligatures w14:val="none"/>
        </w:rPr>
        <w:t>在经济学家John Strauss指导下进行研究</w:t>
      </w:r>
      <w:r w:rsidRPr="00613AE6">
        <w:rPr>
          <w:rFonts w:asciiTheme="majorEastAsia" w:eastAsiaTheme="majorEastAsia" w:hAnsiTheme="majorEastAsia" w:cs="Segoe UI"/>
          <w:color w:val="F8FAFF"/>
          <w:sz w:val="22"/>
          <w:szCs w:val="22"/>
        </w:rPr>
        <w:t> | </w:t>
      </w:r>
      <w:r w:rsidRPr="00613AE6">
        <w:rPr>
          <w:rFonts w:asciiTheme="majorEastAsia" w:eastAsiaTheme="majorEastAsia" w:hAnsiTheme="majorEastAsia" w:cs="Segoe UI"/>
          <w:color w:val="F8FAFF"/>
          <w:sz w:val="22"/>
          <w:szCs w:val="22"/>
        </w:rPr>
        <w:tab/>
      </w:r>
      <w:r w:rsidRPr="00613AE6">
        <w:rPr>
          <w:rFonts w:asciiTheme="majorEastAsia" w:eastAsiaTheme="majorEastAsia" w:hAnsiTheme="majorEastAsia" w:cs="Segoe UI"/>
          <w:color w:val="F8FAFF"/>
          <w:sz w:val="22"/>
          <w:szCs w:val="22"/>
        </w:rPr>
        <w:tab/>
      </w:r>
      <w:r w:rsidRPr="00613AE6">
        <w:rPr>
          <w:rFonts w:asciiTheme="majorEastAsia" w:eastAsiaTheme="majorEastAsia" w:hAnsiTheme="majorEastAsia" w:cs="Segoe UI"/>
          <w:color w:val="F8FAFF"/>
          <w:sz w:val="22"/>
          <w:szCs w:val="22"/>
        </w:rPr>
        <w:tab/>
      </w:r>
      <w:r w:rsidRPr="00613AE6">
        <w:rPr>
          <w:rFonts w:asciiTheme="majorEastAsia" w:eastAsiaTheme="majorEastAsia" w:hAnsiTheme="majorEastAsia" w:cs="Segoe UI"/>
          <w:color w:val="F8FAFF"/>
          <w:sz w:val="22"/>
          <w:szCs w:val="22"/>
        </w:rPr>
        <w:tab/>
        <w:t xml:space="preserve">    </w:t>
      </w:r>
      <w:r w:rsidR="00F92E70">
        <w:rPr>
          <w:rFonts w:asciiTheme="majorEastAsia" w:eastAsiaTheme="majorEastAsia" w:hAnsiTheme="majorEastAsia" w:cs="Segoe UI"/>
          <w:color w:val="F8FAFF"/>
          <w:sz w:val="22"/>
          <w:szCs w:val="22"/>
        </w:rPr>
        <w:t xml:space="preserve">  </w:t>
      </w:r>
      <w:r w:rsidRPr="00613AE6">
        <w:rPr>
          <w:rFonts w:asciiTheme="majorEastAsia" w:eastAsiaTheme="majorEastAsia" w:hAnsiTheme="majorEastAsia" w:cs="Times New Roman" w:hint="eastAsia"/>
          <w:bCs/>
          <w:i/>
          <w:iCs/>
          <w:kern w:val="0"/>
          <w:sz w:val="21"/>
          <w:szCs w:val="21"/>
          <w14:ligatures w14:val="none"/>
        </w:rPr>
        <w:t>2</w:t>
      </w:r>
      <w:r w:rsidRPr="00613AE6">
        <w:rPr>
          <w:rFonts w:asciiTheme="majorEastAsia" w:eastAsiaTheme="majorEastAsia" w:hAnsiTheme="majorEastAsia" w:cs="Times New Roman"/>
          <w:bCs/>
          <w:i/>
          <w:iCs/>
          <w:kern w:val="0"/>
          <w:sz w:val="21"/>
          <w:szCs w:val="21"/>
          <w14:ligatures w14:val="none"/>
        </w:rPr>
        <w:t>023年1月 – 2023年5月</w:t>
      </w:r>
    </w:p>
    <w:p w:rsidR="007D0211" w:rsidRPr="00613AE6" w:rsidRDefault="007D0211" w:rsidP="007D0211">
      <w:pPr>
        <w:pStyle w:val="ResumeAlignRight"/>
        <w:numPr>
          <w:ilvl w:val="0"/>
          <w:numId w:val="12"/>
        </w:numPr>
        <w:pBdr>
          <w:bottom w:val="single" w:sz="4" w:space="31" w:color="auto"/>
        </w:pBdr>
        <w:tabs>
          <w:tab w:val="left" w:pos="360"/>
        </w:tabs>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研究加纳在领导人恩克鲁玛社会主义时期的经济扭曲现象，包括集体生产政策、苛捐杂税、腐败与走私，并与印度尼西亚可可产业的成功案例进行对比。</w:t>
      </w:r>
    </w:p>
    <w:p w:rsidR="007D0211" w:rsidRPr="00613AE6" w:rsidRDefault="007D0211" w:rsidP="007D0211">
      <w:pPr>
        <w:pStyle w:val="ResumeAlignRight"/>
        <w:numPr>
          <w:ilvl w:val="0"/>
          <w:numId w:val="12"/>
        </w:numPr>
        <w:pBdr>
          <w:bottom w:val="single" w:sz="4" w:space="31" w:color="auto"/>
        </w:pBdr>
        <w:tabs>
          <w:tab w:val="left" w:pos="360"/>
        </w:tabs>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剖析加纳可可定价政策的失败与成功之处，阐明其对经济增长、贫困、贸易平衡、政府赤字、政治动荡及公众骚乱的影响，重点对比1982年前后的差异。</w:t>
      </w:r>
    </w:p>
    <w:p w:rsidR="00613AE6" w:rsidRPr="00952606" w:rsidRDefault="007D0211" w:rsidP="00613AE6">
      <w:pPr>
        <w:pStyle w:val="ResumeAlignRight"/>
        <w:numPr>
          <w:ilvl w:val="0"/>
          <w:numId w:val="12"/>
        </w:numPr>
        <w:pBdr>
          <w:bottom w:val="single" w:sz="4" w:space="31" w:color="auto"/>
        </w:pBdr>
        <w:tabs>
          <w:tab w:val="left" w:pos="360"/>
        </w:tabs>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hint="eastAsia"/>
          <w:sz w:val="18"/>
          <w:szCs w:val="18"/>
        </w:rPr>
        <w:t>对26篇研究论文及Robert H. Bates的著作《热带非洲的市场与国家》(</w:t>
      </w:r>
      <w:r w:rsidRPr="00F92E70">
        <w:rPr>
          <w:rFonts w:asciiTheme="majorEastAsia" w:eastAsiaTheme="majorEastAsia" w:hAnsiTheme="majorEastAsia" w:hint="eastAsia"/>
          <w:i/>
          <w:iCs/>
          <w:sz w:val="18"/>
          <w:szCs w:val="18"/>
        </w:rPr>
        <w:t>Markets and States in Tropical Africa</w:t>
      </w:r>
      <w:r w:rsidRPr="00613AE6">
        <w:rPr>
          <w:rFonts w:asciiTheme="majorEastAsia" w:eastAsiaTheme="majorEastAsia" w:hAnsiTheme="majorEastAsia" w:hint="eastAsia"/>
          <w:sz w:val="18"/>
          <w:szCs w:val="18"/>
        </w:rPr>
        <w:t>) 进行文献综述，总结撒哈拉以南非洲地区的定价与农村政策及其对农作物表现的影响</w:t>
      </w:r>
    </w:p>
    <w:sectPr w:rsidR="00613AE6" w:rsidRPr="00952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CA0480FA">
      <w:start w:val="1"/>
      <w:numFmt w:val="bullet"/>
      <w:lvlText w:val=""/>
      <w:lvlJc w:val="left"/>
      <w:pPr>
        <w:ind w:left="720" w:hanging="360"/>
      </w:pPr>
      <w:rPr>
        <w:rFonts w:ascii="Symbol" w:hAnsi="Symbol"/>
      </w:rPr>
    </w:lvl>
    <w:lvl w:ilvl="1" w:tplc="664E35EC">
      <w:start w:val="1"/>
      <w:numFmt w:val="bullet"/>
      <w:lvlText w:val="o"/>
      <w:lvlJc w:val="left"/>
      <w:pPr>
        <w:tabs>
          <w:tab w:val="num" w:pos="1440"/>
        </w:tabs>
        <w:ind w:left="1440" w:hanging="360"/>
      </w:pPr>
      <w:rPr>
        <w:rFonts w:ascii="Courier New" w:hAnsi="Courier New"/>
      </w:rPr>
    </w:lvl>
    <w:lvl w:ilvl="2" w:tplc="EE141E9C">
      <w:start w:val="1"/>
      <w:numFmt w:val="bullet"/>
      <w:lvlText w:val=""/>
      <w:lvlJc w:val="left"/>
      <w:pPr>
        <w:tabs>
          <w:tab w:val="num" w:pos="2160"/>
        </w:tabs>
        <w:ind w:left="2160" w:hanging="360"/>
      </w:pPr>
      <w:rPr>
        <w:rFonts w:ascii="Wingdings" w:hAnsi="Wingdings"/>
      </w:rPr>
    </w:lvl>
    <w:lvl w:ilvl="3" w:tplc="B2D29130">
      <w:start w:val="1"/>
      <w:numFmt w:val="bullet"/>
      <w:lvlText w:val=""/>
      <w:lvlJc w:val="left"/>
      <w:pPr>
        <w:tabs>
          <w:tab w:val="num" w:pos="2880"/>
        </w:tabs>
        <w:ind w:left="2880" w:hanging="360"/>
      </w:pPr>
      <w:rPr>
        <w:rFonts w:ascii="Symbol" w:hAnsi="Symbol"/>
      </w:rPr>
    </w:lvl>
    <w:lvl w:ilvl="4" w:tplc="598CBB9E">
      <w:start w:val="1"/>
      <w:numFmt w:val="bullet"/>
      <w:lvlText w:val="o"/>
      <w:lvlJc w:val="left"/>
      <w:pPr>
        <w:tabs>
          <w:tab w:val="num" w:pos="3600"/>
        </w:tabs>
        <w:ind w:left="3600" w:hanging="360"/>
      </w:pPr>
      <w:rPr>
        <w:rFonts w:ascii="Courier New" w:hAnsi="Courier New"/>
      </w:rPr>
    </w:lvl>
    <w:lvl w:ilvl="5" w:tplc="40E856A4">
      <w:start w:val="1"/>
      <w:numFmt w:val="bullet"/>
      <w:lvlText w:val=""/>
      <w:lvlJc w:val="left"/>
      <w:pPr>
        <w:tabs>
          <w:tab w:val="num" w:pos="4320"/>
        </w:tabs>
        <w:ind w:left="4320" w:hanging="360"/>
      </w:pPr>
      <w:rPr>
        <w:rFonts w:ascii="Wingdings" w:hAnsi="Wingdings"/>
      </w:rPr>
    </w:lvl>
    <w:lvl w:ilvl="6" w:tplc="3E40803E">
      <w:start w:val="1"/>
      <w:numFmt w:val="bullet"/>
      <w:lvlText w:val=""/>
      <w:lvlJc w:val="left"/>
      <w:pPr>
        <w:tabs>
          <w:tab w:val="num" w:pos="5040"/>
        </w:tabs>
        <w:ind w:left="5040" w:hanging="360"/>
      </w:pPr>
      <w:rPr>
        <w:rFonts w:ascii="Symbol" w:hAnsi="Symbol"/>
      </w:rPr>
    </w:lvl>
    <w:lvl w:ilvl="7" w:tplc="3C2246F4">
      <w:start w:val="1"/>
      <w:numFmt w:val="bullet"/>
      <w:lvlText w:val="o"/>
      <w:lvlJc w:val="left"/>
      <w:pPr>
        <w:tabs>
          <w:tab w:val="num" w:pos="5760"/>
        </w:tabs>
        <w:ind w:left="5760" w:hanging="360"/>
      </w:pPr>
      <w:rPr>
        <w:rFonts w:ascii="Courier New" w:hAnsi="Courier New"/>
      </w:rPr>
    </w:lvl>
    <w:lvl w:ilvl="8" w:tplc="6ADCE9A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A6E8930A">
      <w:start w:val="1"/>
      <w:numFmt w:val="bullet"/>
      <w:lvlText w:val=""/>
      <w:lvlJc w:val="left"/>
      <w:pPr>
        <w:ind w:left="720" w:hanging="360"/>
      </w:pPr>
      <w:rPr>
        <w:rFonts w:ascii="Symbol" w:hAnsi="Symbol"/>
      </w:rPr>
    </w:lvl>
    <w:lvl w:ilvl="1" w:tplc="673CDE3C">
      <w:start w:val="1"/>
      <w:numFmt w:val="bullet"/>
      <w:lvlText w:val="o"/>
      <w:lvlJc w:val="left"/>
      <w:pPr>
        <w:tabs>
          <w:tab w:val="num" w:pos="1440"/>
        </w:tabs>
        <w:ind w:left="1440" w:hanging="360"/>
      </w:pPr>
      <w:rPr>
        <w:rFonts w:ascii="Courier New" w:hAnsi="Courier New"/>
      </w:rPr>
    </w:lvl>
    <w:lvl w:ilvl="2" w:tplc="379E33B2">
      <w:start w:val="1"/>
      <w:numFmt w:val="bullet"/>
      <w:lvlText w:val=""/>
      <w:lvlJc w:val="left"/>
      <w:pPr>
        <w:tabs>
          <w:tab w:val="num" w:pos="2160"/>
        </w:tabs>
        <w:ind w:left="2160" w:hanging="360"/>
      </w:pPr>
      <w:rPr>
        <w:rFonts w:ascii="Wingdings" w:hAnsi="Wingdings"/>
      </w:rPr>
    </w:lvl>
    <w:lvl w:ilvl="3" w:tplc="928A2536">
      <w:start w:val="1"/>
      <w:numFmt w:val="bullet"/>
      <w:lvlText w:val=""/>
      <w:lvlJc w:val="left"/>
      <w:pPr>
        <w:tabs>
          <w:tab w:val="num" w:pos="2880"/>
        </w:tabs>
        <w:ind w:left="2880" w:hanging="360"/>
      </w:pPr>
      <w:rPr>
        <w:rFonts w:ascii="Symbol" w:hAnsi="Symbol"/>
      </w:rPr>
    </w:lvl>
    <w:lvl w:ilvl="4" w:tplc="0DDAD41C">
      <w:start w:val="1"/>
      <w:numFmt w:val="bullet"/>
      <w:lvlText w:val="o"/>
      <w:lvlJc w:val="left"/>
      <w:pPr>
        <w:tabs>
          <w:tab w:val="num" w:pos="3600"/>
        </w:tabs>
        <w:ind w:left="3600" w:hanging="360"/>
      </w:pPr>
      <w:rPr>
        <w:rFonts w:ascii="Courier New" w:hAnsi="Courier New"/>
      </w:rPr>
    </w:lvl>
    <w:lvl w:ilvl="5" w:tplc="BF2EC182">
      <w:start w:val="1"/>
      <w:numFmt w:val="bullet"/>
      <w:lvlText w:val=""/>
      <w:lvlJc w:val="left"/>
      <w:pPr>
        <w:tabs>
          <w:tab w:val="num" w:pos="4320"/>
        </w:tabs>
        <w:ind w:left="4320" w:hanging="360"/>
      </w:pPr>
      <w:rPr>
        <w:rFonts w:ascii="Wingdings" w:hAnsi="Wingdings"/>
      </w:rPr>
    </w:lvl>
    <w:lvl w:ilvl="6" w:tplc="176A979C">
      <w:start w:val="1"/>
      <w:numFmt w:val="bullet"/>
      <w:lvlText w:val=""/>
      <w:lvlJc w:val="left"/>
      <w:pPr>
        <w:tabs>
          <w:tab w:val="num" w:pos="5040"/>
        </w:tabs>
        <w:ind w:left="5040" w:hanging="360"/>
      </w:pPr>
      <w:rPr>
        <w:rFonts w:ascii="Symbol" w:hAnsi="Symbol"/>
      </w:rPr>
    </w:lvl>
    <w:lvl w:ilvl="7" w:tplc="BDDAFE82">
      <w:start w:val="1"/>
      <w:numFmt w:val="bullet"/>
      <w:lvlText w:val="o"/>
      <w:lvlJc w:val="left"/>
      <w:pPr>
        <w:tabs>
          <w:tab w:val="num" w:pos="5760"/>
        </w:tabs>
        <w:ind w:left="5760" w:hanging="360"/>
      </w:pPr>
      <w:rPr>
        <w:rFonts w:ascii="Courier New" w:hAnsi="Courier New"/>
      </w:rPr>
    </w:lvl>
    <w:lvl w:ilvl="8" w:tplc="87A41C7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2F1006A4">
      <w:start w:val="1"/>
      <w:numFmt w:val="bullet"/>
      <w:lvlText w:val=""/>
      <w:lvlJc w:val="left"/>
      <w:pPr>
        <w:ind w:left="720" w:hanging="360"/>
      </w:pPr>
      <w:rPr>
        <w:rFonts w:ascii="Symbol" w:hAnsi="Symbol"/>
      </w:rPr>
    </w:lvl>
    <w:lvl w:ilvl="1" w:tplc="0540B014">
      <w:start w:val="1"/>
      <w:numFmt w:val="bullet"/>
      <w:lvlText w:val="o"/>
      <w:lvlJc w:val="left"/>
      <w:pPr>
        <w:tabs>
          <w:tab w:val="num" w:pos="1440"/>
        </w:tabs>
        <w:ind w:left="1440" w:hanging="360"/>
      </w:pPr>
      <w:rPr>
        <w:rFonts w:ascii="Courier New" w:hAnsi="Courier New"/>
      </w:rPr>
    </w:lvl>
    <w:lvl w:ilvl="2" w:tplc="918C1FFE">
      <w:start w:val="1"/>
      <w:numFmt w:val="bullet"/>
      <w:lvlText w:val=""/>
      <w:lvlJc w:val="left"/>
      <w:pPr>
        <w:tabs>
          <w:tab w:val="num" w:pos="2160"/>
        </w:tabs>
        <w:ind w:left="2160" w:hanging="360"/>
      </w:pPr>
      <w:rPr>
        <w:rFonts w:ascii="Wingdings" w:hAnsi="Wingdings"/>
      </w:rPr>
    </w:lvl>
    <w:lvl w:ilvl="3" w:tplc="C044618A">
      <w:start w:val="1"/>
      <w:numFmt w:val="bullet"/>
      <w:lvlText w:val=""/>
      <w:lvlJc w:val="left"/>
      <w:pPr>
        <w:tabs>
          <w:tab w:val="num" w:pos="2880"/>
        </w:tabs>
        <w:ind w:left="2880" w:hanging="360"/>
      </w:pPr>
      <w:rPr>
        <w:rFonts w:ascii="Symbol" w:hAnsi="Symbol"/>
      </w:rPr>
    </w:lvl>
    <w:lvl w:ilvl="4" w:tplc="4D3A20A4">
      <w:start w:val="1"/>
      <w:numFmt w:val="bullet"/>
      <w:lvlText w:val="o"/>
      <w:lvlJc w:val="left"/>
      <w:pPr>
        <w:tabs>
          <w:tab w:val="num" w:pos="3600"/>
        </w:tabs>
        <w:ind w:left="3600" w:hanging="360"/>
      </w:pPr>
      <w:rPr>
        <w:rFonts w:ascii="Courier New" w:hAnsi="Courier New"/>
      </w:rPr>
    </w:lvl>
    <w:lvl w:ilvl="5" w:tplc="B32AD8A0">
      <w:start w:val="1"/>
      <w:numFmt w:val="bullet"/>
      <w:lvlText w:val=""/>
      <w:lvlJc w:val="left"/>
      <w:pPr>
        <w:tabs>
          <w:tab w:val="num" w:pos="4320"/>
        </w:tabs>
        <w:ind w:left="4320" w:hanging="360"/>
      </w:pPr>
      <w:rPr>
        <w:rFonts w:ascii="Wingdings" w:hAnsi="Wingdings"/>
      </w:rPr>
    </w:lvl>
    <w:lvl w:ilvl="6" w:tplc="2C32D804">
      <w:start w:val="1"/>
      <w:numFmt w:val="bullet"/>
      <w:lvlText w:val=""/>
      <w:lvlJc w:val="left"/>
      <w:pPr>
        <w:tabs>
          <w:tab w:val="num" w:pos="5040"/>
        </w:tabs>
        <w:ind w:left="5040" w:hanging="360"/>
      </w:pPr>
      <w:rPr>
        <w:rFonts w:ascii="Symbol" w:hAnsi="Symbol"/>
      </w:rPr>
    </w:lvl>
    <w:lvl w:ilvl="7" w:tplc="C0D09656">
      <w:start w:val="1"/>
      <w:numFmt w:val="bullet"/>
      <w:lvlText w:val="o"/>
      <w:lvlJc w:val="left"/>
      <w:pPr>
        <w:tabs>
          <w:tab w:val="num" w:pos="5760"/>
        </w:tabs>
        <w:ind w:left="5760" w:hanging="360"/>
      </w:pPr>
      <w:rPr>
        <w:rFonts w:ascii="Courier New" w:hAnsi="Courier New"/>
      </w:rPr>
    </w:lvl>
    <w:lvl w:ilvl="8" w:tplc="DF72ACA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hybridMultilevel"/>
    <w:tmpl w:val="00000005"/>
    <w:lvl w:ilvl="0" w:tplc="7C8433A4">
      <w:start w:val="1"/>
      <w:numFmt w:val="bullet"/>
      <w:lvlText w:val=""/>
      <w:lvlJc w:val="left"/>
      <w:pPr>
        <w:ind w:left="720" w:hanging="360"/>
      </w:pPr>
      <w:rPr>
        <w:rFonts w:ascii="Symbol" w:hAnsi="Symbol"/>
      </w:rPr>
    </w:lvl>
    <w:lvl w:ilvl="1" w:tplc="7B005364">
      <w:start w:val="1"/>
      <w:numFmt w:val="bullet"/>
      <w:lvlText w:val="o"/>
      <w:lvlJc w:val="left"/>
      <w:pPr>
        <w:tabs>
          <w:tab w:val="num" w:pos="1440"/>
        </w:tabs>
        <w:ind w:left="1440" w:hanging="360"/>
      </w:pPr>
      <w:rPr>
        <w:rFonts w:ascii="Courier New" w:hAnsi="Courier New"/>
      </w:rPr>
    </w:lvl>
    <w:lvl w:ilvl="2" w:tplc="BC663F0A">
      <w:start w:val="1"/>
      <w:numFmt w:val="bullet"/>
      <w:lvlText w:val=""/>
      <w:lvlJc w:val="left"/>
      <w:pPr>
        <w:tabs>
          <w:tab w:val="num" w:pos="2160"/>
        </w:tabs>
        <w:ind w:left="2160" w:hanging="360"/>
      </w:pPr>
      <w:rPr>
        <w:rFonts w:ascii="Wingdings" w:hAnsi="Wingdings"/>
      </w:rPr>
    </w:lvl>
    <w:lvl w:ilvl="3" w:tplc="D02498B8">
      <w:start w:val="1"/>
      <w:numFmt w:val="bullet"/>
      <w:lvlText w:val=""/>
      <w:lvlJc w:val="left"/>
      <w:pPr>
        <w:tabs>
          <w:tab w:val="num" w:pos="2880"/>
        </w:tabs>
        <w:ind w:left="2880" w:hanging="360"/>
      </w:pPr>
      <w:rPr>
        <w:rFonts w:ascii="Symbol" w:hAnsi="Symbol"/>
      </w:rPr>
    </w:lvl>
    <w:lvl w:ilvl="4" w:tplc="3BA0CE34">
      <w:start w:val="1"/>
      <w:numFmt w:val="bullet"/>
      <w:lvlText w:val="o"/>
      <w:lvlJc w:val="left"/>
      <w:pPr>
        <w:tabs>
          <w:tab w:val="num" w:pos="3600"/>
        </w:tabs>
        <w:ind w:left="3600" w:hanging="360"/>
      </w:pPr>
      <w:rPr>
        <w:rFonts w:ascii="Courier New" w:hAnsi="Courier New"/>
      </w:rPr>
    </w:lvl>
    <w:lvl w:ilvl="5" w:tplc="5BBA4880">
      <w:start w:val="1"/>
      <w:numFmt w:val="bullet"/>
      <w:lvlText w:val=""/>
      <w:lvlJc w:val="left"/>
      <w:pPr>
        <w:tabs>
          <w:tab w:val="num" w:pos="4320"/>
        </w:tabs>
        <w:ind w:left="4320" w:hanging="360"/>
      </w:pPr>
      <w:rPr>
        <w:rFonts w:ascii="Wingdings" w:hAnsi="Wingdings"/>
      </w:rPr>
    </w:lvl>
    <w:lvl w:ilvl="6" w:tplc="DAF466E2">
      <w:start w:val="1"/>
      <w:numFmt w:val="bullet"/>
      <w:lvlText w:val=""/>
      <w:lvlJc w:val="left"/>
      <w:pPr>
        <w:tabs>
          <w:tab w:val="num" w:pos="5040"/>
        </w:tabs>
        <w:ind w:left="5040" w:hanging="360"/>
      </w:pPr>
      <w:rPr>
        <w:rFonts w:ascii="Symbol" w:hAnsi="Symbol"/>
      </w:rPr>
    </w:lvl>
    <w:lvl w:ilvl="7" w:tplc="5BFA0738">
      <w:start w:val="1"/>
      <w:numFmt w:val="bullet"/>
      <w:lvlText w:val="o"/>
      <w:lvlJc w:val="left"/>
      <w:pPr>
        <w:tabs>
          <w:tab w:val="num" w:pos="5760"/>
        </w:tabs>
        <w:ind w:left="5760" w:hanging="360"/>
      </w:pPr>
      <w:rPr>
        <w:rFonts w:ascii="Courier New" w:hAnsi="Courier New"/>
      </w:rPr>
    </w:lvl>
    <w:lvl w:ilvl="8" w:tplc="46B617FE">
      <w:start w:val="1"/>
      <w:numFmt w:val="bullet"/>
      <w:lvlText w:val=""/>
      <w:lvlJc w:val="left"/>
      <w:pPr>
        <w:tabs>
          <w:tab w:val="num" w:pos="6480"/>
        </w:tabs>
        <w:ind w:left="6480" w:hanging="360"/>
      </w:pPr>
      <w:rPr>
        <w:rFonts w:ascii="Wingdings" w:hAnsi="Wingdings"/>
      </w:rPr>
    </w:lvl>
  </w:abstractNum>
  <w:abstractNum w:abstractNumId="4" w15:restartNumberingAfterBreak="0">
    <w:nsid w:val="1843034D"/>
    <w:multiLevelType w:val="multilevel"/>
    <w:tmpl w:val="9926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83919"/>
    <w:multiLevelType w:val="multilevel"/>
    <w:tmpl w:val="7D20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852C6"/>
    <w:multiLevelType w:val="multilevel"/>
    <w:tmpl w:val="9D20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751AB"/>
    <w:multiLevelType w:val="multilevel"/>
    <w:tmpl w:val="89C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A3DBB"/>
    <w:multiLevelType w:val="hybridMultilevel"/>
    <w:tmpl w:val="E056E4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4291188"/>
    <w:multiLevelType w:val="multilevel"/>
    <w:tmpl w:val="8458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75900"/>
    <w:multiLevelType w:val="hybridMultilevel"/>
    <w:tmpl w:val="8F62162A"/>
    <w:lvl w:ilvl="0" w:tplc="B3183076">
      <w:start w:val="213"/>
      <w:numFmt w:val="bullet"/>
      <w:lvlText w:val="•"/>
      <w:lvlJc w:val="left"/>
      <w:pPr>
        <w:ind w:left="720" w:hanging="360"/>
      </w:pPr>
      <w:rPr>
        <w:rFonts w:ascii="DengXian Light" w:eastAsia="DengXian Light" w:hAnsi="DengXian Light"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A0E9F"/>
    <w:multiLevelType w:val="multilevel"/>
    <w:tmpl w:val="51F2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441737">
    <w:abstractNumId w:val="6"/>
  </w:num>
  <w:num w:numId="2" w16cid:durableId="1349871251">
    <w:abstractNumId w:val="4"/>
  </w:num>
  <w:num w:numId="3" w16cid:durableId="928972821">
    <w:abstractNumId w:val="7"/>
  </w:num>
  <w:num w:numId="4" w16cid:durableId="1699164296">
    <w:abstractNumId w:val="5"/>
  </w:num>
  <w:num w:numId="5" w16cid:durableId="1416629915">
    <w:abstractNumId w:val="11"/>
  </w:num>
  <w:num w:numId="6" w16cid:durableId="620692759">
    <w:abstractNumId w:val="9"/>
  </w:num>
  <w:num w:numId="7" w16cid:durableId="1714964048">
    <w:abstractNumId w:val="8"/>
  </w:num>
  <w:num w:numId="8" w16cid:durableId="599483999">
    <w:abstractNumId w:val="0"/>
  </w:num>
  <w:num w:numId="9" w16cid:durableId="1362898286">
    <w:abstractNumId w:val="1"/>
  </w:num>
  <w:num w:numId="10" w16cid:durableId="122620385">
    <w:abstractNumId w:val="2"/>
  </w:num>
  <w:num w:numId="11" w16cid:durableId="1697803776">
    <w:abstractNumId w:val="3"/>
  </w:num>
  <w:num w:numId="12" w16cid:durableId="1139569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B2"/>
    <w:rsid w:val="00007CB2"/>
    <w:rsid w:val="00386810"/>
    <w:rsid w:val="003C4414"/>
    <w:rsid w:val="00461462"/>
    <w:rsid w:val="005640CE"/>
    <w:rsid w:val="00566498"/>
    <w:rsid w:val="00613AE6"/>
    <w:rsid w:val="006954F5"/>
    <w:rsid w:val="0076750A"/>
    <w:rsid w:val="007754F0"/>
    <w:rsid w:val="007769A3"/>
    <w:rsid w:val="007D0211"/>
    <w:rsid w:val="008132DA"/>
    <w:rsid w:val="008F435A"/>
    <w:rsid w:val="00934877"/>
    <w:rsid w:val="00947222"/>
    <w:rsid w:val="00952606"/>
    <w:rsid w:val="009B5A1F"/>
    <w:rsid w:val="00AC1A3A"/>
    <w:rsid w:val="00B27A02"/>
    <w:rsid w:val="00B56BB9"/>
    <w:rsid w:val="00BA1842"/>
    <w:rsid w:val="00BD104F"/>
    <w:rsid w:val="00C541FD"/>
    <w:rsid w:val="00C90139"/>
    <w:rsid w:val="00C95FCC"/>
    <w:rsid w:val="00EF28F4"/>
    <w:rsid w:val="00F307B2"/>
    <w:rsid w:val="00F92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B172F0"/>
  <w15:chartTrackingRefBased/>
  <w15:docId w15:val="{1F10835B-4F79-EA40-917A-77DFA1EA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markdown-paragraph">
    <w:name w:val="ds-markdown-paragraph"/>
    <w:basedOn w:val="Normal"/>
    <w:rsid w:val="00B27A0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27A02"/>
    <w:rPr>
      <w:b/>
      <w:bCs/>
    </w:rPr>
  </w:style>
  <w:style w:type="character" w:customStyle="1" w:styleId="katex-mathml">
    <w:name w:val="katex-mathml"/>
    <w:basedOn w:val="DefaultParagraphFont"/>
    <w:rsid w:val="00B27A02"/>
  </w:style>
  <w:style w:type="character" w:customStyle="1" w:styleId="mord">
    <w:name w:val="mord"/>
    <w:basedOn w:val="DefaultParagraphFont"/>
    <w:rsid w:val="00B27A02"/>
  </w:style>
  <w:style w:type="character" w:styleId="Hyperlink">
    <w:name w:val="Hyperlink"/>
    <w:basedOn w:val="DefaultParagraphFont"/>
    <w:uiPriority w:val="99"/>
    <w:semiHidden/>
    <w:unhideWhenUsed/>
    <w:rsid w:val="00B27A02"/>
    <w:rPr>
      <w:color w:val="0000FF"/>
      <w:u w:val="single"/>
    </w:rPr>
  </w:style>
  <w:style w:type="character" w:styleId="Emphasis">
    <w:name w:val="Emphasis"/>
    <w:basedOn w:val="DefaultParagraphFont"/>
    <w:uiPriority w:val="20"/>
    <w:qFormat/>
    <w:rsid w:val="00B27A02"/>
    <w:rPr>
      <w:i/>
      <w:iCs/>
    </w:rPr>
  </w:style>
  <w:style w:type="paragraph" w:styleId="Header">
    <w:name w:val="header"/>
    <w:basedOn w:val="Normal"/>
    <w:link w:val="HeaderChar"/>
    <w:rsid w:val="00B27A02"/>
    <w:pPr>
      <w:tabs>
        <w:tab w:val="center" w:pos="4320"/>
        <w:tab w:val="right" w:pos="8640"/>
      </w:tabs>
    </w:pPr>
    <w:rPr>
      <w:rFonts w:ascii="Times New Roman" w:eastAsia="SimSun" w:hAnsi="Times New Roman" w:cs="Times New Roman"/>
      <w:kern w:val="0"/>
      <w14:ligatures w14:val="none"/>
    </w:rPr>
  </w:style>
  <w:style w:type="character" w:customStyle="1" w:styleId="HeaderChar">
    <w:name w:val="Header Char"/>
    <w:basedOn w:val="DefaultParagraphFont"/>
    <w:link w:val="Header"/>
    <w:rsid w:val="00B27A02"/>
    <w:rPr>
      <w:rFonts w:ascii="Times New Roman" w:eastAsia="SimSun" w:hAnsi="Times New Roman" w:cs="Times New Roman"/>
      <w:kern w:val="0"/>
      <w14:ligatures w14:val="none"/>
    </w:rPr>
  </w:style>
  <w:style w:type="paragraph" w:customStyle="1" w:styleId="ResumeAlignRight">
    <w:name w:val="Resume Align Right"/>
    <w:basedOn w:val="Normal"/>
    <w:rsid w:val="00B27A02"/>
    <w:pPr>
      <w:tabs>
        <w:tab w:val="right" w:pos="10080"/>
      </w:tabs>
    </w:pPr>
    <w:rPr>
      <w:rFonts w:ascii="Times New Roman" w:eastAsia="SimSun" w:hAnsi="Times New Roman" w:cs="Times New Roman"/>
      <w:kern w:val="0"/>
      <w14:ligatures w14:val="none"/>
    </w:rPr>
  </w:style>
  <w:style w:type="character" w:customStyle="1" w:styleId="None">
    <w:name w:val="None"/>
    <w:rsid w:val="00B27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Lehuan Wang</dc:creator>
  <cp:keywords/>
  <dc:description/>
  <cp:lastModifiedBy>Lehuan Wang</cp:lastModifiedBy>
  <cp:revision>27</cp:revision>
  <dcterms:created xsi:type="dcterms:W3CDTF">2025-06-04T01:48:00Z</dcterms:created>
  <dcterms:modified xsi:type="dcterms:W3CDTF">2025-06-26T16:30:00Z</dcterms:modified>
</cp:coreProperties>
</file>