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v3xo05hikuxb" w:id="0"/>
      <w:bookmarkEnd w:id="0"/>
      <w:r w:rsidDel="00000000" w:rsidR="00000000" w:rsidRPr="00000000">
        <w:rPr>
          <w:rtl w:val="0"/>
        </w:rPr>
        <w:t xml:space="preserve">Technical Monograph: Lorentz-Invariant Structures in Coupled DHO and Quantum Systems</w:t>
      </w:r>
    </w:p>
    <w:p w:rsidR="00000000" w:rsidDel="00000000" w:rsidP="00000000" w:rsidRDefault="00000000" w:rsidRPr="00000000" w14:paraId="00000002">
      <w:pPr>
        <w:pStyle w:val="Heading4"/>
        <w:rPr/>
      </w:pPr>
      <w:bookmarkStart w:colFirst="0" w:colLast="0" w:name="_284rtjsmlavs" w:id="1"/>
      <w:bookmarkEnd w:id="1"/>
      <w:r w:rsidDel="00000000" w:rsidR="00000000" w:rsidRPr="00000000">
        <w:rPr>
          <w:rtl w:val="0"/>
        </w:rPr>
        <w:t xml:space="preserve">1. Foundational Uniqueness: The Chentsov-Campbell-Petz Chain</w:t>
      </w:r>
    </w:p>
    <w:p w:rsidR="00000000" w:rsidDel="00000000" w:rsidP="00000000" w:rsidRDefault="00000000" w:rsidRPr="00000000" w14:paraId="00000003">
      <w:pPr>
        <w:rPr/>
      </w:pPr>
      <w:r w:rsidDel="00000000" w:rsidR="00000000" w:rsidRPr="00000000">
        <w:rPr>
          <w:rtl w:val="0"/>
        </w:rPr>
        <w:t xml:space="preserve">The establishment of a universal framework for measurement and information requires grounding in the unique mathematical structures that define physical state spaces. The Terminal Equivalence Principle (TEP) utilizes a foundational uniqueness chain to prove that its metric apparatus is the forced consequence of Markov-invariance across classical and quantum domains. This strategic grounding ensures that the framework’s results—ranging from signal processing to quantum decoherence—rest upon rigorous statistical identities that define the limits of information geometry.</w:t>
      </w:r>
    </w:p>
    <w:p w:rsidR="00000000" w:rsidDel="00000000" w:rsidP="00000000" w:rsidRDefault="00000000" w:rsidRPr="00000000" w14:paraId="00000004">
      <w:pPr>
        <w:pStyle w:val="Heading5"/>
        <w:rPr/>
      </w:pPr>
      <w:bookmarkStart w:colFirst="0" w:colLast="0" w:name="_l2jhjptibeys" w:id="2"/>
      <w:bookmarkEnd w:id="2"/>
      <w:r w:rsidDel="00000000" w:rsidR="00000000" w:rsidRPr="00000000">
        <w:rPr>
          <w:rtl w:val="0"/>
        </w:rPr>
        <w:t xml:space="preserve">1.1 The Classical-Quantum Uniqueness Chain</w:t>
      </w:r>
    </w:p>
    <w:p w:rsidR="00000000" w:rsidDel="00000000" w:rsidP="00000000" w:rsidRDefault="00000000" w:rsidRPr="00000000" w14:paraId="00000005">
      <w:pPr>
        <w:rPr/>
      </w:pPr>
      <w:r w:rsidDel="00000000" w:rsidR="00000000" w:rsidRPr="00000000">
        <w:rPr>
          <w:rtl w:val="0"/>
        </w:rPr>
        <w:t xml:space="preserve">The TEP framework is anchored by a tripartite sequence of theorems defining the natural geometry of information:</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Chentsov’s Theorem (Classical):</w:t>
      </w:r>
      <w:r w:rsidDel="00000000" w:rsidR="00000000" w:rsidRPr="00000000">
        <w:rPr>
          <w:rtl w:val="0"/>
        </w:rPr>
        <w:t xml:space="preserve">  Establishes the Fisher-Rao metric as the unique Riemannian metric on a probability simplex  $\mathcal{S}_{n-1}$  invariant under all Markov morphisms.</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Campbell’s Extension:</w:t>
      </w:r>
      <w:r w:rsidDel="00000000" w:rsidR="00000000" w:rsidRPr="00000000">
        <w:rPr>
          <w:rtl w:val="0"/>
        </w:rPr>
        <w:t xml:space="preserve">  Generalizes this uniqueness to  </w:t>
      </w:r>
      <w:r w:rsidDel="00000000" w:rsidR="00000000" w:rsidRPr="00000000">
        <w:rPr>
          <w:b w:val="1"/>
          <w:bCs w:val="1"/>
          <w:rtl w:val="0"/>
        </w:rPr>
        <w:t xml:space="preserve">conditional simplices</w:t>
      </w:r>
      <w:r w:rsidDel="00000000" w:rsidR="00000000" w:rsidRPr="00000000">
        <w:rPr>
          <w:rtl w:val="0"/>
        </w:rPr>
        <w:t xml:space="preserve">  and continuous measurable spaces, ensuring the Fisher-Rao metric remains the unique natural structure for arbitrary parametrized measure models.</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Petz’s Theorem (Quantum):</w:t>
      </w:r>
      <w:r w:rsidDel="00000000" w:rsidR="00000000" w:rsidRPr="00000000">
        <w:rPr>
          <w:rtl w:val="0"/>
        </w:rPr>
        <w:t xml:space="preserve">  Extends the concept to density matrices, identifying the family of quantum monotone metrics. Within this set, the  </w:t>
      </w:r>
      <w:r w:rsidDel="00000000" w:rsidR="00000000" w:rsidRPr="00000000">
        <w:rPr>
          <w:b w:val="1"/>
          <w:bCs w:val="1"/>
          <w:rtl w:val="0"/>
        </w:rPr>
        <w:t xml:space="preserve">Bures-Fisher metric</w:t>
      </w:r>
      <w:r w:rsidDel="00000000" w:rsidR="00000000" w:rsidRPr="00000000">
        <w:rPr>
          <w:rtl w:val="0"/>
        </w:rPr>
        <w:t xml:space="preserve">  is the minimal choice, reducing exactly to the classical Fisher-Rao metric for commuting states.</w:t>
      </w:r>
    </w:p>
    <w:p w:rsidR="00000000" w:rsidDel="00000000" w:rsidP="00000000" w:rsidRDefault="00000000" w:rsidRPr="00000000" w14:paraId="00000009">
      <w:pPr>
        <w:pStyle w:val="Heading5"/>
        <w:rPr/>
      </w:pPr>
      <w:bookmarkStart w:colFirst="0" w:colLast="0" w:name="_vqdtszy3bpld" w:id="3"/>
      <w:bookmarkEnd w:id="3"/>
      <w:r w:rsidDel="00000000" w:rsidR="00000000" w:rsidRPr="00000000">
        <w:rPr>
          <w:rtl w:val="0"/>
        </w:rPr>
        <w:t xml:space="preserve">1.2 The TEP Budget Equation</w:t>
      </w:r>
    </w:p>
    <w:p w:rsidR="00000000" w:rsidDel="00000000" w:rsidP="00000000" w:rsidRDefault="00000000" w:rsidRPr="00000000" w14:paraId="0000000A">
      <w:pPr>
        <w:rPr/>
      </w:pPr>
      <w:r w:rsidDel="00000000" w:rsidR="00000000" w:rsidRPr="00000000">
        <w:rPr>
          <w:rtl w:val="0"/>
        </w:rPr>
        <w:t xml:space="preserve">The core resource-partitioning identity, derived from the constraints of passivity and Schur complementarity, is defined by the budget equation:$$x^2 + u = 1$$Here,  $x$  represents the signal or coherence parameter, while  $u$  represents the uncertainty or dissipation parameter. This Pythagorean constraint transforms the state space into a geometric manifold where resources are strictly conserved. The resulting Lorentz factor  $G(x) = 1/\sqrt{1-x^2}$  serves as a universal metric of information density, dictating the distortion of uncertainty as signal magnitude approaches the boundary.</w:t>
      </w:r>
    </w:p>
    <w:p w:rsidR="00000000" w:rsidDel="00000000" w:rsidP="00000000" w:rsidRDefault="00000000" w:rsidRPr="00000000" w14:paraId="0000000B">
      <w:pPr>
        <w:pStyle w:val="Heading5"/>
        <w:rPr/>
      </w:pPr>
      <w:bookmarkStart w:colFirst="0" w:colLast="0" w:name="_jprshqn0iwkd" w:id="4"/>
      <w:bookmarkEnd w:id="4"/>
      <w:r w:rsidDel="00000000" w:rsidR="00000000" w:rsidRPr="00000000">
        <w:rPr>
          <w:rtl w:val="0"/>
        </w:rPr>
        <w:t xml:space="preserve">1.3  $\mathfrak{sl}(2,\mathbb{R})$  as a Generating Algebra</w:t>
      </w:r>
    </w:p>
    <w:p w:rsidR="00000000" w:rsidDel="00000000" w:rsidP="00000000" w:rsidRDefault="00000000" w:rsidRPr="00000000" w14:paraId="0000000C">
      <w:pPr>
        <w:rPr/>
      </w:pPr>
      <w:r w:rsidDel="00000000" w:rsidR="00000000" w:rsidRPr="00000000">
        <w:rPr>
          <w:rtl w:val="0"/>
        </w:rPr>
        <w:t xml:space="preserve">Dynamics within the budget space are governed by Riccati flows generated by the Lie algebra  $\mathfrak{sl}(2,\mathbb{R})$ . This algebra acts via  </w:t>
      </w:r>
      <w:r w:rsidDel="00000000" w:rsidR="00000000" w:rsidRPr="00000000">
        <w:rPr>
          <w:b w:val="1"/>
          <w:bCs w:val="1"/>
          <w:rtl w:val="0"/>
        </w:rPr>
        <w:t xml:space="preserve">Möbius action on the projective line</w:t>
      </w:r>
      <w:r w:rsidDel="00000000" w:rsidR="00000000" w:rsidRPr="00000000">
        <w:rPr>
          <w:rtl w:val="0"/>
        </w:rPr>
        <w:t xml:space="preserve">  ( $\mathbb{RP}^1$ ), where the flows are governed by a  </w:t>
      </w:r>
      <w:r w:rsidDel="00000000" w:rsidR="00000000" w:rsidRPr="00000000">
        <w:rPr>
          <w:b w:val="1"/>
          <w:bCs w:val="1"/>
          <w:rtl w:val="0"/>
        </w:rPr>
        <w:t xml:space="preserve">weighted Vandermonde system</w:t>
      </w:r>
      <w:r w:rsidDel="00000000" w:rsidR="00000000" w:rsidRPr="00000000">
        <w:rPr>
          <w:rtl w:val="0"/>
        </w:rPr>
        <w:t xml:space="preserve">  of moment rates. The four canonical cascade families map precisely to combinations of the Lie algebra generators ( $H, E, F$ ):</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Signal-multiplicative (Bose-Einstein):</w:t>
      </w:r>
      <w:r w:rsidDel="00000000" w:rsidR="00000000" w:rsidRPr="00000000">
        <w:rPr>
          <w:rtl w:val="0"/>
        </w:rPr>
        <w:t xml:space="preserve">  Generated by  $H + F$ .</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Capacity-additive:</w:t>
      </w:r>
      <w:r w:rsidDel="00000000" w:rsidR="00000000" w:rsidRPr="00000000">
        <w:rPr>
          <w:rtl w:val="0"/>
        </w:rPr>
        <w:t xml:space="preserve">  Generated by  $E - H$ .</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NSR-additive:</w:t>
      </w:r>
      <w:r w:rsidDel="00000000" w:rsidR="00000000" w:rsidRPr="00000000">
        <w:rPr>
          <w:rtl w:val="0"/>
        </w:rPr>
        <w:t xml:space="preserve">  Generated by the pure lowering operator  $F$ .</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MRC-additive:</w:t>
      </w:r>
      <w:r w:rsidDel="00000000" w:rsidR="00000000" w:rsidRPr="00000000">
        <w:rPr>
          <w:rtl w:val="0"/>
        </w:rPr>
        <w:t xml:space="preserve">  Generated by the pure raising operator  $E$ .</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Maxwell-Boltzmann:</w:t>
      </w:r>
      <w:r w:rsidDel="00000000" w:rsidR="00000000" w:rsidRPr="00000000">
        <w:rPr>
          <w:rtl w:val="0"/>
        </w:rPr>
        <w:t xml:space="preserve">  Generated by the pure Cartan element  $H$ .These foundational identities ensure that standard physical distributions are specific one-parameter subgroups of the  $\text{SL}(2,\mathbb{R})$  action on the signal-to-noise ratio (SNR) observable.</w:t>
      </w:r>
    </w:p>
    <w:p w:rsidR="00000000" w:rsidDel="00000000" w:rsidP="00000000" w:rsidRDefault="00000000" w:rsidRPr="00000000" w14:paraId="00000012">
      <w:pPr>
        <w:pStyle w:val="Heading4"/>
        <w:rPr/>
      </w:pPr>
      <w:bookmarkStart w:colFirst="0" w:colLast="0" w:name="_4vtjzrkuqoz1" w:id="5"/>
      <w:bookmarkEnd w:id="5"/>
      <w:r w:rsidDel="00000000" w:rsidR="00000000" w:rsidRPr="00000000">
        <w:rPr>
          <w:rtl w:val="0"/>
        </w:rPr>
        <w:t xml:space="preserve">2. The Lorentzian Mapping of Single-Oscillator Dynamics</w:t>
      </w:r>
    </w:p>
    <w:p w:rsidR="00000000" w:rsidDel="00000000" w:rsidP="00000000" w:rsidRDefault="00000000" w:rsidRPr="00000000" w14:paraId="00000013">
      <w:pPr>
        <w:rPr/>
      </w:pPr>
      <w:r w:rsidDel="00000000" w:rsidR="00000000" w:rsidRPr="00000000">
        <w:rPr>
          <w:rtl w:val="0"/>
        </w:rPr>
        <w:t xml:space="preserve">The hyperbolic parameterization of the Damped Harmonic Oscillator (DHO) is an exact mathematical identity required for high-precision signal modeling. Traditional engineering parameters for damping and oscillation are dual aspects of a single Lorentzian structure, where the hyperbolic coordinates reveal the precise trade-off between decay and frequency.</w:t>
      </w:r>
    </w:p>
    <w:p w:rsidR="00000000" w:rsidDel="00000000" w:rsidP="00000000" w:rsidRDefault="00000000" w:rsidRPr="00000000" w14:paraId="00000014">
      <w:pPr>
        <w:pStyle w:val="Heading5"/>
        <w:rPr/>
      </w:pPr>
      <w:bookmarkStart w:colFirst="0" w:colLast="0" w:name="_wyllyvqkttkn" w:id="6"/>
      <w:bookmarkEnd w:id="6"/>
      <w:r w:rsidDel="00000000" w:rsidR="00000000" w:rsidRPr="00000000">
        <w:rPr>
          <w:rtl w:val="0"/>
        </w:rPr>
        <w:t xml:space="preserve">2.1 Frequency Contraction and Rapidity Mapping</w:t>
      </w:r>
    </w:p>
    <w:p w:rsidR="00000000" w:rsidDel="00000000" w:rsidP="00000000" w:rsidRDefault="00000000" w:rsidRPr="00000000" w14:paraId="00000015">
      <w:pPr>
        <w:rPr/>
      </w:pPr>
      <w:r w:rsidDel="00000000" w:rsidR="00000000" w:rsidRPr="00000000">
        <w:rPr>
          <w:rtl w:val="0"/>
        </w:rPr>
        <w:t xml:space="preserve">In the underdamped regime, the mapping of the damping ratio  $\zeta$  onto the rapidity  $\eta = \text{arctanh}(\zeta)$  reveals exact Lorentz frequency contraction. The damped frequency  $\omega_d$  is related to the natural frequency  $\omega_n$  through the Lorentz factor  $G(\zeta)$ .| $\zeta$  (Damping Ratio) | $\omega_d/\omega_n$ | Lorentz Factor  $G(\zeta)$ | $\omega_n / (\omega_d \cdot G)$ || ------ | ------ | ------ | ------ || 0.10 | 0.994987 | 1.005038 | 1.0000000000000000 || 0.50 | 0.866025 | 1.154701 | 1.0000000000000000 || 0.90 | 0.435890 | 2.294157 | 1.0000000000000000 || 0.99 | 0.141067 | 7.088812 | 1.0000000000000000 |</w:t>
      </w:r>
    </w:p>
    <w:p w:rsidR="00000000" w:rsidDel="00000000" w:rsidP="00000000" w:rsidRDefault="00000000" w:rsidRPr="00000000" w14:paraId="00000016">
      <w:pPr>
        <w:rPr/>
      </w:pPr>
      <w:r w:rsidDel="00000000" w:rsidR="00000000" w:rsidRPr="00000000">
        <w:rPr>
          <w:rtl w:val="0"/>
        </w:rPr>
        <w:t xml:space="preserve">Numerical verification confirms this contraction to  </w:t>
      </w:r>
      <w:r w:rsidDel="00000000" w:rsidR="00000000" w:rsidRPr="00000000">
        <w:rPr>
          <w:b w:val="1"/>
          <w:bCs w:val="1"/>
          <w:rtl w:val="0"/>
        </w:rPr>
        <w:t xml:space="preserve">$10^{-16}</w:t>
      </w:r>
      <w:r w:rsidDel="00000000" w:rsidR="00000000" w:rsidRPr="00000000">
        <w:rPr>
          <w:rtl w:val="0"/>
        </w:rPr>
        <w:t xml:space="preserve">$  </w:t>
      </w:r>
      <w:r w:rsidDel="00000000" w:rsidR="00000000" w:rsidRPr="00000000">
        <w:rPr>
          <w:b w:val="1"/>
          <w:bCs w:val="1"/>
          <w:rtl w:val="0"/>
        </w:rPr>
        <w:t xml:space="preserve">precision</w:t>
      </w:r>
      <w:r w:rsidDel="00000000" w:rsidR="00000000" w:rsidRPr="00000000">
        <w:rPr>
          <w:rtl w:val="0"/>
        </w:rPr>
        <w:t xml:space="preserve"> , identifying the oscillator as a relativistic clock.</w:t>
      </w:r>
    </w:p>
    <w:p w:rsidR="00000000" w:rsidDel="00000000" w:rsidP="00000000" w:rsidRDefault="00000000" w:rsidRPr="00000000" w14:paraId="00000017">
      <w:pPr>
        <w:pStyle w:val="Heading5"/>
        <w:rPr/>
      </w:pPr>
      <w:bookmarkStart w:colFirst="0" w:colLast="0" w:name="_o5y2jnr1vbfy" w:id="7"/>
      <w:bookmarkEnd w:id="7"/>
      <w:r w:rsidDel="00000000" w:rsidR="00000000" w:rsidRPr="00000000">
        <w:rPr>
          <w:rtl w:val="0"/>
        </w:rPr>
        <w:t xml:space="preserve">2.2 The Single-Oscillator Budget</w:t>
      </w:r>
    </w:p>
    <w:p w:rsidR="00000000" w:rsidDel="00000000" w:rsidP="00000000" w:rsidRDefault="00000000" w:rsidRPr="00000000" w14:paraId="00000018">
      <w:pPr>
        <w:rPr/>
      </w:pPr>
      <w:r w:rsidDel="00000000" w:rsidR="00000000" w:rsidRPr="00000000">
        <w:rPr>
          <w:b w:val="1"/>
          <w:bCs w:val="1"/>
          <w:rtl w:val="0"/>
        </w:rPr>
        <w:t xml:space="preserve">Partitioning of Resources:</w:t>
      </w:r>
      <w:r w:rsidDel="00000000" w:rsidR="00000000" w:rsidRPr="00000000">
        <w:rPr>
          <w:rtl w:val="0"/>
        </w:rPr>
        <w:t xml:space="preserve">  The DHO satisfies the Pythagorean identity  $\zeta^2 + (\omega_d/\omega_n)^2 = 1$ . The total resource is partitioned between dissipation ( $\zeta^2$ ) and oscillation ( $(\omega_d/\omega_n)^2$ ), an identity verified to machine precision ( $10^{-16}$ ).</w:t>
      </w:r>
      <w:r w:rsidDel="00000000" w:rsidR="00000000" w:rsidRPr="00000000">
        <w:rPr>
          <w:b w:val="1"/>
          <w:bCs w:val="1"/>
          <w:rtl w:val="0"/>
        </w:rPr>
        <w:t xml:space="preserve">Hyperbolic Vectors:</w:t>
      </w:r>
      <w:r w:rsidDel="00000000" w:rsidR="00000000" w:rsidRPr="00000000">
        <w:rPr>
          <w:rtl w:val="0"/>
        </w:rPr>
        <w:t xml:space="preserve">  The state is represented as a Lorentz 2-vector  $(\cosh \eta, \sinh \eta)$ , where  $\sinh \eta = \zeta \cdot G(\zeta)$  represents the ratio of the decay rate to the damped frequency.</w:t>
      </w:r>
    </w:p>
    <w:p w:rsidR="00000000" w:rsidDel="00000000" w:rsidP="00000000" w:rsidRDefault="00000000" w:rsidRPr="00000000" w14:paraId="00000019">
      <w:pPr>
        <w:pStyle w:val="Heading5"/>
        <w:rPr/>
      </w:pPr>
      <w:bookmarkStart w:colFirst="0" w:colLast="0" w:name="_7q8kunpqo6h9" w:id="8"/>
      <w:bookmarkEnd w:id="8"/>
      <w:r w:rsidDel="00000000" w:rsidR="00000000" w:rsidRPr="00000000">
        <w:rPr>
          <w:rtl w:val="0"/>
        </w:rPr>
        <w:t xml:space="preserve">2.3 The Pöschl-Teller Connection</w:t>
      </w:r>
    </w:p>
    <w:p w:rsidR="00000000" w:rsidDel="00000000" w:rsidP="00000000" w:rsidRDefault="00000000" w:rsidRPr="00000000" w14:paraId="0000001A">
      <w:pPr>
        <w:rPr/>
      </w:pPr>
      <w:r w:rsidDel="00000000" w:rsidR="00000000" w:rsidRPr="00000000">
        <w:rPr>
          <w:rtl w:val="0"/>
        </w:rPr>
        <w:t xml:space="preserve">Linearizing the Riccati equation associated with the SNR budget yields the SNR Schrödinger equation. The spectrum is:$$E_n = (n + \phi)^2 - 1$$where  $\phi \approx 1.618$  is the golden ratio. The ground state  </w:t>
      </w:r>
      <w:r w:rsidDel="00000000" w:rsidR="00000000" w:rsidRPr="00000000">
        <w:rPr>
          <w:b w:val="1"/>
          <w:bCs w:val="1"/>
          <w:rtl w:val="0"/>
        </w:rPr>
        <w:t xml:space="preserve">$E_0 = \phi</w:t>
      </w:r>
      <w:r w:rsidDel="00000000" w:rsidR="00000000" w:rsidRPr="00000000">
        <w:rPr>
          <w:rtl w:val="0"/>
        </w:rPr>
        <w:t xml:space="preserve">$  identifies the stable dynamical floor of the budget space, establishing the minimum energy required for dynamics within the metric competition.</w:t>
      </w:r>
    </w:p>
    <w:p w:rsidR="00000000" w:rsidDel="00000000" w:rsidP="00000000" w:rsidRDefault="00000000" w:rsidRPr="00000000" w14:paraId="0000001B">
      <w:pPr>
        <w:pStyle w:val="Heading4"/>
        <w:rPr/>
      </w:pPr>
      <w:bookmarkStart w:colFirst="0" w:colLast="0" w:name="_xlb06enq8frd" w:id="9"/>
      <w:bookmarkEnd w:id="9"/>
      <w:r w:rsidDel="00000000" w:rsidR="00000000" w:rsidRPr="00000000">
        <w:rPr>
          <w:rtl w:val="0"/>
        </w:rPr>
        <w:t xml:space="preserve">3. Coupling as a Lorentz Boost: Reactive Crossings and Doppler Synthesis</w:t>
      </w:r>
    </w:p>
    <w:p w:rsidR="00000000" w:rsidDel="00000000" w:rsidP="00000000" w:rsidRDefault="00000000" w:rsidRPr="00000000" w14:paraId="0000001C">
      <w:pPr>
        <w:rPr/>
      </w:pPr>
      <w:r w:rsidDel="00000000" w:rsidR="00000000" w:rsidRPr="00000000">
        <w:rPr>
          <w:rtl w:val="0"/>
        </w:rPr>
        <w:t xml:space="preserve">Treating the coupling strength ( $\kappa$ ) as a relativistic transformation is essential for optimizing signal processing capacity. In coupled systems,  $\kappa$  acts as a Lorentz boost that dilates the damping rapidity, shifting the frequency of reactive crossings.</w:t>
      </w:r>
    </w:p>
    <w:p w:rsidR="00000000" w:rsidDel="00000000" w:rsidP="00000000" w:rsidRDefault="00000000" w:rsidRPr="00000000" w14:paraId="0000001D">
      <w:pPr>
        <w:pStyle w:val="Heading5"/>
        <w:rPr/>
      </w:pPr>
      <w:bookmarkStart w:colFirst="0" w:colLast="0" w:name="_lep24boaskb" w:id="10"/>
      <w:bookmarkEnd w:id="10"/>
      <w:r w:rsidDel="00000000" w:rsidR="00000000" w:rsidRPr="00000000">
        <w:rPr>
          <w:rtl w:val="0"/>
        </w:rPr>
        <w:t xml:space="preserve">3.1 The Reactive Crossing Condition</w:t>
      </w:r>
    </w:p>
    <w:p w:rsidR="00000000" w:rsidDel="00000000" w:rsidP="00000000" w:rsidRDefault="00000000" w:rsidRPr="00000000" w14:paraId="0000001E">
      <w:pPr>
        <w:rPr/>
      </w:pPr>
      <w:r w:rsidDel="00000000" w:rsidR="00000000" w:rsidRPr="00000000">
        <w:rPr>
          <w:rtl w:val="0"/>
        </w:rPr>
        <w:t xml:space="preserve">The frequency  $\omega_c$  where the cross-transfer function  $H_{12}$  is purely reactive ( $\text{Re}(H_{12}) = 0$ ) is governed by the core quadratic:$$u^2 - 2(1 + 2p)u + (1 - \kappa^2) = 0$$where  $p = \zeta_1\zeta_2$ . This quadratic determines the bandwidth over which power-carrying resistive transfer occurs.</w:t>
      </w:r>
    </w:p>
    <w:p w:rsidR="00000000" w:rsidDel="00000000" w:rsidP="00000000" w:rsidRDefault="00000000" w:rsidRPr="00000000" w14:paraId="0000001F">
      <w:pPr>
        <w:pStyle w:val="Heading5"/>
        <w:rPr/>
      </w:pPr>
      <w:bookmarkStart w:colFirst="0" w:colLast="0" w:name="_y0ih12fuet8u" w:id="11"/>
      <w:bookmarkEnd w:id="11"/>
      <w:r w:rsidDel="00000000" w:rsidR="00000000" w:rsidRPr="00000000">
        <w:rPr>
          <w:rtl w:val="0"/>
        </w:rPr>
        <w:t xml:space="preserve">3.2 The Relativistic Doppler Formula</w:t>
      </w:r>
    </w:p>
    <w:p w:rsidR="00000000" w:rsidDel="00000000" w:rsidP="00000000" w:rsidRDefault="00000000" w:rsidRPr="00000000" w14:paraId="00000020">
      <w:pPr>
        <w:rPr/>
      </w:pPr>
      <w:r w:rsidDel="00000000" w:rsidR="00000000" w:rsidRPr="00000000">
        <w:rPr>
          <w:rtl w:val="0"/>
        </w:rPr>
        <w:t xml:space="preserve">At the zero-coupling limit, the crossing frequencies  $\omega_\pm$  satisfy the exact relativistic longitudinal Doppler formula:$$\frac{\omega_\pm}{\omega_n} = \sqrt{\frac{1 \pm x_z}{1 \mp x_z}}$$The composition budget variable  $x_z = \sqrt{p/(1+p)}$  functions as the effective velocity  $\beta$ , meaning the frequencies are exponentially split by the  </w:t>
      </w:r>
      <w:r w:rsidDel="00000000" w:rsidR="00000000" w:rsidRPr="00000000">
        <w:rPr>
          <w:b w:val="1"/>
          <w:bCs w:val="1"/>
          <w:rtl w:val="0"/>
        </w:rPr>
        <w:t xml:space="preserve">composition rapidity</w:t>
      </w:r>
      <w:r w:rsidDel="00000000" w:rsidR="00000000" w:rsidRPr="00000000">
        <w:rPr>
          <w:rtl w:val="0"/>
        </w:rPr>
        <w:t xml:space="preserve">   $\alpha_0 = \text{arcsinh}(\sqrt{p})$ .</w:t>
      </w:r>
    </w:p>
    <w:p w:rsidR="00000000" w:rsidDel="00000000" w:rsidP="00000000" w:rsidRDefault="00000000" w:rsidRPr="00000000" w14:paraId="00000021">
      <w:pPr>
        <w:pStyle w:val="Heading5"/>
        <w:rPr/>
      </w:pPr>
      <w:bookmarkStart w:colFirst="0" w:colLast="0" w:name="_pciihgf8rzk9" w:id="12"/>
      <w:bookmarkEnd w:id="12"/>
      <w:r w:rsidDel="00000000" w:rsidR="00000000" w:rsidRPr="00000000">
        <w:rPr>
          <w:rtl w:val="0"/>
        </w:rPr>
        <w:t xml:space="preserve">3.3 The  $G(\kappa)$  Boost Law</w:t>
      </w:r>
    </w:p>
    <w:p w:rsidR="00000000" w:rsidDel="00000000" w:rsidP="00000000" w:rsidRDefault="00000000" w:rsidRPr="00000000" w14:paraId="00000022">
      <w:pPr>
        <w:rPr/>
      </w:pPr>
      <w:r w:rsidDel="00000000" w:rsidR="00000000" w:rsidRPr="00000000">
        <w:rPr>
          <w:rtl w:val="0"/>
        </w:rPr>
        <w:t xml:space="preserve">At finite coupling  $\kappa$ , the  </w:t>
      </w:r>
      <w:r w:rsidDel="00000000" w:rsidR="00000000" w:rsidRPr="00000000">
        <w:rPr>
          <w:b w:val="1"/>
          <w:bCs w:val="1"/>
          <w:rtl w:val="0"/>
        </w:rPr>
        <w:t xml:space="preserve">effective rapidity</w:t>
      </w:r>
      <w:r w:rsidDel="00000000" w:rsidR="00000000" w:rsidRPr="00000000">
        <w:rPr>
          <w:rtl w:val="0"/>
        </w:rPr>
        <w:t xml:space="preserve">   $\alpha_{\text{eff}}$  is boosted by the coupling strength:$$\cosh(2\alpha_{\text{eff}}) = G(\kappa) \cdot \cosh(2\alpha_0)$$This identity is an exact manifestation of time dilation. Numerical verification confirms the boost law to a maximum deviation of  </w:t>
      </w:r>
      <w:r w:rsidDel="00000000" w:rsidR="00000000" w:rsidRPr="00000000">
        <w:rPr>
          <w:b w:val="1"/>
          <w:bCs w:val="1"/>
          <w:rtl w:val="0"/>
        </w:rPr>
        <w:t xml:space="preserve">$3.55 \times 10^{-15}</w:t>
      </w:r>
      <w:r w:rsidDel="00000000" w:rsidR="00000000" w:rsidRPr="00000000">
        <w:rPr>
          <w:rtl w:val="0"/>
        </w:rPr>
        <w:t xml:space="preserve">$ .</w:t>
      </w:r>
    </w:p>
    <w:p w:rsidR="00000000" w:rsidDel="00000000" w:rsidP="00000000" w:rsidRDefault="00000000" w:rsidRPr="00000000" w14:paraId="00000023">
      <w:pPr>
        <w:pStyle w:val="Heading5"/>
        <w:rPr/>
      </w:pPr>
      <w:bookmarkStart w:colFirst="0" w:colLast="0" w:name="_8xcw8bkaec81" w:id="13"/>
      <w:bookmarkEnd w:id="13"/>
      <w:r w:rsidDel="00000000" w:rsidR="00000000" w:rsidRPr="00000000">
        <w:rPr>
          <w:rtl w:val="0"/>
        </w:rPr>
        <w:t xml:space="preserve">3.4 Orthogonal Discriminant Structure</w:t>
      </w:r>
    </w:p>
    <w:p w:rsidR="00000000" w:rsidDel="00000000" w:rsidP="00000000" w:rsidRDefault="00000000" w:rsidRPr="00000000" w14:paraId="00000024">
      <w:pPr>
        <w:rPr/>
      </w:pPr>
      <w:r w:rsidDel="00000000" w:rsidR="00000000" w:rsidRPr="00000000">
        <w:rPr>
          <w:rtl w:val="0"/>
        </w:rPr>
        <w:t xml:space="preserve">The total reactive splitting is defined by the discriminant  $D = D_0 + \kappa^2$ , where  $D_0 = 4p(1+p)$  is the damping contribution. This 2D Pythagorean resource space shows that damping and coupling contributions add in quadrature, defining the total geometric inertia of the information transport.</w:t>
      </w:r>
    </w:p>
    <w:p w:rsidR="00000000" w:rsidDel="00000000" w:rsidP="00000000" w:rsidRDefault="00000000" w:rsidRPr="00000000" w14:paraId="00000025">
      <w:pPr>
        <w:pStyle w:val="Heading4"/>
        <w:rPr/>
      </w:pPr>
      <w:bookmarkStart w:colFirst="0" w:colLast="0" w:name="_8zl407vsaq" w:id="14"/>
      <w:bookmarkEnd w:id="14"/>
      <w:r w:rsidDel="00000000" w:rsidR="00000000" w:rsidRPr="00000000">
        <w:rPr>
          <w:rtl w:val="0"/>
        </w:rPr>
        <w:t xml:space="preserve">4. Quantum Information Geometry: Purity Speed Limits and Rank-2 Transport</w:t>
      </w:r>
    </w:p>
    <w:p w:rsidR="00000000" w:rsidDel="00000000" w:rsidP="00000000" w:rsidRDefault="00000000" w:rsidRPr="00000000" w14:paraId="00000026">
      <w:pPr>
        <w:rPr/>
      </w:pPr>
      <w:r w:rsidDel="00000000" w:rsidR="00000000" w:rsidRPr="00000000">
        <w:rPr>
          <w:rtl w:val="0"/>
        </w:rPr>
        <w:t xml:space="preserve">A Fisher-geometric approach is necessary to bound the rates of decoherence and entanglement in bipartite quantum systems. By mapping the state's spectral moments to geometric coordinates, we define the fundamental speed limits of quantum evolution.</w:t>
      </w:r>
    </w:p>
    <w:p w:rsidR="00000000" w:rsidDel="00000000" w:rsidP="00000000" w:rsidRDefault="00000000" w:rsidRPr="00000000" w14:paraId="00000027">
      <w:pPr>
        <w:pStyle w:val="Heading5"/>
        <w:rPr/>
      </w:pPr>
      <w:bookmarkStart w:colFirst="0" w:colLast="0" w:name="_ry34bexwikvj" w:id="15"/>
      <w:bookmarkEnd w:id="15"/>
      <w:r w:rsidDel="00000000" w:rsidR="00000000" w:rsidRPr="00000000">
        <w:rPr>
          <w:rtl w:val="0"/>
        </w:rPr>
        <w:t xml:space="preserve">4.1 The Purity Speed Limit Identity</w:t>
      </w:r>
    </w:p>
    <w:p w:rsidR="00000000" w:rsidDel="00000000" w:rsidP="00000000" w:rsidRDefault="00000000" w:rsidRPr="00000000" w14:paraId="00000028">
      <w:pPr>
        <w:rPr/>
      </w:pPr>
      <w:r w:rsidDel="00000000" w:rsidR="00000000" w:rsidRPr="00000000">
        <w:rPr>
          <w:rtl w:val="0"/>
        </w:rPr>
        <w:t xml:space="preserve">The rate of change of purity ( $\gamma$ ) is strictly bounded by:$$|\dot{\gamma}| \le 4\|H\|\sqrt{F}$$where  $F = p_3 - \gamma^2$ .  $F$  represents the  </w:t>
      </w:r>
      <w:r w:rsidDel="00000000" w:rsidR="00000000" w:rsidRPr="00000000">
        <w:rPr>
          <w:b w:val="1"/>
          <w:bCs w:val="1"/>
          <w:rtl w:val="0"/>
        </w:rPr>
        <w:t xml:space="preserve">geometric inertia</w:t>
      </w:r>
      <w:r w:rsidDel="00000000" w:rsidR="00000000" w:rsidRPr="00000000">
        <w:rPr>
          <w:rtl w:val="0"/>
        </w:rPr>
        <w:t xml:space="preserve">  of the state, serving as a tight, saturable bound on decoherence rates.</w:t>
      </w:r>
    </w:p>
    <w:p w:rsidR="00000000" w:rsidDel="00000000" w:rsidP="00000000" w:rsidRDefault="00000000" w:rsidRPr="00000000" w14:paraId="00000029">
      <w:pPr>
        <w:pStyle w:val="Heading5"/>
        <w:rPr/>
      </w:pPr>
      <w:bookmarkStart w:colFirst="0" w:colLast="0" w:name="_ipob5wwd1fem" w:id="16"/>
      <w:bookmarkEnd w:id="16"/>
      <w:r w:rsidDel="00000000" w:rsidR="00000000" w:rsidRPr="00000000">
        <w:rPr>
          <w:rtl w:val="0"/>
        </w:rPr>
        <w:t xml:space="preserve">4.2 The Rank-2 Bivector Mechanism</w:t>
      </w:r>
    </w:p>
    <w:p w:rsidR="00000000" w:rsidDel="00000000" w:rsidP="00000000" w:rsidRDefault="00000000" w:rsidRPr="00000000" w14:paraId="0000002A">
      <w:pPr>
        <w:rPr/>
      </w:pPr>
      <w:r w:rsidDel="00000000" w:rsidR="00000000" w:rsidRPr="00000000">
        <w:rPr>
          <w:rtl w:val="0"/>
        </w:rPr>
        <w:t xml:space="preserve">Purity transport is governed by the weight bivector  $W_{ac} = \sqrt{\lambda_a \lambda_c}(\lambda_a - \lambda_c)$ . Structural derivation proves that  $W$  is  </w:t>
      </w:r>
      <w:r w:rsidDel="00000000" w:rsidR="00000000" w:rsidRPr="00000000">
        <w:rPr>
          <w:b w:val="1"/>
          <w:bCs w:val="1"/>
          <w:rtl w:val="0"/>
        </w:rPr>
        <w:t xml:space="preserve">rank-2 across all dimensions</w:t>
      </w:r>
      <w:r w:rsidDel="00000000" w:rsidR="00000000" w:rsidRPr="00000000">
        <w:rPr>
          <w:rtl w:val="0"/>
        </w:rPr>
        <w:t xml:space="preserve">   $d \ge 2$ , as it factorizes into a single wedge product:$$W = u \wedge v, \quad u = \lambda^{3/2}, \quad v = \lambda^{1/2}$$This constraint confines spectral evolution to a single plane of rotation regardless of Hilbert space dimension.</w:t>
      </w:r>
    </w:p>
    <w:p w:rsidR="00000000" w:rsidDel="00000000" w:rsidP="00000000" w:rsidRDefault="00000000" w:rsidRPr="00000000" w14:paraId="0000002B">
      <w:pPr>
        <w:pStyle w:val="Heading5"/>
        <w:rPr/>
      </w:pPr>
      <w:bookmarkStart w:colFirst="0" w:colLast="0" w:name="_dlxjrc7totmj" w:id="17"/>
      <w:bookmarkEnd w:id="17"/>
      <w:r w:rsidDel="00000000" w:rsidR="00000000" w:rsidRPr="00000000">
        <w:rPr>
          <w:rtl w:val="0"/>
        </w:rPr>
        <w:t xml:space="preserve">4.3 Fisher Information Gradient</w:t>
      </w:r>
    </w:p>
    <w:p w:rsidR="00000000" w:rsidDel="00000000" w:rsidP="00000000" w:rsidRDefault="00000000" w:rsidRPr="00000000" w14:paraId="0000002C">
      <w:pPr>
        <w:rPr/>
      </w:pPr>
      <w:r w:rsidDel="00000000" w:rsidR="00000000" w:rsidRPr="00000000">
        <w:rPr>
          <w:rtl w:val="0"/>
        </w:rPr>
        <w:t xml:space="preserve">The inertia term  $F$  maps exactly to the Fisher information gradient of purity:$$F = \frac{\|\nabla\gamma\|^2_{\text{Fisher}}}{4}$$This establishes a variational principle:  $F$  is the maximum purity rate achievable by a unit-norm Hamiltonian.</w:t>
      </w:r>
    </w:p>
    <w:p w:rsidR="00000000" w:rsidDel="00000000" w:rsidP="00000000" w:rsidRDefault="00000000" w:rsidRPr="00000000" w14:paraId="0000002D">
      <w:pPr>
        <w:pStyle w:val="Heading5"/>
        <w:rPr/>
      </w:pPr>
      <w:bookmarkStart w:colFirst="0" w:colLast="0" w:name="_p2h41obhj88q" w:id="18"/>
      <w:bookmarkEnd w:id="18"/>
      <w:r w:rsidDel="00000000" w:rsidR="00000000" w:rsidRPr="00000000">
        <w:rPr>
          <w:rtl w:val="0"/>
        </w:rPr>
        <w:t xml:space="preserve">4.4 Two-Factor Time Dilation Model</w:t>
      </w:r>
    </w:p>
    <w:p w:rsidR="00000000" w:rsidDel="00000000" w:rsidP="00000000" w:rsidRDefault="00000000" w:rsidRPr="00000000" w14:paraId="0000002E">
      <w:pPr>
        <w:rPr/>
      </w:pPr>
      <w:r w:rsidDel="00000000" w:rsidR="00000000" w:rsidRPr="00000000">
        <w:rPr>
          <w:rtl w:val="0"/>
        </w:rPr>
        <w:t xml:space="preserve">The purity evolution timescale  $\tau_\gamma$  factorizes into independent components:$$\tau_\gamma = \left(\frac{1}{4\sqrt{F}}\right) \cdot \left(\frac{1}{\|H\|}\right)$$This mirrors the relativistic relationship between proper and observed time, where the state geometry dilated the Hamiltonian’s action.</w:t>
      </w:r>
    </w:p>
    <w:p w:rsidR="00000000" w:rsidDel="00000000" w:rsidP="00000000" w:rsidRDefault="00000000" w:rsidRPr="00000000" w14:paraId="0000002F">
      <w:pPr>
        <w:pStyle w:val="Heading4"/>
        <w:rPr/>
      </w:pPr>
      <w:bookmarkStart w:colFirst="0" w:colLast="0" w:name="_30etllab7bc" w:id="19"/>
      <w:bookmarkEnd w:id="19"/>
      <w:r w:rsidDel="00000000" w:rsidR="00000000" w:rsidRPr="00000000">
        <w:rPr>
          <w:rtl w:val="0"/>
        </w:rPr>
        <w:t xml:space="preserve">5. Grassmannian Structure and Chiral Balance in High-Dimension Subsystems</w:t>
      </w:r>
    </w:p>
    <w:p w:rsidR="00000000" w:rsidDel="00000000" w:rsidP="00000000" w:rsidRDefault="00000000" w:rsidRPr="00000000" w14:paraId="00000030">
      <w:pPr>
        <w:rPr/>
      </w:pPr>
      <w:r w:rsidDel="00000000" w:rsidR="00000000" w:rsidRPr="00000000">
        <w:rPr>
          <w:rtl w:val="0"/>
        </w:rPr>
        <w:t xml:space="preserve">The topological constraints of the Grassmannian manifold  $Gr(2,d)$  define the limits of information capacity, particularly at the  $d=4$  and  $d=8$  dimensional thresholds.</w:t>
      </w:r>
    </w:p>
    <w:p w:rsidR="00000000" w:rsidDel="00000000" w:rsidP="00000000" w:rsidRDefault="00000000" w:rsidRPr="00000000" w14:paraId="00000031">
      <w:pPr>
        <w:pStyle w:val="Heading5"/>
        <w:rPr/>
      </w:pPr>
      <w:bookmarkStart w:colFirst="0" w:colLast="0" w:name="_edg0iawmqlu" w:id="20"/>
      <w:bookmarkEnd w:id="20"/>
      <w:r w:rsidDel="00000000" w:rsidR="00000000" w:rsidRPr="00000000">
        <w:rPr>
          <w:rtl w:val="0"/>
        </w:rPr>
        <w:t xml:space="preserve">5.1 The  $d=4$  Chiral Balance Theorem</w:t>
      </w:r>
    </w:p>
    <w:p w:rsidR="00000000" w:rsidDel="00000000" w:rsidP="00000000" w:rsidRDefault="00000000" w:rsidRPr="00000000" w14:paraId="00000032">
      <w:pPr>
        <w:rPr/>
      </w:pPr>
      <w:r w:rsidDel="00000000" w:rsidR="00000000" w:rsidRPr="00000000">
        <w:rPr>
          <w:rtl w:val="0"/>
        </w:rPr>
        <w:t xml:space="preserve">At  $d=4$ , the Hodge star decomposition of  $\wedge^2\mathbb{R}^4$  splits transport bivectors into self-dual (SD) and anti-self-dual (ASD) sectors. The Chiral Balance Theorem proves:$$F_+ = F_-$$Verified to  </w:t>
      </w:r>
      <w:r w:rsidDel="00000000" w:rsidR="00000000" w:rsidRPr="00000000">
        <w:rPr>
          <w:b w:val="1"/>
          <w:bCs w:val="1"/>
          <w:rtl w:val="0"/>
        </w:rPr>
        <w:t xml:space="preserve">$10^{-17}</w:t>
      </w:r>
      <w:r w:rsidDel="00000000" w:rsidR="00000000" w:rsidRPr="00000000">
        <w:rPr>
          <w:rtl w:val="0"/>
        </w:rPr>
        <w:t xml:space="preserve">$  </w:t>
      </w:r>
      <w:r w:rsidDel="00000000" w:rsidR="00000000" w:rsidRPr="00000000">
        <w:rPr>
          <w:b w:val="1"/>
          <w:bCs w:val="1"/>
          <w:rtl w:val="0"/>
        </w:rPr>
        <w:t xml:space="preserve">precision</w:t>
      </w:r>
      <w:r w:rsidDel="00000000" w:rsidR="00000000" w:rsidRPr="00000000">
        <w:rPr>
          <w:rtl w:val="0"/>
        </w:rPr>
        <w:t xml:space="preserve"> , this identity is the geometric expression of the  </w:t>
      </w:r>
      <w:r w:rsidDel="00000000" w:rsidR="00000000" w:rsidRPr="00000000">
        <w:rPr>
          <w:b w:val="1"/>
          <w:bCs w:val="1"/>
          <w:rtl w:val="0"/>
        </w:rPr>
        <w:t xml:space="preserve">Plücker relation</w:t>
      </w:r>
      <w:r w:rsidDel="00000000" w:rsidR="00000000" w:rsidRPr="00000000">
        <w:rPr>
          <w:rtl w:val="0"/>
        </w:rPr>
        <w:t xml:space="preserve">  ( $Pf(W) = 0$ ) for decomposable bivectors in  $\mathbb{R}^4$ .</w:t>
      </w:r>
    </w:p>
    <w:p w:rsidR="00000000" w:rsidDel="00000000" w:rsidP="00000000" w:rsidRDefault="00000000" w:rsidRPr="00000000" w14:paraId="00000033">
      <w:pPr>
        <w:pStyle w:val="Heading5"/>
        <w:rPr/>
      </w:pPr>
      <w:bookmarkStart w:colFirst="0" w:colLast="0" w:name="_awi6eclixs2f" w:id="21"/>
      <w:bookmarkEnd w:id="21"/>
      <w:r w:rsidDel="00000000" w:rsidR="00000000" w:rsidRPr="00000000">
        <w:rPr>
          <w:rtl w:val="0"/>
        </w:rPr>
        <w:t xml:space="preserve">5.2 The Klein Quadric and Rényi Universality</w:t>
      </w:r>
    </w:p>
    <w:p w:rsidR="00000000" w:rsidDel="00000000" w:rsidP="00000000" w:rsidRDefault="00000000" w:rsidRPr="00000000" w14:paraId="00000034">
      <w:pPr>
        <w:rPr/>
      </w:pPr>
      <w:r w:rsidDel="00000000" w:rsidR="00000000" w:rsidRPr="00000000">
        <w:rPr>
          <w:rtl w:val="0"/>
        </w:rPr>
        <w:t xml:space="preserve">For  $d=4$ ,  $Gr(2,4)$  is the Klein quadric, where the Plücker relation serves as the primary topological constraint. This structure is  </w:t>
      </w:r>
      <w:r w:rsidDel="00000000" w:rsidR="00000000" w:rsidRPr="00000000">
        <w:rPr>
          <w:b w:val="1"/>
          <w:bCs w:val="1"/>
          <w:rtl w:val="0"/>
        </w:rPr>
        <w:t xml:space="preserve">Rényi Universal</w:t>
      </w:r>
      <w:r w:rsidDel="00000000" w:rsidR="00000000" w:rsidRPr="00000000">
        <w:rPr>
          <w:rtl w:val="0"/>
        </w:rPr>
        <w:t xml:space="preserve"> ; all Rényi- $\alpha$  transport bivectors satisfy  $F_+^{(\alpha)} = F_-^{(\alpha)}$ , tracing a curve on the Klein quadric that captures spectral information across different entropy measures.</w:t>
      </w:r>
    </w:p>
    <w:p w:rsidR="00000000" w:rsidDel="00000000" w:rsidP="00000000" w:rsidRDefault="00000000" w:rsidRPr="00000000" w14:paraId="00000035">
      <w:pPr>
        <w:pStyle w:val="Heading5"/>
        <w:rPr/>
      </w:pPr>
      <w:bookmarkStart w:colFirst="0" w:colLast="0" w:name="_4qloirwouxpf" w:id="22"/>
      <w:bookmarkEnd w:id="22"/>
      <w:r w:rsidDel="00000000" w:rsidR="00000000" w:rsidRPr="00000000">
        <w:rPr>
          <w:rtl w:val="0"/>
        </w:rPr>
        <w:t xml:space="preserve">5.3 The  $d=8$  Triality Structure</w:t>
      </w:r>
    </w:p>
    <w:p w:rsidR="00000000" w:rsidDel="00000000" w:rsidP="00000000" w:rsidRDefault="00000000" w:rsidRPr="00000000" w14:paraId="00000036">
      <w:pPr>
        <w:rPr/>
      </w:pPr>
      <w:r w:rsidDel="00000000" w:rsidR="00000000" w:rsidRPr="00000000">
        <w:rPr>
          <w:rtl w:val="0"/>
        </w:rPr>
        <w:t xml:space="preserve">At  $d=8$ , the system exhibits  $SO(8)$  triality, permuting three representations:</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$7_v</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Eigenvalue perturbations (the  </w:t>
      </w:r>
      <w:r w:rsidDel="00000000" w:rsidR="00000000" w:rsidRPr="00000000">
        <w:rPr>
          <w:b w:val="1"/>
          <w:bCs w:val="1"/>
          <w:rtl w:val="0"/>
        </w:rPr>
        <w:t xml:space="preserve">spectral tangent space</w:t>
      </w:r>
      <w:r w:rsidDel="00000000" w:rsidR="00000000" w:rsidRPr="00000000">
        <w:rPr>
          <w:rtl w:val="0"/>
        </w:rPr>
        <w:t xml:space="preserve">  under  $SO(7)$ , the stabilizer of the "democracy" direction).</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$7_s</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Spinorial perturbations.</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$7_c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Co-spinorial perturbations.This suggests that in 8-dimensional systems, spectral perturbations are intrinsically linked to spinorial degrees of freedom.</w:t>
      </w:r>
    </w:p>
    <w:p w:rsidR="00000000" w:rsidDel="00000000" w:rsidP="00000000" w:rsidRDefault="00000000" w:rsidRPr="00000000" w14:paraId="0000003A">
      <w:pPr>
        <w:pStyle w:val="Heading4"/>
        <w:rPr/>
      </w:pPr>
      <w:bookmarkStart w:colFirst="0" w:colLast="0" w:name="_8h2vzntzlo34" w:id="23"/>
      <w:bookmarkEnd w:id="23"/>
      <w:r w:rsidDel="00000000" w:rsidR="00000000" w:rsidRPr="00000000">
        <w:rPr>
          <w:rtl w:val="0"/>
        </w:rPr>
        <w:t xml:space="preserve">6. The Universal Dissipative Structure:  $\text{Im}(\Delta)$  Factorization and Brewster Frustration</w:t>
      </w:r>
    </w:p>
    <w:p w:rsidR="00000000" w:rsidDel="00000000" w:rsidP="00000000" w:rsidRDefault="00000000" w:rsidRPr="00000000" w14:paraId="0000003B">
      <w:pPr>
        <w:rPr/>
      </w:pPr>
      <w:r w:rsidDel="00000000" w:rsidR="00000000" w:rsidRPr="00000000">
        <w:rPr>
          <w:rtl w:val="0"/>
        </w:rPr>
        <w:t xml:space="preserve">The  $\text{Im}(\Delta)$  factorization resolves the sign ambiguities inherent in asymmetric systems and identifies the metric competition limits essential for signal optimization.</w:t>
      </w:r>
    </w:p>
    <w:p w:rsidR="00000000" w:rsidDel="00000000" w:rsidP="00000000" w:rsidRDefault="00000000" w:rsidRPr="00000000" w14:paraId="0000003C">
      <w:pPr>
        <w:pStyle w:val="Heading5"/>
        <w:rPr/>
      </w:pPr>
      <w:bookmarkStart w:colFirst="0" w:colLast="0" w:name="_4vujjmmp3uwd" w:id="24"/>
      <w:bookmarkEnd w:id="24"/>
      <w:r w:rsidDel="00000000" w:rsidR="00000000" w:rsidRPr="00000000">
        <w:rPr>
          <w:rtl w:val="0"/>
        </w:rPr>
        <w:t xml:space="preserve">6.1 The  $\text{Im}(\Delta)$  Factorization</w:t>
      </w:r>
    </w:p>
    <w:p w:rsidR="00000000" w:rsidDel="00000000" w:rsidP="00000000" w:rsidRDefault="00000000" w:rsidRPr="00000000" w14:paraId="0000003D">
      <w:pPr>
        <w:rPr/>
      </w:pPr>
      <w:r w:rsidDel="00000000" w:rsidR="00000000" w:rsidRPr="00000000">
        <w:rPr>
          <w:rtl w:val="0"/>
        </w:rPr>
        <w:t xml:space="preserve">The damping-asymmetry dependence is captured by the exact factorization:$$\text{Im}(\Delta) = 4\omega\omega_g^3\sqrt{p} \cdot \cosh(\delta - \phi) - u \cdot \cosh(\phi)$$This expression utilizing the  </w:t>
      </w:r>
      <w:r w:rsidDel="00000000" w:rsidR="00000000" w:rsidRPr="00000000">
        <w:rPr>
          <w:b w:val="1"/>
          <w:bCs w:val="1"/>
          <w:rtl w:val="0"/>
        </w:rPr>
        <w:t xml:space="preserve">corrected sign</w:t>
      </w:r>
      <w:r w:rsidDel="00000000" w:rsidR="00000000" w:rsidRPr="00000000">
        <w:rPr>
          <w:rtl w:val="0"/>
        </w:rPr>
        <w:t xml:space="preserve">  </w:t>
      </w:r>
      <w:r w:rsidDel="00000000" w:rsidR="00000000" w:rsidRPr="00000000">
        <w:rPr>
          <w:b w:val="1"/>
          <w:bCs w:val="1"/>
          <w:rtl w:val="0"/>
        </w:rPr>
        <w:t xml:space="preserve">$(\delta - \phi)</w:t>
      </w:r>
      <w:r w:rsidDel="00000000" w:rsidR="00000000" w:rsidRPr="00000000">
        <w:rPr>
          <w:rtl w:val="0"/>
        </w:rPr>
        <w:t xml:space="preserve">$  proves that conservative and dissipative sectors sit in quadrature, contributing independently to the transfer magnitude.</w:t>
      </w:r>
    </w:p>
    <w:p w:rsidR="00000000" w:rsidDel="00000000" w:rsidP="00000000" w:rsidRDefault="00000000" w:rsidRPr="00000000" w14:paraId="0000003E">
      <w:pPr>
        <w:pStyle w:val="Heading5"/>
        <w:rPr/>
      </w:pPr>
      <w:bookmarkStart w:colFirst="0" w:colLast="0" w:name="_x9w49zfa7l5y" w:id="25"/>
      <w:bookmarkEnd w:id="25"/>
      <w:r w:rsidDel="00000000" w:rsidR="00000000" w:rsidRPr="00000000">
        <w:rPr>
          <w:rtl w:val="0"/>
        </w:rPr>
        <w:t xml:space="preserve">6.2 Brewster Rapidities and Frustration</w:t>
      </w:r>
    </w:p>
    <w:p w:rsidR="00000000" w:rsidDel="00000000" w:rsidP="00000000" w:rsidRDefault="00000000" w:rsidRPr="00000000" w14:paraId="0000003F">
      <w:pPr>
        <w:rPr/>
      </w:pPr>
      <w:r w:rsidDel="00000000" w:rsidR="00000000" w:rsidRPr="00000000">
        <w:rPr>
          <w:rtl w:val="0"/>
        </w:rPr>
        <w:t xml:space="preserve">The  </w:t>
      </w:r>
      <w:r w:rsidDel="00000000" w:rsidR="00000000" w:rsidRPr="00000000">
        <w:rPr>
          <w:b w:val="1"/>
          <w:bCs w:val="1"/>
          <w:rtl w:val="0"/>
        </w:rPr>
        <w:t xml:space="preserve">Non-degeneracy theorem</w:t>
      </w:r>
      <w:r w:rsidDel="00000000" w:rsidR="00000000" w:rsidRPr="00000000">
        <w:rPr>
          <w:rtl w:val="0"/>
        </w:rPr>
        <w:t xml:space="preserve">  ( $I &gt; 0$ ) ensures that for every frequency, there exists a Brewster rapidity  $\phi_0$  where transfer is maximized. However, if detuning  $\delta \neq 0$ , the system experiences  </w:t>
      </w:r>
      <w:r w:rsidDel="00000000" w:rsidR="00000000" w:rsidRPr="00000000">
        <w:rPr>
          <w:b w:val="1"/>
          <w:bCs w:val="1"/>
          <w:rtl w:val="0"/>
        </w:rPr>
        <w:t xml:space="preserve">Brewster frustration</w:t>
      </w:r>
      <w:r w:rsidDel="00000000" w:rsidR="00000000" w:rsidRPr="00000000">
        <w:rPr>
          <w:rtl w:val="0"/>
        </w:rPr>
        <w:t xml:space="preserve"> , where the single-crossing optima cannot be simultaneously satisfied. The frustration factor equals 1 if and only if  $\delta = 0$ .</w:t>
      </w:r>
    </w:p>
    <w:p w:rsidR="00000000" w:rsidDel="00000000" w:rsidP="00000000" w:rsidRDefault="00000000" w:rsidRPr="00000000" w14:paraId="00000040">
      <w:pPr>
        <w:pStyle w:val="Heading5"/>
        <w:rPr/>
      </w:pPr>
      <w:bookmarkStart w:colFirst="0" w:colLast="0" w:name="_ezaf189hj1o6" w:id="26"/>
      <w:bookmarkEnd w:id="26"/>
      <w:r w:rsidDel="00000000" w:rsidR="00000000" w:rsidRPr="00000000">
        <w:rPr>
          <w:rtl w:val="0"/>
        </w:rPr>
        <w:t xml:space="preserve">6.3 Matrix Element Hierarchy and Optical Correspondence</w:t>
      </w:r>
    </w:p>
    <w:p w:rsidR="00000000" w:rsidDel="00000000" w:rsidP="00000000" w:rsidRDefault="00000000" w:rsidRPr="00000000" w14:paraId="00000041">
      <w:pPr>
        <w:rPr/>
      </w:pPr>
      <w:r w:rsidDel="00000000" w:rsidR="00000000" w:rsidRPr="00000000">
        <w:rPr>
          <w:rtl w:val="0"/>
        </w:rPr>
        <w:t xml:space="preserve">Off-diagonal transfer matrix elements depend on asymmetry through a single rapidity  $\cosh(\phi - \phi_0)$ , whereas diagonal elements utilize a  </w:t>
      </w:r>
      <w:r w:rsidDel="00000000" w:rsidR="00000000" w:rsidRPr="00000000">
        <w:rPr>
          <w:b w:val="1"/>
          <w:bCs w:val="1"/>
          <w:rtl w:val="0"/>
        </w:rPr>
        <w:t xml:space="preserve">doubled rapidity</w:t>
      </w:r>
      <w:r w:rsidDel="00000000" w:rsidR="00000000" w:rsidRPr="00000000">
        <w:rPr>
          <w:rtl w:val="0"/>
        </w:rPr>
        <w:t xml:space="preserve">   $e^{\pm 2\phi}$ .This structure maps to thin-film optics, where the  </w:t>
      </w:r>
      <w:r w:rsidDel="00000000" w:rsidR="00000000" w:rsidRPr="00000000">
        <w:rPr>
          <w:b w:val="1"/>
          <w:bCs w:val="1"/>
          <w:rtl w:val="0"/>
        </w:rPr>
        <w:t xml:space="preserve">Brewster angle of p-polarization</w:t>
      </w:r>
      <w:r w:rsidDel="00000000" w:rsidR="00000000" w:rsidRPr="00000000">
        <w:rPr>
          <w:rtl w:val="0"/>
        </w:rPr>
        <w:t xml:space="preserve">  corresponds to the metric balance point  *</w:t>
      </w:r>
      <w:r w:rsidDel="00000000" w:rsidR="00000000" w:rsidRPr="00000000">
        <w:rPr>
          <w:i w:val="1"/>
          <w:iCs w:val="1"/>
          <w:rtl w:val="0"/>
        </w:rPr>
        <w:t xml:space="preserve">$\gamma^</w:t>
      </w:r>
      <w:r w:rsidDel="00000000" w:rsidR="00000000" w:rsidRPr="00000000">
        <w:rPr>
          <w:rtl w:val="0"/>
        </w:rPr>
        <w:t xml:space="preserve"> = 2 - \sqrt{2}**$ . At this point, the reflected wave vanishes, analogous to the extremum of metric competition in the information transport budget.</w:t>
      </w:r>
      <w:r w:rsidDel="00000000" w:rsidR="00000000" w:rsidRPr="00000000">
        <w:rPr>
          <w:b w:val="1"/>
          <w:bCs w:val="1"/>
          <w:rtl w:val="0"/>
        </w:rPr>
        <w:t xml:space="preserve">Conclusion:</w:t>
      </w:r>
      <w:r w:rsidDel="00000000" w:rsidR="00000000" w:rsidRPr="00000000">
        <w:rPr>
          <w:rtl w:val="0"/>
        </w:rPr>
        <w:t xml:space="preserve">  The TEP framework establishes a unified, machine-precision basis for subsystem optimization. By moving from classical analogies to exact hyperbolic and Grassmannian identities, we establish a rigorous variational principle for information transport across the classical-quantum divide.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