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2025年9月营销情况报告</w:t>
      </w:r>
    </w:p>
    <w:p>
      <w:pPr>
        <w:spacing w:after="300"/>
        <w:jc w:val="center"/>
      </w:pPr>
      <w:r>
        <w:rPr>
          <w:i/>
          <w:iCs/>
          <w:color w:val="666666"/>
          <w:sz w:val="20"/>
          <w:szCs w:val="20"/>
        </w:rPr>
        <w:t xml:space="preserve">耀辰智能科技有限公司 · 市场营销中心（示例 / 用于智能体开发与RAG知识库构建）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30"/>
          <w:szCs w:val="30"/>
        </w:rPr>
        <w:t xml:space="preserve">一、总体概况</w:t>
      </w:r>
    </w:p>
    <w:p>
      <w:pPr>
        <w:spacing w:after="120" w:line="300"/>
      </w:pPr>
      <w:r>
        <w:rPr>
          <w:sz w:val="22"/>
          <w:szCs w:val="22"/>
        </w:rPr>
        <w:t xml:space="preserve">2025年9月，公司市场营销中心围绕“辰宝”家用陪伴机器人新品上市及“辰启”企业智能体解决方案的行业拓展两大重点，开展了线上线下联动营销活动。当月营销总投入为286万元，较8月环比增长12.4%；带动全渠道销售额约2,150万元，同比增长18.6%。整体营销投入产出比（ROI）为7.5，环比略有下降，主要受新品上市期获客成本上升影响。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30"/>
          <w:szCs w:val="30"/>
        </w:rPr>
        <w:t xml:space="preserve">二、核心营销指标（2025年9月）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2200"/>
        <w:gridCol w:w="2200"/>
      </w:tblGrid>
      <w:tr>
        <w:trPr>
          <w:tblHeader/>
        </w:trPr>
        <w:tc>
          <w:tcPr>
            <w:tcW w:type="dxa" w:w="3200"/>
            <w:shd w:fill="2E539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200"/>
            <w:shd w:fill="2E539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9月数据</w:t>
            </w:r>
          </w:p>
        </w:tc>
        <w:tc>
          <w:tcPr>
            <w:tcW w:type="dxa" w:w="2200"/>
            <w:shd w:fill="2E539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8月数据</w:t>
            </w:r>
          </w:p>
        </w:tc>
        <w:tc>
          <w:tcPr>
            <w:tcW w:type="dxa" w:w="2200"/>
            <w:shd w:fill="2E539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环比变化</w:t>
            </w:r>
          </w:p>
        </w:tc>
      </w:tr>
      <w:tr>
        <w:tc>
          <w:tcPr>
            <w:tcW w:type="dxa" w:w="3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营销总投入（万元）</w:t>
            </w:r>
          </w:p>
        </w:tc>
        <w:tc>
          <w:tcPr>
            <w:tcW w:type="dxa" w:w="2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286</w:t>
            </w:r>
          </w:p>
        </w:tc>
        <w:tc>
          <w:tcPr>
            <w:tcW w:type="dxa" w:w="2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254.5</w:t>
            </w:r>
          </w:p>
        </w:tc>
        <w:tc>
          <w:tcPr>
            <w:tcW w:type="dxa" w:w="2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+12.4%</w:t>
            </w:r>
          </w:p>
        </w:tc>
      </w:tr>
      <w:tr>
        <w:tc>
          <w:tcPr>
            <w:tcW w:type="dxa" w:w="3200"/>
            <w:shd w:fill="F3F6F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全渠道销售额（万元）</w:t>
            </w:r>
          </w:p>
        </w:tc>
        <w:tc>
          <w:tcPr>
            <w:tcW w:type="dxa" w:w="2200"/>
            <w:shd w:fill="F3F6F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2,150</w:t>
            </w:r>
          </w:p>
        </w:tc>
        <w:tc>
          <w:tcPr>
            <w:tcW w:type="dxa" w:w="2200"/>
            <w:shd w:fill="F3F6F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1,890</w:t>
            </w:r>
          </w:p>
        </w:tc>
        <w:tc>
          <w:tcPr>
            <w:tcW w:type="dxa" w:w="2200"/>
            <w:shd w:fill="F3F6F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+13.8%</w:t>
            </w:r>
          </w:p>
        </w:tc>
      </w:tr>
      <w:tr>
        <w:tc>
          <w:tcPr>
            <w:tcW w:type="dxa" w:w="3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新增注册用户数（万）</w:t>
            </w:r>
          </w:p>
        </w:tc>
        <w:tc>
          <w:tcPr>
            <w:tcW w:type="dxa" w:w="2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8.6</w:t>
            </w:r>
          </w:p>
        </w:tc>
        <w:tc>
          <w:tcPr>
            <w:tcW w:type="dxa" w:w="2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7.2</w:t>
            </w:r>
          </w:p>
        </w:tc>
        <w:tc>
          <w:tcPr>
            <w:tcW w:type="dxa" w:w="2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+19.4%</w:t>
            </w:r>
          </w:p>
        </w:tc>
      </w:tr>
      <w:tr>
        <w:tc>
          <w:tcPr>
            <w:tcW w:type="dxa" w:w="3200"/>
            <w:shd w:fill="F3F6F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官网/APP访问量（万UV）</w:t>
            </w:r>
          </w:p>
        </w:tc>
        <w:tc>
          <w:tcPr>
            <w:tcW w:type="dxa" w:w="2200"/>
            <w:shd w:fill="F3F6F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156</w:t>
            </w:r>
          </w:p>
        </w:tc>
        <w:tc>
          <w:tcPr>
            <w:tcW w:type="dxa" w:w="2200"/>
            <w:shd w:fill="F3F6F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128</w:t>
            </w:r>
          </w:p>
        </w:tc>
        <w:tc>
          <w:tcPr>
            <w:tcW w:type="dxa" w:w="2200"/>
            <w:shd w:fill="F3F6F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+21.9%</w:t>
            </w:r>
          </w:p>
        </w:tc>
      </w:tr>
      <w:tr>
        <w:tc>
          <w:tcPr>
            <w:tcW w:type="dxa" w:w="3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线索转化率</w:t>
            </w:r>
          </w:p>
        </w:tc>
        <w:tc>
          <w:tcPr>
            <w:tcW w:type="dxa" w:w="2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6.8%</w:t>
            </w:r>
          </w:p>
        </w:tc>
        <w:tc>
          <w:tcPr>
            <w:tcW w:type="dxa" w:w="2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7.4%</w:t>
            </w:r>
          </w:p>
        </w:tc>
        <w:tc>
          <w:tcPr>
            <w:tcW w:type="dxa" w:w="2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-0.6pct</w:t>
            </w:r>
          </w:p>
        </w:tc>
      </w:tr>
      <w:tr>
        <w:tc>
          <w:tcPr>
            <w:tcW w:type="dxa" w:w="3200"/>
            <w:shd w:fill="F3F6F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整体营销ROI</w:t>
            </w:r>
          </w:p>
        </w:tc>
        <w:tc>
          <w:tcPr>
            <w:tcW w:type="dxa" w:w="2200"/>
            <w:shd w:fill="F3F6F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7.5</w:t>
            </w:r>
          </w:p>
        </w:tc>
        <w:tc>
          <w:tcPr>
            <w:tcW w:type="dxa" w:w="2200"/>
            <w:shd w:fill="F3F6F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7.4</w:t>
            </w:r>
          </w:p>
        </w:tc>
        <w:tc>
          <w:tcPr>
            <w:tcW w:type="dxa" w:w="2200"/>
            <w:shd w:fill="F3F6F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+0.1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864"/>
          <w:sz w:val="30"/>
          <w:szCs w:val="30"/>
        </w:rPr>
        <w:t xml:space="preserve">三、分渠道投放情况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1900"/>
        <w:gridCol w:w="1900"/>
        <w:gridCol w:w="1900"/>
      </w:tblGrid>
      <w:tr>
        <w:trPr>
          <w:tblHeader/>
        </w:trPr>
        <w:tc>
          <w:tcPr>
            <w:tcW w:type="dxa" w:w="2400"/>
            <w:shd w:fill="2E539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渠道</w:t>
            </w:r>
          </w:p>
        </w:tc>
        <w:tc>
          <w:tcPr>
            <w:tcW w:type="dxa" w:w="1900"/>
            <w:shd w:fill="2E539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投入（万元）</w:t>
            </w:r>
          </w:p>
        </w:tc>
        <w:tc>
          <w:tcPr>
            <w:tcW w:type="dxa" w:w="1900"/>
            <w:shd w:fill="2E539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曝光量（万）</w:t>
            </w:r>
          </w:p>
        </w:tc>
        <w:tc>
          <w:tcPr>
            <w:tcW w:type="dxa" w:w="1900"/>
            <w:shd w:fill="2E539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转化订单数</w:t>
            </w:r>
          </w:p>
        </w:tc>
        <w:tc>
          <w:tcPr>
            <w:tcW w:type="dxa" w:w="1900"/>
            <w:shd w:fill="2E539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渠道ROI</w:t>
            </w:r>
          </w:p>
        </w:tc>
      </w:tr>
      <w:tr>
        <w:tc>
          <w:tcPr>
            <w:tcW w:type="dxa" w:w="24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抖音/短视频信息流</w:t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86</w:t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3,420</w:t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5,120</w:t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6.9</w:t>
            </w:r>
          </w:p>
        </w:tc>
      </w:tr>
      <w:tr>
        <w:tc>
          <w:tcPr>
            <w:tcW w:type="dxa" w:w="2400"/>
            <w:shd w:fill="F3F6F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小红书种草</w:t>
            </w:r>
          </w:p>
        </w:tc>
        <w:tc>
          <w:tcPr>
            <w:tcW w:type="dxa" w:w="1900"/>
            <w:shd w:fill="F3F6F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42</w:t>
            </w:r>
          </w:p>
        </w:tc>
        <w:tc>
          <w:tcPr>
            <w:tcW w:type="dxa" w:w="1900"/>
            <w:shd w:fill="F3F6F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980</w:t>
            </w:r>
          </w:p>
        </w:tc>
        <w:tc>
          <w:tcPr>
            <w:tcW w:type="dxa" w:w="1900"/>
            <w:shd w:fill="F3F6F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2,340</w:t>
            </w:r>
          </w:p>
        </w:tc>
        <w:tc>
          <w:tcPr>
            <w:tcW w:type="dxa" w:w="1900"/>
            <w:shd w:fill="F3F6F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8.2</w:t>
            </w:r>
          </w:p>
        </w:tc>
      </w:tr>
      <w:tr>
        <w:tc>
          <w:tcPr>
            <w:tcW w:type="dxa" w:w="24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天猫/京东站内推广</w:t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65</w:t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1,150</w:t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4,860</w:t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9.1</w:t>
            </w:r>
          </w:p>
        </w:tc>
      </w:tr>
      <w:tr>
        <w:tc>
          <w:tcPr>
            <w:tcW w:type="dxa" w:w="2400"/>
            <w:shd w:fill="F3F6F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线下商超/体验店</w:t>
            </w:r>
          </w:p>
        </w:tc>
        <w:tc>
          <w:tcPr>
            <w:tcW w:type="dxa" w:w="1900"/>
            <w:shd w:fill="F3F6F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48</w:t>
            </w:r>
          </w:p>
        </w:tc>
        <w:tc>
          <w:tcPr>
            <w:tcW w:type="dxa" w:w="1900"/>
            <w:shd w:fill="F3F6F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shd w:fill="F3F6F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1,680</w:t>
            </w:r>
          </w:p>
        </w:tc>
        <w:tc>
          <w:tcPr>
            <w:tcW w:type="dxa" w:w="1900"/>
            <w:shd w:fill="F3F6F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5.4</w:t>
            </w:r>
          </w:p>
        </w:tc>
      </w:tr>
      <w:tr>
        <w:tc>
          <w:tcPr>
            <w:tcW w:type="dxa" w:w="24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行业展会与B端渠道</w:t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42（企业客户）</w:t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6.1</w:t>
            </w:r>
          </w:p>
        </w:tc>
      </w:tr>
      <w:tr>
        <w:tc>
          <w:tcPr>
            <w:tcW w:type="dxa" w:w="2400"/>
            <w:shd w:fill="F3F6F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搜索引擎/信息流广告</w:t>
            </w:r>
          </w:p>
        </w:tc>
        <w:tc>
          <w:tcPr>
            <w:tcW w:type="dxa" w:w="1900"/>
            <w:shd w:fill="F3F6F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900"/>
            <w:shd w:fill="F3F6F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620</w:t>
            </w:r>
          </w:p>
        </w:tc>
        <w:tc>
          <w:tcPr>
            <w:tcW w:type="dxa" w:w="1900"/>
            <w:shd w:fill="F3F6F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890</w:t>
            </w:r>
          </w:p>
        </w:tc>
        <w:tc>
          <w:tcPr>
            <w:tcW w:type="dxa" w:w="1900"/>
            <w:shd w:fill="F3F6F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7.0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864"/>
          <w:sz w:val="30"/>
          <w:szCs w:val="30"/>
        </w:rPr>
        <w:t xml:space="preserve">四、重点营销活动</w:t>
      </w:r>
    </w:p>
    <w:p>
      <w:pPr>
        <w:pStyle w:val="Heading2"/>
        <w:spacing w:after="100" w:before="200"/>
      </w:pPr>
      <w:r>
        <w:rPr>
          <w:b/>
          <w:bCs/>
          <w:color w:val="2E5395"/>
          <w:sz w:val="24"/>
          <w:szCs w:val="24"/>
        </w:rPr>
        <w:t xml:space="preserve">1. “辰宝”机器人新品上市活动（9月5日—9月20日）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2"/>
          <w:szCs w:val="22"/>
        </w:rPr>
        <w:t xml:space="preserve">联合15位科技类KOL/KOC进行产品测评与直播带货，累计直播观看量超320万人次。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2"/>
          <w:szCs w:val="22"/>
        </w:rPr>
        <w:t xml:space="preserve">在天猫、京东平台开展“预售立减+以旧换新”活动，新品首月销量突破1.2万台。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2"/>
          <w:szCs w:val="22"/>
        </w:rPr>
        <w:t xml:space="preserve">活动期间带动品牌搜索指数环比上涨45%。</w:t>
      </w:r>
    </w:p>
    <w:p>
      <w:pPr>
        <w:pStyle w:val="Heading2"/>
        <w:spacing w:after="100" w:before="200"/>
      </w:pPr>
      <w:r>
        <w:rPr>
          <w:b/>
          <w:bCs/>
          <w:color w:val="2E5395"/>
          <w:sz w:val="24"/>
          <w:szCs w:val="24"/>
        </w:rPr>
        <w:t xml:space="preserve">2. “辰启”企业智能体行业巡展（9月10日—9月28日）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2"/>
          <w:szCs w:val="22"/>
        </w:rPr>
        <w:t xml:space="preserve">先后在杭州、成都、广州三地举办企业客户线下沙龙，累计到场企业客户约180家。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2"/>
          <w:szCs w:val="22"/>
        </w:rPr>
        <w:t xml:space="preserve">现场签约意向客户27家，其中零售、教育行业客户占比超60%。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2"/>
          <w:szCs w:val="22"/>
        </w:rPr>
        <w:t xml:space="preserve">配合巡展发布《企业智能体应用白皮书（2025）》（示例），下载量超8,000次。</w:t>
      </w:r>
    </w:p>
    <w:p>
      <w:pPr>
        <w:pStyle w:val="Heading2"/>
        <w:spacing w:after="100" w:before="200"/>
      </w:pPr>
      <w:r>
        <w:rPr>
          <w:b/>
          <w:bCs/>
          <w:color w:val="2E5395"/>
          <w:sz w:val="24"/>
          <w:szCs w:val="24"/>
        </w:rPr>
        <w:t xml:space="preserve">3. 中秋节日营销专题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2"/>
          <w:szCs w:val="22"/>
        </w:rPr>
        <w:t xml:space="preserve">围绕中秋节点推出“智能陪伴，家的温度”主题内容营销，全网话题曝光量超2,800万次。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2"/>
          <w:szCs w:val="22"/>
        </w:rPr>
        <w:t xml:space="preserve">推出限量礼盒装智能音箱，节日礼品类订单占当月消费产品线订单的21%。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30"/>
          <w:szCs w:val="30"/>
        </w:rPr>
        <w:t xml:space="preserve">五、用户与市场反馈</w:t>
      </w:r>
    </w:p>
    <w:p>
      <w:pPr>
        <w:spacing w:after="120" w:line="300"/>
      </w:pPr>
      <w:r>
        <w:rPr>
          <w:sz w:val="22"/>
          <w:szCs w:val="22"/>
        </w:rPr>
        <w:t xml:space="preserve">根据9月客户满意度调研（样本量1,200份），“辰宝”机器人产品满意度评分为4.6分（满分5分），用户主要认可其语音交互的自然度与外观设计；主要反馈问题集中在续航时间和APP偶发连接不稳定，产品与研发团队已同步跟进优化。</w:t>
      </w:r>
    </w:p>
    <w:p>
      <w:pPr>
        <w:spacing w:after="120" w:line="300"/>
      </w:pPr>
      <w:r>
        <w:rPr>
          <w:sz w:val="22"/>
          <w:szCs w:val="22"/>
        </w:rPr>
        <w:t xml:space="preserve">企业客户方面，“辰启”智能体解决方案在教育行业的续约率达到92%，零售行业客户对“智能营销助手”模块的使用频次环比提升35%，反映出企业级智能体产品在具体业务场景中的渗透正在加深。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30"/>
          <w:szCs w:val="30"/>
        </w:rPr>
        <w:t xml:space="preserve">六、存在问题与下月计划</w:t>
      </w:r>
    </w:p>
    <w:p>
      <w:pPr>
        <w:pStyle w:val="Heading2"/>
        <w:spacing w:after="100" w:before="200"/>
      </w:pPr>
      <w:r>
        <w:rPr>
          <w:b/>
          <w:bCs/>
          <w:color w:val="2E5395"/>
          <w:sz w:val="24"/>
          <w:szCs w:val="24"/>
        </w:rPr>
        <w:t xml:space="preserve">存在问题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2"/>
          <w:szCs w:val="22"/>
        </w:rPr>
        <w:t xml:space="preserve">新品上市期获客成本环比上升约9%，线索转化率略有下滑，需优化落地页与私域承接流程。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2"/>
          <w:szCs w:val="22"/>
        </w:rPr>
        <w:t xml:space="preserve">线下体验店渠道ROI相对偏低，门店转化效率有待提升。</w:t>
      </w:r>
    </w:p>
    <w:p>
      <w:pPr>
        <w:pStyle w:val="Heading2"/>
        <w:spacing w:after="100" w:before="200"/>
      </w:pPr>
      <w:r>
        <w:rPr>
          <w:b/>
          <w:bCs/>
          <w:color w:val="2E5395"/>
          <w:sz w:val="24"/>
          <w:szCs w:val="24"/>
        </w:rPr>
        <w:t xml:space="preserve">10月工作计划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2"/>
          <w:szCs w:val="22"/>
        </w:rPr>
        <w:t xml:space="preserve">针对“辰宝”机器人开展“十一”黄金周专项营销，重点提升线下门店转化率。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2"/>
          <w:szCs w:val="22"/>
        </w:rPr>
        <w:t xml:space="preserve">“辰启”智能体解决方案启动华东地区教育行业专项拓展计划。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2"/>
          <w:szCs w:val="22"/>
        </w:rPr>
        <w:t xml:space="preserve">优化短视频与信息流广告的定向策略，目标将线索转化率恢复至7%以上。</w:t>
      </w:r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说明：以上数据与内容均为虚构示例，仅用于智能体开发与RAG（检索增强生成）学习场景的知识库构建，不对应任何真实企业的经营数据。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耀辰智能科技有限公司 · 2025年9月营销情况报告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2026-07-01T11:10:21.251Z</dcterms:created>
  <dcterms:modified xsi:type="dcterms:W3CDTF">2026-07-01T11:10:21.251Z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