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pBdr>
          <w:bottom w:val="single" w:color="1F4E79" w:sz="12" w:space="10"/>
        </w:pBdr>
        <w:spacing w:after="80"/>
        <w:jc w:val="center"/>
      </w:pPr>
      <w:r>
        <w:rPr>
          <w:rFonts w:ascii="Arial" w:eastAsia="黑体" w:hAnsi="Arial"/>
          <w:b/>
          <w:bCs/>
          <w:i w:val="false"/>
          <w:iCs w:val="false"/>
          <w:color w:val="2F6F9F"/>
          <w:sz w:val="28"/>
          <w:szCs w:val="28"/>
        </w:rPr>
        <w:t xml:space="preserve">2026 北京高考政治 · 选必三</w:t>
      </w:r>
    </w:p>
    <w:p>
      <w:pPr>
        <w:spacing w:after="120" w:before="360"/>
        <w:jc w:val="center"/>
      </w:pPr>
      <w:r>
        <w:rPr>
          <w:rFonts w:ascii="Arial" w:eastAsia="黑体" w:hAnsi="Arial"/>
          <w:b/>
          <w:bCs/>
          <w:i w:val="false"/>
          <w:iCs w:val="false"/>
          <w:color w:val="1F4E79"/>
          <w:sz w:val="56"/>
          <w:szCs w:val="56"/>
        </w:rPr>
        <w:t xml:space="preserve">《逻辑与思维》</w:t>
      </w:r>
    </w:p>
    <w:p>
      <w:pPr>
        <w:spacing w:after="480"/>
        <w:jc w:val="center"/>
      </w:pPr>
      <w:r>
        <w:rPr>
          <w:rFonts w:ascii="Arial" w:eastAsia="黑体" w:hAnsi="Arial"/>
          <w:b/>
          <w:bCs/>
          <w:i w:val="false"/>
          <w:iCs w:val="false"/>
          <w:color w:val="1F4E79"/>
          <w:sz w:val="52"/>
          <w:szCs w:val="52"/>
        </w:rPr>
        <w:t xml:space="preserve">思 维 宝 典</w:t>
      </w:r>
    </w:p>
    <w:p>
      <w:pPr>
        <w:spacing w:after="60"/>
        <w:jc w:val="center"/>
      </w:pPr>
      <w:r>
        <w:rPr>
          <w:rFonts w:ascii="Arial" w:eastAsia="黑体" w:hAnsi="Arial"/>
          <w:b w:val="false"/>
          <w:bCs w:val="false"/>
          <w:i w:val="false"/>
          <w:iCs w:val="false"/>
          <w:color w:val="6B7280"/>
          <w:sz w:val="24"/>
          <w:szCs w:val="24"/>
        </w:rPr>
        <w:t xml:space="preserve">主观题思维方法训练</w:t>
      </w:r>
    </w:p>
    <w:p>
      <w:pPr>
        <w:spacing w:after="0" w:before="40"/>
        <w:jc w:val="center"/>
      </w:pPr>
      <w:r>
        <w:rPr>
          <w:rFonts w:ascii="Times New Roman" w:eastAsia="宋体" w:hAnsi="Times New Roman"/>
          <w:b w:val="false"/>
          <w:bCs w:val="false"/>
          <w:i w:val="false"/>
          <w:iCs w:val="false"/>
          <w:color w:val="6B7280"/>
          <w:sz w:val="21"/>
          <w:szCs w:val="21"/>
        </w:rPr>
        <w:t xml:space="preserve">内容审核修正版 ｜ 2026-06-04</w:t>
      </w:r>
    </w:p>
    <w:p>
      <w:pPr>
        <w:pBdr>
          <w:top w:val="single" w:color="C9D4E0" w:sz="6" w:space="10"/>
        </w:pBdr>
        <w:spacing w:before="1600"/>
        <w:jc w:val="center"/>
      </w:pPr>
      <w:r>
        <w:rPr>
          <w:rFonts w:ascii="Times New Roman" w:eastAsia="楷体" w:hAnsi="Times New Roman"/>
          <w:b/>
          <w:bCs/>
          <w:i w:val="false"/>
          <w:iCs w:val="false"/>
          <w:color w:val="5E3F23"/>
          <w:sz w:val="36"/>
          <w:szCs w:val="36"/>
        </w:rPr>
        <w:t xml:space="preserve">飞哥正志讲堂</w:t>
      </w:r>
    </w:p>
    <w:p>
      <w:pPr>
        <w:sectPr>
          <w:pgSz w:w="11906" w:h="16838" w:orient="portrait"/>
          <w:pgMar w:top="1440" w:right="1440" w:bottom="1440" w:left="1440" w:header="720" w:footer="720" w:gutter="0"/>
          <w:pgNumType/>
          <w:docGrid w:linePitch="360"/>
        </w:sectPr>
      </w:pPr>
    </w:p>
    <w:p>
      <w:pPr>
        <w:pBdr>
          <w:bottom w:val="single" w:color="1F4E79" w:sz="18" w:space="6"/>
        </w:pBdr>
        <w:spacing w:after="240" w:before="240"/>
        <w:jc w:val="center"/>
      </w:pPr>
      <w:r>
        <w:rPr>
          <w:rFonts w:ascii="Arial" w:eastAsia="黑体" w:hAnsi="Arial"/>
          <w:b/>
          <w:bCs/>
          <w:i w:val="false"/>
          <w:iCs w:val="false"/>
          <w:color w:val="1F4E79"/>
          <w:sz w:val="40"/>
          <w:szCs w:val="40"/>
        </w:rPr>
        <w:t xml:space="preserve">前　言</w:t>
      </w:r>
    </w:p>
    <w:p>
      <w:pPr>
        <w:spacing w:after="140" w:before="80" w:line="360" w:lineRule="auto"/>
      </w:pPr>
      <w:r>
        <w:rPr>
          <w:rFonts w:ascii="Times New Roman" w:eastAsia="宋体" w:hAnsi="Times New Roman"/>
          <w:b w:val="false"/>
          <w:bCs w:val="false"/>
          <w:i w:val="false"/>
          <w:iCs w:val="false"/>
          <w:color w:val="1A1A1A"/>
          <w:sz w:val="21"/>
          <w:szCs w:val="21"/>
        </w:rPr>
        <w:t xml:space="preserve">本稿按用户给定思维框架整理，只保留主观题思维方法训练条目。每道题都按“材料触发点、设问、为什么能想到、答案落点”展开，帮助学生从材料动作进入思维方法，再落成卷面表达。</w:t>
      </w:r>
    </w:p>
    <w:p>
      <w:pPr>
        <w:spacing w:after="80" w:before="80" w:line="360" w:lineRule="auto"/>
        <w:ind w:left="60"/>
      </w:pPr>
      <w:r>
        <w:rPr>
          <w:rFonts w:ascii="Arial" w:eastAsia="黑体" w:hAnsi="Arial"/>
          <w:b/>
          <w:bCs/>
          <w:i w:val="false"/>
          <w:iCs w:val="false"/>
          <w:color w:val="1F4E79"/>
          <w:sz w:val="21"/>
          <w:szCs w:val="21"/>
        </w:rPr>
        <w:t xml:space="preserve">【修订边界】</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本册主链聚焦科学思维、辩证思维、创新思维等思维方法主观题。概念、判断、推理等形式逻辑规则题，原则上进入“推理宝典/逻辑规则”线，不混入本册正文；讲评复练题若来自评标/细则，会标注为“讲评复练迁移题”。</w:t>
      </w:r>
    </w:p>
    <w:p>
      <w:pPr>
        <w:spacing w:after="80" w:before="80" w:line="360" w:lineRule="auto"/>
        <w:ind w:left="60"/>
      </w:pPr>
      <w:r>
        <w:rPr>
          <w:rFonts w:ascii="Arial" w:eastAsia="黑体" w:hAnsi="Arial"/>
          <w:b/>
          <w:bCs/>
          <w:i w:val="false"/>
          <w:iCs w:val="false"/>
          <w:color w:val="1F4E79"/>
          <w:sz w:val="21"/>
          <w:szCs w:val="21"/>
        </w:rPr>
        <w:t xml:space="preserve">【先看设问】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先圈定设问限定的知识范围，再回材料找动作；设问只写《逻辑与思维》时，先判断它考科学思维、辩证思维、创新思维，还是考形式逻辑规则。</w:t>
      </w:r>
    </w:p>
    <w:p>
      <w:pPr>
        <w:spacing w:after="80" w:before="80" w:line="360" w:lineRule="auto"/>
        <w:ind w:left="60"/>
      </w:pPr>
      <w:r>
        <w:rPr>
          <w:rFonts w:ascii="Arial" w:eastAsia="黑体" w:hAnsi="Arial"/>
          <w:b/>
          <w:bCs/>
          <w:i w:val="false"/>
          <w:iCs w:val="false"/>
          <w:color w:val="1F4E79"/>
          <w:sz w:val="21"/>
          <w:szCs w:val="21"/>
        </w:rPr>
        <w:t xml:space="preserve">【易混速判】</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科学三性：从实际出发是客观性，由规律看未来是预见性，回到实践接受检验是可检验性；整体性/系统观念看结构和协同，矛盾分析法看对立统一，动态性看变化过程；分析与综合看先拆条件再合成方案，不能简单等同于矛盾分析；联想思维重在由此及彼建立联系，发散聚合重在多向设想后筛选集中；超前思维重在前瞻预测和主动谋划，不能把所有“未来”都写成预见性；辩证否定是扬弃，不是全盘推翻；适度原则抓数量界限和节奏，不等同于折中；逆向思维是反向看用途、条件或路径，不是普通“有创新”。</w:t>
      </w:r>
    </w:p>
    <w:p>
      <w:pPr>
        <w:spacing w:after="80" w:before="80" w:line="360" w:lineRule="auto"/>
        <w:ind w:left="60"/>
      </w:pPr>
      <w:r>
        <w:rPr>
          <w:rFonts w:ascii="Arial" w:eastAsia="黑体" w:hAnsi="Arial"/>
          <w:b/>
          <w:bCs/>
          <w:i w:val="false"/>
          <w:iCs w:val="false"/>
          <w:color w:val="1F4E79"/>
          <w:sz w:val="21"/>
          <w:szCs w:val="21"/>
        </w:rPr>
        <w:t xml:space="preserve">【划出≠不考】</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2B2B2B"/>
          <w:sz w:val="21"/>
          <w:szCs w:val="21"/>
        </w:rPr>
        <w:t xml:space="preserve">原卷划线、图片或附表即使不在文字材料主体里，也可能是设问直接依赖的证据；遇到问卷、图示、流程图，必须先看选项、箭头、条件和遗漏项，再决定写思维方法还是逻辑规则。</w:t>
      </w:r>
    </w:p>
    <w:p>
      <w:r>
        <w:br w:type="page"/>
      </w:r>
    </w:p>
    <w:p>
      <w:pPr>
        <w:pBdr>
          <w:bottom w:val="single" w:color="1F4E79" w:sz="18" w:space="6"/>
        </w:pBdr>
        <w:spacing w:after="220" w:before="120"/>
        <w:jc w:val="center"/>
      </w:pPr>
      <w:r>
        <w:rPr>
          <w:rFonts w:ascii="Arial" w:eastAsia="黑体" w:hAnsi="Arial"/>
          <w:b/>
          <w:bCs/>
          <w:i w:val="false"/>
          <w:iCs w:val="false"/>
          <w:color w:val="1F4E79"/>
          <w:sz w:val="36"/>
          <w:szCs w:val="36"/>
        </w:rPr>
        <w:t xml:space="preserve">目　录</w:t>
      </w:r>
    </w:p>
    <w:p>
      <w:pPr>
        <w:tabs>
          <w:tab w:val="right" w:pos="9026" w:leader="dot"/>
        </w:tabs>
        <w:spacing w:after="30" w:before="110" w:line="312" w:lineRule="auto"/>
        <w:ind w:left="0"/>
      </w:pPr>
      <w:hyperlink w:history="1" w:anchor="bm0">
        <w:r>
          <w:rPr>
            <w:rFonts w:ascii="Arial" w:eastAsia="黑体" w:hAnsi="Arial"/>
            <w:b/>
            <w:bCs/>
            <w:i w:val="false"/>
            <w:iCs w:val="false"/>
            <w:color w:val="1F4E79"/>
            <w:sz w:val="23"/>
            <w:szCs w:val="23"/>
          </w:rPr>
          <w:t xml:space="preserve">一、科学思维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4</w:t>
        </w:r>
      </w:hyperlink>
    </w:p>
    <w:p>
      <w:pPr>
        <w:tabs>
          <w:tab w:val="right" w:pos="9026" w:leader="dot"/>
        </w:tabs>
        <w:spacing w:after="24" w:before="24" w:line="312" w:lineRule="auto"/>
        <w:ind w:left="460"/>
      </w:pPr>
      <w:hyperlink w:history="1" w:anchor="bm1">
        <w:r>
          <w:rPr>
            <w:rFonts w:ascii="Arial" w:eastAsia="黑体" w:hAnsi="Arial"/>
            <w:b w:val="false"/>
            <w:bCs w:val="false"/>
            <w:i w:val="false"/>
            <w:iCs w:val="false"/>
            <w:color w:val="333333"/>
            <w:sz w:val="21"/>
            <w:szCs w:val="21"/>
          </w:rPr>
          <w:t xml:space="preserve">追求认识的客观性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w:t>
        </w:r>
      </w:hyperlink>
    </w:p>
    <w:p>
      <w:pPr>
        <w:tabs>
          <w:tab w:val="right" w:pos="9026" w:leader="dot"/>
        </w:tabs>
        <w:spacing w:after="24" w:before="24" w:line="312" w:lineRule="auto"/>
        <w:ind w:left="460"/>
      </w:pPr>
      <w:hyperlink w:history="1" w:anchor="bm2">
        <w:r>
          <w:rPr>
            <w:rFonts w:ascii="Arial" w:eastAsia="黑体" w:hAnsi="Arial"/>
            <w:b w:val="false"/>
            <w:bCs w:val="false"/>
            <w:i w:val="false"/>
            <w:iCs w:val="false"/>
            <w:color w:val="333333"/>
            <w:sz w:val="21"/>
            <w:szCs w:val="21"/>
          </w:rPr>
          <w:t xml:space="preserve">结果具有预见性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12</w:t>
        </w:r>
      </w:hyperlink>
    </w:p>
    <w:p>
      <w:pPr>
        <w:tabs>
          <w:tab w:val="right" w:pos="9026" w:leader="dot"/>
        </w:tabs>
        <w:spacing w:after="24" w:before="24" w:line="312" w:lineRule="auto"/>
        <w:ind w:left="460"/>
      </w:pPr>
      <w:hyperlink w:history="1" w:anchor="bm3">
        <w:r>
          <w:rPr>
            <w:rFonts w:ascii="Arial" w:eastAsia="黑体" w:hAnsi="Arial"/>
            <w:b w:val="false"/>
            <w:bCs w:val="false"/>
            <w:i w:val="false"/>
            <w:iCs w:val="false"/>
            <w:color w:val="333333"/>
            <w:sz w:val="21"/>
            <w:szCs w:val="21"/>
          </w:rPr>
          <w:t xml:space="preserve">结果具有可检验性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14</w:t>
        </w:r>
      </w:hyperlink>
    </w:p>
    <w:p>
      <w:pPr>
        <w:tabs>
          <w:tab w:val="right" w:pos="9026" w:leader="dot"/>
        </w:tabs>
        <w:spacing w:after="30" w:before="110" w:line="312" w:lineRule="auto"/>
        <w:ind w:left="0"/>
      </w:pPr>
      <w:hyperlink w:history="1" w:anchor="bm4">
        <w:r>
          <w:rPr>
            <w:rFonts w:ascii="Arial" w:eastAsia="黑体" w:hAnsi="Arial"/>
            <w:b/>
            <w:bCs/>
            <w:i w:val="false"/>
            <w:iCs w:val="false"/>
            <w:color w:val="1F4E79"/>
            <w:sz w:val="23"/>
            <w:szCs w:val="23"/>
          </w:rPr>
          <w:t xml:space="preserve">二、辩证思维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18</w:t>
        </w:r>
      </w:hyperlink>
    </w:p>
    <w:p>
      <w:pPr>
        <w:tabs>
          <w:tab w:val="right" w:pos="9026" w:leader="dot"/>
        </w:tabs>
        <w:spacing w:after="24" w:before="24" w:line="312" w:lineRule="auto"/>
        <w:ind w:left="460"/>
      </w:pPr>
      <w:hyperlink w:history="1" w:anchor="bm5">
        <w:r>
          <w:rPr>
            <w:rFonts w:ascii="Arial" w:eastAsia="黑体" w:hAnsi="Arial"/>
            <w:b w:val="false"/>
            <w:bCs w:val="false"/>
            <w:i w:val="false"/>
            <w:iCs w:val="false"/>
            <w:color w:val="333333"/>
            <w:sz w:val="21"/>
            <w:szCs w:val="21"/>
          </w:rPr>
          <w:t xml:space="preserve">整体性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18</w:t>
        </w:r>
      </w:hyperlink>
    </w:p>
    <w:p>
      <w:pPr>
        <w:tabs>
          <w:tab w:val="right" w:pos="9026" w:leader="dot"/>
        </w:tabs>
        <w:spacing w:after="24" w:before="24" w:line="312" w:lineRule="auto"/>
        <w:ind w:left="460"/>
      </w:pPr>
      <w:hyperlink w:history="1" w:anchor="bm6">
        <w:r>
          <w:rPr>
            <w:rFonts w:ascii="Arial" w:eastAsia="黑体" w:hAnsi="Arial"/>
            <w:b w:val="false"/>
            <w:bCs w:val="false"/>
            <w:i w:val="false"/>
            <w:iCs w:val="false"/>
            <w:color w:val="333333"/>
            <w:sz w:val="21"/>
            <w:szCs w:val="21"/>
          </w:rPr>
          <w:t xml:space="preserve">动态性</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22</w:t>
        </w:r>
      </w:hyperlink>
    </w:p>
    <w:p>
      <w:pPr>
        <w:tabs>
          <w:tab w:val="right" w:pos="9026" w:leader="dot"/>
        </w:tabs>
        <w:spacing w:after="24" w:before="24" w:line="312" w:lineRule="auto"/>
        <w:ind w:left="460"/>
      </w:pPr>
      <w:hyperlink w:history="1" w:anchor="bm7">
        <w:r>
          <w:rPr>
            <w:rFonts w:ascii="Arial" w:eastAsia="黑体" w:hAnsi="Arial"/>
            <w:b w:val="false"/>
            <w:bCs w:val="false"/>
            <w:i w:val="false"/>
            <w:iCs w:val="false"/>
            <w:color w:val="333333"/>
            <w:sz w:val="21"/>
            <w:szCs w:val="21"/>
          </w:rPr>
          <w:t xml:space="preserve">分析与综合</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26</w:t>
        </w:r>
      </w:hyperlink>
    </w:p>
    <w:p>
      <w:pPr>
        <w:tabs>
          <w:tab w:val="right" w:pos="9026" w:leader="dot"/>
        </w:tabs>
        <w:spacing w:after="24" w:before="24" w:line="312" w:lineRule="auto"/>
        <w:ind w:left="460"/>
      </w:pPr>
      <w:hyperlink w:history="1" w:anchor="bm8">
        <w:r>
          <w:rPr>
            <w:rFonts w:ascii="Arial" w:eastAsia="黑体" w:hAnsi="Arial"/>
            <w:b w:val="false"/>
            <w:bCs w:val="false"/>
            <w:i w:val="false"/>
            <w:iCs w:val="false"/>
            <w:color w:val="333333"/>
            <w:sz w:val="21"/>
            <w:szCs w:val="21"/>
          </w:rPr>
          <w:t xml:space="preserve">矛盾分析法</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32</w:t>
        </w:r>
      </w:hyperlink>
    </w:p>
    <w:p>
      <w:pPr>
        <w:tabs>
          <w:tab w:val="right" w:pos="9026" w:leader="dot"/>
        </w:tabs>
        <w:spacing w:after="24" w:before="24" w:line="312" w:lineRule="auto"/>
        <w:ind w:left="460"/>
      </w:pPr>
      <w:hyperlink w:history="1" w:anchor="bm9">
        <w:r>
          <w:rPr>
            <w:rFonts w:ascii="Arial" w:eastAsia="黑体" w:hAnsi="Arial"/>
            <w:b w:val="false"/>
            <w:bCs w:val="false"/>
            <w:i w:val="false"/>
            <w:iCs w:val="false"/>
            <w:color w:val="333333"/>
            <w:sz w:val="21"/>
            <w:szCs w:val="21"/>
          </w:rPr>
          <w:t xml:space="preserve">量变与质变</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37</w:t>
        </w:r>
      </w:hyperlink>
    </w:p>
    <w:p>
      <w:pPr>
        <w:tabs>
          <w:tab w:val="right" w:pos="9026" w:leader="dot"/>
        </w:tabs>
        <w:spacing w:after="24" w:before="24" w:line="312" w:lineRule="auto"/>
        <w:ind w:left="460"/>
      </w:pPr>
      <w:hyperlink w:history="1" w:anchor="bm10">
        <w:r>
          <w:rPr>
            <w:rFonts w:ascii="Arial" w:eastAsia="黑体" w:hAnsi="Arial"/>
            <w:b w:val="false"/>
            <w:bCs w:val="false"/>
            <w:i w:val="false"/>
            <w:iCs w:val="false"/>
            <w:color w:val="333333"/>
            <w:sz w:val="21"/>
            <w:szCs w:val="21"/>
          </w:rPr>
          <w:t xml:space="preserve">适度原则</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39</w:t>
        </w:r>
      </w:hyperlink>
    </w:p>
    <w:p>
      <w:pPr>
        <w:tabs>
          <w:tab w:val="right" w:pos="9026" w:leader="dot"/>
        </w:tabs>
        <w:spacing w:after="24" w:before="24" w:line="312" w:lineRule="auto"/>
        <w:ind w:left="460"/>
      </w:pPr>
      <w:hyperlink w:history="1" w:anchor="bm11">
        <w:r>
          <w:rPr>
            <w:rFonts w:ascii="Arial" w:eastAsia="黑体" w:hAnsi="Arial"/>
            <w:b w:val="false"/>
            <w:bCs w:val="false"/>
            <w:i w:val="false"/>
            <w:iCs w:val="false"/>
            <w:color w:val="333333"/>
            <w:sz w:val="21"/>
            <w:szCs w:val="21"/>
          </w:rPr>
          <w:t xml:space="preserve">辩证否定</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40</w:t>
        </w:r>
      </w:hyperlink>
    </w:p>
    <w:p>
      <w:pPr>
        <w:tabs>
          <w:tab w:val="right" w:pos="9026" w:leader="dot"/>
        </w:tabs>
        <w:spacing w:after="24" w:before="24" w:line="312" w:lineRule="auto"/>
        <w:ind w:left="460"/>
      </w:pPr>
      <w:hyperlink w:history="1" w:anchor="bm12">
        <w:r>
          <w:rPr>
            <w:rFonts w:ascii="Arial" w:eastAsia="黑体" w:hAnsi="Arial"/>
            <w:b w:val="false"/>
            <w:bCs w:val="false"/>
            <w:i w:val="false"/>
            <w:iCs w:val="false"/>
            <w:color w:val="333333"/>
            <w:sz w:val="21"/>
            <w:szCs w:val="21"/>
          </w:rPr>
          <w:t xml:space="preserve">认识发展历程</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43</w:t>
        </w:r>
      </w:hyperlink>
    </w:p>
    <w:p>
      <w:pPr>
        <w:tabs>
          <w:tab w:val="right" w:pos="9026" w:leader="dot"/>
        </w:tabs>
        <w:spacing w:after="30" w:before="110" w:line="312" w:lineRule="auto"/>
        <w:ind w:left="0"/>
      </w:pPr>
      <w:hyperlink w:history="1" w:anchor="bm13">
        <w:r>
          <w:rPr>
            <w:rFonts w:ascii="Arial" w:eastAsia="黑体" w:hAnsi="Arial"/>
            <w:b/>
            <w:bCs/>
            <w:i w:val="false"/>
            <w:iCs w:val="false"/>
            <w:color w:val="1F4E79"/>
            <w:sz w:val="23"/>
            <w:szCs w:val="23"/>
          </w:rPr>
          <w:t xml:space="preserve">三、创新思维</w:t>
        </w:r>
        <w:r>
          <w:rPr>
            <w:rFonts w:ascii="Times New Roman" w:eastAsia="宋体" w:hAnsi="Times New Roman"/>
            <w:b w:val="false"/>
            <w:bCs w:val="false"/>
            <w:i w:val="false"/>
            <w:iCs w:val="false"/>
            <w:color w:val="1A1A1A"/>
            <w:sz w:val="23"/>
            <w:szCs w:val="23"/>
          </w:rPr>
          <w:t xml:space="preserve">	</w:t>
        </w:r>
        <w:r>
          <w:rPr>
            <w:rFonts w:ascii="Times New Roman" w:eastAsia="黑体" w:hAnsi="Times New Roman"/>
            <w:b/>
            <w:bCs/>
            <w:i w:val="false"/>
            <w:iCs w:val="false"/>
            <w:color w:val="1F4E79"/>
            <w:sz w:val="22"/>
            <w:szCs w:val="22"/>
          </w:rPr>
          <w:t xml:space="preserve">45</w:t>
        </w:r>
      </w:hyperlink>
    </w:p>
    <w:p>
      <w:pPr>
        <w:tabs>
          <w:tab w:val="right" w:pos="9026" w:leader="dot"/>
        </w:tabs>
        <w:spacing w:after="24" w:before="24" w:line="312" w:lineRule="auto"/>
        <w:ind w:left="460"/>
      </w:pPr>
      <w:hyperlink w:history="1" w:anchor="bm14">
        <w:r>
          <w:rPr>
            <w:rFonts w:ascii="Arial" w:eastAsia="黑体" w:hAnsi="Arial"/>
            <w:b w:val="false"/>
            <w:bCs w:val="false"/>
            <w:i w:val="false"/>
            <w:iCs w:val="false"/>
            <w:color w:val="333333"/>
            <w:sz w:val="21"/>
            <w:szCs w:val="21"/>
          </w:rPr>
          <w:t xml:space="preserve">特点与三新</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45</w:t>
        </w:r>
      </w:hyperlink>
    </w:p>
    <w:p>
      <w:pPr>
        <w:tabs>
          <w:tab w:val="right" w:pos="9026" w:leader="dot"/>
        </w:tabs>
        <w:spacing w:after="24" w:before="24" w:line="312" w:lineRule="auto"/>
        <w:ind w:left="460"/>
      </w:pPr>
      <w:hyperlink w:history="1" w:anchor="bm15">
        <w:r>
          <w:rPr>
            <w:rFonts w:ascii="Arial" w:eastAsia="黑体" w:hAnsi="Arial"/>
            <w:b w:val="false"/>
            <w:bCs w:val="false"/>
            <w:i w:val="false"/>
            <w:iCs w:val="false"/>
            <w:color w:val="333333"/>
            <w:sz w:val="21"/>
            <w:szCs w:val="21"/>
          </w:rPr>
          <w:t xml:space="preserve">联想思维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50</w:t>
        </w:r>
      </w:hyperlink>
    </w:p>
    <w:p>
      <w:pPr>
        <w:tabs>
          <w:tab w:val="right" w:pos="9026" w:leader="dot"/>
        </w:tabs>
        <w:spacing w:after="24" w:before="24" w:line="312" w:lineRule="auto"/>
        <w:ind w:left="460"/>
      </w:pPr>
      <w:hyperlink w:history="1" w:anchor="bm16">
        <w:r>
          <w:rPr>
            <w:rFonts w:ascii="Arial" w:eastAsia="黑体" w:hAnsi="Arial"/>
            <w:b w:val="false"/>
            <w:bCs w:val="false"/>
            <w:i w:val="false"/>
            <w:iCs w:val="false"/>
            <w:color w:val="333333"/>
            <w:sz w:val="21"/>
            <w:szCs w:val="21"/>
          </w:rPr>
          <w:t xml:space="preserve">发散思维与聚合思维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54</w:t>
        </w:r>
      </w:hyperlink>
    </w:p>
    <w:p>
      <w:pPr>
        <w:tabs>
          <w:tab w:val="right" w:pos="9026" w:leader="dot"/>
        </w:tabs>
        <w:spacing w:after="24" w:before="24" w:line="312" w:lineRule="auto"/>
        <w:ind w:left="460"/>
      </w:pPr>
      <w:hyperlink w:history="1" w:anchor="bm17">
        <w:r>
          <w:rPr>
            <w:rFonts w:ascii="Arial" w:eastAsia="黑体" w:hAnsi="Arial"/>
            <w:b w:val="false"/>
            <w:bCs w:val="false"/>
            <w:i w:val="false"/>
            <w:iCs w:val="false"/>
            <w:color w:val="333333"/>
            <w:sz w:val="21"/>
            <w:szCs w:val="21"/>
          </w:rPr>
          <w:t xml:space="preserve">逆向思维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59</w:t>
        </w:r>
      </w:hyperlink>
    </w:p>
    <w:p>
      <w:pPr>
        <w:tabs>
          <w:tab w:val="right" w:pos="9026" w:leader="dot"/>
        </w:tabs>
        <w:spacing w:after="24" w:before="24" w:line="312" w:lineRule="auto"/>
        <w:ind w:left="460"/>
      </w:pPr>
      <w:hyperlink w:history="1" w:anchor="bm18">
        <w:r>
          <w:rPr>
            <w:rFonts w:ascii="Arial" w:eastAsia="黑体" w:hAnsi="Arial"/>
            <w:b w:val="false"/>
            <w:bCs w:val="false"/>
            <w:i w:val="false"/>
            <w:iCs w:val="false"/>
            <w:color w:val="333333"/>
            <w:sz w:val="21"/>
            <w:szCs w:val="21"/>
          </w:rPr>
          <w:t xml:space="preserve">超前思维</w:t>
        </w:r>
        <w:r>
          <w:rPr>
            <w:rFonts w:ascii="Times New Roman" w:eastAsia="宋体" w:hAnsi="Times New Roman"/>
            <w:b w:val="false"/>
            <w:bCs w:val="false"/>
            <w:i w:val="false"/>
            <w:iCs w:val="false"/>
            <w:color w:val="1A1A1A"/>
            <w:sz w:val="21"/>
            <w:szCs w:val="21"/>
          </w:rPr>
          <w:t xml:space="preserve">	</w:t>
        </w:r>
        <w:r>
          <w:rPr>
            <w:rFonts w:ascii="Times New Roman" w:eastAsia="黑体" w:hAnsi="Times New Roman"/>
            <w:b w:val="false"/>
            <w:bCs w:val="false"/>
            <w:i w:val="false"/>
            <w:iCs w:val="false"/>
            <w:color w:val="555555"/>
            <w:sz w:val="20"/>
            <w:szCs w:val="20"/>
          </w:rPr>
          <w:t xml:space="preserve">61</w:t>
        </w:r>
      </w:hyperlink>
    </w:p>
    <w:p>
      <w:pPr>
        <w:pStyle w:val="Heading1"/>
      </w:pPr>
      <w:bookmarkStart w:name="bm0" w:id="1"/>
      <w:r>
        <w:rPr>
          <w:rFonts w:ascii="Arial" w:eastAsia="黑体" w:hAnsi="Arial"/>
          <w:b/>
          <w:bCs/>
          <w:i w:val="false"/>
          <w:iCs w:val="false"/>
          <w:color w:val="1F4E79"/>
          <w:sz w:val="36"/>
          <w:szCs w:val="36"/>
        </w:rPr>
        <w:t xml:space="preserve">一、科学思维</w:t>
      </w:r>
      <w:bookmarkEnd w:id="1"/>
    </w:p>
    <w:p>
      <w:pPr>
        <w:pStyle w:val="Heading2"/>
      </w:pPr>
      <w:bookmarkStart w:name="bm1" w:id="2"/>
      <w:r>
        <w:rPr>
          <w:rFonts w:ascii="Arial" w:eastAsia="黑体" w:hAnsi="Arial"/>
          <w:b/>
          <w:bCs/>
          <w:i w:val="false"/>
          <w:iCs w:val="false"/>
          <w:color w:val="2F6F9F"/>
          <w:sz w:val="28"/>
          <w:szCs w:val="28"/>
        </w:rPr>
        <w:t xml:space="preserve">追求认识的客观性</w:t>
      </w:r>
      <w:bookmarkEnd w:id="2"/>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定义：科学思维必须从实际出发，如实反映客观对象，而不是先有结论再找材料。答题踩点：抓“调查、数据、真实需求、事实依据、客观规律”，写成“从实际出发—如实把握对象—形成正确判断/方案”。</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企业关注到很多独居、高龄老人遇到起身困难、忘记吃药、居家孤单、缺少陪伴等问题，走进社区、养老院蹲点观察老人的真实生活习惯，围绕“安全照护、健康提醒、情感陪伴”三大核心需求研发产品。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2026顺义二模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结合材料，运用《逻辑与思维》知识，请你对 AI 分析的观点进行点评。（6分）</w:t>
      </w:r>
    </w:p>
    <w:p>
      <w:pPr>
        <w:spacing w:after="50" w:before="50" w:line="336" w:lineRule="auto"/>
        <w:ind w:left="160"/>
      </w:pPr>
      <w:r>
        <w:rPr>
          <w:rFonts w:ascii="Arial" w:eastAsia="黑体" w:hAnsi="Arial"/>
          <w:b/>
          <w:bCs/>
          <w:i w:val="false"/>
          <w:iCs w:val="false"/>
          <w:color w:val="6B7280"/>
          <w:sz w:val="20"/>
          <w:szCs w:val="20"/>
        </w:rPr>
        <w:t xml:space="preserve">【背景提示】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本条只处理“结论二”对事故归因是否客观的问题；“结论一”属于形式逻辑中的矛盾律/思维一致性规则，应放到推理宝典或逻辑规则线，不在本条展开。</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3"/>
      </w:pPr>
      <w:r>
        <w:rPr>
          <w:rFonts w:ascii="Arial" w:eastAsia="黑体" w:hAnsi="Arial"/>
          <w:b/>
          <w:bCs/>
          <w:i w:val="false"/>
          <w:iCs w:val="false"/>
          <w:color w:val="3A6278"/>
          <w:sz w:val="23"/>
          <w:szCs w:val="23"/>
        </w:rPr>
        <w:t xml:space="preserve">3.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我国发布《新一代人工智能发展规划》，明确基本原则和“三步走”战略目标，并从国家层面对 AI 重塑中国教育进行战略布局，推动判断建立在人工智能发展实际和未来趋势之上。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4. 2024海淀二模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时间利用调查主要采集居民在特定时间内的活动信息，反映个人生理必需活动、有酬劳动、无酬劳动、个人自由支配活动等时间投入，目标是全面、真实、准确了解我国居民时间利用情况。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（1）结合材料，说明此次时间利用调查是如何体现科学思维的。（7分）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3"/>
      </w:pPr>
      <w:r>
        <w:rPr>
          <w:rFonts w:ascii="Arial" w:eastAsia="黑体" w:hAnsi="Arial"/>
          <w:b/>
          <w:bCs/>
          <w:i w:val="false"/>
          <w:iCs w:val="false"/>
          <w:color w:val="3A6278"/>
          <w:sz w:val="23"/>
          <w:szCs w:val="23"/>
        </w:rPr>
        <w:t xml:space="preserve">5. 2026海淀一模 第17题（逻辑错误与建议部分）（主观题）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调查问卷中“身份”选项存在划分标准不一，关于无障碍设施主要问题的选言判断遗漏其他有选择价值的情况；改进建议必须回到无障碍环境建设中的真实问题和真实需求。</w:t>
      </w:r>
    </w:p>
    <w:p>
      <w:pPr>
        <w:spacing w:after="50" w:before="50" w:line="336" w:lineRule="auto"/>
        <w:ind w:left="160"/>
      </w:pPr>
      <w:r>
        <w:rPr>
          <w:rFonts w:ascii="Arial" w:eastAsia="黑体" w:hAnsi="Arial"/>
          <w:b/>
          <w:bCs/>
          <w:i w:val="false"/>
          <w:iCs w:val="false"/>
          <w:color w:val="6B7280"/>
          <w:sz w:val="20"/>
          <w:szCs w:val="20"/>
        </w:rPr>
        <w:t xml:space="preserve">【原题问卷图】</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终审报告附图显示，本题问卷的“身份”选项混用了年龄、身体状况、职业、关系等标准；“无障碍设施主要问题”选项没有保留“其他”出口。</w:t>
      </w:r>
    </w:p>
    <w:p>
      <w:pPr>
        <w:spacing w:after="50" w:before="50" w:line="336" w:lineRule="auto"/>
        <w:ind w:left="160"/>
      </w:pPr>
      <w:r>
        <w:rPr>
          <w:rFonts w:ascii="Arial" w:eastAsia="黑体" w:hAnsi="Arial"/>
          <w:b/>
          <w:bCs/>
          <w:i w:val="false"/>
          <w:iCs w:val="false"/>
          <w:color w:val="6B7280"/>
          <w:sz w:val="20"/>
          <w:szCs w:val="20"/>
        </w:rPr>
        <w:t xml:space="preserve">【术语提示】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“选言判断”就是列出几种可选情况；“不相容选言”要求选项互斥且尽量穷尽，不能把可能选项漏掉。</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逻辑错误】（2分）①"身份"选项划分标准不一，违反划分应使用同一标准的逻辑要求（同一组选项不能混用身份、职业、年龄等不同标准）；②无障碍设施主要问题的选言判断遗漏其他有选择价值的情况，违反不相容选言判断穷尽选项的要求（各选项要互斥且不漏可选情况）。【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6.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口号出发，而是在公共参与实践中发现真实问题、提出方案，并最终接受社会治理实践和效果检验；文献、问卷、访谈等资料收集可用于归纳推理，但客观性更应落在“从实践中来、接受实践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7. 2024丰台一模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模拟政协提案围绕商品包装垃圾分类标识展开，既要查找法律条文、城市垃圾分类标准和常见商品外包装印刷标识情况，又要通过具体研究方法继续获得真实资料。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在划线②处补全两种具体研究方法，并运用科学思维知识分别说明理由。（6分）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【防误写】</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设问要求“运用科学思维知识”，且评分细则明确“写超前思维、发散思维、联想思维（作为方法名）不得分”，必须先写出具体研究方法（如问卷调查法、访谈法、抽样调查法），思维方法仅用于“说明理由”。</w:t>
      </w:r>
    </w:p>
    <w:p>
      <w:pPr>
        <w:pStyle w:val="Heading3"/>
      </w:pPr>
      <w:r>
        <w:rPr>
          <w:rFonts w:ascii="Arial" w:eastAsia="黑体" w:hAnsi="Arial"/>
          <w:b/>
          <w:bCs/>
          <w:i w:val="false"/>
          <w:iCs w:val="false"/>
          <w:color w:val="3A6278"/>
          <w:sz w:val="23"/>
          <w:szCs w:val="23"/>
        </w:rPr>
        <w:t xml:space="preserve">8.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门头沟转型不是凭空选择“智谷”口号，而是面对千年煤城历史、煤矿关停现实、生态涵养功能、山地资源、产业基础和绿色转型要求等具体区情。</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原题是9分宽口径“科学思维”题，客观性/预见性在细则中属于可选或分层角度；本条只训练对应角度，不能把两条都当成同一题的独立满分答案。</w:t>
      </w:r>
    </w:p>
    <w:p>
      <w:pPr>
        <w:pStyle w:val="Heading3"/>
      </w:pPr>
      <w:r>
        <w:rPr>
          <w:rFonts w:ascii="Arial" w:eastAsia="黑体" w:hAnsi="Arial"/>
          <w:b/>
          <w:bCs/>
          <w:i w:val="false"/>
          <w:iCs w:val="false"/>
          <w:color w:val="3A6278"/>
          <w:sz w:val="23"/>
          <w:szCs w:val="23"/>
        </w:rPr>
        <w:t xml:space="preserve">9.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温榆生态心不是套用普通公园模板，而是根据清河、温榆河交汇处的水流、深潭浅滩、鱼虫水鸟栖息和粮田保留等自然条件设计建设方式。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10.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幻觉来自训练数据和算法设计等技术因素，生成内容可能包含偏见、错误和隐蔽价值立场；人机协同时，学生不能把机器输出直接当作事实本身。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11.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月季育种团队先走访花农、批发商和电商，系统收集市场对月季的需求偏好，再把调研结果转化为“要好看”“要好种”“耐储运”三条可操作的育种指标。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12.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青海防沙治沙先采集耐寒耐旱优质种源，掌握原生物种休眠、抗冻等生存策略，为治沙提供核心种质支撑；再依据不同地区条件开展精准防治，推动“沙进人退”转向“绿进沙退”。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关键看方案是不是从真实对象和客观规律出发。青海不是简单喊“治沙”，而是先采集耐寒耐旱优质种源，研究原生物种休眠、抗冻等生存策略，再依据不同地区自然条件精准防治；这些动作说明治理先回到沙地生态、物种特性和地区差异，再形成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从实际出发，先掌握沙地生态条件、原生物种休眠抗冻等生存策略和不同地区治沙条件，为防沙治沙提供种质与科学依据；再因地制宜开展精准防治，使治理方案建立在真实生态条件、物种规律和区域差异基础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13. 2024各区一模分类汇编·模拟政协题（参考答案讲评复练题）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参考答案第一层直接落在“科学思维追求认识的客观性，从实际出发，如实反映认识事物”。材料里的“查找法律条文、调查商品、收集样本数据”说明提案不是拍脑袋，而是先回到真实问题和客观资料，再形成解决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本题未锁定独立区县原卷和正式细则，真实来源为“2024届各区一模试题分类汇编选必3.doc”中的模拟政协题，且与2024丰台一模第19题材料高度重叠；本条只作参考答案讲评复练迁移，不计正式题源。</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本题只用于练习“从材料动作找思维方法”的迁移；正式考试仍以老师提供的原题和评分细则为准。</w:t>
      </w:r>
    </w:p>
    <w:p>
      <w:pPr>
        <w:pStyle w:val="Heading3"/>
      </w:pPr>
      <w:r>
        <w:rPr>
          <w:rFonts w:ascii="Arial" w:eastAsia="黑体" w:hAnsi="Arial"/>
          <w:b/>
          <w:bCs/>
          <w:i w:val="false"/>
          <w:iCs w:val="false"/>
          <w:color w:val="3A6278"/>
          <w:sz w:val="23"/>
          <w:szCs w:val="23"/>
        </w:rPr>
        <w:t xml:space="preserve">14. 2025海淀期末 第17题第（1）问（主观题）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“永动机”设计图声称毛巾吸水后能不断滴水带动叶轮发电，似乎不需要持续外部能量就能自动运转；但毛细作用高度有限，且该设想违背能量守恒等客观规律。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（1）运用科学思维知识，分析这个“永动机”设计图的问题所在。</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题目指定科学思维，评标锁定“科学思维具有客观性（可检验性）”。看到“设计图想象”与物理规律冲突，要回到客观规律和实践检验，不写成单纯创意不足。</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科学思维追求认识客观性，应从实际出发、遵循客观规律。该设计试图利用毛巾吸水获得连续动力，但毛细作用吸水高度有限，不可能越过支架产生所构想动力；它违背物理学基本规律，不是可行的科学设计。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【细则边界】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海淀期末评标把本问拆成“科学思维具有客观性（可检验性）”等层次；本册放在客观性主条，可检验性只作辅助提示。</w:t>
      </w:r>
    </w:p>
    <w:p>
      <w:pPr>
        <w:pStyle w:val="Heading2"/>
      </w:pPr>
      <w:bookmarkStart w:name="bm2" w:id="3"/>
      <w:r>
        <w:rPr>
          <w:rFonts w:ascii="Arial" w:eastAsia="黑体" w:hAnsi="Arial"/>
          <w:b/>
          <w:bCs/>
          <w:i w:val="false"/>
          <w:iCs w:val="false"/>
          <w:color w:val="2F6F9F"/>
          <w:sz w:val="28"/>
          <w:szCs w:val="28"/>
        </w:rPr>
        <w:t xml:space="preserve">结果具有预见性</w:t>
      </w:r>
      <w:bookmarkEnd w:id="3"/>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定义：科学思维能在把握规律的基础上预判趋势、后果和可能路径。答题踩点：抓“趋势、规划、风险预判、提前布局、未来场景”，写成“依据规律预判发展—提前谋划—提高实践主动性”。</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材料把研发放进老龄化加速、护理人员短缺、居家养老规模扩大的趋势链中，企业由当前人口结构和养老服务压力推断未来智能照护的应用空间。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我国人工智能规划提出“三步走”战略目标，明确到 2025 年基础理论实现重大突破、到 2030 年理论、技术与应用总体达到世界领先水平，并从国家层面对 AI 重塑中国教育进行战略布局。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门头沟在煤矿关停后没有停留在资源衰退判断上，而是布局人工智能、超高清数字视听、心血管医疗器械、山地文旅等新动能，面向绿色高质量发展转型。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原题是9分宽口径“科学思维”题，客观性/预见性在细则中属于可选或分层角度；本条只训练对应角度，不能把两条都当成同一题的独立满分答案。</w:t>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冰雪经济一方面有政策规划、游客增长、收入增长、雪博会交流平台等发展前景，另一方面仍存在场地布局、产业链、标准、人才和核心技术等短板；观点把“准确预测前景”直接看作推动高质量发展的关键。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本题与超前思维条目属于同一冰雪经济评析题的同一预测采分点；本条从科学思维“预见性”表达，正式作答仍要评析“预测不是充分条件”，不要当成两套独立答案重复堆写。</w:t>
      </w:r>
    </w:p>
    <w:p>
      <w:pPr>
        <w:pStyle w:val="Heading2"/>
      </w:pPr>
      <w:bookmarkStart w:name="bm3" w:id="4"/>
      <w:r>
        <w:rPr>
          <w:rFonts w:ascii="Arial" w:eastAsia="黑体" w:hAnsi="Arial"/>
          <w:b/>
          <w:bCs/>
          <w:i w:val="false"/>
          <w:iCs w:val="false"/>
          <w:color w:val="2F6F9F"/>
          <w:sz w:val="28"/>
          <w:szCs w:val="28"/>
        </w:rPr>
        <w:t xml:space="preserve">结果具有可检验性</w:t>
      </w:r>
      <w:bookmarkEnd w:id="4"/>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定义：科学思维的结论不是自说自话，而要能回到实践中接受检验。答题踩点：抓“实践验证、市场反馈、实验数据、效果检验、动态修正”，写成“提出判断—接受检验—修正完善”。</w:t>
      </w:r>
    </w:p>
    <w:p>
      <w:pPr>
        <w:pStyle w:val="Heading3"/>
      </w:pPr>
      <w:r>
        <w:rPr>
          <w:rFonts w:ascii="Arial" w:eastAsia="黑体" w:hAnsi="Arial"/>
          <w:b/>
          <w:bCs/>
          <w:i w:val="false"/>
          <w:iCs w:val="false"/>
          <w:color w:val="3A6278"/>
          <w:sz w:val="23"/>
          <w:szCs w:val="23"/>
        </w:rPr>
        <w:t xml:space="preserve">1. 2026顺义一模 第19题第（2）问（主观题）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具身机器人产品不是一次定型，而是经过多轮应用测试、打磨与迭代，再用用户试用和实践效果检验产品能否切实解决老人居家生活的实际问题。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如何体现科学思维特征”），三特征各2分：客观性（蹲点观察、立足实际）＋预见性（依趋势预判方向）＋可检验性（多轮测试迭代检验）须全部答出；本条只训练其一，单条只对应2分，不等于满分答案。</w:t>
      </w:r>
    </w:p>
    <w:p>
      <w:pPr>
        <w:pStyle w:val="Heading3"/>
      </w:pPr>
      <w:r>
        <w:rPr>
          <w:rFonts w:ascii="Arial" w:eastAsia="黑体" w:hAnsi="Arial"/>
          <w:b/>
          <w:bCs/>
          <w:i w:val="false"/>
          <w:iCs w:val="false"/>
          <w:color w:val="3A6278"/>
          <w:sz w:val="23"/>
          <w:szCs w:val="23"/>
        </w:rPr>
        <w:t xml:space="preserve">2. 2025丰台一模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我国人工智能规划不仅提出“三步走”目标，还把基础理论、关键技术、产业应用和 AI 教育场景放入阶段性任务；这些目标能否成立，要通过技术突破、教育应用效果、产业落地和实践反馈来检验。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pPr>
        <w:pStyle w:val="Heading3"/>
      </w:pPr>
      <w:r>
        <w:rPr>
          <w:rFonts w:ascii="Arial" w:eastAsia="黑体" w:hAnsi="Arial"/>
          <w:b/>
          <w:bCs/>
          <w:i w:val="false"/>
          <w:iCs w:val="false"/>
          <w:color w:val="3A6278"/>
          <w:sz w:val="23"/>
          <w:szCs w:val="23"/>
        </w:rPr>
        <w:t xml:space="preserve">3.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有些学生建议已经从调研报告、模拟提案转化为惠及民生的具体措施，说明建议是否科学、是否可行最终要经过社会实践和治理效果检验。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育种团队不是只在实验室里判断新品种优劣，而是把试验田里种出的每一批花送到花市参与最真实的分级和拍卖，用市场数据完成对科研成果的最终确认。</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花市分级、拍卖不是背景信息，而是实践检验环节。育种目标是否合理、品种是否受欢迎，不能只由团队自己判断，要由市场数据来检验；科研成果进入真实市场后能否站住脚，正是可检验性的材料信号。</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【细则边界】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本题正式细则未把“可检验性”单列为独立得分点，而是并入科学思维客观性和市场检验链条；本条用于延伸训练“科研判断接受实践检验”的表达。</w:t>
      </w:r>
    </w:p>
    <w:p>
      <w:pPr>
        <w:pStyle w:val="Heading3"/>
      </w:pPr>
      <w:r>
        <w:rPr>
          <w:rFonts w:ascii="Arial" w:eastAsia="黑体" w:hAnsi="Arial"/>
          <w:b/>
          <w:bCs/>
          <w:i w:val="false"/>
          <w:iCs w:val="false"/>
          <w:color w:val="3A6278"/>
          <w:sz w:val="23"/>
          <w:szCs w:val="23"/>
        </w:rPr>
        <w:t xml:space="preserve">5. 2026海淀一模 第17题（逻辑错误与建议部分）（主观题）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调研改进建议不能只停在“多调查一点”，而要通过实地测量、对比不同人群的回答，或与相关部门数据比对，检验调研结论是否可靠。</w:t>
      </w:r>
    </w:p>
    <w:p>
      <w:pPr>
        <w:spacing w:after="50" w:before="50" w:line="336" w:lineRule="auto"/>
        <w:ind w:left="160"/>
      </w:pPr>
      <w:r>
        <w:rPr>
          <w:rFonts w:ascii="Arial" w:eastAsia="黑体" w:hAnsi="Arial"/>
          <w:b/>
          <w:bCs/>
          <w:i w:val="false"/>
          <w:iCs w:val="false"/>
          <w:color w:val="6B7280"/>
          <w:sz w:val="20"/>
          <w:szCs w:val="20"/>
        </w:rPr>
        <w:t xml:space="preserve">【原题问卷图】</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终审报告附图显示，本题问卷的“身份”选项混用了年龄、身体状况、职业、关系等标准；“无障碍设施主要问题”选项没有保留“其他”出口。</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1"/>
      </w:pPr>
      <w:bookmarkStart w:name="bm4" w:id="5"/>
      <w:r>
        <w:rPr>
          <w:rFonts w:ascii="Arial" w:eastAsia="黑体" w:hAnsi="Arial"/>
          <w:b/>
          <w:bCs/>
          <w:i w:val="false"/>
          <w:iCs w:val="false"/>
          <w:color w:val="1F4E79"/>
          <w:sz w:val="36"/>
          <w:szCs w:val="36"/>
        </w:rPr>
        <w:t xml:space="preserve">二、辩证思维</w:t>
      </w:r>
      <w:bookmarkEnd w:id="5"/>
    </w:p>
    <w:p>
      <w:pPr>
        <w:pStyle w:val="Heading2"/>
      </w:pPr>
      <w:bookmarkStart w:name="bm5" w:id="6"/>
      <w:r>
        <w:rPr>
          <w:rFonts w:ascii="Arial" w:eastAsia="黑体" w:hAnsi="Arial"/>
          <w:b/>
          <w:bCs/>
          <w:i w:val="false"/>
          <w:iCs w:val="false"/>
          <w:color w:val="2F6F9F"/>
          <w:sz w:val="28"/>
          <w:szCs w:val="28"/>
        </w:rPr>
        <w:t xml:space="preserve">整体性</w:t>
      </w:r>
      <w:bookmarkEnd w:id="6"/>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定义：整体性要求把对象放在相互联系的结构中把握。答题踩点：抓“多主体、多环节、多要素、协同、系统治理”，写成“分清组成部分—说明相互依存—服务整体功能”。</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共享主体、建设领域、合法权益和人人参与都被放在共同富裕这一战略目标下，发展成果共享、权利保障和共同建设相互支撑，任何一项孤立推进都不能构成共同富裕。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2025东城一模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“两重”实施既强化硬投资，聚焦新质生产力、城乡融合、区域协调等重点领域，又搞好软建设，完善政策、规划、体制机制和投入机制；既解决当前问题，又着眼长远目标，努力办成大事难事。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（1）结合材料一，说明“两重”实施是如何体现辩证思维的。（4分）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pPr>
        <w:pStyle w:val="Heading3"/>
      </w:pPr>
      <w:r>
        <w:rPr>
          <w:rFonts w:ascii="Arial" w:eastAsia="黑体" w:hAnsi="Arial"/>
          <w:b/>
          <w:bCs/>
          <w:i w:val="false"/>
          <w:iCs w:val="false"/>
          <w:color w:val="3A6278"/>
          <w:sz w:val="23"/>
          <w:szCs w:val="23"/>
        </w:rPr>
        <w:t xml:space="preserve">3.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中关村原创性技术先从“0”到“1”实现原始突破，再把“1”拉长、推进，实现从有到强、从点到链的系统跃升，让原创成果走下书架、摆上货架。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Style w:val="Heading3"/>
      </w:pPr>
      <w:r>
        <w:rPr>
          <w:rFonts w:ascii="Arial" w:eastAsia="黑体" w:hAnsi="Arial"/>
          <w:b/>
          <w:bCs/>
          <w:i w:val="false"/>
          <w:iCs w:val="false"/>
          <w:color w:val="3A6278"/>
          <w:sz w:val="23"/>
          <w:szCs w:val="23"/>
        </w:rPr>
        <w:t xml:space="preserve">4. 2026房山一模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5.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法院处理赤泥库环境纠纷时，既看到环境污染、地质灾害、文物威胁等现实风险，又着眼生态修复、公共安全和产业转型，统筹生态、经济、社会效益以及企业、社会组织、行政部门等多方责任。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6.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温榆生态心把清河、温榆河交汇处的水流形态、鱼虫水鸟栖息、河心岛、深潭浅滩、粮田保留和核心区封闭放在同一生态恢复工程中规划。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材料一写人工智能融入生活消费、赋能产业升级；材料二写人工智能快速发展中面临数据质量与隐私保护、监管滞后与规则缺失、就业结构冲击等挑战，并要求结合材料一和材料二看待“应用与发展”。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青海不是孤立处理某一片沙地，而是把种质资源、草方格、阻沙网、灌丛与草地交替栽植、灌木草本乔木多层防护体系等要素联系起来，形成稳定高效的防护体系。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对象内部各要素之间的联系。防沙治沙不是单点种树，而是把种源、地形、气候、草灌乔结构和人与自然关系放进一个生态治理整体中考察；看到“多层防护体系、稳定高效防护体系”，就要想到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青海防沙治沙坚持辩证思维的整体性，把防沙治沙放到生态系统和人与自然关系的整体中考察，统筹种质支撑、因地制宜治理和多层防护体系建设，使各环节相互配合，形成整体治理效能。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2"/>
      </w:pPr>
      <w:bookmarkStart w:name="bm6" w:id="7"/>
      <w:r>
        <w:rPr>
          <w:rFonts w:ascii="Arial" w:eastAsia="黑体" w:hAnsi="Arial"/>
          <w:b/>
          <w:bCs/>
          <w:i w:val="false"/>
          <w:iCs w:val="false"/>
          <w:color w:val="2F6F9F"/>
          <w:sz w:val="28"/>
          <w:szCs w:val="28"/>
        </w:rPr>
        <w:t xml:space="preserve">动态性</w:t>
      </w:r>
      <w:bookmarkEnd w:id="7"/>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定义：动态性要求用变化、发展、过程的眼光看对象。答题踩点：抓“过程、阶段、趋势、逐步推进、动态调整”，写成“对象在发展—方案随实践调整—推动持续完善”。</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材料把共享发展写成“渐进共享”：一口吃不成胖子，必然有一个从低级到高级、从不均衡到均衡的过程；即使达到很高水平也会有差别，说明共同富裕要在发展阶段变化中推进。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2024朝阳二模 第19题第（1）问（主观题）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50" w:before="50" w:line="336" w:lineRule="auto"/>
        <w:ind w:left="160"/>
      </w:pPr>
      <w:r>
        <w:rPr>
          <w:rFonts w:ascii="Arial" w:eastAsia="黑体" w:hAnsi="Arial"/>
          <w:b/>
          <w:bCs/>
          <w:i w:val="false"/>
          <w:iCs w:val="false"/>
          <w:color w:val="6B7280"/>
          <w:sz w:val="20"/>
          <w:szCs w:val="20"/>
        </w:rPr>
        <w:t xml:space="preserve">【白话提示】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“生生之宇宙观”强调宇宙生生不息、日新不已，万物处在不断生成、变化和展开的过程中；答动态性时抓“变化过程、持续生成、发展展开”，不要误套其他诗句。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（1）生生之宇宙观体现了辩证思维的 ① 特征。人效法天地之德体现的推理类型是 ② 推理。（4分）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3"/>
      </w:pPr>
      <w:r>
        <w:rPr>
          <w:rFonts w:ascii="Arial" w:eastAsia="黑体" w:hAnsi="Arial"/>
          <w:b/>
          <w:bCs/>
          <w:i w:val="false"/>
          <w:iCs w:val="false"/>
          <w:color w:val="3A6278"/>
          <w:sz w:val="23"/>
          <w:szCs w:val="23"/>
        </w:rPr>
        <w:t xml:space="preserve">3.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材料把人工智能定位为引领新一轮科技革命和产业变革的战略性技术，写出其正在改变生产生活方式，同时指出其健康发展仍需在技术创新、伦理规范与法律治理之间寻求动态平衡。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4. 2026西城期末 第21题（综合题讲评复练题）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五年规划不是一次性定稿后机械执行，而是在党的集中统一领导下，根据发展过程中出现的新问题、新趋势、新机遇，不断优化规划内容与实施路径，使规划与发展形成良性互动。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“科学制定和接续实施五年规划，是我们党治国理政一条重要经验，也是中国特色社会主义一个重要政治优势。”结合材料，综合运用所学，谈谈你对这句话的理解。（10分）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不是一道专门的《逻辑与思维》设问，不能把全题硬改成选必三题。但正式细则在一个作答角度中明确写到“科学思维方法”，并括注“辩证思维动态性”。学生可把材料里的“根据新问题、新趋势、新机遇不断优化”理解为动态性：事物处在发展过程中，正确认识和治理方案也要随实践变化不断调整完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西城期末细则原文可由“发展的观点”迁移到动态性，并未直接写“科学思维方法/辩证思维动态性”；本条仅作综合题讲评复练迁移。</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本题作为综合题讲评复练题，用来练习“动态性”在综合设问中的迁移；正式考试仍应先服从题目限定和老师提供的评分细则，不要把所有综合题都强行写成《逻辑与思维》。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本题是综合题复练迁移，正式细则未把“动态性”作为独立选必三考点；课堂使用时只练“规划随实践变化不断完善”的迁移表达。</w:t>
      </w:r>
    </w:p>
    <w:p>
      <w:pPr>
        <w:pStyle w:val="Heading3"/>
      </w:pPr>
      <w:r>
        <w:rPr>
          <w:rFonts w:ascii="Arial" w:eastAsia="黑体" w:hAnsi="Arial"/>
          <w:b/>
          <w:bCs/>
          <w:i w:val="false"/>
          <w:iCs w:val="false"/>
          <w:color w:val="3A6278"/>
          <w:sz w:val="23"/>
          <w:szCs w:val="23"/>
        </w:rPr>
        <w:t xml:space="preserve">补充：2026房山一模 第18题第（1）问（动态性路径）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北京从曾经雾霾困扰到实现常态蓝天，不是一蹴而就，而是通过久久为功、持续治理、不断调整结构和精准施策逐步形成治理成效。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动态性看的是治理过程。材料中的“久久为功”“持续改善”“常态蓝天”说明空气治理不是一次行动的静态结果，而是在长期结构调整、多污染物协同控制和精准治理中不断推进的过程。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补充：2026朝阳期中(2025-11) 第20题（动态性路径）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新征程中的机遇与挑战会随科技革命、国际环境、产业基础和国内发展阶段变化而变化，需要在发展过程中不断调整判断和行动。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动态性要求从发展过程看问题。机遇与挑战不是固定不变的清单，而会随外部环境、科技变革和自身能力提升而转化；作答时要写出在变化中识别趋势、调整策略、把握主动。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面对新征程机遇与挑战，要坚持动态性，用变化发展的眼光把握国内外环境和科技产业趋势，根据实践中的新情况、新问题不断调整战略和政策；在动态应对中把握发展主动权，推动现代化建设不断向前。</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7" w:id="8"/>
      <w:r>
        <w:rPr>
          <w:rFonts w:ascii="Arial" w:eastAsia="黑体" w:hAnsi="Arial"/>
          <w:b/>
          <w:bCs/>
          <w:i w:val="false"/>
          <w:iCs w:val="false"/>
          <w:color w:val="2F6F9F"/>
          <w:sz w:val="28"/>
          <w:szCs w:val="28"/>
        </w:rPr>
        <w:t xml:space="preserve">分析与综合</w:t>
      </w:r>
      <w:bookmarkEnd w:id="8"/>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定义：分析是把对象分解为各方面、各环节，综合是在分析基础上把握整体。答题踩点：抓“拆开看、分别分析、再统筹、形成方案”，避免只写成简单利弊两分法。</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共享被拆成全民共享、全面共享、共建共享和渐进共享等层次，分别涉及共享主体、建设领域、合法权益、人人参与和推进过程；这些层次又共同指向全体人民共同富裕的整体格局。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2024石景山一模 第19题第（3）问（主观题）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不只是面对一个单一市场问题，而是在投资国法律制度、技术标准、市场营销、人员管理、当地文化等方面同时遇到冲突和不适应；这些问题彼此关联，任何一个环节处理不好都会影响整体经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本题设问允许任用一种辩证思维方法，除分析与综合外，也可从辩证否定观作答：企业既不能全盘照搬国内经验，也不能否定自身优势，应在保留优势的基础上克服与投资国制度、文化、市场不适配之处。</w:t>
      </w:r>
    </w:p>
    <w:p>
      <w:pPr>
        <w:pStyle w:val="Heading3"/>
      </w:pPr>
      <w:r>
        <w:rPr>
          <w:rFonts w:ascii="Arial" w:eastAsia="黑体" w:hAnsi="Arial"/>
          <w:b/>
          <w:bCs/>
          <w:i w:val="false"/>
          <w:iCs w:val="false"/>
          <w:color w:val="3A6278"/>
          <w:sz w:val="23"/>
          <w:szCs w:val="23"/>
        </w:rPr>
        <w:t xml:space="preserve">3. 2024海淀一模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京津冀三地分别承担北京非首都功能疏解、天津服务新两翼建设、河北承接创新资源和产业协作等不同功能，同时通过规划、政策、交通、产业、生态、创新等协同联动共同书写高质量发展新篇章。</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结合材料二，运用分析与综合的思维方法，说明京津冀协同发展是如何书写新篇章的。（6分）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3"/>
      </w:pPr>
      <w:r>
        <w:rPr>
          <w:rFonts w:ascii="Arial" w:eastAsia="黑体" w:hAnsi="Arial"/>
          <w:b/>
          <w:bCs/>
          <w:i w:val="false"/>
          <w:iCs w:val="false"/>
          <w:color w:val="3A6278"/>
          <w:sz w:val="23"/>
          <w:szCs w:val="23"/>
        </w:rPr>
        <w:t xml:space="preserve">5.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月季育种团队走访花农、批发商和电商，分别了解不同主体的需求偏好，再把调研结果整合为“要好看”“要好种”“耐储运”三条可操作育种指标。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6. 2026石景山二模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（2）结合材料二，运用《逻辑与思维》知识，分析如何以辩证思维方法应对养老立法的最大难点。（6分）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3"/>
      </w:pPr>
      <w:r>
        <w:rPr>
          <w:rFonts w:ascii="Arial" w:eastAsia="黑体" w:hAnsi="Arial"/>
          <w:b/>
          <w:bCs/>
          <w:i w:val="false"/>
          <w:iCs w:val="false"/>
          <w:color w:val="3A6278"/>
          <w:sz w:val="23"/>
          <w:szCs w:val="23"/>
        </w:rPr>
        <w:t xml:space="preserve">7. 2026海淀一模 第17题（逻辑错误与建议部分）（主观题）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50" w:before="50" w:line="336" w:lineRule="auto"/>
        <w:ind w:left="160"/>
      </w:pPr>
      <w:r>
        <w:rPr>
          <w:rFonts w:ascii="Arial" w:eastAsia="黑体" w:hAnsi="Arial"/>
          <w:b/>
          <w:bCs/>
          <w:i w:val="false"/>
          <w:iCs w:val="false"/>
          <w:color w:val="6B7280"/>
          <w:sz w:val="20"/>
          <w:szCs w:val="20"/>
        </w:rPr>
        <w:t xml:space="preserve">【原题问卷图】</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终审报告附图显示，本题问卷的“身份”选项混用了年龄、身体状况、职业、关系等标准；“无障碍设施主要问题”选项没有保留“其他”出口。</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8.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材料一分别呈现 AI 点亮生活消费、激活产业升级；材料二列出数据质量与隐私保护、监管滞后、就业结构冲击等现实挑战，要求综合判断人工智能的应用与发展。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9.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材料先分别呈现都兰县草方格和阻沙网、乌兰县“带状栽植法”、贵南县多层防护体系等不同治理做法，再说明这些做法共同服务于从“沙进人退”到“绿进沙退”的整体转变。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是“分开看不同条件和方法，再合起来形成整体方案”。材料明确说没有放之四海而皆准的万能公式，而是因地制宜精准防治，说明先分析不同地区的自然条件和治理方式，再综合成防沙治沙体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青海防沙治沙坚持分析与综合相结合，具体分析不同地区沙化状况、植物条件和治理难点，分别采用草方格、阻沙网、带状栽植、多层防护等方法；又把这些做法综合为整体防护体系，提升治沙成效。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10. 2024各区一模分类汇编·模拟政协题（参考答案讲评复练题）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同学们先把问题拆开：垃圾分类标准、法律条文、商品包装标识、不同年龄段人群反馈、12个省级行政单位样本数据；再从这些资料中找到内在联系，完成“在商品包装上印制垃圾分类标识”的模拟提案。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本题未锁定独立区县原卷和正式细则，真实来源为“2024届各区一模试题分类汇编选必3.doc”中的模拟政协题，且与2024丰台一模第19题材料高度重叠；本条只作参考答案讲评复练迁移，不计正式题源。</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本题只用于练习“从材料动作找思维方法”的迁移；正式考试仍以老师提供的原题和评分细则为准。</w:t>
      </w:r>
    </w:p>
    <w:p>
      <w:pPr>
        <w:pStyle w:val="Heading3"/>
      </w:pPr>
      <w:r>
        <w:rPr>
          <w:rFonts w:ascii="Arial" w:eastAsia="黑体" w:hAnsi="Arial"/>
          <w:b/>
          <w:bCs/>
          <w:i w:val="false"/>
          <w:iCs w:val="false"/>
          <w:color w:val="3A6278"/>
          <w:sz w:val="23"/>
          <w:szCs w:val="23"/>
        </w:rPr>
        <w:t xml:space="preserve">11. 2026石景山期末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非遗漫游攻略围绕民间技艺、民俗体验、特色美食、非遗展馆等主题，列举水峪村、柏峪村、西贯市村、琉璃渠村等典型村落，分别分析不同非遗主题和功能，再统一为展示京郊乡村之美的整体攻略。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（2）结合材料，说明北京市文旅局如何运用辩证分合的思维方法设计非遗漫游攻略，展示京郊乡村之美。（6分）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设问明确写“辩证分合的思维方法”。材料先分开看不同村落、不同非遗主题、不同游览功能，再合成整体漫游攻略，这就是分析是综合的基础、综合是分析的先导。</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市文旅局先对京郊非遗资源进行分析，列举典型村落，分别把握各地非遗技艺、民俗活动、美食和展陈资源的特点；再在分析基础上综合设计漫游攻略，把不同村落、主题和路线统一起来，形成展示京郊乡村之美的整体方案。分析是综合的基础，综合是分析的先导，攻略体现了对分析与综合思维方法的辩证运用。</w:t>
      </w:r>
    </w:p>
    <w:p>
      <w:pPr>
        <w:pStyle w:val="Heading3"/>
      </w:pPr>
      <w:r>
        <w:rPr>
          <w:rFonts w:ascii="Arial" w:eastAsia="黑体" w:hAnsi="Arial"/>
          <w:b/>
          <w:bCs/>
          <w:i w:val="false"/>
          <w:iCs w:val="false"/>
          <w:color w:val="3A6278"/>
          <w:sz w:val="23"/>
          <w:szCs w:val="23"/>
        </w:rPr>
        <w:t xml:space="preserve">补充：2026朝阳期中(2025-11) 第20题（分析与综合路径）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新征程中的机遇与挑战包含科技革命、产业基础、外部压力、内部短板、风险应对等多个方面，既要分开识别，又要综合成现代化建设的总体应对方案。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8" w:id="9"/>
      <w:r>
        <w:rPr>
          <w:rFonts w:ascii="Arial" w:eastAsia="黑体" w:hAnsi="Arial"/>
          <w:b/>
          <w:bCs/>
          <w:i w:val="false"/>
          <w:iCs w:val="false"/>
          <w:color w:val="2F6F9F"/>
          <w:sz w:val="28"/>
          <w:szCs w:val="28"/>
        </w:rPr>
        <w:t xml:space="preserve">矛盾分析法</w:t>
      </w:r>
      <w:bookmarkEnd w:id="9"/>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定义：矛盾分析法要求把握对立统一、主次关系和具体条件。答题踩点：抓“机遇与挑战、利与弊、主要矛盾、具体问题具体分析”，写出双方关系和转化条件。</w:t>
      </w:r>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生成内容可能带来效率和工具优势，也存在幻觉、偏见、错误和隐蔽价值立场；适应人机协同新常态，不能盲目迷信机器输出，也不能全盘否定 AI 技术。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1. 2026朝阳期中(2025-11)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面对机遇与挑战并存的新征程；拆分新机遇与风险因素再整体谋划；持续投入科研和循序渐进化解冲击；顺应科技革命和国际环境变化</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低空经济呈现高速增长态势，但面临整体产业规模小、基础设施和服务保障少、低空空域开放难、应用场景散等挑战，需要完善基础设施保障和监管体系，鼓励企业技术创新与多元应用场景开发。</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3.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虚拟数字人直播既有低成本、无间断、精准匹配等行业活力，又被不法商家滥用于仿冒欺诈；社会治理观点在全面禁止与放任自由两个极端之间拉扯。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4.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冰雪经济既有政策支持、游客收入增长和雪博会平台等发展机会，也有场地布局有限、产业链不健全、标准不完善、人才和核心技术不足等短板。</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材料一集中写 AI 便利生活、赋能产业的积极价值；材料二集中写 AI 面临隐私保护、监管滞后、规则缺失、就业冲击等挑战，呈现人工智能发展中的机遇与风险、创新与规范的关系。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6. 2025丰台期末评标讲评 “界”复练题（讲评复练迁移题）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“界”既表示分隔线、规则边界，也出现国界、无国界、界内出界、越界、跨界等多重联想，材料本身呈现边界与联系、限制与跨越、规则与发展的关系。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在社会生活中，无处不见“界”的存在，请你运用辩证思维谈谈对“界”的理解。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不能只理解成隔开，也不能只理解成突破。边界有区分、约束、保护秩序的作用，同时在共同利益、协作发展和创新实践中又会出现跨界、破界、无界等新联系。这正是对立统一和具体问题具体分析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辩证思维看“界”，要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该题来源于2025丰台期末细则中的“针对性复练习题”，不是试卷正式主观题；本条只作为讲评复练迁移题，不计入正式模拟题覆盖数。</w:t>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青海面对的是人与自然、沙化压力与生态修复、统一部署与地区差异之间的关系；治理过程既要阻沙固沙，又要涵养生态、恢复野生动物栖息条件。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把握对立统一、具体问题具体分析。材料中的“没有万能公式”“因地制宜精准防治”说明治沙不能用一个办法套所有地区，而要抓住不同地区矛盾的特殊性；同时，治沙本身就是在处理人与自然、发展与生态之间的关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青海防沙治沙坚持矛盾分析法，正确处理人与自然的关系，具体分析不同地区沙化原因、生态条件和治理重点，做到因地制宜、精准防治，在解决沙化与生态保护的矛盾中实现从“沙进人退”到“绿进沙退”。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补充：2026房山一模 第18题第（1）问（矛盾分析法路径）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北京治理常态蓝天既要看到污染治理取得成效，也要看到重点区域、重点行业、重点时段和重点企业仍有差异化问题，需要精准识别主要矛盾和重点环节。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本题6分，整体性、矛盾分析法、动态性为可选路径，作答时按细则择路径组织，不是三条分别累加。本条只训练该题的一个可选思维角度，需按评分细则择路径/合答，单条不等于该题满分答案。</w:t>
      </w:r>
    </w:p>
    <w:p>
      <w:pPr>
        <w:pStyle w:val="Heading2"/>
      </w:pPr>
      <w:bookmarkStart w:name="bm9" w:id="10"/>
      <w:r>
        <w:rPr>
          <w:rFonts w:ascii="Arial" w:eastAsia="黑体" w:hAnsi="Arial"/>
          <w:b/>
          <w:bCs/>
          <w:i w:val="false"/>
          <w:iCs w:val="false"/>
          <w:color w:val="2F6F9F"/>
          <w:sz w:val="28"/>
          <w:szCs w:val="28"/>
        </w:rPr>
        <w:t xml:space="preserve">量变与质变</w:t>
      </w:r>
      <w:bookmarkEnd w:id="10"/>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定义：量变与质变要求看到发展由积累到跃升的过程。答题踩点：抓“久久为功、渐进、积累、阶段提升、由低到高”，写成“持续积累条件—推动质的提升”。</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共享发展被写成“渐进共享”：一口吃不成胖子，必然经历从低级到高级、从不均衡到均衡的过程；全民共享、全面共享、共建共享也都需要在人人参与、权益保障和建设成果共享中逐步积累条件。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2025延庆一模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低空经济高速增长，但产业规模小、基础设施和服务保障少、空域开放难、应用场景散，需要在持续探索中完善基础设施、监管体系和应用场景。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pPr>
        <w:pStyle w:val="Heading3"/>
      </w:pPr>
      <w:r>
        <w:rPr>
          <w:rFonts w:ascii="Arial" w:eastAsia="黑体" w:hAnsi="Arial"/>
          <w:b/>
          <w:bCs/>
          <w:i w:val="false"/>
          <w:iCs w:val="false"/>
          <w:color w:val="3A6278"/>
          <w:sz w:val="23"/>
          <w:szCs w:val="23"/>
        </w:rPr>
        <w:t xml:space="preserve">补充：2026朝阳期中(2025-11) 第20题（量变质变路径）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面对新征程的机遇与挑战，需要持续投入科研、完善产业基础、补齐短板、积累创新能力，把压力转化为发展动力。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量变与质变看的是积累和跃升。新征程上的优势不会自动变成发展成果，挑战也不会凭一句口号化解；只有在科技创新、产业升级、制度完善和风险治理中持续积累条件，才能推动现代化建设实现新的质量提升。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pPr>
        <w:pStyle w:val="Heading2"/>
      </w:pPr>
      <w:bookmarkStart w:name="bm10" w:id="11"/>
      <w:r>
        <w:rPr>
          <w:rFonts w:ascii="Arial" w:eastAsia="黑体" w:hAnsi="Arial"/>
          <w:b/>
          <w:bCs/>
          <w:i w:val="false"/>
          <w:iCs w:val="false"/>
          <w:color w:val="2F6F9F"/>
          <w:sz w:val="28"/>
          <w:szCs w:val="28"/>
        </w:rPr>
        <w:t xml:space="preserve">适度原则</w:t>
      </w:r>
      <w:bookmarkEnd w:id="11"/>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定义：适度原则要求把握事物发展的度、边界、节奏和限度。答题踩点：抓“合理限度、平衡、边界、有序推进、过犹不及”，写成“既不不足也不过度—在度内促发展”。</w:t>
      </w:r>
    </w:p>
    <w:p>
      <w:pPr>
        <w:pStyle w:val="Heading3"/>
      </w:pPr>
      <w:r>
        <w:rPr>
          <w:rFonts w:ascii="Arial" w:eastAsia="黑体" w:hAnsi="Arial"/>
          <w:b/>
          <w:bCs/>
          <w:i w:val="false"/>
          <w:iCs w:val="false"/>
          <w:color w:val="3A6278"/>
          <w:sz w:val="23"/>
          <w:szCs w:val="23"/>
        </w:rPr>
        <w:t xml:space="preserve">1.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虚拟数字人直播既能降低成本、精准匹配用户需求、丰富营销场景、激发市场活力，也可能被用于仿冒欺诈、虚假宣传和误导消费；全面禁止会压制新业态，放任自由又会放大风险，两端都会走向极端。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2.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材料二指出人工智能健康发展仍需在技术创新、伦理规范与法律治理之间寻求动态平衡；评标细则也强调有序推进技术应用、统筹创新与规范。</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2"/>
      </w:pPr>
      <w:bookmarkStart w:name="bm11" w:id="12"/>
      <w:r>
        <w:rPr>
          <w:rFonts w:ascii="Arial" w:eastAsia="黑体" w:hAnsi="Arial"/>
          <w:b/>
          <w:bCs/>
          <w:i w:val="false"/>
          <w:iCs w:val="false"/>
          <w:color w:val="2F6F9F"/>
          <w:sz w:val="28"/>
          <w:szCs w:val="28"/>
        </w:rPr>
        <w:t xml:space="preserve">辩证否定</w:t>
      </w:r>
      <w:bookmarkEnd w:id="12"/>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定义：辩证否定是事物自身的否定和发展，实质是扬弃。答题踩点：抓“保留积极因素、克服问题、改造提升、在继承中创新”，避免写成全盘肯定或全盘否定。</w:t>
      </w:r>
    </w:p>
    <w:p>
      <w:pPr>
        <w:pStyle w:val="Heading3"/>
      </w:pPr>
      <w:r>
        <w:rPr>
          <w:rFonts w:ascii="Arial" w:eastAsia="黑体" w:hAnsi="Arial"/>
          <w:b/>
          <w:bCs/>
          <w:i w:val="false"/>
          <w:iCs w:val="false"/>
          <w:color w:val="3A6278"/>
          <w:sz w:val="23"/>
          <w:szCs w:val="23"/>
        </w:rPr>
        <w:t xml:space="preserve">1. 2025海淀二模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共享发展理念继承中华优秀传统文化中“不患寡而患不均”“损有余而补不足”等合理思想，同时又回应新时代共同富裕的现实问题，展开为全民共享、全面共享、共建共享和渐进共享。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在制造业中占比高，是现代化产业体系基底，但存在低端产能过剩、高端供给不足、创新能力薄弱等问题；未来材料、未来网络等未来产业正在加速前进，并渗透传统产业链上下游，引领传统优势产业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2026房山二模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遇上数字员工后形成未来创业模式：一人公司旧形态的运营方式被突破，数字员工带来的效率、协作和能力扩展被保留，同时法律风险又暴露出需要继续改造和规范的方面。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（2）结合材料一和材料二，运用《逻辑与思维》辩证否定观知识，分析OPC的出现和发展。（5分）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3"/>
      </w:pPr>
      <w:r>
        <w:rPr>
          <w:rFonts w:ascii="Arial" w:eastAsia="黑体" w:hAnsi="Arial"/>
          <w:b/>
          <w:bCs/>
          <w:i w:val="false"/>
          <w:iCs w:val="false"/>
          <w:color w:val="3A6278"/>
          <w:sz w:val="23"/>
          <w:szCs w:val="23"/>
        </w:rPr>
        <w:t xml:space="preserve">4.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门头沟结束千年采煤史、关停矿山，同时把革命老区、煤城工业积累、生态涵养功能和山地资源转化为“京西智谷”、生物医药、山地文旅等新发展条件。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运用科学思维知识，说明门头沟区从“千年煤城”向“京西智谷”转型的智慧。</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5. 2026通州一模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人工智能一方面为生活消费和产业升级注入新动能，另一方面暴露出隐私保护、监管规则、就业结构等短板，说明其发展不是简单照旧推进，而是在克服问题中完善自身。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pPr>
        <w:pStyle w:val="Heading3"/>
      </w:pPr>
      <w:r>
        <w:rPr>
          <w:rFonts w:ascii="Arial" w:eastAsia="黑体" w:hAnsi="Arial"/>
          <w:b/>
          <w:bCs/>
          <w:i w:val="false"/>
          <w:iCs w:val="false"/>
          <w:color w:val="3A6278"/>
          <w:sz w:val="23"/>
          <w:szCs w:val="23"/>
        </w:rPr>
        <w:t xml:space="preserve">补充：2024石景山一模 第19题第（3）问（辩证否定路径）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中国企业走出去后，既有自身技术、产品和管理优势，也面对投资国法律制度、技术标准、市场营销、人员管理和当地文化等不适应问题。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辩证否定要求扬弃。企业不能全盘照搬国内经验，也不能否定自身优势，而要在保留自身优势的同时克服与当地制度、标准、市场和文化不适配之处，实现本土化改造。</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企业应坚持辩证否定观，保留自身技术、产品和管理中的优势，克服不适应投资国法律制度、技术标准、市场营销和当地文化的做法；在适应当地条件中改造经营方式，实现继承优势与本土化创新的统一。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本题4分，开放“任用一种辩证思维方法”提建议；“分析与综合”与“辩证否定观”为同等可选路径，选一种充分展开即可，不必都答。</w:t>
      </w:r>
    </w:p>
    <w:p>
      <w:pPr>
        <w:pStyle w:val="Heading2"/>
      </w:pPr>
      <w:bookmarkStart w:name="bm12" w:id="13"/>
      <w:r>
        <w:rPr>
          <w:rFonts w:ascii="Arial" w:eastAsia="黑体" w:hAnsi="Arial"/>
          <w:b/>
          <w:bCs/>
          <w:i w:val="false"/>
          <w:iCs w:val="false"/>
          <w:color w:val="2F6F9F"/>
          <w:sz w:val="28"/>
          <w:szCs w:val="28"/>
        </w:rPr>
        <w:t xml:space="preserve">认识发展历程</w:t>
      </w:r>
      <w:bookmarkEnd w:id="13"/>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定义：认识发展历程强调从感性具体到思维抽象，再到思维具体。答题踩点：抓“收集现象—抽象规律—回到具体实践方案”。</w:t>
      </w:r>
    </w:p>
    <w:p>
      <w:pPr>
        <w:pStyle w:val="Heading3"/>
      </w:pPr>
      <w:r>
        <w:rPr>
          <w:rFonts w:ascii="Arial" w:eastAsia="黑体" w:hAnsi="Arial"/>
          <w:b/>
          <w:bCs/>
          <w:i w:val="false"/>
          <w:iCs w:val="false"/>
          <w:color w:val="3A6278"/>
          <w:sz w:val="23"/>
          <w:szCs w:val="23"/>
        </w:rPr>
        <w:t xml:space="preserve">1. 2024海淀二模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时间利用调查先在调查了解阶段记录居民睡眠、工作、家务、交通、休闲等杂多活动和具体数据，再进入分析研究阶段，从这些材料中抽出时间结构、生活模式和社会治理意义，形成更完整的认识。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（2）调查研究过程一般可分为准备阶段、调查了解阶段、分析研究阶段、总结阶段。从认识发展的历程角度，说明“调查了解阶段”与“分析研究阶段”的关联。（4分）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pPr>
        <w:pStyle w:val="Heading1"/>
      </w:pPr>
      <w:bookmarkStart w:name="bm13" w:id="14"/>
      <w:r>
        <w:rPr>
          <w:rFonts w:ascii="Arial" w:eastAsia="黑体" w:hAnsi="Arial"/>
          <w:b/>
          <w:bCs/>
          <w:i w:val="false"/>
          <w:iCs w:val="false"/>
          <w:color w:val="1F4E79"/>
          <w:sz w:val="36"/>
          <w:szCs w:val="36"/>
        </w:rPr>
        <w:t xml:space="preserve">三、创新思维</w:t>
      </w:r>
      <w:bookmarkEnd w:id="14"/>
    </w:p>
    <w:p>
      <w:pPr>
        <w:pStyle w:val="Heading2"/>
      </w:pPr>
      <w:bookmarkStart w:name="bm14" w:id="15"/>
      <w:r>
        <w:rPr>
          <w:rFonts w:ascii="Arial" w:eastAsia="黑体" w:hAnsi="Arial"/>
          <w:b/>
          <w:bCs/>
          <w:i w:val="false"/>
          <w:iCs w:val="false"/>
          <w:color w:val="2F6F9F"/>
          <w:sz w:val="28"/>
          <w:szCs w:val="28"/>
        </w:rPr>
        <w:t xml:space="preserve">特点与三新</w:t>
      </w:r>
      <w:bookmarkEnd w:id="15"/>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定义：创新思维常体现思路新、方法新、结果新。答题踩点：抓“新场景、新技术、新组合、新路径、新业态”，但必须落回材料里的具体创新动作。</w:t>
      </w:r>
    </w:p>
    <w:p>
      <w:pPr>
        <w:pStyle w:val="Heading3"/>
      </w:pPr>
      <w:r>
        <w:rPr>
          <w:rFonts w:ascii="Arial" w:eastAsia="黑体" w:hAnsi="Arial"/>
          <w:b/>
          <w:bCs/>
          <w:i w:val="false"/>
          <w:iCs w:val="false"/>
          <w:color w:val="3A6278"/>
          <w:sz w:val="23"/>
          <w:szCs w:val="23"/>
        </w:rPr>
        <w:t xml:space="preserve">1.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《大梦·红楼》把传统经典改造成全场域行进式近景沉浸体验项目，观众从固定座位观看转为选择路径、跟随角色自由行走并近距离互动。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2.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3. 2026门头沟一模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首份协议不足后，法院没有停留在简单判决或一般调解，而是组织技术论证、引导多方协商，把封场治理、资金保障、工程实施、双验收和全程监督合成闭环方案。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pPr>
        <w:pStyle w:val="Heading3"/>
      </w:pPr>
      <w:r>
        <w:rPr>
          <w:rFonts w:ascii="Arial" w:eastAsia="黑体" w:hAnsi="Arial"/>
          <w:b/>
          <w:bCs/>
          <w:i w:val="false"/>
          <w:iCs w:val="false"/>
          <w:color w:val="3A6278"/>
          <w:sz w:val="23"/>
          <w:szCs w:val="23"/>
        </w:rPr>
        <w:t xml:space="preserve">4. 2026延庆一模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虚拟数字人直播既是新营销形式，又暴露仿冒欺诈、主体责任和内容合规风险；材料要求在支持发展的同时合理监管、推动技术升级并完善规则。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pPr>
        <w:pStyle w:val="Heading3"/>
      </w:pPr>
      <w:r>
        <w:rPr>
          <w:rFonts w:ascii="Arial" w:eastAsia="黑体" w:hAnsi="Arial"/>
          <w:b/>
          <w:bCs/>
          <w:i w:val="false"/>
          <w:iCs w:val="false"/>
          <w:color w:val="3A6278"/>
          <w:sz w:val="23"/>
          <w:szCs w:val="23"/>
        </w:rPr>
        <w:t xml:space="preserve">5.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中医药文化传承不再停留在传统典籍、诊疗展示或馆内陈列，而是进入健康中国建设、数字体验、康养服务、社区课程和国际传播等新场景；传统文化由“被保存”转向“可体验、可服务、可传播”。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6.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公园原本主要承担休闲游憩功能，材料却把生态资源转化为教育教学内容，开发“3+X”课程体系，并联动学校、公园、文旅、科协和街道打造乐学生态圈。</w:t>
      </w:r>
    </w:p>
    <w:p>
      <w:pPr>
        <w:spacing w:after="50" w:before="50" w:line="336" w:lineRule="auto"/>
        <w:ind w:left="160"/>
      </w:pPr>
      <w:r>
        <w:rPr>
          <w:rFonts w:ascii="Arial" w:eastAsia="黑体" w:hAnsi="Arial"/>
          <w:b/>
          <w:bCs/>
          <w:i w:val="false"/>
          <w:iCs w:val="false"/>
          <w:color w:val="6B7280"/>
          <w:sz w:val="20"/>
          <w:szCs w:val="20"/>
        </w:rPr>
        <w:t xml:space="preserve">【背景提示】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“3+X”不是固定高考术语，可理解为3个基础模块加若干特色课程方向；作答时抓“多方向打开课程可能—多主体聚合成乐学生态圈”，不必背数字。</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本题6分，创新思维主观题，参考答案涵盖联想／发散／聚合／三新多层；本条只训练其一，须多角度合答方达高档。</w:t>
      </w:r>
    </w:p>
    <w:p>
      <w:pPr>
        <w:pStyle w:val="Heading3"/>
      </w:pPr>
      <w:r>
        <w:rPr>
          <w:rFonts w:ascii="Arial" w:eastAsia="黑体" w:hAnsi="Arial"/>
          <w:b/>
          <w:bCs/>
          <w:i w:val="false"/>
          <w:iCs w:val="false"/>
          <w:color w:val="3A6278"/>
          <w:sz w:val="23"/>
          <w:szCs w:val="23"/>
        </w:rPr>
        <w:t xml:space="preserve">7. 2026西城二模 第18题第（4）问（主观题）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人机协同新常态要求人一方面利用 AI 工具拓展信息处理、问题解决和创新表达能力，另一方面在面对幻觉、偏见、错误和价值立场时保持价值判断、本质辨析和责任选择的主导作用。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“思路新、方法新、结果新”在本题不应写成普通工具使用。材料说人机协同已成新常态，同时提醒 AI 会出现幻觉、偏见、错误和隐蔽价值立场，说明提升思维品质要重新设计人与 AI 的配合方式：先让 AI 承担信息检索、表达启发、方案比较等协同功能，再由人对生成内容做事实核验、逻辑追问、价值立场辨析和独立判断。新不在“用了 AI”，而在把人机协同从单向依赖改成“机器生成—人审证据—人作判断”的新思维流程。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适应人机协同新常态要体现创新思维的三新：思路上，把 AI 生成内容视为待核验的思考材料，而不是直接等同于事实或结论；方法上，对 AI 输出中的幻觉、偏见、错误和隐蔽价值立场进行事实核验、证据比对、逻辑审查和价值辨析；结果上，在利用 AI 提升信息处理和表达效率的同时，保持人的独立判断和责任选择，使人机协同服务于更可靠的问题解决和创造性实践。</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本题7分，细则要求客观性／辩证思维（全面、发展）／三新三维度（各约3分、至少一点深入才6—7分）；本条只训练其一，须三维度合答方得满分。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【细则边界】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官方落点只写“具有创新意识”，未把“逆向思维”列为具体得分点；本条中的逆向只作创新意识下的可选迁移，正式作答优先扣设问和细则。</w:t>
      </w:r>
    </w:p>
    <w:p>
      <w:pPr>
        <w:pStyle w:val="Heading3"/>
      </w:pPr>
      <w:r>
        <w:rPr>
          <w:rFonts w:ascii="Arial" w:eastAsia="黑体" w:hAnsi="Arial"/>
          <w:b/>
          <w:bCs/>
          <w:i w:val="false"/>
          <w:iCs w:val="false"/>
          <w:color w:val="3A6278"/>
          <w:sz w:val="23"/>
          <w:szCs w:val="23"/>
        </w:rPr>
        <w:t xml:space="preserve">8. 2025西城一模 第17题（主观题）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温榆生态心不同于一般公园建设：没有游乐设施、没有精心打理的花草、没有园径和路灯，核心区还全面封闭，让自然演替主导生态恢复，最终形成独特生态系统和荒野景观。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pPr>
        <w:pStyle w:val="Heading3"/>
      </w:pPr>
      <w:r>
        <w:rPr>
          <w:rFonts w:ascii="Arial" w:eastAsia="黑体" w:hAnsi="Arial"/>
          <w:b/>
          <w:bCs/>
          <w:i w:val="false"/>
          <w:iCs w:val="false"/>
          <w:color w:val="3A6278"/>
          <w:sz w:val="23"/>
          <w:szCs w:val="23"/>
        </w:rPr>
        <w:t xml:space="preserve">9. 2025石景山一模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获奖建议不是从教材概念里硬套出来，而是从学生亲身经历、生活观察和公共参与中捕捉灵感和创意，把生活中的奇思妙想同城市发展建设、民生改善和社会治理需求相碰撞，形成新颖独特的公共建议。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pPr>
        <w:pStyle w:val="Heading2"/>
      </w:pPr>
      <w:bookmarkStart w:name="bm15" w:id="16"/>
      <w:r>
        <w:rPr>
          <w:rFonts w:ascii="Arial" w:eastAsia="黑体" w:hAnsi="Arial"/>
          <w:b/>
          <w:bCs/>
          <w:i w:val="false"/>
          <w:iCs w:val="false"/>
          <w:color w:val="2F6F9F"/>
          <w:sz w:val="28"/>
          <w:szCs w:val="28"/>
        </w:rPr>
        <w:t xml:space="preserve">联想思维</w:t>
      </w:r>
      <w:bookmarkEnd w:id="16"/>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定义：联想思维重在由此及彼，发现不同对象之间的相关性并迁移运用。答题踩点：抓“跨界关联、迁移、相似/接近/对比关系”，不能和发散思维混成一个万能词。</w:t>
      </w:r>
    </w:p>
    <w:p>
      <w:pPr>
        <w:pStyle w:val="Heading3"/>
      </w:pPr>
      <w:r>
        <w:rPr>
          <w:rFonts w:ascii="Arial" w:eastAsia="黑体" w:hAnsi="Arial"/>
          <w:b/>
          <w:bCs/>
          <w:i w:val="false"/>
          <w:iCs w:val="false"/>
          <w:color w:val="3A6278"/>
          <w:sz w:val="23"/>
          <w:szCs w:val="23"/>
        </w:rPr>
        <w:t xml:space="preserve">1. 2025海淀期末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北京城市图书馆把中国传统“赤印”意象迁移到新型公共空间设计中，使文化符号转化为富有文化韵味的城市地标。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3"/>
      </w:pPr>
      <w:r>
        <w:rPr>
          <w:rFonts w:ascii="Arial" w:eastAsia="黑体" w:hAnsi="Arial"/>
          <w:b/>
          <w:bCs/>
          <w:i w:val="false"/>
          <w:iCs w:val="false"/>
          <w:color w:val="3A6278"/>
          <w:sz w:val="23"/>
          <w:szCs w:val="23"/>
        </w:rPr>
        <w:t xml:space="preserve">2.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中医药文化传承不只停留在传统诊疗展示，而是可以把传统诊疗方法同现代智能传感技术联系起来，迁移到个性化健康监测与调理服务中。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3. 2026朝阳一模 第17题第（1）问后半（主观题）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中国铁路博物馆文创设计不是简单复制展品，而是把铁路文物、线路记忆、科技成就和历史故事转化为可携带、可使用、可传播的文创产品方案；设计过程围绕铁路文化、科技和历史进行形象化设想。</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（1）识别设计 AI 任务指令所运用的推理类型。运用联想思维的具体方法提出一份“中国铁路博物馆文创产品”的设计方案。（7分）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3"/>
      </w:pPr>
      <w:r>
        <w:rPr>
          <w:rFonts w:ascii="Arial" w:eastAsia="黑体" w:hAnsi="Arial"/>
          <w:b/>
          <w:bCs/>
          <w:i w:val="false"/>
          <w:iCs w:val="false"/>
          <w:color w:val="3A6278"/>
          <w:sz w:val="23"/>
          <w:szCs w:val="23"/>
        </w:rPr>
        <w:t xml:space="preserve">4. 2026海淀二模 第18题第（1）问（主观题）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月季育种团队没有照搬国外高成本温室模式，而是把云南低纬度高海拔、光照强、温度高的自然特点同降低育种成本的目标联结起来，提出温室配置能否“减配”的新假设。</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本题6分（设问“运用《逻辑与思维》知识说明上述做法的合理性”），官方答案把分析与综合＋整体性＋联想思维＋科学思维客观性／可检验性熔于一段综合论证；本条只训练其一，须多角度合答方得满分。</w:t>
      </w:r>
    </w:p>
    <w:p>
      <w:pPr>
        <w:pStyle w:val="Heading3"/>
      </w:pPr>
      <w:r>
        <w:rPr>
          <w:rFonts w:ascii="Arial" w:eastAsia="黑体" w:hAnsi="Arial"/>
          <w:b/>
          <w:bCs/>
          <w:i w:val="false"/>
          <w:iCs w:val="false"/>
          <w:color w:val="3A6278"/>
          <w:sz w:val="23"/>
          <w:szCs w:val="23"/>
        </w:rPr>
        <w:t xml:space="preserve">5.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把冰雪资源、本地音乐、街区空间、夜间消费和文化叙事跨界关联，让原本分散的资源彼此唤起、彼此组合：冰雪不再只是运动项目，音乐不再只是演出活动，街区不再只是空间载体，而是共同形成文旅消费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6.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门头沟从山地资源出发，把生态本底、文旅农林商体教融合和“三地”品牌联系起来，将原本偏资源禀赋的山地条件迁移为文旅农林商融合发展的新场景。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补充：2025东城期末 第18题第（2）问（联想思维路径）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登月服外观不是随意装饰：飞天飘带造型把服装线条同中华传统文化意象连接起来，火箭升空尾焰造型把登月服与航天火箭形象连接起来，外观设计本身就是由此及彼的联想迁移。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飞天飘带”“火箭升空尾焰”不要泛写“外观新”。设问问创新思维，官方答案把联想思维落在服装造型与火箭形象、中华传统文化的联结上：登月服借“飞天”飘带唤起传统文化意象，借尾焰造型联想到火箭升空，把文化符号和航天形象迁移到服装设计中，所以应写联想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联想思维：设计者将服装造型与火箭形象、中华传统文化建立联系，用“飞天”飘带造型传达中华文化意蕴，用火箭升空尾焰造型呼应航天任务和火箭形象；这种由飞天文化意象、火箭升空形象到登月服外观设计的联结和迁移，使服装外观既有航天辨识度又有中国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2"/>
      </w:pPr>
      <w:bookmarkStart w:name="bm16" w:id="17"/>
      <w:r>
        <w:rPr>
          <w:rFonts w:ascii="Arial" w:eastAsia="黑体" w:hAnsi="Arial"/>
          <w:b/>
          <w:bCs/>
          <w:i w:val="false"/>
          <w:iCs w:val="false"/>
          <w:color w:val="2F6F9F"/>
          <w:sz w:val="28"/>
          <w:szCs w:val="28"/>
        </w:rPr>
        <w:t xml:space="preserve">发散思维与聚合思维</w:t>
      </w:r>
      <w:bookmarkEnd w:id="17"/>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定义：发散思维从一个问题向多方向展开，聚合思维再筛选、集中、优化方案。答题踩点：抓“多路径、多方案、多主体意见—聚焦核心问题—形成可执行方案”。</w:t>
      </w:r>
    </w:p>
    <w:p>
      <w:pPr>
        <w:pStyle w:val="Heading3"/>
      </w:pPr>
      <w:r>
        <w:rPr>
          <w:rFonts w:ascii="Arial" w:eastAsia="黑体" w:hAnsi="Arial"/>
          <w:b/>
          <w:bCs/>
          <w:i w:val="false"/>
          <w:iCs w:val="false"/>
          <w:color w:val="3A6278"/>
          <w:sz w:val="23"/>
          <w:szCs w:val="23"/>
        </w:rPr>
        <w:t xml:space="preserve">1. 2026东城一模 第19题第（4）问（主观题）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本题细则还可从超前思维角度作答：围绕2035年全球科技创新引擎和关键枢纽目标，提前谋划成果转化链条和创新生态。正文已在超前思维章节补充对应角度。</w:t>
      </w:r>
    </w:p>
    <w:p>
      <w:pPr>
        <w:pStyle w:val="Heading3"/>
      </w:pPr>
      <w:r>
        <w:rPr>
          <w:rFonts w:ascii="Arial" w:eastAsia="黑体" w:hAnsi="Arial"/>
          <w:b/>
          <w:bCs/>
          <w:i w:val="false"/>
          <w:iCs w:val="false"/>
          <w:color w:val="3A6278"/>
          <w:sz w:val="23"/>
          <w:szCs w:val="23"/>
        </w:rPr>
        <w:t xml:space="preserve">2. 2025东城期末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登月服围绕月面行走、攀爬、驾车、科考、防热、防尘、防眩光等任务需求展开设计，先把未来登月活动可能遇到的动作、环境和防护需求多向打开，最终又都收束到保障航天员安全高效完成登月任务。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联想思维、思路新方法新结果新，这里只讲发散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本题4分，官方答案为①联想思维②发散与聚合思维③三新特点，等级赋分；须综合多个创新思维角度方达高档。本条只训练其一，单条不等于满分答案（超前思维不在本题官方答案内）。</w:t>
      </w:r>
    </w:p>
    <w:p>
      <w:pPr>
        <w:pStyle w:val="Heading3"/>
      </w:pPr>
      <w:r>
        <w:rPr>
          <w:rFonts w:ascii="Arial" w:eastAsia="黑体" w:hAnsi="Arial"/>
          <w:b/>
          <w:bCs/>
          <w:i w:val="false"/>
          <w:iCs w:val="false"/>
          <w:color w:val="3A6278"/>
          <w:sz w:val="23"/>
          <w:szCs w:val="23"/>
        </w:rPr>
        <w:t xml:space="preserve">3. 2026丰台二模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该区用“3+X”课程体系围绕生态、劳动、人文等模块开发校本课程，并联动学校、公园、文旅、科协和街道等多方力量打造乐学生态圈。</w:t>
      </w:r>
    </w:p>
    <w:p>
      <w:pPr>
        <w:spacing w:after="50" w:before="50" w:line="336" w:lineRule="auto"/>
        <w:ind w:left="160"/>
      </w:pPr>
      <w:r>
        <w:rPr>
          <w:rFonts w:ascii="Arial" w:eastAsia="黑体" w:hAnsi="Arial"/>
          <w:b/>
          <w:bCs/>
          <w:i w:val="false"/>
          <w:iCs w:val="false"/>
          <w:color w:val="6B7280"/>
          <w:sz w:val="20"/>
          <w:szCs w:val="20"/>
        </w:rPr>
        <w:t xml:space="preserve">【背景提示】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“3+X”不是固定高考术语，可理解为3个基础模块加若干特色课程方向；作答时抓“多方向打开课程可能—多主体聚合成乐学生态圈”，不必背数字。</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本题6分，创新思维主观题，参考答案涵盖联想／发散／聚合／三新多层；本条只训练其一，须多角度合答方达高档。</w:t>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该市突破传统物理景观局限，从冰雪资源、音乐、文化叙事、建筑空间等多个角度挖掘文旅经济潜力，并把这些方向聚焦到融合模式街区和街区差异化竞争力上。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2026海淀一模 第17题（建议部分）（主观题）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调研改进可以从扩大样本对象、修正问卷选项、增加访谈观察、补充数据比对、追问因果链条等多个方向展开，但题目限定提出两条具体可行的建议，说明最后必须从多种可能中筛选、聚焦和落实。</w:t>
      </w:r>
    </w:p>
    <w:p>
      <w:pPr>
        <w:spacing w:after="50" w:before="50" w:line="336" w:lineRule="auto"/>
        <w:ind w:left="160"/>
      </w:pPr>
      <w:r>
        <w:rPr>
          <w:rFonts w:ascii="Arial" w:eastAsia="黑体" w:hAnsi="Arial"/>
          <w:b/>
          <w:bCs/>
          <w:i w:val="false"/>
          <w:iCs w:val="false"/>
          <w:color w:val="6B7280"/>
          <w:sz w:val="20"/>
          <w:szCs w:val="20"/>
        </w:rPr>
        <w:t xml:space="preserve">【原题问卷图】</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终审报告附图显示，本题问卷的“身份”选项混用了年龄、身体状况、职业、关系等标准；“无障碍设施主要问题”选项没有保留“其他”出口。</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建议部分4分，共2条建议（每条“建议1分＋知识1分”），知识角度可选科学思维（客观性／可检验性）、辩证思维（分析综合／矛盾分析法）、创新思维（发散聚合）等；两条建议各选一种不同角度，本条只训练其一（另：逻辑错误2分为形式逻辑考点，本册不收）。</w:t>
      </w:r>
    </w:p>
    <w:p>
      <w:pPr>
        <w:pStyle w:val="Heading3"/>
      </w:pPr>
      <w:r>
        <w:rPr>
          <w:rFonts w:ascii="Arial" w:eastAsia="黑体" w:hAnsi="Arial"/>
          <w:b/>
          <w:bCs/>
          <w:i w:val="false"/>
          <w:iCs w:val="false"/>
          <w:color w:val="3A6278"/>
          <w:sz w:val="23"/>
          <w:szCs w:val="23"/>
        </w:rPr>
        <w:t xml:space="preserve">7.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青海治沙没有采用单一路径，而是从种质资源、草方格、阻沙网、带状栽植、灌丛草地交替、多层防护体系等多个方向寻找办法，并把多种方法聚合到精准防治和生态改善目标上。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看到“多路径、多地区、多方法”先想到发散，看到这些方法最终围绕“精准防治、推进生态建设”收束，就对应聚合。学生不能只说办法很多，还要写出“多角度打开—筛选整合—服务治沙目标”。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青海防沙治沙运用发散思维，从种质支撑、固沙保暖、带状栽植、多层防护等多个方向探索治沙办法；又运用聚合思维，把多种方案集中到因地制宜精准防治和生态系统修复这一目标上，推动防沙治沙取得实效。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8. 2024各区一模分类汇编·模拟政协题（参考答案讲评复练题）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面对公众怕麻烦、不愿配合垃圾分类的问题，同学们先进行头脑风暴，打开多种可能方向；再从繁杂数据中筛出关键信息，把思路收束到“每个商品包装上都清晰看到垃圾分类标识”这一方案。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参考答案第三层直接写“运用创新思维”，并点明“通过头脑风暴理清思路，从繁杂的数据中找到关键信息，运用发散思维和聚合思维完成提案”。头脑风暴对应发散，筛出关键信息、形成最终提案对应聚合。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同学们运用发散思维和聚合思维。面对垃圾分类难题，先通过头脑风暴从多个方向寻找解决办法；再从大量资料和样本数据中提取关键信息，把多种想法聚合为在商品包装上印制垃圾分类标识的具体提案。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须补出两种“具体研究方法”（各1分）并各用科学思维说明理由（各2分）；细则明确“写发散思维、联想思维、超前思维作为方法名不得分”。本条仅示范一种说理路径，须两种具体方法各自结合科学思维角度作答方得满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本题未锁定独立区县原卷和正式细则，真实来源为“2024届各区一模试题分类汇编选必3.doc”中的模拟政协题，且与2024丰台一模第19题材料高度重叠；本条只作参考答案讲评复练迁移，不计正式题源。</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本题只用于练习“从材料动作找思维方法”的迁移；正式考试仍以老师提供的原题和评分细则为准。</w:t>
      </w:r>
    </w:p>
    <w:p>
      <w:pPr>
        <w:pStyle w:val="Heading3"/>
      </w:pPr>
      <w:r>
        <w:rPr>
          <w:rFonts w:ascii="Arial" w:eastAsia="黑体" w:hAnsi="Arial"/>
          <w:b/>
          <w:bCs/>
          <w:i w:val="false"/>
          <w:iCs w:val="false"/>
          <w:color w:val="3A6278"/>
          <w:sz w:val="23"/>
          <w:szCs w:val="23"/>
        </w:rPr>
        <w:t xml:space="preserve">补充：2026石景山一模 第17题第（2）问（发散思维路径）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传承中医药文化可以从诊疗服务、智能技术、课程教育、社区体验、文创产品、康养产业、国际传播等多个方向提出建议，设问要求“两条建议”，说明需要先多向打开，再筛选可行方案。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散思维的入口是“从一个传承任务向多个方向展开”。材料中的中医药不只是典籍和展览，还可以进入健康服务、数字体验、课程教育和产业融合；聚合思维则要求从多种可能中选出两条能落地、能扣材料的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2"/>
      </w:pPr>
      <w:bookmarkStart w:name="bm17" w:id="18"/>
      <w:r>
        <w:rPr>
          <w:rFonts w:ascii="Arial" w:eastAsia="黑体" w:hAnsi="Arial"/>
          <w:b/>
          <w:bCs/>
          <w:i w:val="false"/>
          <w:iCs w:val="false"/>
          <w:color w:val="2F6F9F"/>
          <w:sz w:val="28"/>
          <w:szCs w:val="28"/>
        </w:rPr>
        <w:t xml:space="preserve">逆向思维</w:t>
      </w:r>
      <w:bookmarkEnd w:id="18"/>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定义：逆向思维从相反方向、反常规角度重新审视问题。答题踩点：抓“反过来看、由人找物到物找人、变废为宝、换方向”，写清楚逆在哪里。</w:t>
      </w:r>
    </w:p>
    <w:p>
      <w:pPr>
        <w:pStyle w:val="Heading3"/>
      </w:pPr>
      <w:r>
        <w:rPr>
          <w:rFonts w:ascii="Arial" w:eastAsia="黑体" w:hAnsi="Arial"/>
          <w:b/>
          <w:bCs/>
          <w:i w:val="false"/>
          <w:iCs w:val="false"/>
          <w:color w:val="3A6278"/>
          <w:sz w:val="23"/>
          <w:szCs w:val="23"/>
        </w:rPr>
        <w:t xml:space="preserve">1. 2025房山一模 第16题第（3）问（主观题）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琉璃河遗址有青铜罍铭文、两重城垣和三千年建城史等考古资源，需要从静态遗址转化为可体验、可传播、能吸引年轻人的公共文化场景。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（3）结合材料，运用创新思维知识，就“如何让琉璃河遗址‘热’起来”提两条建议。（4分）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3"/>
      </w:pPr>
      <w:r>
        <w:rPr>
          <w:rFonts w:ascii="Arial" w:eastAsia="黑体" w:hAnsi="Arial"/>
          <w:b/>
          <w:bCs/>
          <w:i w:val="false"/>
          <w:iCs w:val="false"/>
          <w:color w:val="3A6278"/>
          <w:sz w:val="23"/>
          <w:szCs w:val="23"/>
        </w:rPr>
        <w:t xml:space="preserve">2. 2025昌平二模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《大梦·红楼》把传统经典改造成全场域行进式近景沉浸体验项目，设置三大沉浸展区、4条观众动线和20个经典情节还原；观众没有固定座位，可以选择路径、跟随角色自由行走并近距离互动。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根据新的消费需求，运用逆向思维创新观演模式，把传统演艺中"观众固定坐着看、演员在台上演"的关系反向改造为观众自由行走、选择路径、跟随角色互动，使观众由被动变主动，获得新的观演体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本题8分，采意赋分，答案融合逆向思维＋发散与聚合＋三新多层；本条只训练其一，须综合多层有机论述方得满分。</w:t>
      </w:r>
    </w:p>
    <w:p>
      <w:pPr>
        <w:pStyle w:val="Heading3"/>
      </w:pPr>
      <w:r>
        <w:rPr>
          <w:rFonts w:ascii="Arial" w:eastAsia="黑体" w:hAnsi="Arial"/>
          <w:b/>
          <w:bCs/>
          <w:i w:val="false"/>
          <w:iCs w:val="false"/>
          <w:color w:val="3A6278"/>
          <w:sz w:val="23"/>
          <w:szCs w:val="23"/>
        </w:rPr>
        <w:t xml:space="preserve">3.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该市没有把冬季低温和冰雪只看成出行不便、消费变冷的限制条件，而是反向把“冷资源”转化为冰雪旅游、夜间消费、城市活动和复合业态的入口，形成“冷资源—热经济”的功能转换。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逆向思维，坚持反向求索，逆向思考“冷资源”的价值，把原本可能被看作低温限制、旅游淡季和消费不足的冬季条件，转化为冰雪旅游、沉浸体验和融合街区的增长机会，实现从“冷资源”到“热经济”的转换。</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补充：2025海淀期末 第18题（逆向思维路径）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北京城市图书馆把传统“人找书”的使用方式反过来，借助数字技术让图书、服务和文化资源主动匹配读者需求，形成“书找人”的新型公共文化空间。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要抓“反过来看”。本题最鲜明的动作不是笼统建设图书馆，而是把以往读者主动查找资源的路径反转为资源主动触达读者；从“人围着书转”转向“书和服务围着人的需求转”，这正是逆向思维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北京城市图书馆运用逆向思维，改变传统“人找书”的服务路径，借助数字技术和数据匹配实现“书找人”“服务找人”，让公共文化资源主动适配读者需求，建设更智能、更便捷的新型公共文化空间。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本题6分，官方答案为逆向思维＋联想思维两点合计满分；本条只训练其一，须逆向＋联想合答方得满分（超前思维不在本题官方答案内，仅作延伸）。</w:t>
      </w:r>
    </w:p>
    <w:p>
      <w:pPr>
        <w:pStyle w:val="Heading2"/>
      </w:pPr>
      <w:bookmarkStart w:name="bm18" w:id="19"/>
      <w:r>
        <w:rPr>
          <w:rFonts w:ascii="Arial" w:eastAsia="黑体" w:hAnsi="Arial"/>
          <w:b/>
          <w:bCs/>
          <w:i w:val="false"/>
          <w:iCs w:val="false"/>
          <w:color w:val="2F6F9F"/>
          <w:sz w:val="28"/>
          <w:szCs w:val="28"/>
        </w:rPr>
        <w:t xml:space="preserve">超前思维</w:t>
      </w:r>
      <w:bookmarkEnd w:id="19"/>
    </w:p>
    <w:p>
      <w:pPr>
        <w:pBdr>
          <w:left w:val="single" w:color="2F6F9F" w:sz="22" w:space="6"/>
        </w:pBdr>
        <w:shd w:fill="EAF1F8" w:color="auto" w:val="clear"/>
        <w:spacing w:after="110" w:before="110" w:line="336" w:lineRule="auto"/>
        <w:ind w:left="260" w:right="160"/>
      </w:pPr>
      <w:r>
        <w:rPr>
          <w:rFonts w:ascii="Arial" w:eastAsia="黑体" w:hAnsi="Arial"/>
          <w:b/>
          <w:bCs/>
          <w:i w:val="false"/>
          <w:iCs w:val="false"/>
          <w:color w:val="1F4E79"/>
          <w:sz w:val="21"/>
          <w:szCs w:val="21"/>
        </w:rPr>
        <w:t xml:space="preserve">【方法小引】</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定义：超前思维是在把握规律和趋势基础上作前瞻判断、预测和主动谋划。答题踩点：抓“未来趋势、提前布局、风险预判、长期规划”，避免把一切新事物都写成超前。</w:t>
      </w:r>
    </w:p>
    <w:p>
      <w:pPr>
        <w:pStyle w:val="Heading3"/>
      </w:pPr>
      <w:r>
        <w:rPr>
          <w:rFonts w:ascii="Arial" w:eastAsia="黑体" w:hAnsi="Arial"/>
          <w:b/>
          <w:bCs/>
          <w:i w:val="false"/>
          <w:iCs w:val="false"/>
          <w:color w:val="3A6278"/>
          <w:sz w:val="23"/>
          <w:szCs w:val="23"/>
        </w:rPr>
        <w:t xml:space="preserve">1. 2024西城一模 第19题第（5）问（主观题）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（5）运用《逻辑与思维》的知识，说明应怎样研判我国未来产业发展的方向。（6分）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pPr>
        <w:pStyle w:val="Heading3"/>
      </w:pPr>
      <w:r>
        <w:rPr>
          <w:rFonts w:ascii="Arial" w:eastAsia="黑体" w:hAnsi="Arial"/>
          <w:b/>
          <w:bCs/>
          <w:i w:val="false"/>
          <w:iCs w:val="false"/>
          <w:color w:val="3A6278"/>
          <w:sz w:val="23"/>
          <w:szCs w:val="23"/>
        </w:rPr>
        <w:t xml:space="preserve">2. 2024东城一模 第18题第（3）问（主观题）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传统产业仍是现代化产业体系基底，但存在低端产能过剩、高端供给不足、创新能力薄弱等问题；未来材料、未来网络等未来产业加速前进，并渗透传统产业链上下游。</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pPr>
        <w:pStyle w:val="Heading3"/>
      </w:pPr>
      <w:r>
        <w:rPr>
          <w:rFonts w:ascii="Arial" w:eastAsia="黑体" w:hAnsi="Arial"/>
          <w:b/>
          <w:bCs/>
          <w:i w:val="false"/>
          <w:iCs w:val="false"/>
          <w:color w:val="3A6278"/>
          <w:sz w:val="23"/>
          <w:szCs w:val="23"/>
        </w:rPr>
        <w:t xml:space="preserve">3. 2026顺义二模 第21题（主观题）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材料用“凡事预则立”“人无远虑，必有近忧”等传统理政智慧，串联党在不同历史阶段通过预判、规划、布局和风险防范推进现代化建设的实践。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结合材料，综合运用所学，阐述“先见”与“远虑”的传统理政智慧为何能成为支撑中国式现代化稳步前行、护航民族伟大复兴行稳致远的深厚精神底气与重要实践指引。（10分）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本题是10分综合开放题，超前思维只是可选切入之一；正式作答还要结合政治、文化、哲学等综合知识，不可全篇只写超前思维。</w:t>
      </w:r>
    </w:p>
    <w:p>
      <w:pPr>
        <w:pStyle w:val="Heading3"/>
      </w:pPr>
      <w:r>
        <w:rPr>
          <w:rFonts w:ascii="Arial" w:eastAsia="黑体" w:hAnsi="Arial"/>
          <w:b/>
          <w:bCs/>
          <w:i w:val="false"/>
          <w:iCs w:val="false"/>
          <w:color w:val="3A6278"/>
          <w:sz w:val="23"/>
          <w:szCs w:val="23"/>
        </w:rPr>
        <w:t xml:space="preserve">4. 2026朝阳期中(2025-11) 第21题第（2）问（主观题）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该市从人文底蕴、冰雪消费升温、夜间经济和城市转型需求出发，提前判断文旅融合可能带来的消费场景和经济增长空间，并在趋势尚未完全展开时先行谋划融合街区、复合业态和活动安排。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pPr>
        <w:pStyle w:val="Heading3"/>
      </w:pPr>
      <w:r>
        <w:rPr>
          <w:rFonts w:ascii="Arial" w:eastAsia="黑体" w:hAnsi="Arial"/>
          <w:b/>
          <w:bCs/>
          <w:i w:val="false"/>
          <w:iCs w:val="false"/>
          <w:color w:val="3A6278"/>
          <w:sz w:val="23"/>
          <w:szCs w:val="23"/>
        </w:rPr>
        <w:t xml:space="preserve">5. 2026海淀期末 第20题第（2）问（主观题）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（2）结合材料二，运用超前思维的方法，为该街道打造高品质城市书房提出合理建议。（6分）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同一大题第(1)问属于形式逻辑/推理规则线，本条只处理第(2)问超前思维建议，不与第(1)问混写。</w:t>
      </w:r>
    </w:p>
    <w:p>
      <w:pPr>
        <w:pStyle w:val="Heading3"/>
      </w:pPr>
      <w:r>
        <w:rPr>
          <w:rFonts w:ascii="Arial" w:eastAsia="黑体" w:hAnsi="Arial"/>
          <w:b/>
          <w:bCs/>
          <w:i w:val="false"/>
          <w:iCs w:val="false"/>
          <w:color w:val="3A6278"/>
          <w:sz w:val="23"/>
          <w:szCs w:val="23"/>
        </w:rPr>
        <w:t xml:space="preserve">6. 2024朝阳期中 第19题（主观题）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结合材料，分析“首发经济”的北京朝外样本的打造是如何体现创新思维的。</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从超前思维角度看，朝外样本在业态规划上突破传统，布局智能产品等新兴领域和特色主题首发街区，捕捉市场趋势，把可能增长的新消费需求提前转化为商圈规划和街区场景。</w:t>
      </w:r>
    </w:p>
    <w:p>
      <w:pPr>
        <w:pStyle w:val="Heading3"/>
      </w:pPr>
      <w:r>
        <w:rPr>
          <w:rFonts w:ascii="Arial" w:eastAsia="黑体" w:hAnsi="Arial"/>
          <w:b/>
          <w:bCs/>
          <w:i w:val="false"/>
          <w:iCs w:val="false"/>
          <w:color w:val="3A6278"/>
          <w:sz w:val="23"/>
          <w:szCs w:val="23"/>
        </w:rPr>
        <w:t xml:space="preserve">7. 2024顺义二模 第16题第（2）问（主观题）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“无废城市”建设面临大拆大建加剧固废、公众分类意识和行动不足、低值再生资源回收成本高利润低、固废资源化无害化技术支撑不足等问题。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结合材料，运用《逻辑与思维》知识，说明如何运用超前思维加快推进“无废城市”建设系统化、科学化、长效化。（7分）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pPr>
        <w:pStyle w:val="Heading3"/>
      </w:pPr>
      <w:r>
        <w:rPr>
          <w:rFonts w:ascii="Arial" w:eastAsia="黑体" w:hAnsi="Arial"/>
          <w:b/>
          <w:bCs/>
          <w:i w:val="false"/>
          <w:iCs w:val="false"/>
          <w:color w:val="3A6278"/>
          <w:sz w:val="23"/>
          <w:szCs w:val="23"/>
        </w:rPr>
        <w:t xml:space="preserve">8. 2026石景山一模 第17题第（2）问（主观题）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国家把中医药文化建设纳入中华优秀传统文化传承发展工程，开展健康文化推进行动、文化传播行动，提出加大中医药文化活动和产品供给，并在健康中国背景下推进中医药传承创新。</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pPr>
        <w:pStyle w:val="Heading3"/>
      </w:pPr>
      <w:r>
        <w:rPr>
          <w:rFonts w:ascii="Arial" w:eastAsia="黑体" w:hAnsi="Arial"/>
          <w:b/>
          <w:bCs/>
          <w:i w:val="false"/>
          <w:iCs w:val="false"/>
          <w:color w:val="3A6278"/>
          <w:sz w:val="23"/>
          <w:szCs w:val="23"/>
        </w:rPr>
        <w:t xml:space="preserve">9. 2025门头沟一模 第21题第（1）问（主观题）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门头沟在煤炭退出后没有只做存量修补，而是面向算力中心、算法登记服务、文生视频大模型、数字视听、生物医药和山地文旅等新方向提前布局，培育未来绿色高质量发展的新动能。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pStyle w:val="Heading3"/>
      </w:pPr>
      <w:r>
        <w:rPr>
          <w:rFonts w:ascii="Arial" w:eastAsia="黑体" w:hAnsi="Arial"/>
          <w:b/>
          <w:bCs/>
          <w:i w:val="false"/>
          <w:iCs w:val="false"/>
          <w:color w:val="3A6278"/>
          <w:sz w:val="23"/>
          <w:szCs w:val="23"/>
        </w:rPr>
        <w:t xml:space="preserve">10. 2024丰台二模 第18题第（2）问（主观题）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观点认为只要准确预测冰雪经济发展前景，就一定能推动冰雪经济高质量发展；材料同时呈现冰雪产业潜力、基础设施、市场需求、区域资源、政策支持和运营管理等多重条件。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本题与科学思维预见性条目属于同一预测采分点；本条从超前思维角度写“预测前景”的合理性，同时仍要评析预测不是充分条件。</w:t>
      </w:r>
    </w:p>
    <w:p>
      <w:pPr>
        <w:pStyle w:val="Heading3"/>
      </w:pPr>
      <w:r>
        <w:rPr>
          <w:rFonts w:ascii="Arial" w:eastAsia="黑体" w:hAnsi="Arial"/>
          <w:b/>
          <w:bCs/>
          <w:i w:val="false"/>
          <w:iCs w:val="false"/>
          <w:color w:val="3A6278"/>
          <w:sz w:val="23"/>
          <w:szCs w:val="23"/>
        </w:rPr>
        <w:t xml:space="preserve">11. 2026丰台期末 第20题（主观题）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青海从决策部署到精准防治，先掌握原生物种生存策略、建立种质支撑，再依据不同地区条件提前布局治理路径，防止沙化继续扩展，最终实现生态改善。</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【设问说明】</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区分超前思维与系统治理：系统治理看产业、种源、地区条件等要素协同；超前思维看的是在沙化风险继续扩大前，基于物种生存策略和地区条件提前准备种质资源、预判治理路径、主动干预。材料中的“先掌握、再精准防治、由沙进人退转向绿进沙退”体现前瞻谋划和主动防范。</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青海防沙治沙可以从超前思维角度作答：在把握沙化趋势和生态修复规律的基础上，提前建立种质资源支撑，预判不同地区治沙条件，主动部署精准防治路径，提高防沙治沙的前瞻性和主动性。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科学思维”为宽口径统称），分三大方向：科学思维2分、辩证思维2分（整体性／分析综合／矛盾分析法共用此2分池、择一或组合不叠加）、创新思维4分（发散聚合／联想／超前任选2角度各2分）；本条只训练其一，须按组分配合答方得满分。</w:t>
      </w:r>
    </w:p>
    <w:p>
      <w:pPr>
        <w:pStyle w:val="Heading3"/>
      </w:pPr>
      <w:r>
        <w:rPr>
          <w:rFonts w:ascii="Arial" w:eastAsia="黑体" w:hAnsi="Arial"/>
          <w:b/>
          <w:bCs/>
          <w:i w:val="false"/>
          <w:iCs w:val="false"/>
          <w:color w:val="3A6278"/>
          <w:sz w:val="23"/>
          <w:szCs w:val="23"/>
        </w:rPr>
        <w:t xml:space="preserve">12. 2026东城二模 第18题（主观题）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体检思维从人体健康领域延伸到治理领域，核心是“提前预判、主动干预”：像体检先检测指标、预判风险一样，基层治理也通过数据监测、风险排查和前置处置，把问题解决在萌芽状态。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体检思维从人体健康领域延伸到治理领域，运用了哪种推理类型？结合材料，运用《逻辑与思维》知识，谈谈在治理领域运用这种推理的价值。（6分）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第一问先锁定类比推理，不要把“类比推理”漏写成笼统的创新思维。但材料中的“提前预判、主动干预”，以及参考答案明确写出的“坚持超前思维”，说明第二层价值可以从超前思维写：治理不是等问题爆发后补救，而是依据风险信号预判趋势、提前干预，提高治理预见性和针对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本题设问首先考查类比推理，推理类型与推理规则应归入推理线；本册只取参考答案中“坚持超前思维”这一价值角度，用来训练“提前预判、主动防范”的超前思维迁移。</w:t>
      </w:r>
    </w:p>
    <w:p>
      <w:pPr>
        <w:pStyle w:val="Heading3"/>
      </w:pPr>
      <w:r>
        <w:rPr>
          <w:rFonts w:ascii="Arial" w:eastAsia="黑体" w:hAnsi="Arial"/>
          <w:b/>
          <w:bCs/>
          <w:i w:val="false"/>
          <w:iCs w:val="false"/>
          <w:color w:val="3A6278"/>
          <w:sz w:val="23"/>
          <w:szCs w:val="23"/>
        </w:rPr>
        <w:t xml:space="preserve">13. 2026西城一模 第16题（综合题讲评复练题）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有人说，阅读是私事，多凭个人兴趣，为什么还需要国家立一部法呢？综合运用所学，谈谈你对这一问题的认识。（7分）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不是一道专门限定《逻辑与思维》的主观题，不能把全题改写成选必三题。但正式细则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【使用提醒】</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只作综合题讲评复练题，用来练习“超前思维”在全民阅读、文化强国、长期制度安排中的迁移。正式考试仍要优先服从题目限定和评分细则；如果题干没有《逻辑与思维》限定，不要把答案全部写成选必三术语堆砌。</w:t>
      </w:r>
    </w:p>
    <w:p>
      <w:pPr>
        <w:pStyle w:val="Heading3"/>
      </w:pPr>
      <w:r>
        <w:rPr>
          <w:rFonts w:ascii="Arial" w:eastAsia="黑体" w:hAnsi="Arial"/>
          <w:b/>
          <w:bCs/>
          <w:i w:val="false"/>
          <w:iCs w:val="false"/>
          <w:color w:val="3A6278"/>
          <w:sz w:val="23"/>
          <w:szCs w:val="23"/>
        </w:rPr>
        <w:t xml:space="preserve">14. 2024各区一模分类汇编·房山未来产业题（讲评复练迁移题）</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未来产业领域抢占先机，需要前瞻布局未来赛道，处理关键核心技术、产业链韧性、开放合作、应用场景和安全风险等问题，不能等产业成熟后再被动跟随。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结合材料，运用超前思维的知识，分析我们应如何在未来产业领域抢占先机。</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【证据边界】</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本题当前只由“2024届各区一模试题分类汇编选必3.doc”和控制矩阵 Q0070 锁定，缺独立房山原卷正式细则；本条作为分类汇编讲评复练迁移题，不计正式题源。</w:t>
      </w:r>
    </w:p>
    <w:p>
      <w:pPr>
        <w:pStyle w:val="Heading3"/>
      </w:pPr>
      <w:r>
        <w:rPr>
          <w:rFonts w:ascii="Arial" w:eastAsia="黑体" w:hAnsi="Arial"/>
          <w:b/>
          <w:bCs/>
          <w:i w:val="false"/>
          <w:iCs w:val="false"/>
          <w:color w:val="3A6278"/>
          <w:sz w:val="23"/>
          <w:szCs w:val="23"/>
        </w:rPr>
        <w:t xml:space="preserve">补充：2026东城一模 第19题第（4）问（超前思维路径）</w:t>
      </w:r>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中关村面对2035年建成全球科技创新主要引擎和关键枢纽的目标，不能只满足“从0到1”的当前突破，而要提前谋划成果转化、产业应用和创新生态。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超前思维的入口是2035年目标和未来创新生态。材料要求把原创成果从书架推到货架，本质上是在预判未来科技竞争、产业转化和市场应用需求，提前布局平台、人才、资金、政策和应用场景。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top w:val="single" w:color="C9D4E0" w:sz="12" w:space="8"/>
        </w:pBdr>
        <w:spacing w:after="60" w:before="360"/>
        <w:jc w:val="center"/>
      </w:pPr>
      <w:r>
        <w:rPr>
          <w:rFonts w:ascii="Arial" w:eastAsia="黑体" w:hAnsi="Arial"/>
          <w:b w:val="false"/>
          <w:bCs w:val="false"/>
          <w:i w:val="false"/>
          <w:iCs w:val="false"/>
          <w:color w:val="6B7280"/>
          <w:sz w:val="20"/>
          <w:szCs w:val="20"/>
        </w:rPr>
        <w:t xml:space="preserve">—  本册完  —</w:t>
      </w:r>
    </w:p>
    <w:p>
      <w:pPr>
        <w:spacing w:after="240"/>
        <w:jc w:val="center"/>
      </w:pPr>
      <w:r>
        <w:rPr>
          <w:rFonts w:ascii="Times New Roman" w:eastAsia="楷体" w:hAnsi="Times New Roman"/>
          <w:b/>
          <w:bCs/>
          <w:i w:val="false"/>
          <w:iCs w:val="false"/>
          <w:color w:val="5E3F23"/>
          <w:sz w:val="22"/>
          <w:szCs w:val="22"/>
        </w:rPr>
        <w:t xml:space="preserve">飞哥正志讲堂</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i w:val="false"/>
        <w:iCs w:val="false"/>
        <w:color w:val="6B7280"/>
        <w:sz w:val="18"/>
        <w:szCs w:val="18"/>
      </w:rPr>
      <w:t xml:space="preserve">—  </w:t>
    </w:r>
    <w:r>
      <w:rPr>
        <w:rFonts w:ascii="Times New Roman"/>
        <w:color w:val="6B7280"/>
        <w:sz w:val="18"/>
        <w:szCs w:val="18"/>
      </w:rPr>
      <w:fldChar w:fldCharType="begin"/>
      <w:instrText xml:space="preserve">PAGE</w:instrText>
      <w:fldChar w:fldCharType="separate"/>
      <w:fldChar w:fldCharType="end"/>
    </w:r>
    <w:r>
      <w:rPr>
        <w:rFonts w:ascii="Times New Roman" w:eastAsia="宋体" w:hAnsi="Times New Roman"/>
        <w:b w:val="false"/>
        <w:bCs w:val="false"/>
        <w:i w:val="false"/>
        <w:iCs w:val="false"/>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jc w:val="right"/>
    </w:pPr>
    <w:r>
      <w:rPr>
        <w:rFonts w:ascii="Arial" w:eastAsia="黑体" w:hAnsi="Arial"/>
        <w:b w:val="false"/>
        <w:bCs w:val="false"/>
        <w:i w:val="false"/>
        <w:iCs w:val="false"/>
        <w:color w:val="9AA1AA"/>
        <w:sz w:val="17"/>
        <w:szCs w:val="17"/>
      </w:rPr>
      <w:t xml:space="preserve">选必三《逻辑与思维》· 思维宝典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22" w:space="8"/>
      </w:pBdr>
      <w:spacing w:after="200" w:before="240" w:line="360"/>
      <w:outlineLvl w:val="0"/>
    </w:pPr>
    <w:rPr>
      <w:rFonts w:ascii="Arial" w:eastAsia="黑体"/>
      <w:b/>
      <w:bCs/>
      <w:color w:val="1F4E79"/>
      <w:sz w:val="36"/>
      <w:szCs w:val="36"/>
    </w:rPr>
  </w:style>
  <w:style w:type="paragraph" w:styleId="Heading2">
    <w:name w:val="Heading 2"/>
    <w:basedOn w:val="Normal"/>
    <w:next w:val="Normal"/>
    <w:qFormat/>
    <w:pPr>
      <w:keepNext/>
      <w:pBdr>
        <w:bottom w:val="single" w:color="9CC0DE" w:sz="10" w:space="6"/>
      </w:pBdr>
      <w:spacing w:after="140" w:before="320" w:line="360"/>
      <w:outlineLvl w:val="1"/>
    </w:pPr>
    <w:rPr>
      <w:rFonts w:ascii="Arial" w:eastAsia="黑体"/>
      <w:b/>
      <w:bCs/>
      <w:color w:val="2F6F9F"/>
      <w:sz w:val="28"/>
      <w:szCs w:val="28"/>
    </w:rPr>
  </w:style>
  <w:style w:type="paragraph" w:styleId="Heading3">
    <w:name w:val="Heading 3"/>
    <w:basedOn w:val="Normal"/>
    <w:next w:val="Normal"/>
    <w:qFormat/>
    <w:pPr>
      <w:keepNext/>
      <w:pBdr>
        <w:bottom w:val="single" w:color="C9D4E0" w:sz="4" w:space="4"/>
      </w:pBdr>
      <w:spacing w:after="80" w:before="280" w:line="360"/>
      <w:outlineLvl w:val="2"/>
    </w:pPr>
    <w:rPr>
      <w:rFonts w:ascii="Arial" w:eastAsia="黑体"/>
      <w:b/>
      <w:bCs/>
      <w:color w:val="3A62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2026-06-04T15:02:24.937Z</dcterms:created>
  <dcterms:modified xsi:type="dcterms:W3CDTF">2026-06-04T15:02:24.937Z</dcterms:modified>
</cp:coreProperties>
</file>

<file path=docProps/custom.xml><?xml version="1.0" encoding="utf-8"?>
<Properties xmlns="http://schemas.openxmlformats.org/officeDocument/2006/custom-properties" xmlns:vt="http://schemas.openxmlformats.org/officeDocument/2006/docPropsVTypes"/>
</file>