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65套覆盖与模型审核状态</w:t>
      </w:r>
    </w:p>
    <w:p>
      <w:pPr>
        <w:pStyle w:val="Heading2"/>
      </w:pPr>
      <w:r>
        <w:t>当前结论</w:t>
      </w:r>
    </w:p>
    <w:p>
      <w:r>
        <w:t>- 严格题源基数：65套。</w:t>
      </w:r>
    </w:p>
    <w:p>
      <w:r>
        <w:t>- 主宝典：以认可 v6 为底稿，先删除旧底稿中的薄二模块，再按原宝典节点写法重写 2026 二模题例。</w:t>
      </w:r>
    </w:p>
    <w:p>
      <w:r>
        <w:t>- 二模题：已按融合清单处理 52 条二模哲学条目，并按复核意见为石景山二模第20题增补 1 条人民立场节点；主观题按材料链和答案落点写入对应原理节点，选择题按正确项或错肢判断链处理。</w:t>
      </w:r>
    </w:p>
    <w:p>
      <w:r>
        <w:t>- 二模主观题：另保留一份同题合并的加厚主讲卡，方便课堂先讲整题逻辑。</w:t>
      </w:r>
    </w:p>
    <w:p>
      <w:r>
        <w:t>- 选择题：174 条旧漏项已单独成册，不再混入主观题给分链。</w:t>
      </w:r>
    </w:p>
    <w:p>
      <w:r>
        <w:t>- ClaudeCode：已完成独立严审，结论是 v7 不能作为终稿，v8 必须按本轮严格口径处理。</w:t>
      </w:r>
    </w:p>
    <w:p>
      <w:r>
        <w:t>- GPT Pro 网页版：审核包已生成，但 Chrome 扩展当前断连，不能写成已完成。</w:t>
      </w:r>
    </w:p>
    <w:p>
      <w:pPr>
        <w:pStyle w:val="Heading2"/>
      </w:pPr>
      <w:r>
        <w:t>数字</w:t>
      </w:r>
    </w:p>
    <w:p>
      <w:r>
        <w:t>- 65套总清单：65</w:t>
      </w:r>
    </w:p>
    <w:p>
      <w:r>
        <w:t>- 旧主观质量失败唯一题组：18</w:t>
      </w:r>
    </w:p>
    <w:p>
      <w:r>
        <w:t>- 旧选择题待闭环：174</w:t>
      </w:r>
    </w:p>
    <w:p>
      <w:pPr>
        <w:pStyle w:val="Heading2"/>
      </w:pPr>
      <w:r>
        <w:t>交付边界</w:t>
      </w:r>
    </w:p>
    <w:p>
      <w:r>
        <w:t>- 本夜间版优先保证不再把过程性内容塞进学生正文。</w:t>
      </w:r>
    </w:p>
    <w:p>
      <w:r>
        <w:t>- 高风险选择题标为“待回原卷确认”，避免再次发生过度归因。</w:t>
      </w:r>
    </w:p>
    <w:p>
      <w:r>
        <w:t>- GPT Pro 网页端恢复后，应按 `04_review_packages/GPTPRO_WEB_BATCH_*.md` 分批继续审核。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