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考前导航版</w:t>
      </w:r>
    </w:p>
    <w:p>
      <w:pPr>
        <w:spacing w:before="480"/>
        <w:jc w:val="center"/>
      </w:pPr>
      <w:r>
        <w:rPr>
          <w:rFonts w:ascii="Microsoft YaHei" w:hAnsi="Microsoft YaHei" w:eastAsia="Microsoft YaHei"/>
          <w:b/>
          <w:sz w:val="22"/>
        </w:rPr>
        <w:t>飞哥正志讲堂</w:t>
      </w:r>
    </w:p>
    <w:p>
      <w:pPr>
        <w:sectPr>
          <w:footerReference w:type="default" r:id="rId9"/>
          <w:pgSz w:w="16838" w:h="11906" w:orient="landscape"/>
          <w:pgMar w:top="709" w:right="680" w:bottom="652" w:left="680" w:header="720" w:footer="720" w:gutter="0"/>
          <w:cols w:space="720"/>
          <w:docGrid w:linePitch="360"/>
        </w:sectPr>
      </w:pPr>
    </w:p>
    <w:p>
      <w:r>
        <w:rPr>
          <w:rFonts w:ascii="Microsoft YaHei" w:hAnsi="Microsoft YaHei" w:eastAsia="Microsoft YaHei"/>
        </w:rPr>
        <w:t>这份导航版只保留框架、核心答题点、出现次数、最常用表述和迁移提醒；完整题例见学生厚版。导航节点与厚版同名，复习时可直接搜索同名“核心答题点”。</w:t>
      </w:r>
    </w:p>
    <w:p>
      <w:r>
        <w:rPr>
          <w:rFonts w:ascii="Microsoft YaHei" w:hAnsi="Microsoft YaHei" w:eastAsia="Microsoft YaHei"/>
        </w:rPr>
        <w:t>“出现N次”仅表示本宝典收录样本中的命中次数，用于判断复习优先级，不等同于考试预测，也不代表该点在所有设问中都可直接套用。高出现次数不代表优先于材料语义；材料不触发就不写。</w:t>
      </w:r>
    </w:p>
    <w:p>
      <w:r>
        <w:rPr>
          <w:rFonts w:ascii="Microsoft YaHei" w:hAnsi="Microsoft YaHei" w:eastAsia="Microsoft YaHei"/>
        </w:rPr>
        <w:t>导航版只提示节点，不替代厚版中的来源等级判断；厚版标为参考答案术语、来源等级B/C的内容，只作迁移参考，不按稳定正式细则背诵。</w:t>
      </w:r>
    </w:p>
    <w:p>
      <w:pPr>
        <w:pStyle w:val="Heading2"/>
      </w:pPr>
      <w:r>
        <w:t>时代背景</w:t>
      </w:r>
    </w:p>
    <w:p>
      <w:pPr>
        <w:pStyle w:val="ListBullet"/>
        <w:spacing w:after="40"/>
        <w:ind w:left="369"/>
      </w:pPr>
      <w:r>
        <w:rPr>
          <w:rFonts w:ascii="Microsoft YaHei" w:hAnsi="Microsoft YaHei" w:eastAsia="Microsoft YaHei"/>
          <w:sz w:val="18"/>
        </w:rPr>
        <w:t>本桶只负责解释中国主张、倡议或外交行动为什么有正当性和必要性。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和平与发展仍是时代主题</w:t>
            </w:r>
          </w:p>
        </w:tc>
        <w:tc>
          <w:tcPr>
            <w:tcW w:type="dxa" w:w="3096"/>
          </w:tcPr>
          <w:p>
            <w:pPr>
              <w:spacing w:after="0"/>
            </w:pPr>
            <w:r/>
            <w:r>
              <w:rPr>
                <w:rFonts w:ascii="Microsoft YaHei" w:hAnsi="Microsoft YaHei" w:eastAsia="Microsoft YaHei"/>
                <w:sz w:val="16"/>
              </w:rPr>
              <w:t>9</w:t>
            </w:r>
          </w:p>
        </w:tc>
        <w:tc>
          <w:tcPr>
            <w:tcW w:type="dxa" w:w="3096"/>
          </w:tcPr>
          <w:p>
            <w:pPr>
              <w:spacing w:after="0"/>
            </w:pPr>
            <w:r/>
            <w:r>
              <w:rPr>
                <w:rFonts w:ascii="Microsoft YaHei" w:hAnsi="Microsoft YaHei" w:eastAsia="Microsoft YaHei"/>
                <w:sz w:val="16"/>
              </w:rPr>
              <w:t>时代主题、经济全球化、顺应各国人民愿望等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百年变局与外部风险挑战</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国际局势变乱交织，局部动荡不断，面临诸多问题和挑战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bl>
    <w:p>
      <w:pPr>
        <w:pStyle w:val="Heading2"/>
      </w:pPr>
      <w:r>
        <w:t>理论</w:t>
      </w:r>
    </w:p>
    <w:p>
      <w:pPr>
        <w:pStyle w:val="ListBullet"/>
        <w:spacing w:after="40"/>
        <w:ind w:left="369"/>
      </w:pPr>
      <w:r>
        <w:rPr>
          <w:rFonts w:ascii="Microsoft YaHei" w:hAnsi="Microsoft YaHei" w:eastAsia="Microsoft YaHei"/>
          <w:sz w:val="18"/>
        </w:rPr>
        <w:t>本桶只负责解释合作、竞争、国家行动和外交立场背后的原理。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40"/>
        <w:ind w:left="369"/>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维护国家利益是主权国家对外活动的出发点和落脚点</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国家利益 / 维护我国的主权、安全和发展利益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国家间共同利益是国家合作的基础</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共同利益是合作的基础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国际竞争的实质是综合国力较量</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我国的未来产业面临激烈的国际竞争，需要加强风险应对和防范；当前国际竞争的实质是以经济和科技实力为基础的综合国力较量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正确义利观〔国家利益角度可选表述〕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正确的义利观；正确义利观</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只有细则明确把正确义利观列入国家利益角度、理论逻辑或合作基础可选表达时，才放在理论桶；中国行动、中国担当、发展合作、共享机遇或发展中国家民生统一归入中国桶。 遇到原因、前提、深层逻辑，先判断它是不是背景或理论支撑。</w:t>
            </w:r>
          </w:p>
        </w:tc>
      </w:tr>
    </w:tbl>
    <w:p>
      <w:pPr>
        <w:pStyle w:val="Heading2"/>
      </w:pPr>
      <w:r>
        <w:t>经济全球化</w:t>
      </w:r>
    </w:p>
    <w:p>
      <w:pPr>
        <w:pStyle w:val="ListBullet"/>
        <w:spacing w:after="40"/>
        <w:ind w:left="369"/>
      </w:pPr>
      <w:r>
        <w:rPr>
          <w:rFonts w:ascii="Microsoft YaHei" w:hAnsi="Microsoft YaHei" w:eastAsia="Microsoft YaHei"/>
          <w:sz w:val="18"/>
        </w:rPr>
        <w:t>本桶负责写开放、市场、贸易、投资、产业链供应链、经济规则和共享发展成果等具体作用链。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本桶同类项合并必须看细则表述是否接近、卷面是否可替代；不能把“开放型世界经济”“开放型经济”“全球经济治理和规则制定”“贸易自由化”等只因本质相关就压成一类。</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处理好自力更生和对外开放的关系，参与经济全球化和国际分工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处理好自力更生和对外开放的关系；核心技术自主可控、把握创新主动权、创新驱动、技术研发、自主研发、创新的新发展理念、核心竞争力；国际交流合作、参与经济全球化、参与国际分工、开放型经济、共商共建共享</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参与全球经济治理和规则制定，为企业出海营造国际环境</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企业和政府可利用国际组织赋予的权利，积极参与全球经济治理和规则制定，为企业“出海”营造良好的国际环境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顺应经济全球化趋势，主动融入并推动深化</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对标国际规则，推进制度型开放，深入融入经济全球化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利用两个市场两种资源优化全球资源配置</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放宽市场准入，吸引全球资源要素，增强国内国际两个市场两种资源联动效应</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数字贸易与数字经济跨境流通</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促进数字科技产品的贸易、使用，促进全球经济创新发展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推动经济全球化朝着更加开放、包容、普惠、平衡、共赢方向发展</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推动经济全球化朝着更加开放、包容、普惠、平衡、共赢的方向发展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推进贸易和投资自由化便利化</w:t>
            </w:r>
          </w:p>
        </w:tc>
        <w:tc>
          <w:tcPr>
            <w:tcW w:type="dxa" w:w="3096"/>
          </w:tcPr>
          <w:p>
            <w:pPr>
              <w:spacing w:after="0"/>
            </w:pPr>
            <w:r/>
            <w:r>
              <w:rPr>
                <w:rFonts w:ascii="Microsoft YaHei" w:hAnsi="Microsoft YaHei" w:eastAsia="Microsoft YaHei"/>
                <w:sz w:val="16"/>
              </w:rPr>
              <w:t>11</w:t>
            </w:r>
          </w:p>
        </w:tc>
        <w:tc>
          <w:tcPr>
            <w:tcW w:type="dxa" w:w="3096"/>
          </w:tcPr>
          <w:p>
            <w:pPr>
              <w:spacing w:after="0"/>
            </w:pPr>
            <w:r/>
            <w:r>
              <w:rPr>
                <w:rFonts w:ascii="Microsoft YaHei" w:hAnsi="Microsoft YaHei" w:eastAsia="Microsoft YaHei"/>
                <w:sz w:val="16"/>
              </w:rPr>
              <w:t>降低制度性交易成本 / 提高贸易效率；贸易投资便利化自由化 / 破除贸易壁垒</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发挥比较优势并打造国际竞争新优势</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发挥比较优势 / 优势互补 / 深度加入国际分工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维护全球产业链供应链稳定畅通</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当前国际竞争的实质是以经济和科技实力为基础的综合国力较量；为全球产业链供应链稳定提供坚实支撑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中国扩大高水平对外开放与制度型开放</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中国坚定不移扩大高水平对外开放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坚持多边贸易、多边主义与全球经济治理体系改革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坚持多边贸易 / 多边主义 / 全球经济治理体系改革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提升发展中国家的代表性和发言权，打破规则制定垄断</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提升发展中国家的代表性和发言权 / 打破发达国家规则制定中的垄断主导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本节点只保留自贸区、数字经济规则、标准制定和经贸合作中的规则代表性；若设问主问国际秩序公正合理，应回到政治多极化。 遇到贸易、投资、市场、供应链、规则和开放合作，优先从全球化机制写。</w:t>
            </w:r>
          </w:p>
        </w:tc>
      </w:tr>
      <w:tr>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优惠政策吸引高新技术企业入驻；降低企业税费成本；助力企业科技创新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优惠政策吸引高新技术企业入驻；降低企业税费成本；助力企业科技创新</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以科学技术的发展推动建设创新型、开放型世界经济</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以科学技术的发展推动建设创新型、开放型世界经济（不可替代）；促进经济全球化发展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合作共赢；实现合作共赢；推动各国合作共赢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合作共赢；实现合作共赢；推动各国合作共赢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通过技术交流与资源共享，带动当地经济、社会发展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通过技术交流与资源共享，带动当地经济、社会发展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中国市场红利与全球经济包容性增长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推动全球经济包容性增长；为世界提供广大而充满创新活力的市场；向世界释放超大规模市场红利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维护以世界贸易组织为核心的多边贸易体制</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坚持世贸组织基本原则，破除贸易壁垒；维护多边贸易体制</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推进普惠包容的经济全球化，推动构建更加开放、包容的全球经济格局</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经济全球化方向：普惠、平衡、共赢；更加包容、更可持续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积极参与全球经济治理和规则制定，维护多边贸易体系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积极参与全球经济治理和规则制定，维护多边贸易体系，推动构建开放型世界经济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全球化 / 贸易保护主义；开放型世界经济 / 世界经济共同繁荣 / 互利共赢 / 开放合作 / 共享成果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全球化 / 贸易保护主义；开放型世界经济 / 世界经济共同繁荣 / 互利共赢 / 开放合作 / 共享成果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p>
      <w:pPr>
        <w:pStyle w:val="Heading2"/>
      </w:pPr>
      <w:r>
        <w:t>政治多极化</w:t>
      </w:r>
    </w:p>
    <w:p>
      <w:pPr>
        <w:pStyle w:val="ListBullet"/>
        <w:spacing w:after="40"/>
        <w:ind w:left="369"/>
      </w:pPr>
      <w:r>
        <w:rPr>
          <w:rFonts w:ascii="Microsoft YaHei" w:hAnsi="Microsoft YaHei" w:eastAsia="Microsoft YaHei"/>
          <w:sz w:val="18"/>
        </w:rPr>
        <w:t>本桶名称用于导航归类，卷面表达优先使用本题细则术语和节点内表述积累。</w:t>
      </w:r>
    </w:p>
    <w:p>
      <w:pPr>
        <w:pStyle w:val="ListBullet"/>
        <w:spacing w:after="40"/>
        <w:ind w:left="369"/>
      </w:pPr>
      <w:r>
        <w:rPr>
          <w:rFonts w:ascii="Microsoft YaHei" w:hAnsi="Microsoft YaHei" w:eastAsia="Microsoft YaHei"/>
          <w:sz w:val="18"/>
        </w:rPr>
        <w:t>看到国际关系、国际秩序、共同利益、合作共赢、全球治理方向时，优先从本桶组织答案；不要只把标题“政治多极化”当作答案术语照抄。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如果材料已经要求分析国际关系结构本身，时代背景的多极化表述只能作前提铺垫一句，主体落点必须使用本桶细则术语。</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共商共建共享的全球治理观</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共商共建共享全球治理观</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推动国际关系民主化</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推动构建国际新秩序、倡导国际关系民主化、践行多边主义、坚持正确义利观、兼顾利益等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推动构建人类命运共同体</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本节点侧重国际关系、国际秩序、共同利益、合作共赢和全球治理方向；同题若还写中国桶，应避免重复堆写同一句。 遇到秩序、治理、话语权、多边主义，优先从政治多极化和全球治理写。</w:t>
            </w:r>
          </w:p>
        </w:tc>
      </w:tr>
      <w:tr>
        <w:tc>
          <w:tcPr>
            <w:tcW w:type="dxa" w:w="3096"/>
          </w:tcPr>
          <w:p>
            <w:pPr>
              <w:spacing w:after="0"/>
            </w:pPr>
            <w:r/>
            <w:r>
              <w:rPr>
                <w:rFonts w:ascii="Microsoft YaHei" w:hAnsi="Microsoft YaHei" w:eastAsia="Microsoft YaHei"/>
                <w:sz w:val="16"/>
              </w:rPr>
              <w:t>相互尊重、公平正义、合作共赢的新型国际关系</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推动建设合作共赢的新型国际关系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推动国际秩序和全球治理体系更加公正合理</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完善全球治理 / 在公平治理中实现共赢 / 推动全球治理变革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践行真正的多边主义</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平等；公平；公正；多边主义；协商一致</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世界多极化与全球南方联合自强</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世界多极化；世界多极化是当今国际形势的突出特点</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反对单边主义、霸权主义和强权政治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反对霸权主义、强权政治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bl>
    <w:p>
      <w:pPr>
        <w:pStyle w:val="Heading2"/>
      </w:pPr>
      <w:r>
        <w:t>中国</w:t>
      </w:r>
    </w:p>
    <w:p>
      <w:pPr>
        <w:pStyle w:val="ListBullet"/>
        <w:spacing w:after="40"/>
        <w:ind w:left="369"/>
      </w:pPr>
      <w:r>
        <w:rPr>
          <w:rFonts w:ascii="Microsoft YaHei" w:hAnsi="Microsoft YaHei" w:eastAsia="Microsoft YaHei"/>
          <w:sz w:val="18"/>
        </w:rPr>
        <w:t>本桶侧重中国主张、中国方案、中国行动、中国外交和中国贡献。</w:t>
      </w:r>
    </w:p>
    <w:p>
      <w:pPr>
        <w:pStyle w:val="ListBullet"/>
        <w:spacing w:after="40"/>
        <w:ind w:left="369"/>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spacing w:after="40"/>
        <w:ind w:left="369"/>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spacing w:after="40"/>
        <w:ind w:left="369"/>
      </w:pPr>
      <w:r>
        <w:rPr>
          <w:rFonts w:ascii="Microsoft YaHei" w:hAnsi="Microsoft YaHei" w:eastAsia="Microsoft YaHei"/>
          <w:sz w:val="18"/>
        </w:rPr>
        <w:t>如果题目重心是国际秩序、全球治理原则或共同利益，不要把所有“有中国参与”的材料都归入本桶。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坚持总体国家安全观，统筹发展与安全，以新安全格局保障新发展格局</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处理好发展和安全的关系 / 统筹发展和安全；总体国家安全观 / 底线思维 / 维护国家经济安全、科技安全 / 应对风险等；经济平稳可持续发展 / 高质量发展 / 注入新动能等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贡献中国智慧、中国方案、中国力量</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贡献中国智慧、中国方案、勇于大国担当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坚持正确义利观</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处理好中国发展和世界发展的关系；维护本国利益、谋求本国发展；兼顾他国合理关切、为世界提供公共产品和机遇、正确义利观、推动发展中国家、贡献中国智慧和中国方案、大国责任、推动构建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中国综合国力、国际地位和话语权提升</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中国的综合国力不断增强，国际地位不断提升，承担越来越多的国际责任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习近平外交思想指导中国特色大国外交（外交为民、服务中国式现代化）</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外交指导思想与时俱进，习近平外交思想为新时代中国特色大国外交提供了根本遵循和行动指南</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新中国外交始终服务于我国人民民主专政的国家性质；坚持党对外交统一集中领导</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新中国外交始终服务于我国人民民主专政的国家性质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中国坚持独立自主和平外交与和平共处五项原则</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独立自主的和平外交政策；坚持独立自主的基本立场；贯彻维护世界和平、促进共同发展的宗旨；促进世界和平与发展为基本目标；坚持以和平共处五项原则作为我国对外关系基本准则</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中国推动构建人类命运共同体</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开辟中国特色大国外交的新境界 / 构建人类命运共同体的新实践</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本节点侧重中国主张、中国方案、中国行动、中国外交和中国贡献；若材料重点是国际秩序和治理原则，应回到政治多极化桶。 遇到中国行动、中国方案、中国责任，先写中国定位和政策作用。</w:t>
            </w:r>
          </w:p>
        </w:tc>
      </w:tr>
      <w:tr>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坚持正确义利观，在发展合作中共享机遇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坚持正确的义利观 / 发展合作中共享机遇 / 坚持互利共赢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改善发展中国家民生并助力持续发展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改善发展中国家民生 / 助力发展中国家持续发展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民心相通与文明互鉴</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加强教育文化交流，促进民心相通 / 文化借鉴融合 / 加强团结合作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南南合作与全球南方共同发展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中国作为世界上最大的发展中国家，是国际政治经济格局中一支重要力量，积极参与全球治理，为推动全球南方实现现代化发挥作用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中国推进绿色低碳转型并参与全球气候治理</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推进绿色低碳发展转型；以实际行动应对气候变化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中国是负责任大国并勇于担当</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主动担当全球气候治理责任；展现负责任大国担当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坚持独立自主、自力更生，增强发展主动权</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坚持独立自主，增强自主创新能力，实现关键核心技术自主可控，把发展主动权牢牢掌握在自己手中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促进技术共享和民生改善；为全球可持续发展贡献力量</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以科技助力发展中国家发展；提升其自主发展能力；促进民生改善</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p>
      <w:pPr>
        <w:pStyle w:val="Heading2"/>
      </w:pPr>
      <w:r>
        <w:t>联合国</w:t>
      </w:r>
    </w:p>
    <w:p>
      <w:pPr>
        <w:pStyle w:val="ListBullet"/>
        <w:spacing w:after="40"/>
        <w:ind w:left="369"/>
      </w:pPr>
      <w:r>
        <w:rPr>
          <w:rFonts w:ascii="Microsoft YaHei" w:hAnsi="Microsoft YaHei" w:eastAsia="Microsoft YaHei"/>
          <w:sz w:val="18"/>
        </w:rPr>
        <w:t>本桶只负责联合国框架、宪章宗旨原则、以联合国为核心的国际体系和共同议程。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维护《联合国宪章》宗旨和原则</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符合《联合国宪章》</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维护以联合国为核心的国际体系</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联合国是当今世界最具普遍性、代表性和权威性的政府间国际组织；集体安全机制的核心；实践多边主义的最佳场所；发展与和平、人权三大支柱维护世界和平、推动共同发展、促进人类文明进步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落实联合国2030年可持续发展议程</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联合国2030年可持续发展议程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bl>
    <w:p>
      <w:pPr>
        <w:pStyle w:val="Heading2"/>
      </w:pPr>
      <w:r>
        <w:t>附：总说句 / 兜底加分表达</w:t>
      </w:r>
    </w:p>
    <w:p>
      <w:pPr>
        <w:pStyle w:val="ListBullet"/>
        <w:spacing w:after="40"/>
        <w:ind w:left="369"/>
      </w:pPr>
      <w:r>
        <w:rPr>
          <w:rFonts w:ascii="Microsoft YaHei" w:hAnsi="Microsoft YaHei" w:eastAsia="Microsoft YaHei"/>
          <w:sz w:val="18"/>
        </w:rPr>
        <w:t>本附录只用于答案收束、过渡或最后补充，不能替代核心答题点。</w:t>
      </w:r>
    </w:p>
    <w:p>
      <w:pPr>
        <w:pStyle w:val="ListBullet"/>
        <w:spacing w:after="40"/>
        <w:ind w:left="369"/>
      </w:pPr>
      <w:r>
        <w:rPr>
          <w:rFonts w:ascii="Microsoft YaHei" w:hAnsi="Microsoft YaHei" w:eastAsia="Microsoft YaHei"/>
          <w:sz w:val="18"/>
        </w:rPr>
        <w:t>没有材料支撑时不能单独作为主答案；能写具体角度时先写具体角度。</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【兜底】中国特色大国外交主动作为，是顺应世界发展大势、服务国家发展大局的必然选择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只作总起兜底，不替代具体角度。</w:t>
            </w:r>
          </w:p>
        </w:tc>
      </w:tr>
    </w:tbl>
    <w:sectPr w:rsidR="00FC693F" w:rsidRPr="0006063C" w:rsidSect="00034616">
      <w:pgSz w:w="16838" w:h="11906" w:orient="landscape"/>
      <w:pgMar w:top="709"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val="0"/>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val="0"/>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