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YaHei" w:hAnsi="Microsoft YaHei" w:eastAsia="Microsoft YaHei"/>
          <w:b/>
          <w:color w:val="1F6F5B"/>
          <w:sz w:val="32"/>
        </w:rPr>
        <w:t>选必二《法律与生活》· 框架定稿（B 案）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8A8A8A"/>
          <w:sz w:val="19"/>
        </w:rPr>
        <w:t>生命线 5 环（思维主轴）× 题型（副轴）　·　知识一个仓（环②）·练习一条线（落点×题型）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1F6F5B"/>
            <w:tcMar>
              <w:top w:w="110" w:type="dxa"/>
              <w:bottom w:w="110" w:type="dxa"/>
              <w:left w:w="17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主轴 · 生命线 5 环（每题都走全程；蓝＝例题落点环，绿＝必背知识仓）</w:t>
            </w:r>
          </w:p>
        </w:tc>
      </w:tr>
    </w:tbl>
    <w:p>
      <w:pPr>
        <w:spacing w:after="0" w:before="0" w:line="60" w:lineRule="exact"/>
      </w:pPr>
      <w:r>
        <w:rPr>
          <w:rFonts w:ascii="Microsoft YaHei" w:hAnsi="Microsoft YaHei" w:eastAsia="Microsoft YaHei"/>
          <w:b w:val="0"/>
          <w:color w:val="222222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F1F6FB"/>
            <w:tcBorders>
              <w:top w:val="single" w:sz="4" w:color="FFFFFF" w:space="0"/>
              <w:left w:val="single" w:sz="24" w:color="6FA8CF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597F"/>
                <w:sz w:val="21"/>
              </w:rPr>
              <w:t>环① · 定双方·叫准权利　〔例题落点 13〕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1F2D3A"/>
                <w:sz w:val="19"/>
              </w:rPr>
              <w:t>主体资格 11｜行为能力·效力 11｜物权·相邻 10｜身份(婚姻继承) 9｜人格权类：身体4·隐私4·名誉3·肖像1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EAF4EE"/>
            <w:tcBorders>
              <w:top w:val="single" w:sz="4" w:color="FFFFFF" w:space="0"/>
              <w:left w:val="single" w:sz="24" w:color="379E73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B6B4E"/>
                <w:sz w:val="21"/>
              </w:rPr>
              <w:t>环② · 辨关系·套规则　〔必经层 · 必背知识主仓 · 例题≈0〕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1B6B4E"/>
                <w:sz w:val="18"/>
              </w:rPr>
              <w:t>每题必经，但设问很少停在这里——所以它不放例题，而是当“知识仓”：必背全挂这。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26382F"/>
                <w:sz w:val="19"/>
              </w:rPr>
              <w:t>侵权 37（★骨干）｜合同 26｜知产·竞争 23｜消费 16｜劳动 8　＋　〔贯穿〕民法原则 37 = 判案理由、权利边界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F1F6FB"/>
            <w:tcBorders>
              <w:top w:val="single" w:sz="4" w:color="FFFFFF" w:space="0"/>
              <w:left w:val="single" w:sz="24" w:color="6FA8CF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597F"/>
                <w:sz w:val="21"/>
              </w:rPr>
              <w:t>环③ · 审判·定责　〔例题落点 33 · 最多 44%〕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1F2D3A"/>
                <w:sz w:val="19"/>
              </w:rPr>
              <w:t>以事实为据、法律为绳 → 定结论定责　|　举证责任 ＋ 诉讼时效　|　对策/维权策略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F1F6FB"/>
            <w:tcBorders>
              <w:top w:val="single" w:sz="4" w:color="FFFFFF" w:space="0"/>
              <w:left w:val="single" w:sz="24" w:color="6FA8CF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597F"/>
                <w:sz w:val="21"/>
              </w:rPr>
              <w:t>环④ · 解纷·给救济　〔例题落点 9〕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1F2D3A"/>
                <w:sz w:val="19"/>
              </w:rPr>
              <w:t>协商·调解·仲裁·诉讼　|　管辖·代理·回避·证据·程序纠错 → 救济路径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EAF4EE"/>
            <w:tcBorders>
              <w:top w:val="single" w:sz="4" w:color="FFFFFF" w:space="0"/>
              <w:left w:val="single" w:sz="24" w:color="379E73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B6B4E"/>
                <w:sz w:val="21"/>
              </w:rPr>
              <w:t>环⑤ · 贯穿·升价值　〔例题落点 19〕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26382F"/>
                <w:sz w:val="19"/>
              </w:rPr>
              <w:t>意义题 19 ＋ 每环收尾都要；意义句必须压回材料（保护谁·维护什么秩序·体现什么法治价值）。</w:t>
            </w:r>
          </w:p>
        </w:tc>
      </w:tr>
    </w:tbl>
    <w:p>
      <w:pPr>
        <w:spacing w:after="0" w:before="0" w:line="80" w:lineRule="exact"/>
      </w:pPr>
      <w:r>
        <w:rPr>
          <w:rFonts w:ascii="Microsoft YaHei" w:hAnsi="Microsoft YaHei" w:eastAsia="Microsoft YaHei"/>
          <w:b w:val="0"/>
          <w:color w:val="222222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E6F3EA"/>
            <w:tcBorders>
              <w:top w:val="single" w:sz="4" w:color="FFFFFF" w:space="0"/>
              <w:left w:val="single" w:sz="24" w:color="1F9F6E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3654A"/>
                <w:sz w:val="21"/>
              </w:rPr>
              <w:t>两套组织逻辑（B 案的核心）</w:t>
            </w:r>
          </w:p>
          <w:p>
            <w:pPr>
              <w:spacing w:after="6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17321F"/>
                <w:sz w:val="19"/>
              </w:rPr>
              <w:t>① 必背知识 = 一个仓：以环②为主仓（合同/侵权/物权/知产/劳动/消费），加环①的主体·权利、加贯穿的民法原则。学生背知识只看这一仓。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17321F"/>
                <w:sz w:val="19"/>
              </w:rPr>
              <w:t>② 例题 = 一条线：按设问落点环（①13 · ③33 · ④9 · ⑤19）再 × 题型分组，每题标坐标〔落点环 × 题型 × 复合考点〕，满分答案逐题对齐细则。</w:t>
            </w:r>
          </w:p>
        </w:tc>
      </w:tr>
    </w:tbl>
    <w:p>
      <w:pPr>
        <w:spacing w:after="0" w:before="0" w:line="80" w:lineRule="exact"/>
      </w:pPr>
      <w:r>
        <w:rPr>
          <w:rFonts w:ascii="Microsoft YaHei" w:hAnsi="Microsoft YaHei" w:eastAsia="Microsoft YaHei"/>
          <w:b w:val="0"/>
          <w:color w:val="222222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1F6F5B"/>
            <w:tcMar>
              <w:top w:w="110" w:type="dxa"/>
              <w:bottom w:w="110" w:type="dxa"/>
              <w:left w:w="17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副轴 · 题型（一题一型，定答题动作与采分结构）</w:t>
            </w:r>
          </w:p>
        </w:tc>
      </w:tr>
    </w:tbl>
    <w:p>
      <w:pPr>
        <w:spacing w:after="0" w:before="0" w:line="60" w:lineRule="exact"/>
      </w:pPr>
      <w:r>
        <w:rPr>
          <w:rFonts w:ascii="Microsoft YaHei" w:hAnsi="Microsoft YaHei" w:eastAsia="Microsoft YaHei"/>
          <w:b w:val="0"/>
          <w:color w:val="222222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FBF5EA"/>
            <w:tcBorders>
              <w:top w:val="single" w:sz="4" w:color="FFFFFF" w:space="0"/>
              <w:left w:val="single" w:sz="24" w:color="D9A85A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14"/>
                <w:sz w:val="21"/>
              </w:rPr>
              <w:t>六类题型 · 考频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3A2F1C"/>
                <w:sz w:val="19"/>
              </w:rPr>
              <w:t>T1 判责/理由 33（主力44%）｜ T4 意义/价值 19 ｜ T2 补表/补链 12 ｜ T5 对策/维权 6 ｜ T3 辨析/评析 3 ｜ T6 程序/纠错 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F1F6FB"/>
            <w:tcBorders>
              <w:top w:val="single" w:sz="4" w:color="FFFFFF" w:space="0"/>
              <w:left w:val="single" w:sz="24" w:color="6FA8CF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597F"/>
                <w:sz w:val="21"/>
              </w:rPr>
              <w:t>※ 外溢标记（18 题，标注不硬塞）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1F2D3A"/>
                <w:sz w:val="19"/>
              </w:rPr>
              <w:t>必修三·政治与法治 12 ｜ 必修四·经济 5 ｜ 涉外法治 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F4F4F5"/>
            <w:tcBorders>
              <w:top w:val="single" w:sz="4" w:color="FFFFFF" w:space="0"/>
              <w:left w:val="single" w:sz="24" w:color="BFBFBF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5A5A5A"/>
                <w:sz w:val="21"/>
              </w:rPr>
              <w:t>定稿要点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18"/>
              </w:rPr>
              <w:t>· 覆盖：每题都走全 5 环（100%）；按例题落点统计，①13·③33·④9·⑤19 合计 74，零空环；环②不作落点、作必背仓。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18"/>
              </w:rPr>
              <w:t>· 民法原则37·侵权37 各占半数 → 原则贯穿、侵权做环②主干；一题命中3–5考点（复合），拒绝扁平A1–A10。</w:t>
            </w:r>
          </w:p>
        </w:tc>
      </w:tr>
    </w:tbl>
    <w:sectPr w:rsidR="00FC693F" w:rsidRPr="0006063C" w:rsidSect="00034616">
      <w:pgSz w:w="11906" w:h="16838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