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选必一《当代国际政治与经济》主观题术语宝典：考前导航版</w:t>
      </w:r>
    </w:p>
    <w:p>
      <w:pPr>
        <w:spacing w:after="80" w:line="259" w:lineRule="auto"/>
      </w:pPr>
      <w:r>
        <w:rPr>
          <w:rFonts w:ascii="宋体" w:hAnsi="宋体" w:eastAsia="宋体"/>
          <w:b w:val="0"/>
          <w:sz w:val="21"/>
        </w:rPr>
        <w:t>这份导航版只保留框架、核心答题点、出现次数、最常用表述和迁移提醒；完整题例见学生厚版。导航节点与厚版同名，复习时可直接搜索同名“核心答题点”。</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“出现N次”仅表示本宝典收录样本中的命中次数，用于判断复习优先级，不等同于考试预测，也不代表该点在所有设问中都可直接套用。高出现次数不代表优先于材料语义；材料不触发就不写。</w:t>
      </w:r>
    </w:p>
    <w:p>
      <w:pPr>
        <w:spacing w:after="80" w:line="259" w:lineRule="auto"/>
      </w:pPr>
      <w:r>
        <w:rPr>
          <w:rFonts w:ascii="宋体" w:hAnsi="宋体" w:eastAsia="宋体"/>
          <w:b w:val="0"/>
          <w:sz w:val="21"/>
        </w:rPr>
        <w:t>导航版只提示节点，不替代厚版中的来源等级判断；厚版标为参考答案术语、来源等级B/C的内容，只作迁移参考，不按稳定正式细则背诵。</w:t>
      </w:r>
    </w:p>
    <w:p>
      <w:pPr>
        <w:pStyle w:val="Heading2"/>
        <w:spacing w:before="160" w:after="100"/>
      </w:pPr>
      <w:r>
        <w:rPr>
          <w:rFonts w:ascii="黑体" w:hAnsi="黑体" w:eastAsia="黑体"/>
          <w:b/>
          <w:color w:val="2F5496"/>
          <w:sz w:val="26"/>
        </w:rPr>
        <w:t>时代背景</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和平与发展仍是时代主题</w:t>
            </w:r>
          </w:p>
        </w:tc>
        <w:tc>
          <w:tcPr>
            <w:tcW w:type="dxa" w:w="2051"/>
            <w:vAlign w:val="center"/>
            <w:tcMar>
              <w:top w:w="80" w:type="dxa"/>
              <w:start w:w="90" w:type="dxa"/>
              <w:bottom w:w="80" w:type="dxa"/>
              <w:end w:w="90" w:type="dxa"/>
            </w:tcMar>
          </w:tcPr>
          <w:p>
            <w:pPr>
              <w:jc w:val="center"/>
            </w:pPr>
            <w:r>
              <w:rPr>
                <w:rFonts w:ascii="宋体" w:hAnsi="宋体" w:eastAsia="宋体"/>
                <w:sz w:val="19"/>
              </w:rPr>
              <w:t>17</w:t>
            </w:r>
          </w:p>
        </w:tc>
        <w:tc>
          <w:tcPr>
            <w:tcW w:type="dxa" w:w="2051"/>
            <w:vAlign w:val="center"/>
            <w:tcMar>
              <w:top w:w="80" w:type="dxa"/>
              <w:start w:w="90" w:type="dxa"/>
              <w:bottom w:w="80" w:type="dxa"/>
              <w:end w:w="90" w:type="dxa"/>
            </w:tcMar>
          </w:tcPr>
          <w:p>
            <w:pPr>
              <w:jc w:val="left"/>
            </w:pPr>
            <w:r>
              <w:rPr>
                <w:rFonts w:ascii="宋体" w:hAnsi="宋体" w:eastAsia="宋体"/>
                <w:sz w:val="19"/>
              </w:rPr>
              <w:t>时代主题、经济全球化、顺应各国人民愿望等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百年变局与外部风险挑战</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国际局势变乱交织，局部动荡不断，面临诸多问题和挑战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r>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气候变化给全人类带来巨大风险和挑战，气候治理已成为全球治理的重要议题之一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遇到原因、前提、正当性和时代依据，先判断它是不是背景支撑。</w:t>
            </w:r>
          </w:p>
        </w:tc>
      </w:tr>
    </w:tbl>
    <w:p/>
    <w:p>
      <w:pPr>
        <w:pStyle w:val="Heading2"/>
        <w:spacing w:before="160" w:after="100"/>
      </w:pPr>
      <w:r>
        <w:rPr>
          <w:rFonts w:ascii="黑体" w:hAnsi="黑体" w:eastAsia="黑体"/>
          <w:b/>
          <w:color w:val="2F5496"/>
          <w:sz w:val="26"/>
        </w:rPr>
        <w:t>理论</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“合作共赢的新型国际关系”归政治多极化；贸易、市场、产业链中的合作共赢归经济全球化；中国担当、共享机遇和发展中国家民生归中国。</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维护国家利益是主权国家对外活动的出发点和落脚点</w:t>
            </w:r>
          </w:p>
        </w:tc>
        <w:tc>
          <w:tcPr>
            <w:tcW w:type="dxa" w:w="2051"/>
            <w:vAlign w:val="center"/>
            <w:tcMar>
              <w:top w:w="80" w:type="dxa"/>
              <w:start w:w="90" w:type="dxa"/>
              <w:bottom w:w="80" w:type="dxa"/>
              <w:end w:w="90" w:type="dxa"/>
            </w:tcMar>
          </w:tcPr>
          <w:p>
            <w:pPr>
              <w:jc w:val="center"/>
            </w:pPr>
            <w:r>
              <w:rPr>
                <w:rFonts w:ascii="宋体" w:hAnsi="宋体" w:eastAsia="宋体"/>
                <w:sz w:val="19"/>
              </w:rPr>
              <w:t>7</w:t>
            </w:r>
          </w:p>
        </w:tc>
        <w:tc>
          <w:tcPr>
            <w:tcW w:type="dxa" w:w="2051"/>
            <w:vAlign w:val="center"/>
            <w:tcMar>
              <w:top w:w="80" w:type="dxa"/>
              <w:start w:w="90" w:type="dxa"/>
              <w:bottom w:w="80" w:type="dxa"/>
              <w:end w:w="90" w:type="dxa"/>
            </w:tcMar>
          </w:tcPr>
          <w:p>
            <w:pPr>
              <w:jc w:val="left"/>
            </w:pPr>
            <w:r>
              <w:rPr>
                <w:rFonts w:ascii="宋体" w:hAnsi="宋体" w:eastAsia="宋体"/>
                <w:sz w:val="19"/>
              </w:rPr>
              <w:t>国家利益 / 维护我国的主权、安全和发展利益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国家间共同利益是国家合作的基础</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共同利益是合作的基础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国际竞争的实质是综合国力较量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7"/>
              </w:rPr>
              <w:t>我国的未来产业面临激烈的国际竞争，需要加强风险应对和防范；当前国际竞争的实质是以经济和科技实力为基础的综合国力较量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r>
        <w:tc>
          <w:tcPr>
            <w:tcW w:type="dxa" w:w="2051"/>
            <w:vAlign w:val="center"/>
            <w:tcMar>
              <w:top w:w="80" w:type="dxa"/>
              <w:start w:w="90" w:type="dxa"/>
              <w:bottom w:w="80" w:type="dxa"/>
              <w:end w:w="90" w:type="dxa"/>
            </w:tcMar>
          </w:tcPr>
          <w:p>
            <w:pPr>
              <w:jc w:val="left"/>
            </w:pPr>
            <w:r>
              <w:rPr>
                <w:rFonts w:ascii="宋体" w:hAnsi="宋体" w:eastAsia="宋体"/>
                <w:sz w:val="19"/>
              </w:rPr>
              <w:t>正确义利观〔国家利益角度可选表述〕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正确的义利观；正确义利观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遇到合作为什么成立、竞争为什么激烈、国家为什么这样行动，先找解释性原理。</w:t>
            </w:r>
          </w:p>
        </w:tc>
      </w:tr>
    </w:tbl>
    <w:p/>
    <w:p>
      <w:pPr>
        <w:pStyle w:val="Heading2"/>
        <w:spacing w:before="160" w:after="100"/>
      </w:pPr>
      <w:r>
        <w:rPr>
          <w:rFonts w:ascii="黑体" w:hAnsi="黑体" w:eastAsia="黑体"/>
          <w:b/>
          <w:color w:val="2F5496"/>
          <w:sz w:val="26"/>
        </w:rPr>
        <w:t>经济全球化</w:t>
      </w:r>
    </w:p>
    <w:p>
      <w:pPr>
        <w:pStyle w:val="ListBullet"/>
        <w:spacing w:after="80" w:line="259" w:lineRule="auto"/>
      </w:pPr>
      <w:r>
        <w:rPr>
          <w:rFonts w:ascii="宋体" w:hAnsi="宋体" w:eastAsia="宋体"/>
          <w:b w:val="0"/>
          <w:sz w:val="21"/>
        </w:rPr>
        <w:t>本桶负责开放、市场、贸易、投资、产业链供应链、经济规则和开放合作平台。</w:t>
      </w:r>
    </w:p>
    <w:p>
      <w:pPr>
        <w:pStyle w:val="ListBullet"/>
        <w:spacing w:after="80" w:line="259" w:lineRule="auto"/>
      </w:pPr>
      <w:r>
        <w:rPr>
          <w:rFonts w:ascii="宋体" w:hAnsi="宋体" w:eastAsia="宋体"/>
          <w:b w:val="0"/>
          <w:sz w:val="21"/>
        </w:rPr>
        <w:t>同类项合并必须看细则表述是否接近、卷面是否可替代；不能把“开放型世界经济”“开放型经济”“全球经济治理和规则制定”“贸易自由化”仅因本质相关就压成一类。</w:t>
      </w:r>
    </w:p>
    <w:p>
      <w:pPr>
        <w:pStyle w:val="ListBullet"/>
        <w:spacing w:after="80" w:line="259" w:lineRule="auto"/>
      </w:pPr>
      <w:r>
        <w:rPr>
          <w:rFonts w:ascii="宋体" w:hAnsi="宋体" w:eastAsia="宋体"/>
          <w:b w:val="0"/>
          <w:sz w:val="21"/>
        </w:rPr>
        <w:t>对发展中国家技术赋能、民生改善和自主发展能力提升，归中国责任担当和发展合作链条。</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处理好自力更生和对外开放的关系，参与经济全球化和国际分工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参与全球经济治理和规则制定，为企业出海营造国际环境</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企业和政府可利用国际组织赋予的权利，积极参与全球经济治理和规则制定，为企业“出海”营造良好的国际环境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顺应经济全球化趋势，主动融入并推动深化</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对标国际规则，推进制度型开放，深入融入经济全球化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利用两个市场两种资源优化全球资源配置</w:t>
            </w:r>
          </w:p>
        </w:tc>
        <w:tc>
          <w:tcPr>
            <w:tcW w:type="dxa" w:w="2051"/>
            <w:vAlign w:val="center"/>
            <w:tcMar>
              <w:top w:w="80" w:type="dxa"/>
              <w:start w:w="90" w:type="dxa"/>
              <w:bottom w:w="80" w:type="dxa"/>
              <w:end w:w="90" w:type="dxa"/>
            </w:tcMar>
          </w:tcPr>
          <w:p>
            <w:pPr>
              <w:jc w:val="center"/>
            </w:pPr>
            <w:r>
              <w:rPr>
                <w:rFonts w:ascii="宋体" w:hAnsi="宋体" w:eastAsia="宋体"/>
                <w:sz w:val="19"/>
              </w:rPr>
              <w:t>12</w:t>
            </w:r>
          </w:p>
        </w:tc>
        <w:tc>
          <w:tcPr>
            <w:tcW w:type="dxa" w:w="2051"/>
            <w:vAlign w:val="center"/>
            <w:tcMar>
              <w:top w:w="80" w:type="dxa"/>
              <w:start w:w="90" w:type="dxa"/>
              <w:bottom w:w="80" w:type="dxa"/>
              <w:end w:w="90" w:type="dxa"/>
            </w:tcMar>
          </w:tcPr>
          <w:p>
            <w:pPr>
              <w:jc w:val="left"/>
            </w:pPr>
            <w:r>
              <w:rPr>
                <w:rFonts w:ascii="宋体" w:hAnsi="宋体" w:eastAsia="宋体"/>
                <w:sz w:val="19"/>
              </w:rPr>
              <w:t>放宽市场准入，吸引全球资源要素，增强国内国际两个市场两种资源联动效应</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数字贸易与数字经济跨境流通</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促进数字科技产品的贸易、使用，促进全球经济创新发展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提高开放型经济水平 / 建设高层次开放型经济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推动经济全球化朝着更加开放、包容、普惠、平衡、共赢方向发展</w:t>
            </w:r>
          </w:p>
        </w:tc>
        <w:tc>
          <w:tcPr>
            <w:tcW w:type="dxa" w:w="2051"/>
            <w:vAlign w:val="center"/>
            <w:tcMar>
              <w:top w:w="80" w:type="dxa"/>
              <w:start w:w="90" w:type="dxa"/>
              <w:bottom w:w="80" w:type="dxa"/>
              <w:end w:w="90" w:type="dxa"/>
            </w:tcMar>
          </w:tcPr>
          <w:p>
            <w:pPr>
              <w:jc w:val="center"/>
            </w:pPr>
            <w:r>
              <w:rPr>
                <w:rFonts w:ascii="宋体" w:hAnsi="宋体" w:eastAsia="宋体"/>
                <w:sz w:val="19"/>
              </w:rPr>
              <w:t>11</w:t>
            </w:r>
          </w:p>
        </w:tc>
        <w:tc>
          <w:tcPr>
            <w:tcW w:type="dxa" w:w="2051"/>
            <w:vAlign w:val="center"/>
            <w:tcMar>
              <w:top w:w="80" w:type="dxa"/>
              <w:start w:w="90" w:type="dxa"/>
              <w:bottom w:w="80" w:type="dxa"/>
              <w:end w:w="90" w:type="dxa"/>
            </w:tcMar>
          </w:tcPr>
          <w:p>
            <w:pPr>
              <w:jc w:val="left"/>
            </w:pPr>
            <w:r>
              <w:rPr>
                <w:rFonts w:ascii="宋体" w:hAnsi="宋体" w:eastAsia="宋体"/>
                <w:sz w:val="19"/>
              </w:rPr>
              <w:t>推动经济全球化朝着更加开放、包容、普惠、平衡、共赢的方向发展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推动普惠包容的经济全球化 / 建设开放型世界经济 / 促进贸易自由化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经济安全 / 统筹安全与发展 / 多元稳定的经贸关系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推进贸易和投资自由化便利化</w:t>
            </w:r>
          </w:p>
        </w:tc>
        <w:tc>
          <w:tcPr>
            <w:tcW w:type="dxa" w:w="2051"/>
            <w:vAlign w:val="center"/>
            <w:tcMar>
              <w:top w:w="80" w:type="dxa"/>
              <w:start w:w="90" w:type="dxa"/>
              <w:bottom w:w="80" w:type="dxa"/>
              <w:end w:w="90" w:type="dxa"/>
            </w:tcMar>
          </w:tcPr>
          <w:p>
            <w:pPr>
              <w:jc w:val="center"/>
            </w:pPr>
            <w:r>
              <w:rPr>
                <w:rFonts w:ascii="宋体" w:hAnsi="宋体" w:eastAsia="宋体"/>
                <w:sz w:val="19"/>
              </w:rPr>
              <w:t>15</w:t>
            </w:r>
          </w:p>
        </w:tc>
        <w:tc>
          <w:tcPr>
            <w:tcW w:type="dxa" w:w="2051"/>
            <w:vAlign w:val="center"/>
            <w:tcMar>
              <w:top w:w="80" w:type="dxa"/>
              <w:start w:w="90" w:type="dxa"/>
              <w:bottom w:w="80" w:type="dxa"/>
              <w:end w:w="90" w:type="dxa"/>
            </w:tcMar>
          </w:tcPr>
          <w:p>
            <w:pPr>
              <w:jc w:val="left"/>
            </w:pPr>
            <w:r>
              <w:rPr>
                <w:rFonts w:ascii="宋体" w:hAnsi="宋体" w:eastAsia="宋体"/>
                <w:sz w:val="19"/>
              </w:rPr>
              <w:t>降低制度性交易成本 / 提高贸易效率；贸易投资便利化自由化 / 破除贸易壁垒</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发挥比较优势并打造国际竞争新优势</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发挥比较优势 / 优势互补 / 深度加入国际分工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维护全球产业链供应链稳定畅通</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7"/>
              </w:rPr>
              <w:t>当前国际竞争的实质是以经济和科技实力为基础的综合国力较量；为全球产业链供应链稳定提供坚实支撑</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畅通全球供应链产业链，增强经济全球化活力，推动各国合作共赢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中国扩大高水平对外开放与制度型开放</w:t>
            </w:r>
          </w:p>
        </w:tc>
        <w:tc>
          <w:tcPr>
            <w:tcW w:type="dxa" w:w="2051"/>
            <w:vAlign w:val="center"/>
            <w:tcMar>
              <w:top w:w="80" w:type="dxa"/>
              <w:start w:w="90" w:type="dxa"/>
              <w:bottom w:w="80" w:type="dxa"/>
              <w:end w:w="90" w:type="dxa"/>
            </w:tcMar>
          </w:tcPr>
          <w:p>
            <w:pPr>
              <w:jc w:val="center"/>
            </w:pPr>
            <w:r>
              <w:rPr>
                <w:rFonts w:ascii="宋体" w:hAnsi="宋体" w:eastAsia="宋体"/>
                <w:sz w:val="19"/>
              </w:rPr>
              <w:t>9</w:t>
            </w:r>
          </w:p>
        </w:tc>
        <w:tc>
          <w:tcPr>
            <w:tcW w:type="dxa" w:w="2051"/>
            <w:vAlign w:val="center"/>
            <w:tcMar>
              <w:top w:w="80" w:type="dxa"/>
              <w:start w:w="90" w:type="dxa"/>
              <w:bottom w:w="80" w:type="dxa"/>
              <w:end w:w="90" w:type="dxa"/>
            </w:tcMar>
          </w:tcPr>
          <w:p>
            <w:pPr>
              <w:jc w:val="left"/>
            </w:pPr>
            <w:r>
              <w:rPr>
                <w:rFonts w:ascii="宋体" w:hAnsi="宋体" w:eastAsia="宋体"/>
                <w:sz w:val="19"/>
              </w:rPr>
              <w:t>中国坚定不移扩大高水平对外开放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推动我国与周边国家的经济融合，促进共同发展 / 促进区域经济一体化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坚持多边贸易、多边主义与全球经济治理体系改革</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坚持多边贸易 / 多边主义 / 全球经济治理体系改革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提升发展中国家的代表性和发言权，打破规则制定垄断</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提升发展中国家的代表性和发言权 / 打破发达国家规则制定中的垄断主导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我国的未来产业有非常广阔的国际市场，为未来产业“走出去”提供了可能</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对接国际高标准经贸规则；参与国际标准和相关贸易规则制定；提升规则话语权</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以开放促进产业升级，为未来产业拓展国际空间，提升国际竞争力，筑牢安全基础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开放与安全协同发力；动态平衡；系统协同中推动未来产业高质量发展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依托我国超大规模市场优势，为世界各国提供更加广阔的市场，促进国际合作，实现互利共赢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充分运用国际规则，利用国际组织赋予的权利，对话磋商，积极维护自身权益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加强技术创新、提高产品质量，增强竞争力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实施出口市场多元化战略，减少对单一市场的依赖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深度参与全球产业分工和合作；构建以国内大循环为主体、国内国际双循环相互促进的新发展格局</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以科学技术的发展推动建设创新型、开放型世界经济（不可替代）；促进经济全球化发展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中国市场红利与全球经济包容性增长</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推动全球经济包容性增长；为世界提供广大而充满创新活力的市场；向世界释放超大规模市场红利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维护以世界贸易组织为核心的多边贸易体制</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坚持世贸组织基本原则，破除贸易壁垒；维护多边贸易体制</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推进普惠包容的经济全球化，推动构建更加开放、包容的全球经济格局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经济全球化方向：普惠、平衡、共赢；更加包容、更可持续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促进资源优化配置；促进国际贸易；为世界新能源产业注入活力；让经济全球化更有活力</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破坏市场竞争；破坏市场秩序；不利于自身的发展；损害消费者的利益</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推动建设开放型世界经济；深化国际分工与合作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促进全球范围内标准共通、技术共享，推动全球技术创新与绿色转型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积极参与全球经济治理和规则制定，维护多边贸易体系，推动构建开放型世界经济</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互利共赢的开放战略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全球化 / 贸易保护主义；开放型世界经济 / 世界经济共同繁荣 / 互利共赢 / 开放合作 / 共享成果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发挥我国超大规模市场优势</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发挥我国超大规模市场优势</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推动全球要素集聚 / 引进来</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推动全球要素集聚 / 引进来</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促进国内国际双循环 / 让世界共享中国发展机遇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促进国内国际双循环 / 让世界共享中国发展机遇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数据要素在全球范围内流动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数据要素在全球范围内流动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开放合作 / 包容普惠</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开放合作 / 包容普惠</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遇到贸易、投资、市场、供应链、规则和开放合作，优先从全球化机制写。</w:t>
            </w:r>
          </w:p>
        </w:tc>
      </w:tr>
    </w:tbl>
    <w:p/>
    <w:p>
      <w:pPr>
        <w:pStyle w:val="Heading2"/>
        <w:spacing w:before="160" w:after="100"/>
      </w:pPr>
      <w:r>
        <w:rPr>
          <w:rFonts w:ascii="黑体" w:hAnsi="黑体" w:eastAsia="黑体"/>
          <w:b/>
          <w:color w:val="2F5496"/>
          <w:sz w:val="26"/>
        </w:rPr>
        <w:t>政治多极化</w:t>
      </w:r>
    </w:p>
    <w:p>
      <w:pPr>
        <w:pStyle w:val="ListBullet"/>
        <w:spacing w:after="80" w:line="259" w:lineRule="auto"/>
      </w:pPr>
      <w:r>
        <w:rPr>
          <w:rFonts w:ascii="宋体" w:hAnsi="宋体" w:eastAsia="宋体"/>
          <w:b w:val="0"/>
          <w:sz w:val="21"/>
        </w:rPr>
        <w:t>看到国际关系、国际秩序、全球治理方向、多边主义、新型国际关系，优先从本桶组织答案。</w:t>
      </w:r>
    </w:p>
    <w:p>
      <w:pPr>
        <w:pStyle w:val="ListBullet"/>
        <w:spacing w:after="80" w:line="259" w:lineRule="auto"/>
      </w:pPr>
      <w:r>
        <w:rPr>
          <w:rFonts w:ascii="宋体" w:hAnsi="宋体" w:eastAsia="宋体"/>
          <w:b w:val="0"/>
          <w:sz w:val="21"/>
        </w:rPr>
        <w:t>“合作共赢的新型国际关系”不放理论桶；裸“合作共赢”必须按语境分流。</w:t>
      </w:r>
    </w:p>
    <w:p>
      <w:pPr>
        <w:pStyle w:val="ListBullet"/>
        <w:spacing w:after="80" w:line="259" w:lineRule="auto"/>
      </w:pPr>
      <w:r>
        <w:rPr>
          <w:rFonts w:ascii="宋体" w:hAnsi="宋体" w:eastAsia="宋体"/>
          <w:b w:val="0"/>
          <w:sz w:val="21"/>
        </w:rPr>
        <w:t>全球治理原则、国际秩序公正合理、国际关系民主化和真正多边主义在本桶展开。</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共商共建共享的全球治理观</w:t>
            </w:r>
          </w:p>
        </w:tc>
        <w:tc>
          <w:tcPr>
            <w:tcW w:type="dxa" w:w="2051"/>
            <w:vAlign w:val="center"/>
            <w:tcMar>
              <w:top w:w="80" w:type="dxa"/>
              <w:start w:w="90" w:type="dxa"/>
              <w:bottom w:w="80" w:type="dxa"/>
              <w:end w:w="90" w:type="dxa"/>
            </w:tcMar>
          </w:tcPr>
          <w:p>
            <w:pPr>
              <w:jc w:val="center"/>
            </w:pPr>
            <w:r>
              <w:rPr>
                <w:rFonts w:ascii="宋体" w:hAnsi="宋体" w:eastAsia="宋体"/>
                <w:sz w:val="19"/>
              </w:rPr>
              <w:t>15</w:t>
            </w:r>
          </w:p>
        </w:tc>
        <w:tc>
          <w:tcPr>
            <w:tcW w:type="dxa" w:w="2051"/>
            <w:vAlign w:val="center"/>
            <w:tcMar>
              <w:top w:w="80" w:type="dxa"/>
              <w:start w:w="90" w:type="dxa"/>
              <w:bottom w:w="80" w:type="dxa"/>
              <w:end w:w="90" w:type="dxa"/>
            </w:tcMar>
          </w:tcPr>
          <w:p>
            <w:pPr>
              <w:jc w:val="left"/>
            </w:pPr>
            <w:r>
              <w:rPr>
                <w:rFonts w:ascii="宋体" w:hAnsi="宋体" w:eastAsia="宋体"/>
                <w:sz w:val="19"/>
              </w:rPr>
              <w:t>共商共建共享全球治理观</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推动国际关系民主化</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推动构建国际新秩序、倡导国际关系民主化、践行多边主义、坚持正确义利观、兼顾利益等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11</w:t>
            </w:r>
          </w:p>
        </w:tc>
        <w:tc>
          <w:tcPr>
            <w:tcW w:type="dxa" w:w="2051"/>
            <w:vAlign w:val="center"/>
            <w:tcMar>
              <w:top w:w="80" w:type="dxa"/>
              <w:start w:w="90" w:type="dxa"/>
              <w:bottom w:w="80" w:type="dxa"/>
              <w:end w:w="90" w:type="dxa"/>
            </w:tcMar>
          </w:tcPr>
          <w:p>
            <w:pPr>
              <w:jc w:val="left"/>
            </w:pPr>
            <w:r>
              <w:rPr>
                <w:rFonts w:ascii="宋体" w:hAnsi="宋体" w:eastAsia="宋体"/>
                <w:sz w:val="19"/>
              </w:rPr>
              <w:t>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相互尊重、公平正义、合作共赢的新型国际关系</w:t>
            </w:r>
          </w:p>
        </w:tc>
        <w:tc>
          <w:tcPr>
            <w:tcW w:type="dxa" w:w="2051"/>
            <w:vAlign w:val="center"/>
            <w:tcMar>
              <w:top w:w="80" w:type="dxa"/>
              <w:start w:w="90" w:type="dxa"/>
              <w:bottom w:w="80" w:type="dxa"/>
              <w:end w:w="90" w:type="dxa"/>
            </w:tcMar>
          </w:tcPr>
          <w:p>
            <w:pPr>
              <w:jc w:val="center"/>
            </w:pPr>
            <w:r>
              <w:rPr>
                <w:rFonts w:ascii="宋体" w:hAnsi="宋体" w:eastAsia="宋体"/>
                <w:sz w:val="19"/>
              </w:rPr>
              <w:t>8</w:t>
            </w:r>
          </w:p>
        </w:tc>
        <w:tc>
          <w:tcPr>
            <w:tcW w:type="dxa" w:w="2051"/>
            <w:vAlign w:val="center"/>
            <w:tcMar>
              <w:top w:w="80" w:type="dxa"/>
              <w:start w:w="90" w:type="dxa"/>
              <w:bottom w:w="80" w:type="dxa"/>
              <w:end w:w="90" w:type="dxa"/>
            </w:tcMar>
          </w:tcPr>
          <w:p>
            <w:pPr>
              <w:jc w:val="left"/>
            </w:pPr>
            <w:r>
              <w:rPr>
                <w:rFonts w:ascii="宋体" w:hAnsi="宋体" w:eastAsia="宋体"/>
                <w:sz w:val="19"/>
              </w:rPr>
              <w:t>推动建设合作共赢的新型国际关系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维护地区和平与稳定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推动国际秩序和全球治理体系更加公正合理</w:t>
            </w:r>
          </w:p>
        </w:tc>
        <w:tc>
          <w:tcPr>
            <w:tcW w:type="dxa" w:w="2051"/>
            <w:vAlign w:val="center"/>
            <w:tcMar>
              <w:top w:w="80" w:type="dxa"/>
              <w:start w:w="90" w:type="dxa"/>
              <w:bottom w:w="80" w:type="dxa"/>
              <w:end w:w="90" w:type="dxa"/>
            </w:tcMar>
          </w:tcPr>
          <w:p>
            <w:pPr>
              <w:jc w:val="center"/>
            </w:pPr>
            <w:r>
              <w:rPr>
                <w:rFonts w:ascii="宋体" w:hAnsi="宋体" w:eastAsia="宋体"/>
                <w:sz w:val="19"/>
              </w:rPr>
              <w:t>10</w:t>
            </w:r>
          </w:p>
        </w:tc>
        <w:tc>
          <w:tcPr>
            <w:tcW w:type="dxa" w:w="2051"/>
            <w:vAlign w:val="center"/>
            <w:tcMar>
              <w:top w:w="80" w:type="dxa"/>
              <w:start w:w="90" w:type="dxa"/>
              <w:bottom w:w="80" w:type="dxa"/>
              <w:end w:w="90" w:type="dxa"/>
            </w:tcMar>
          </w:tcPr>
          <w:p>
            <w:pPr>
              <w:jc w:val="left"/>
            </w:pPr>
            <w:r>
              <w:rPr>
                <w:rFonts w:ascii="宋体" w:hAnsi="宋体" w:eastAsia="宋体"/>
                <w:sz w:val="19"/>
              </w:rPr>
              <w:t>完善全球治理 / 在公平治理中实现共赢 / 推动全球治理变革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促进共同发展、维护持久和平 / 共同推进现代化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践行真正的多边主义</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平等；公平；公正；多边主义；协商一致</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开放；合作；共享；共赢；包容；求同存异；共商共建</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共同但有区别的责任；发达国家应认真兑现承诺，为完善全球气候治理承担更多责任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跨国公司等全球企业，尤其是工业领域企业，应致力于技术创新，加快绿色低碳转型，努力降低碳排放</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世界多极化与全球南方联合自强</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世界多极化；世界多极化是当今国际形势的突出特点</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国际组织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超越集团政治的“小圈子”规则；超越实力至上的逻辑；超越少数西方国家定义的“普世价值”</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反对单边主义、霸权主义和强权政治</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反对霸权主义、强权政治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在平等互利基础上开展合作；互利共赢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r>
        <w:tc>
          <w:tcPr>
            <w:tcW w:type="dxa" w:w="2051"/>
            <w:vAlign w:val="center"/>
            <w:tcMar>
              <w:top w:w="80" w:type="dxa"/>
              <w:start w:w="90" w:type="dxa"/>
              <w:bottom w:w="80" w:type="dxa"/>
              <w:end w:w="90" w:type="dxa"/>
            </w:tcMar>
          </w:tcPr>
          <w:p>
            <w:pPr>
              <w:jc w:val="left"/>
            </w:pPr>
            <w:r>
              <w:rPr>
                <w:rFonts w:ascii="宋体" w:hAnsi="宋体" w:eastAsia="宋体"/>
                <w:sz w:val="19"/>
              </w:rPr>
              <w:t>主权平等 / 安全保障</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主权平等 / 安全保障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遇到秩序、治理、话语权、多边主义和新型国际关系，优先从政治多极化写。</w:t>
            </w:r>
          </w:p>
        </w:tc>
      </w:tr>
    </w:tbl>
    <w:p/>
    <w:p>
      <w:pPr>
        <w:pStyle w:val="Heading2"/>
        <w:spacing w:before="160" w:after="100"/>
      </w:pPr>
      <w:r>
        <w:rPr>
          <w:rFonts w:ascii="黑体" w:hAnsi="黑体" w:eastAsia="黑体"/>
          <w:b/>
          <w:color w:val="2F5496"/>
          <w:sz w:val="26"/>
        </w:rPr>
        <w:t>中国</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坚持总体国家安全观，统筹发展与安全，以新安全格局保障新发展格局</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处理好发展和安全的关系 / 统筹发展和安全；总体国家安全观 / 底线思维 / 维护国家经济安全、科技安全 / 应对风险等；经济平稳可持续发展 / 高质量发展 / 注入新动能等</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贡献中国智慧、中国方案、中国力量</w:t>
            </w:r>
          </w:p>
        </w:tc>
        <w:tc>
          <w:tcPr>
            <w:tcW w:type="dxa" w:w="2051"/>
            <w:vAlign w:val="center"/>
            <w:tcMar>
              <w:top w:w="80" w:type="dxa"/>
              <w:start w:w="90" w:type="dxa"/>
              <w:bottom w:w="80" w:type="dxa"/>
              <w:end w:w="90" w:type="dxa"/>
            </w:tcMar>
          </w:tcPr>
          <w:p>
            <w:pPr>
              <w:jc w:val="center"/>
            </w:pPr>
            <w:r>
              <w:rPr>
                <w:rFonts w:ascii="宋体" w:hAnsi="宋体" w:eastAsia="宋体"/>
                <w:sz w:val="19"/>
              </w:rPr>
              <w:t>11</w:t>
            </w:r>
          </w:p>
        </w:tc>
        <w:tc>
          <w:tcPr>
            <w:tcW w:type="dxa" w:w="2051"/>
            <w:vAlign w:val="center"/>
            <w:tcMar>
              <w:top w:w="80" w:type="dxa"/>
              <w:start w:w="90" w:type="dxa"/>
              <w:bottom w:w="80" w:type="dxa"/>
              <w:end w:w="90" w:type="dxa"/>
            </w:tcMar>
          </w:tcPr>
          <w:p>
            <w:pPr>
              <w:jc w:val="left"/>
            </w:pPr>
            <w:r>
              <w:rPr>
                <w:rFonts w:ascii="宋体" w:hAnsi="宋体" w:eastAsia="宋体"/>
                <w:sz w:val="19"/>
              </w:rPr>
              <w:t>贡献中国智慧、中国方案、勇于大国担当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7"/>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中国综合国力、国际地位和话语权提升</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中国的综合国力不断增强，国际地位不断提升，承担越来越多的国际责任</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习近平外交思想指导中国特色大国外交（外交为民、服务中国式现代化）</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外交指导思想与时俱进，习近平外交思想为新时代中国特色大国外交提供了根本遵循和行动指南</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新中国外交始终服务于我国人民民主专政的国家性质；坚持党对外交统一集中领导</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新中国外交始终服务于我国人民民主专政的国家性质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中国坚持独立自主和平外交与和平共处五项原则</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7"/>
              </w:rPr>
              <w:t>独立自主的和平外交政策；坚持独立自主的基本立场；贯彻维护世界和平、促进共同发展的宗旨；促进世界和平与发展为基本目标；坚持以和平共处五项原则作为我国对外关系基本准则</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与发展中国家共享发展新机遇，惠民生增福祉，实现互利共赢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周边工作新局面四定位：发展繁荣的重要基础、维护国家安全的重点、运筹外交全局的首要、推动构建人类命运共同体的关键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实现发展繁荣的重要基础；维护国家安全的重点；运筹外交全局的首要；推动构建人类命运共同体的关键</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14</w:t>
            </w:r>
          </w:p>
        </w:tc>
        <w:tc>
          <w:tcPr>
            <w:tcW w:type="dxa" w:w="2051"/>
            <w:vAlign w:val="center"/>
            <w:tcMar>
              <w:top w:w="80" w:type="dxa"/>
              <w:start w:w="90" w:type="dxa"/>
              <w:bottom w:w="80" w:type="dxa"/>
              <w:end w:w="90" w:type="dxa"/>
            </w:tcMar>
          </w:tcPr>
          <w:p>
            <w:pPr>
              <w:jc w:val="left"/>
            </w:pPr>
            <w:r>
              <w:rPr>
                <w:rFonts w:ascii="宋体" w:hAnsi="宋体" w:eastAsia="宋体"/>
                <w:sz w:val="19"/>
              </w:rPr>
              <w:t>开辟中国特色大国外交的新境界 / 构建人类命运共同体的新实践</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中国作为联合国创始会员国 / 安理会常任理事国；世界上最大的发展中国家 / 国际政治经济格局中的重要力量</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坚持正确义利观，在发展合作中共享机遇</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坚持正确的义利观 / 发展合作中共享机遇 / 坚持互利共赢</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改善发展中国家民生并助力持续发展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改善发展中国家民生 / 助力发展中国家持续发展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民心相通与文明互鉴</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加强教育文化交流，促进民心相通 / 文化借鉴融合 / 加强团结合作</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四大全球倡议相互促进、有机统一，系统推动构建人类命运共同体</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携手构建人类命运共同体，就是要建设持久和平、普遍安全、共同繁荣、开放包容、清洁美丽的世界</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全球发展倡议：以发展促繁荣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全球安全倡议：以安全保稳定</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全球文明倡议：以文明增互信</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全球治理倡议：以治理求公正</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从中国主张到国际共识，从合作理念到共同行动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南南合作与全球南方共同发展</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7"/>
              </w:rPr>
              <w:t>中国作为世界上最大的发展中国家，是国际政治经济格局中一支重要力量，积极参与全球治理，为推动全球南方实现现代化发挥作用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中国积极参与国际组织，在联合国、金砖国家、二十国集团、博鳌亚洲论坛等国际组织中的作用日益显著，已成为全球治理体系的重要参与者、贡献者和改革者</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中国推进绿色低碳转型并参与全球气候治理</w:t>
            </w:r>
          </w:p>
        </w:tc>
        <w:tc>
          <w:tcPr>
            <w:tcW w:type="dxa" w:w="2051"/>
            <w:vAlign w:val="center"/>
            <w:tcMar>
              <w:top w:w="80" w:type="dxa"/>
              <w:start w:w="90" w:type="dxa"/>
              <w:bottom w:w="80" w:type="dxa"/>
              <w:end w:w="90" w:type="dxa"/>
            </w:tcMar>
          </w:tcPr>
          <w:p>
            <w:pPr>
              <w:jc w:val="center"/>
            </w:pPr>
            <w:r>
              <w:rPr>
                <w:rFonts w:ascii="宋体" w:hAnsi="宋体" w:eastAsia="宋体"/>
                <w:sz w:val="19"/>
              </w:rPr>
              <w:t>4</w:t>
            </w:r>
          </w:p>
        </w:tc>
        <w:tc>
          <w:tcPr>
            <w:tcW w:type="dxa" w:w="2051"/>
            <w:vAlign w:val="center"/>
            <w:tcMar>
              <w:top w:w="80" w:type="dxa"/>
              <w:start w:w="90" w:type="dxa"/>
              <w:bottom w:w="80" w:type="dxa"/>
              <w:end w:w="90" w:type="dxa"/>
            </w:tcMar>
          </w:tcPr>
          <w:p>
            <w:pPr>
              <w:jc w:val="left"/>
            </w:pPr>
            <w:r>
              <w:rPr>
                <w:rFonts w:ascii="宋体" w:hAnsi="宋体" w:eastAsia="宋体"/>
                <w:sz w:val="19"/>
              </w:rPr>
              <w:t>推进绿色低碳发展转型；以实际行动应对气候变化</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严格落实《巴黎协定》要求，每五年向联合国提交国家自主贡献目标，维护全球气候治理多边进程</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严格落实《巴黎协定》要求；每五年提交国家自主贡献目标；维护全球气候治理多边进程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中国是负责任大国并勇于担当</w:t>
            </w:r>
          </w:p>
        </w:tc>
        <w:tc>
          <w:tcPr>
            <w:tcW w:type="dxa" w:w="2051"/>
            <w:vAlign w:val="center"/>
            <w:tcMar>
              <w:top w:w="80" w:type="dxa"/>
              <w:start w:w="90" w:type="dxa"/>
              <w:bottom w:w="80" w:type="dxa"/>
              <w:end w:w="90" w:type="dxa"/>
            </w:tcMar>
          </w:tcPr>
          <w:p>
            <w:pPr>
              <w:jc w:val="center"/>
            </w:pPr>
            <w:r>
              <w:rPr>
                <w:rFonts w:ascii="宋体" w:hAnsi="宋体" w:eastAsia="宋体"/>
                <w:sz w:val="19"/>
              </w:rPr>
              <w:t>5</w:t>
            </w:r>
          </w:p>
        </w:tc>
        <w:tc>
          <w:tcPr>
            <w:tcW w:type="dxa" w:w="2051"/>
            <w:vAlign w:val="center"/>
            <w:tcMar>
              <w:top w:w="80" w:type="dxa"/>
              <w:start w:w="90" w:type="dxa"/>
              <w:bottom w:w="80" w:type="dxa"/>
              <w:end w:w="90" w:type="dxa"/>
            </w:tcMar>
          </w:tcPr>
          <w:p>
            <w:pPr>
              <w:jc w:val="left"/>
            </w:pPr>
            <w:r>
              <w:rPr>
                <w:rFonts w:ascii="宋体" w:hAnsi="宋体" w:eastAsia="宋体"/>
                <w:sz w:val="19"/>
              </w:rPr>
              <w:t>主动担当全球气候治理责任；展现负责任大国担当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坚持独立自主、自力更生，增强发展主动权</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坚持独立自主，增强自主创新能力，实现关键核心技术自主可控，把发展主动权牢牢掌握在自己手中</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贯彻维护世界和平、促进共同发展的宗旨；促进世界的和平与发展为基本目标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促进技术共享和民生改善；为全球可持续发展贡献力量</w:t>
            </w:r>
          </w:p>
        </w:tc>
        <w:tc>
          <w:tcPr>
            <w:tcW w:type="dxa" w:w="2051"/>
            <w:vAlign w:val="center"/>
            <w:tcMar>
              <w:top w:w="80" w:type="dxa"/>
              <w:start w:w="90" w:type="dxa"/>
              <w:bottom w:w="80" w:type="dxa"/>
              <w:end w:w="90" w:type="dxa"/>
            </w:tcMar>
          </w:tcPr>
          <w:p>
            <w:pPr>
              <w:jc w:val="center"/>
            </w:pPr>
            <w:r>
              <w:rPr>
                <w:rFonts w:ascii="宋体" w:hAnsi="宋体" w:eastAsia="宋体"/>
                <w:sz w:val="19"/>
              </w:rPr>
              <w:t>3</w:t>
            </w:r>
          </w:p>
        </w:tc>
        <w:tc>
          <w:tcPr>
            <w:tcW w:type="dxa" w:w="2051"/>
            <w:vAlign w:val="center"/>
            <w:tcMar>
              <w:top w:w="80" w:type="dxa"/>
              <w:start w:w="90" w:type="dxa"/>
              <w:bottom w:w="80" w:type="dxa"/>
              <w:end w:w="90" w:type="dxa"/>
            </w:tcMar>
          </w:tcPr>
          <w:p>
            <w:pPr>
              <w:jc w:val="left"/>
            </w:pPr>
            <w:r>
              <w:rPr>
                <w:rFonts w:ascii="宋体" w:hAnsi="宋体" w:eastAsia="宋体"/>
                <w:sz w:val="19"/>
              </w:rPr>
              <w:t>通过技术交流与资源共享，带动当地经济、社会发展</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倡导文明平等互鉴；弘扬全人类共同价值；尊重世界文明多样性</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聚焦发展中国家紧迫需求；灵活实施；快速响应基层社区需求；规模小更易统筹、可推广，形成品牌和共同发展目标</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理念蕴含普遍价值，能够形成共识、促成合作和发展、应对全人类共同问题和共同挑战</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r>
        <w:tc>
          <w:tcPr>
            <w:tcW w:type="dxa" w:w="2051"/>
            <w:vAlign w:val="center"/>
            <w:tcMar>
              <w:top w:w="80" w:type="dxa"/>
              <w:start w:w="90" w:type="dxa"/>
              <w:bottom w:w="80" w:type="dxa"/>
              <w:end w:w="90" w:type="dxa"/>
            </w:tcMar>
          </w:tcPr>
          <w:p>
            <w:pPr>
              <w:jc w:val="left"/>
            </w:pPr>
            <w:r>
              <w:rPr>
                <w:rFonts w:ascii="宋体" w:hAnsi="宋体" w:eastAsia="宋体"/>
                <w:sz w:val="19"/>
              </w:rPr>
              <w:t>展现大国责任担当</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展现大国责任担当</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遇到中国行动、中国方案、中国责任，先写中国定位、政策和贡献。</w:t>
            </w:r>
          </w:p>
        </w:tc>
      </w:tr>
    </w:tbl>
    <w:p/>
    <w:p>
      <w:pPr>
        <w:pStyle w:val="Heading2"/>
        <w:spacing w:before="160" w:after="100"/>
      </w:pPr>
      <w:r>
        <w:rPr>
          <w:rFonts w:ascii="黑体" w:hAnsi="黑体" w:eastAsia="黑体"/>
          <w:b/>
          <w:color w:val="2F5496"/>
          <w:sz w:val="26"/>
        </w:rPr>
        <w:t>联合国</w:t>
      </w:r>
    </w:p>
    <w:p>
      <w:pPr>
        <w:pStyle w:val="ListBullet"/>
        <w:spacing w:after="80" w:line="259" w:lineRule="auto"/>
      </w:pPr>
      <w:r>
        <w:rPr>
          <w:rFonts w:ascii="宋体" w:hAnsi="宋体" w:eastAsia="宋体"/>
          <w:b w:val="0"/>
          <w:sz w:val="21"/>
        </w:rPr>
        <w:t>本桶只负责联合国地位作用、宪章宗旨原则、以联合国为核心的国际体系、共同议程以及联合国与中国关系。</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维护《联合国宪章》宗旨和原则</w:t>
            </w:r>
          </w:p>
        </w:tc>
        <w:tc>
          <w:tcPr>
            <w:tcW w:type="dxa" w:w="2051"/>
            <w:vAlign w:val="center"/>
            <w:tcMar>
              <w:top w:w="80" w:type="dxa"/>
              <w:start w:w="90" w:type="dxa"/>
              <w:bottom w:w="80" w:type="dxa"/>
              <w:end w:w="90" w:type="dxa"/>
            </w:tcMar>
          </w:tcPr>
          <w:p>
            <w:pPr>
              <w:jc w:val="center"/>
            </w:pPr>
            <w:r>
              <w:rPr>
                <w:rFonts w:ascii="宋体" w:hAnsi="宋体" w:eastAsia="宋体"/>
                <w:sz w:val="19"/>
              </w:rPr>
              <w:t>6</w:t>
            </w:r>
          </w:p>
        </w:tc>
        <w:tc>
          <w:tcPr>
            <w:tcW w:type="dxa" w:w="2051"/>
            <w:vAlign w:val="center"/>
            <w:tcMar>
              <w:top w:w="80" w:type="dxa"/>
              <w:start w:w="90" w:type="dxa"/>
              <w:bottom w:w="80" w:type="dxa"/>
              <w:end w:w="90" w:type="dxa"/>
            </w:tcMar>
          </w:tcPr>
          <w:p>
            <w:pPr>
              <w:jc w:val="left"/>
            </w:pPr>
            <w:r>
              <w:rPr>
                <w:rFonts w:ascii="宋体" w:hAnsi="宋体" w:eastAsia="宋体"/>
                <w:sz w:val="19"/>
              </w:rPr>
              <w:t>符合《联合国宪章》</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联合国是当今世界最具普遍性、代表性和权威性的政府间国际组织，并在维护和平、推动发展、促进人类文明进步中发挥重要作用</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7"/>
              </w:rPr>
              <w:t>联合国是当今世界最具普遍性、代表性和权威性的政府间国际组织；集体安全机制的核心；实践多边主义的最佳场所；在维护世界和平、推动共同发展、促进人类文明进步中发挥重要作用</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联合国对中国对外开放和现代化事业作出独特贡献，成为中国开展多边合作的主要舞台</w:t>
            </w:r>
          </w:p>
        </w:tc>
        <w:tc>
          <w:tcPr>
            <w:tcW w:type="dxa" w:w="2051"/>
            <w:vAlign w:val="center"/>
            <w:tcMar>
              <w:top w:w="80" w:type="dxa"/>
              <w:start w:w="90" w:type="dxa"/>
              <w:bottom w:w="80" w:type="dxa"/>
              <w:end w:w="90" w:type="dxa"/>
            </w:tcMar>
          </w:tcPr>
          <w:p>
            <w:pPr>
              <w:jc w:val="center"/>
            </w:pPr>
            <w:r>
              <w:rPr>
                <w:rFonts w:ascii="宋体" w:hAnsi="宋体" w:eastAsia="宋体"/>
                <w:sz w:val="19"/>
              </w:rPr>
              <w:t>1</w:t>
            </w:r>
          </w:p>
        </w:tc>
        <w:tc>
          <w:tcPr>
            <w:tcW w:type="dxa" w:w="2051"/>
            <w:vAlign w:val="center"/>
            <w:tcMar>
              <w:top w:w="80" w:type="dxa"/>
              <w:start w:w="90" w:type="dxa"/>
              <w:bottom w:w="80" w:type="dxa"/>
              <w:end w:w="90" w:type="dxa"/>
            </w:tcMar>
          </w:tcPr>
          <w:p>
            <w:pPr>
              <w:jc w:val="left"/>
            </w:pPr>
            <w:r>
              <w:rPr>
                <w:rFonts w:ascii="宋体" w:hAnsi="宋体" w:eastAsia="宋体"/>
                <w:sz w:val="19"/>
              </w:rPr>
              <w:t>联合国对中国的对外开放和现代化事业作出了独特贡献，成为中国开展多边合作的主要舞台</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r>
        <w:tc>
          <w:tcPr>
            <w:tcW w:type="dxa" w:w="2051"/>
            <w:vAlign w:val="center"/>
            <w:tcMar>
              <w:top w:w="80" w:type="dxa"/>
              <w:start w:w="90" w:type="dxa"/>
              <w:bottom w:w="80" w:type="dxa"/>
              <w:end w:w="90" w:type="dxa"/>
            </w:tcMar>
          </w:tcPr>
          <w:p>
            <w:pPr>
              <w:jc w:val="left"/>
            </w:pPr>
            <w:r>
              <w:rPr>
                <w:rFonts w:ascii="宋体" w:hAnsi="宋体" w:eastAsia="宋体"/>
                <w:sz w:val="19"/>
              </w:rPr>
              <w:t>落实联合国2030年可持续发展议程</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联合国2030年可持续发展议程</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遇到联合国、宪章、2030议程和多边场域，先写联合国框架。</w:t>
            </w:r>
          </w:p>
        </w:tc>
      </w:tr>
    </w:tbl>
    <w:p/>
    <w:p>
      <w:pPr>
        <w:pStyle w:val="Heading2"/>
        <w:spacing w:before="160" w:after="100"/>
      </w:pPr>
      <w:r>
        <w:rPr>
          <w:rFonts w:ascii="黑体" w:hAnsi="黑体" w:eastAsia="黑体"/>
          <w:b/>
          <w:color w:val="2F5496"/>
          <w:sz w:val="26"/>
        </w:rPr>
        <w:t>附：总说句 / 兜底加分表达</w:t>
      </w:r>
    </w:p>
    <w:p>
      <w:pPr>
        <w:pStyle w:val="ListBullet"/>
        <w:spacing w:after="80" w:line="259" w:lineRule="auto"/>
      </w:pPr>
      <w:r>
        <w:rPr>
          <w:rFonts w:ascii="宋体" w:hAnsi="宋体" w:eastAsia="宋体"/>
          <w:b w:val="0"/>
          <w:sz w:val="21"/>
        </w:rPr>
        <w:t>本附录只用于答案收束、过渡或最后补充，不能替代核心答题点。</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90" w:type="dxa"/>
              <w:bottom w:w="80" w:type="dxa"/>
              <w:end w:w="90" w:type="dxa"/>
            </w:tcMar>
            <w:shd w:fill="D9EAF7"/>
          </w:tcPr>
          <w:p>
            <w:pPr>
              <w:jc w:val="left"/>
            </w:pPr>
            <w:r>
              <w:rPr>
                <w:rFonts w:ascii="宋体" w:hAnsi="宋体" w:eastAsia="宋体"/>
                <w:b/>
                <w:sz w:val="19"/>
              </w:rPr>
              <w:t>核心答题点</w:t>
            </w:r>
          </w:p>
        </w:tc>
        <w:tc>
          <w:tcPr>
            <w:tcW w:type="dxa" w:w="2051"/>
            <w:vAlign w:val="center"/>
            <w:tcMar>
              <w:top w:w="80" w:type="dxa"/>
              <w:start w:w="90" w:type="dxa"/>
              <w:bottom w:w="80" w:type="dxa"/>
              <w:end w:w="90" w:type="dxa"/>
            </w:tcMar>
            <w:shd w:fill="D9EAF7"/>
          </w:tcPr>
          <w:p>
            <w:pPr>
              <w:jc w:val="center"/>
            </w:pPr>
            <w:r>
              <w:rPr>
                <w:rFonts w:ascii="宋体" w:hAnsi="宋体" w:eastAsia="宋体"/>
                <w:b/>
                <w:sz w:val="19"/>
              </w:rPr>
              <w:t>出现</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表述积累首句</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厚版定位</w:t>
            </w:r>
          </w:p>
        </w:tc>
        <w:tc>
          <w:tcPr>
            <w:tcW w:type="dxa" w:w="2051"/>
            <w:vAlign w:val="center"/>
            <w:tcMar>
              <w:top w:w="80" w:type="dxa"/>
              <w:start w:w="90" w:type="dxa"/>
              <w:bottom w:w="80" w:type="dxa"/>
              <w:end w:w="90" w:type="dxa"/>
            </w:tcMar>
            <w:shd w:fill="D9EAF7"/>
          </w:tcPr>
          <w:p>
            <w:pPr>
              <w:jc w:val="left"/>
            </w:pPr>
            <w:r>
              <w:rPr>
                <w:rFonts w:ascii="宋体" w:hAnsi="宋体" w:eastAsia="宋体"/>
                <w:b/>
                <w:sz w:val="19"/>
              </w:rPr>
              <w:t>迁移提醒</w:t>
            </w:r>
          </w:p>
        </w:tc>
      </w:tr>
      <w:tr>
        <w:tc>
          <w:tcPr>
            <w:tcW w:type="dxa" w:w="2051"/>
            <w:vAlign w:val="center"/>
            <w:tcMar>
              <w:top w:w="80" w:type="dxa"/>
              <w:start w:w="90" w:type="dxa"/>
              <w:bottom w:w="80" w:type="dxa"/>
              <w:end w:w="90" w:type="dxa"/>
            </w:tcMar>
          </w:tcPr>
          <w:p>
            <w:pPr>
              <w:jc w:val="left"/>
            </w:pPr>
            <w:r>
              <w:rPr>
                <w:rFonts w:ascii="宋体" w:hAnsi="宋体" w:eastAsia="宋体"/>
                <w:sz w:val="19"/>
              </w:rPr>
              <w:t>【兜底】中国特色大国外交主动作为，是顺应世界发展大势、服务国家发展大局的必然选择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center"/>
            </w:pPr>
            <w:r>
              <w:rPr>
                <w:rFonts w:ascii="宋体" w:hAnsi="宋体" w:eastAsia="宋体"/>
                <w:sz w:val="19"/>
              </w:rPr>
              <w:t>2</w:t>
            </w:r>
          </w:p>
        </w:tc>
        <w:tc>
          <w:tcPr>
            <w:tcW w:type="dxa" w:w="2051"/>
            <w:vAlign w:val="center"/>
            <w:tcMar>
              <w:top w:w="80" w:type="dxa"/>
              <w:start w:w="90" w:type="dxa"/>
              <w:bottom w:w="80" w:type="dxa"/>
              <w:end w:w="90" w:type="dxa"/>
            </w:tcMar>
          </w:tcPr>
          <w:p>
            <w:pPr>
              <w:jc w:val="left"/>
            </w:pPr>
            <w:r>
              <w:rPr>
                <w:rFonts w:ascii="宋体" w:hAnsi="宋体" w:eastAsia="宋体"/>
                <w:sz w:val="19"/>
              </w:rPr>
              <w:t>中国特色大国外交主动作为，是顺应世界发展大势、服务国家发展大局的必然选择</w:t>
            </w:r>
          </w:p>
        </w:tc>
        <w:tc>
          <w:tcPr>
            <w:tcW w:type="dxa" w:w="2051"/>
            <w:vAlign w:val="center"/>
            <w:tcMar>
              <w:top w:w="80" w:type="dxa"/>
              <w:start w:w="90" w:type="dxa"/>
              <w:bottom w:w="80" w:type="dxa"/>
              <w:end w:w="90" w:type="dxa"/>
            </w:tcMar>
          </w:tcPr>
          <w:p>
            <w:pPr>
              <w:jc w:val="left"/>
            </w:pPr>
            <w:r>
              <w:rPr>
                <w:rFonts w:ascii="宋体" w:hAnsi="宋体" w:eastAsia="宋体"/>
                <w:sz w:val="19"/>
              </w:rPr>
              <w:t>同名二级标题</w:t>
            </w:r>
          </w:p>
        </w:tc>
        <w:tc>
          <w:tcPr>
            <w:tcW w:type="dxa" w:w="2051"/>
            <w:vAlign w:val="center"/>
            <w:tcMar>
              <w:top w:w="80" w:type="dxa"/>
              <w:start w:w="90" w:type="dxa"/>
              <w:bottom w:w="80" w:type="dxa"/>
              <w:end w:w="90" w:type="dxa"/>
            </w:tcMar>
          </w:tcPr>
          <w:p>
            <w:pPr>
              <w:jc w:val="left"/>
            </w:pPr>
            <w:r>
              <w:rPr>
                <w:rFonts w:ascii="宋体" w:hAnsi="宋体" w:eastAsia="宋体"/>
                <w:sz w:val="19"/>
              </w:rPr>
              <w:t>只能作收束或补充，不能代替具体节点。</w:t>
            </w:r>
          </w:p>
        </w:tc>
      </w:tr>
    </w:tbl>
    <w:p/>
    <w:p>
      <w:pPr>
        <w:pStyle w:val="Heading2"/>
        <w:spacing w:before="160" w:after="100"/>
      </w:pPr>
      <w:r>
        <w:rPr>
          <w:rFonts w:ascii="黑体" w:hAnsi="黑体" w:eastAsia="黑体"/>
          <w:b/>
          <w:color w:val="2F5496"/>
          <w:sz w:val="26"/>
        </w:rPr>
        <w:t>附：模块边界 / 跨书提示</w:t>
      </w:r>
    </w:p>
    <w:p>
      <w:pPr>
        <w:pStyle w:val="ListBullet"/>
        <w:spacing w:after="80" w:line="259" w:lineRule="auto"/>
      </w:pPr>
      <w:r>
        <w:rPr>
          <w:rFonts w:ascii="宋体" w:hAnsi="宋体" w:eastAsia="宋体"/>
          <w:b w:val="0"/>
          <w:sz w:val="21"/>
        </w:rPr>
        <w:t>本附录记录混合设问中的跨书机制，不进入选必一主链背诵优先级。</w:t>
      </w:r>
    </w:p>
    <w:p>
      <w:pPr>
        <w:spacing w:after="80" w:line="259" w:lineRule="auto"/>
      </w:pPr>
      <w:r>
        <w:rPr>
          <w:rFonts w:ascii="宋体" w:hAnsi="宋体" w:eastAsia="宋体"/>
          <w:b w:val="0"/>
          <w:sz w:val="21"/>
        </w:rPr>
        <w:t>具体边界条目见学生厚版末尾附录。</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