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227</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247</w:t>
      </w:r>
      <w:r/>
      <w:r/>
    </w:p>
    <w:p w14:paraId="79268F30">
      <w:pPr>
        <w:tabs>
          <w:tab w:val="right" w:leader="dot" w:pos="9072"/>
        </w:tabs>
        <w:spacing w:after="40"/>
      </w:pPr>
      <w:r>
        <w:rPr>
          <w:b/>
          <w:color w:val="163E63"/>
          <w:sz w:val="22"/>
        </w:rPr>
        <w:t>中国</w:t>
        <w:tab/>
        <w:t>249</w:t>
      </w:r>
      <w:r>
        <w:rPr>
          <w:b/>
          <w:color w:val="163E63"/>
          <w:sz w:val="22"/>
        </w:rPr>
      </w:r>
      <w:r>
        <w:rPr>
          <w:b/>
          <w:color w:val="163E63"/>
          <w:sz w:val="22"/>
        </w:rPr>
      </w:r>
    </w:p>
    <w:p w14:paraId="0D07CDF6">
      <w:pPr>
        <w:tabs>
          <w:tab w:val="right" w:leader="dot" w:pos="9072"/>
        </w:tabs>
        <w:spacing w:after="40"/>
        <w:ind w:left="461"/>
      </w:pPr>
      <w:r>
        <w:rPr>
          <w:b w:val="0"/>
          <w:sz w:val="21"/>
        </w:rPr>
        <w:t>政策</w:t>
        <w:tab/>
        <w:t>249</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300</w:t>
      </w:r>
      <w:r>
        <w:rPr>
          <w:b w:val="0"/>
          <w:sz w:val="21"/>
        </w:rPr>
      </w:r>
      <w:r>
        <w:rPr>
          <w:b w:val="0"/>
          <w:sz w:val="21"/>
        </w:rPr>
      </w:r>
    </w:p>
    <w:p w14:paraId="403E0F44">
      <w:pPr>
        <w:tabs>
          <w:tab w:val="right" w:leader="dot" w:pos="9072"/>
        </w:tabs>
        <w:spacing w:after="40"/>
        <w:ind w:left="461"/>
      </w:pPr>
      <w:r>
        <w:rPr>
          <w:b w:val="0"/>
          <w:sz w:val="21"/>
        </w:rPr>
        <w:t>一条历史线</w:t>
        <w:tab/>
        <w:t>334</w:t>
      </w:r>
      <w:r>
        <w:rPr>
          <w:b w:val="0"/>
          <w:sz w:val="21"/>
        </w:rPr>
      </w:r>
      <w:r>
        <w:rPr>
          <w:b w:val="0"/>
          <w:sz w:val="21"/>
        </w:rPr>
      </w:r>
    </w:p>
    <w:p w14:paraId="27A52FC8">
      <w:pPr>
        <w:tabs>
          <w:tab w:val="right" w:leader="dot" w:pos="9072"/>
        </w:tabs>
        <w:spacing w:after="40"/>
        <w:ind w:left="461"/>
      </w:pPr>
      <w:r>
        <w:rPr>
          <w:b w:val="0"/>
          <w:sz w:val="21"/>
        </w:rPr>
        <w:t>一条主线</w:t>
        <w:tab/>
        <w:t>339</w:t>
      </w:r>
      <w:r>
        <w:rPr>
          <w:b w:val="0"/>
          <w:sz w:val="21"/>
        </w:rPr>
      </w:r>
      <w:r>
        <w:rPr>
          <w:b w:val="0"/>
          <w:sz w:val="21"/>
        </w:rPr>
      </w:r>
    </w:p>
    <w:p w14:paraId="139EA648">
      <w:pPr>
        <w:tabs>
          <w:tab w:val="right" w:leader="dot" w:pos="9072"/>
        </w:tabs>
        <w:spacing w:after="40"/>
      </w:pPr>
      <w:r>
        <w:rPr>
          <w:b/>
          <w:color w:val="163E63"/>
          <w:sz w:val="22"/>
        </w:rPr>
        <w:t>联合国</w:t>
        <w:tab/>
        <w:t>342</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342</w:t>
      </w:r>
      <w:r>
        <w:rPr>
          <w:b w:val="0"/>
          <w:sz w:val="21"/>
        </w:rPr>
      </w:r>
      <w:r>
        <w:rPr>
          <w:b w:val="0"/>
          <w:sz w:val="21"/>
        </w:rPr>
      </w:r>
    </w:p>
    <w:p w14:paraId="2C6A359C">
      <w:pPr>
        <w:tabs>
          <w:tab w:val="right" w:leader="dot" w:pos="9072"/>
        </w:tabs>
        <w:spacing w:after="40"/>
        <w:ind w:left="461"/>
      </w:pPr>
      <w:r>
        <w:rPr>
          <w:b w:val="0"/>
          <w:sz w:val="21"/>
        </w:rPr>
        <w:t>联合国宪章宗旨和原则</w:t>
        <w:tab/>
        <w:t>343</w:t>
      </w:r>
      <w:r>
        <w:rPr>
          <w:b w:val="0"/>
          <w:sz w:val="21"/>
        </w:rPr>
      </w:r>
      <w:r>
        <w:rPr>
          <w:b w:val="0"/>
          <w:sz w:val="21"/>
        </w:rPr>
      </w:r>
    </w:p>
    <w:p w14:paraId="23D7E3B7">
      <w:pPr>
        <w:tabs>
          <w:tab w:val="right" w:leader="dot" w:pos="9072"/>
        </w:tabs>
        <w:spacing w:after="40"/>
        <w:ind w:left="461"/>
      </w:pPr>
      <w:r>
        <w:t>联合国发展议程与全球治理贡献</w:t>
        <w:tab/>
        <w:t>352</w:t>
      </w:r>
      <w:r/>
      <w:r/>
    </w:p>
    <w:p w14:paraId="7F7E8803">
      <w:pPr>
        <w:tabs>
          <w:tab w:val="right" w:leader="dot" w:pos="9072"/>
        </w:tabs>
        <w:spacing w:after="40"/>
        <w:ind w:left="461"/>
      </w:pPr>
      <w:r>
        <w:t>中国与联合国关系</w:t>
        <w:tab/>
        <w:t>354</w:t>
      </w:r>
      <w:r/>
      <w:r/>
    </w:p>
    <w:p w14:paraId="6FC2CC27">
      <w:pPr>
        <w:tabs>
          <w:tab w:val="right" w:leader="dot" w:pos="9072"/>
        </w:tabs>
        <w:spacing w:after="40"/>
        <w:ind w:left="461"/>
      </w:pPr>
      <w:r>
        <w:t>六大要素术语极简速记版</w:t>
        <w:tab/>
        <w:t>356</w:t>
      </w:r>
    </w:p>
    <w:p w14:paraId="4D9B66A4">
      <w:pPr>
        <w:tabs>
          <w:tab w:val="right" w:leader="dot" w:pos="9072"/>
        </w:tabs>
        <w:spacing w:after="40"/>
        <w:ind w:left="461"/>
      </w:pPr>
      <w:r>
        <w:t>时代背景</w:t>
        <w:tab/>
        <w:t>356</w:t>
      </w:r>
    </w:p>
    <w:p w14:paraId="6D2C2B82">
      <w:pPr>
        <w:tabs>
          <w:tab w:val="right" w:leader="dot" w:pos="9072"/>
        </w:tabs>
        <w:spacing w:after="40"/>
        <w:ind w:left="461"/>
      </w:pPr>
      <w:r>
        <w:t>理论</w:t>
        <w:tab/>
        <w:t>356</w:t>
      </w:r>
    </w:p>
    <w:p w14:paraId="2959CF1B">
      <w:pPr>
        <w:tabs>
          <w:tab w:val="right" w:leader="dot" w:pos="9072"/>
        </w:tabs>
        <w:spacing w:after="40"/>
        <w:ind w:left="461"/>
      </w:pPr>
      <w:r>
        <w:t>经济全球化</w:t>
        <w:tab/>
        <w:t>356</w:t>
      </w:r>
    </w:p>
    <w:p w14:paraId="5ED42389">
      <w:pPr>
        <w:tabs>
          <w:tab w:val="right" w:leader="dot" w:pos="9072"/>
        </w:tabs>
        <w:spacing w:after="40"/>
        <w:ind w:left="461"/>
      </w:pPr>
      <w:r>
        <w:t>政治多极化</w:t>
        <w:tab/>
        <w:t>358</w:t>
      </w:r>
    </w:p>
    <w:p w14:paraId="4A36A3E6">
      <w:pPr>
        <w:tabs>
          <w:tab w:val="right" w:leader="dot" w:pos="9072"/>
        </w:tabs>
        <w:spacing w:after="40"/>
        <w:ind w:left="461"/>
      </w:pPr>
      <w:r>
        <w:t>中国</w:t>
        <w:tab/>
        <w:t>360</w:t>
      </w:r>
    </w:p>
    <w:p>
      <w:pPr>
        <w:tabs>
          <w:tab w:val="right" w:leader="dot" w:pos="9072"/>
        </w:tabs>
        <w:spacing w:after="40"/>
        <w:ind w:left="461"/>
      </w:pPr>
      <w:r>
        <w:t>联合国</w:t>
        <w:tab/>
        <w:t>361</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【材料触发点】 设问分析外交的“变”，题面把新中国外交放在不同历史阶段和国际格局演进中，说明外交内容和任务的调整与外部时代背景变化相联系。</w:t>
      </w:r>
      <w:r>
        <w:rPr>
          <w:b w:val="0"/>
          <w:sz w:val="21"/>
        </w:rPr>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材料里加快互免签证、扩大单方面免签、激活双边投资促进工作组机制，都是降低跨境人员往来和资本合作成本的便利安排，因此可用推进贸易和投资自由化便利化来说明。</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题目指向理解“今天的中国，明天的世界”，题干中的微电网、打井、物流、希望农场等项目强调中国式现代化的开放实践让发展成果被更多国家共享，使经济全球化更有活力。</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免签、自贸“朋友圈”叠加鲁班工坊、菌草等合作项目，让更多国家参与并共享中国发展机遇。开放面向更广参与和更公平发展，体现推动经济全球化朝开放、包容、普惠、平衡、共赢方向发展。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题目指向理解“今天的中国，明天的世界”，题干中的微电网、打井、物流、希望农场等项目强调中国式现代化的开放实践让发展成果被更多国家共享，使经济全球化更有活力。</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【材料触发点】 设问问中国给最不发达国家100%税目产品零关税这一做法中的“中国担当”，材料中的零关税安排直接体现中国推动普惠包容全球化、帮助最不发达国家分享开放红利。</w:t>
      </w:r>
      <w:r>
        <w:rPr>
          <w:b w:val="0"/>
          <w:sz w:val="21"/>
        </w:rPr>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2D67068E">
      <w:r>
        <w:rPr>
          <w:b/>
          <w:sz w:val="21"/>
        </w:rPr>
        <w:t>【材料触发点】 “两区”举措中的外商投资法规与全球服务伙伴计划属于制度型营商环境优化，材料同时涉及法治化、便利化、国际化，体现营商环境与法治环境对外商投资和高水平引进来的双重吸引。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“十四五”圆满收官题以中国—中亚峰会、“一带一路”国际合作高峰论坛、中非合作论坛、进博会、服贸会、消博会等事实，体现我国持续扩大高水平对外开放、拓展多边合作平台。</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【材料触发点】题面材料集中呈现自贸区、自贸港制度创新，说明中国坚持对外开放基本国策，坚持引进来和走出去并重，以开放平台推进高水平对外开放。</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题目指向理解“今天的中国，明天的世界”，题干中的微电网、打井、物流、希望农场等项目强调中国式现代化的开放实践让发展成果被更多国家共享，使经济全球化更有活力。</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 联动国内国际两个市场两种资源，畅通国际国内双循环，与其他国家合作共赢，开拓海外市场、提升经济循环质量。</w:t>
      </w:r>
      <w:r>
        <w:rPr>
          <w:b w:val="0"/>
          <w:sz w:val="21"/>
        </w:rPr>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 在自力更生基点上扩大开放，推动国内国际资源联动、畅通国内国际双循环，提升开放合作水平。</w:t>
      </w:r>
      <w:r>
        <w:rPr>
          <w:b w:val="0"/>
          <w:sz w:val="21"/>
        </w:rPr>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 充分利用国内国际两种资源、两个市场，促进内外联通、畅通国内国际双循环，服务高水平对外开放。</w:t>
      </w:r>
      <w:r>
        <w:rPr>
          <w:b w:val="0"/>
          <w:sz w:val="21"/>
        </w:rPr>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【材料触发点】 材料强调中国通过共享发展成果、促进文明互鉴，为动荡变革世界注入稳定性，体现相互尊重、公平正义、合作共赢的新型国际关系方向。</w:t>
      </w:r>
      <w:r>
        <w:rPr>
          <w:b w:val="0"/>
          <w:sz w:val="21"/>
        </w:rPr>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题目指向理解“今天的中国，明天的世界”，材料把中国式现代化的开放实践写成多国共同受益的项目网络，体现共商共建共享的全球治理观。</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b w:val="0"/>
          <w:sz w:val="21"/>
        </w:rPr>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【材料触发点】 中国在巴黎AI行动峰会上推动联合国大会通过人工智能能力建设国际合作决议；开源战略由此同全球AI治理相连，需要用"构建人类命运共同体"说明全球合作新模式的价值方向。</w:t>
      </w:r>
      <w:r>
        <w:rPr>
          <w:b w:val="0"/>
          <w:sz w:val="21"/>
        </w:rPr>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【材料触发点】 设问问中国“大国情怀与担当”，材料中的国际合作、共同发展和全球治理行动体现中国坚持多边路线，维护联合国宪章宗旨和原则，并以正确义利观处理国际关系。</w:t>
      </w:r>
      <w:r>
        <w:rPr>
          <w:b w:val="0"/>
          <w:sz w:val="21"/>
        </w:rPr>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材料直接点出单边主义、单边霸凌逆流，说明问题的症结在于少数国家以单边方式破坏国际合作。中国要营造良好外部环境，就要以真正的多边主义回应单边主义和霸凌行径。</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 设问从“世界发展需要”层面问周边工作的意义，材料中的周边合作、互利共赢和命运共同体共识体现中国以区域合作推动国际关系民主化、践行真正的多边主义并促进全球治理变革。</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国际力量对比深刻调整、全球南方声势壮大，说明世界格局不再由少数国家单向主导，而是在多种力量共同作用中发展，因此可联想到世界多极化。</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 设问分析外交的“变”，题面把新中国外交放在不同历史阶段和国际格局演进中，说明外交内容和任务的调整与外部时代背景变化相联系。</w:t>
      </w:r>
      <w:r>
        <w:rPr>
          <w:b w:val="0"/>
          <w:sz w:val="21"/>
        </w:rPr>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【材料触发点】 材料把中国式现代化定位为走和平发展道路、造福中国也促进世界现代化，体现我国独立自主和平外交政策服务民族复兴和促进共同发展的统一。</w:t>
      </w:r>
      <w:r>
        <w:rPr>
          <w:b w:val="0"/>
          <w:sz w:val="21"/>
        </w:rPr>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【材料触发点】 设问分析新中国外交“不变”，材料中的外交政策基本准则指向和平共处五项原则这一稳定不变的对外关系准则。</w:t>
      </w:r>
      <w:r>
        <w:rPr>
          <w:b w:val="0"/>
          <w:sz w:val="21"/>
        </w:rPr>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“十四五”圆满收官题以中国—中亚峰会、“一带一路”国际合作高峰论坛、中非合作论坛、进博会、服贸会、消博会等事实，体现我国持续扩大高水平对外开放、拓展多边合作平台。</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【材料触发点】 材料呈现中国式现代化向世界开放、与各国共享机遇，说明中国把自身现代化实践转化为可供世界借鉴的中国智慧和中国方案。</w:t>
      </w:r>
      <w:r>
        <w:rPr>
          <w:b w:val="0"/>
          <w:sz w:val="21"/>
        </w:rPr>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“十四五”圆满收官题以中国—中亚峰会、“一带一路”国际合作高峰论坛、中非合作论坛、进博会、服贸会、消博会等事实，体现我国持续扩大高水平对外开放、拓展多边合作平台。</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6CEB54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题目指向理解“今天的中国，明天的世界”，题干中的微电网、打井、物流、希望农场等项目强调中国式现代化的开放实践让发展成果被更多国家共享，使经济全球化更有活力。</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丙同学要求在自身发展之外兼顾发展中国家需求、帮助其加强能力建设，说明中国处理国际合作不是单方取利，而是兼顾他国合理关切和共同收益。这体现义利相兼、以义为先的正确义利观。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题目指向理解“今天的中国，明天的世界”，题干中的微电网、打井、物流、希望农场等项目强调中国式现代化的开放实践让发展成果被更多国家共享，使经济全球化更有活力。</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全球文明倡议的材料线索是“文明交汇碰撞”和“民间外交、公共外交”，这些行动的直接效果是通过交流互鉴减少隔阂、增进理解和认同。因此可从民心相通与文明互鉴说明中国行动的意义。</w:t>
      </w:r>
      <w:r>
        <w:rPr>
          <w:b w:val="0"/>
          <w:sz w:val="21"/>
        </w:rPr>
      </w:r>
    </w:p>
    <w:p w14:paraId="6F4F3989">
      <w:r>
        <w:rPr>
          <w:b/>
          <w:sz w:val="21"/>
        </w:rPr>
        <w:t>【答案落点】 全球文明倡议通过民间外交、公共外交和文明交流互鉴，促进各国人民相知相亲，为发展、安全、文明三类倡议形成合力提供社会基础。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r>
        <w:rPr>
          <w:b w:val="0"/>
          <w:sz w:val="21"/>
        </w:rPr>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【材料触发点】 题目说明“联合国也需要中国”，关键在于中国作为联合国创始会员国和安理会常任理事国，在维护国际和平与安全、推动联合国事业中具有重要地位和作用。</w:t>
      </w:r>
      <w:r>
        <w:rPr>
          <w:b w:val="0"/>
          <w:sz w:val="21"/>
        </w:rPr>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jc w:val="center"/>
      </w:pPr>
      <w:r>
        <w:rPr>
          <w:rFonts w:ascii="Hiragino Sans GB" w:hAnsi="Hiragino Sans GB" w:eastAsia="Hiragino Sans GB" w:cs="Hiragino Sans GB"/>
          <w:b w:val="0"/>
          <w:sz w:val="36"/>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坚持正确义利观</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