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本题选必一部分2分，主体是政府，围绕“路径+结果”作答。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政府路径：</ns0:t>
      </ns0:r>
      <ns0:r>
        <ns0:rPr>
          <ns0:rFonts ns0:ascii="Hiragino Sans GB" ns0:hAnsi="Hiragino Sans GB" ns0:eastAsia="Hiragino Sans GB" ns0:cs="Hiragino Sans GB"/>
          <ns0:b ns0:val="0"/>
          <ns0:color ns0:val="27323A"/>
          <ns0:sz ns0:val="19"/>
        </ns0:rPr>
        <ns0:t>企业和政府可利用国际组织赋予的权利，积极参与全球经济治理和规则制定。</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作答结果：</ns0:t>
      </ns0:r>
      <ns0:r>
        <ns0:rPr>
          <ns0:rFonts ns0:ascii="Hiragino Sans GB" ns0:hAnsi="Hiragino Sans GB" ns0:eastAsia="Hiragino Sans GB" ns0:cs="Hiragino Sans GB"/>
          <ns0:b ns0:val="0"/>
          <ns0:color ns0:val="27323A"/>
          <ns0:sz ns0:val="19"/>
        </ns0:rPr>
        <ns0:t>为企业“出海”营造良好的国际环境。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易错边界：市场监管、营商环境、建立产权保护制度等不作为本题选必一有效答案方向；党、人大立法等其他模块知识不作为本题选必一有效答案方向。</ns0:t>
      </ns0:r>
      <ns0:r>
        <ns0:rPr>
          <ns0:rFonts ns0:ascii="Hiragino Sans GB" ns0:hAnsi="Hiragino Sans GB" ns0:eastAsia="Hiragino Sans GB" ns0:cs="Hiragino Sans GB"/>
          <ns0:b ns0:val="0"/>
          <ns0:color ns0:val="27323A"/>
          <ns0:sz ns0:val="19"/>
        </ns0:rPr>
        <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说明低碳能源、人工智能等领域的中国标准正在成为国际社会可共享的“通用语言”；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本题8分，是开放等级题和多模块题，不按固定答题点机械展开。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高档要求（7-8分）：</ns0:t>
      </ns0:r>
      <ns0:r>
        <ns0:rPr>
          <ns0:rFonts ns0:ascii="Hiragino Sans GB" ns0:hAnsi="Hiragino Sans GB" ns0:eastAsia="Hiragino Sans GB" ns0:cs="Hiragino Sans GB"/>
          <ns0:b ns0:val="0"/>
          <ns0:color ns0:val="27323A"/>
          <ns0:sz ns0:val="19"/>
        </ns0:rPr>
        <ns0:t>从3个不同维度展开，综合运用两个模块知识，围绕“全人类共同价值”全面分析，逻辑严密、条理清晰。</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能从两个或三个维度展开，特别要把“为什么重要、为什么必要”说清楚，但论述充分度不同。</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只罗列知识、知识不准确、简单抄材料或偏离主题，都不能进入高档。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可把构建人类命运共同体、时代主题、经济全球化、国际关系等作为开放题中的选必一角度使用，但必须和其他模块配合，不能只堆选必一术语。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