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0:pPr>
        <ns0:spacing ns0:before="0" ns0:after="80" ns0:line="320" ns0:lineRule="auto"/>
        <ns0:ind ns0:left="360"/>
      </ns0:pPr>
      <ns0:r>
        <ns0:rPr>
          <ns0:color ns0:val="5F6B73"/>
          <ns0:sz ns0:val="21"/>
          <ns0:szCs ns0:val="21"/>
        </ns0:rPr>
        <ns0:t>· 本点用于同题辨析：看到企业出海、海外市场、贸易壁垒等材料，先按上方【学生判别】确定方向，再与下方“技术质量、国际规则或市场多元化”等配对点合并作答。</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本题选必一部分2分，主体是政府，围绕“路径+结果”作答。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政府路径：</ns0:t>
      </ns0:r>
      <ns0:r>
        <ns0:rPr>
          <ns0:rFonts ns0:ascii="Hiragino Sans GB" ns0:hAnsi="Hiragino Sans GB" ns0:eastAsia="Hiragino Sans GB" ns0:cs="Hiragino Sans GB"/>
          <ns0:b ns0:val="0"/>
          <ns0:color ns0:val="27323A"/>
          <ns0:sz ns0:val="19"/>
        </ns0:rPr>
        <ns0:t>企业和政府可利用国际组织赋予的权利，积极参与全球经济治理和规则制定。</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作答结果：</ns0:t>
      </ns0:r>
      <ns0:r>
        <ns0:rPr>
          <ns0:rFonts ns0:ascii="Hiragino Sans GB" ns0:hAnsi="Hiragino Sans GB" ns0:eastAsia="Hiragino Sans GB" ns0:cs="Hiragino Sans GB"/>
          <ns0:b ns0:val="0"/>
          <ns0:color ns0:val="27323A"/>
          <ns0:sz ns0:val="19"/>
        </ns0:rPr>
        <ns0:t>为企业“出海”营造良好的国际环境。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易错边界：市场监管、营商环境、建立产权保护制度等不作为本题选必一有效答案方向；党、人大立法等其他模块知识不作为本题选必一有效答案方向。</ns0:t>
      </ns0:r>
      <ns0:r>
        <ns0:rPr>
          <ns0:rFonts ns0:ascii="Hiragino Sans GB" ns0:hAnsi="Hiragino Sans GB" ns0:eastAsia="Hiragino Sans GB" ns0:cs="Hiragino Sans GB"/>
          <ns0:b ns0:val="0"/>
          <ns0:color ns0:val="27323A"/>
          <ns0:sz ns0:val="19"/>
        </ns0:rPr>
        <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说明低碳能源、人工智能等领域的中国标准正在成为国际社会可共享的“通用语言”；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0:pPr>
        <ns0:spacing ns0:before="0" ns0:after="80" ns0:line="320" ns0:lineRule="auto"/>
        <ns0:ind ns0:left="360"/>
      </ns0:pPr>
      <ns0:r>
        <ns0:rPr>
          <ns0:color ns0:val="5F6B73"/>
          <ns0:sz ns0:val="21"/>
          <ns0:szCs ns0:val="21"/>
        </ns0:rPr>
        <ns0:t>· 本点用于同题辨析：看到单边霸凌、恃强凌弱、零和博弈等材料，先判断错误倾向，再按题意接多边主义、国际关系民主化或公正合理国际秩序。</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0:pPr>
        <ns0:spacing ns0:before="0" ns0:after="80" ns0:line="320" ns0:lineRule="auto"/>
        <ns0:ind ns0:left="360"/>
      </ns0:pPr>
      <ns0:r>
        <ns0:rPr>
          <ns0:color ns0:val="5F6B73"/>
          <ns0:sz ns0:val="21"/>
          <ns0:szCs ns0:val="21"/>
        </ns0:rPr>
        <ns0:t>· 本点用于同题辨析：看到中国以合作、援助、倡议或外交行动促进和平与共同发展时，先判断外交宗旨，再按题意接独立自主和平外交政策或人类命运共同体。</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本题8分，是开放等级题和多模块题，不按固定答题点机械展开。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高档要求（7-8分）：</ns0:t>
      </ns0:r>
      <ns0:r>
        <ns0:rPr>
          <ns0:rFonts ns0:ascii="Hiragino Sans GB" ns0:hAnsi="Hiragino Sans GB" ns0:eastAsia="Hiragino Sans GB" ns0:cs="Hiragino Sans GB"/>
          <ns0:b ns0:val="0"/>
          <ns0:color ns0:val="27323A"/>
          <ns0:sz ns0:val="19"/>
        </ns0:rPr>
        <ns0:t>从3个不同维度展开，综合运用两个模块知识，围绕“全人类共同价值”全面分析，逻辑严密、条理清晰。</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能从两个或三个维度展开，特别要把“为什么重要、为什么必要”说清楚，但论述充分度不同。</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只罗列知识、知识不准确、简单抄材料或偏离主题，都不能进入高档。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可把构建人类命运共同体、时代主题、经济全球化、国际关系等作为开放题中的选必一角度使用，但必须和其他模块配合，不能只堆选必一术语。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