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42</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44</w:t>
      </w:r>
      <w:r>
        <w:rPr>
          <w:b w:val="0"/>
          <w:sz w:val="21"/>
        </w:rPr>
      </w:r>
      <w:r>
        <w:rPr>
          <w:b w:val="0"/>
          <w:sz w:val="21"/>
        </w:rPr>
      </w:r>
    </w:p>
    <w:p w14:paraId="1B70F567">
      <w:pPr>
        <w:tabs>
          <w:tab w:val="right" w:leader="dot" w:pos="9072"/>
        </w:tabs>
        <w:spacing w:after="40"/>
        <w:ind w:left="461"/>
      </w:pPr>
      <w:r>
        <w:rPr>
          <w:b w:val="0"/>
          <w:sz w:val="21"/>
        </w:rPr>
        <w:t>配：资源配置</w:t>
        <w:tab/>
        <w:t>46</w:t>
      </w:r>
      <w:r>
        <w:rPr>
          <w:b w:val="0"/>
          <w:sz w:val="21"/>
        </w:rPr>
      </w:r>
      <w:r>
        <w:rPr>
          <w:b w:val="0"/>
          <w:sz w:val="21"/>
        </w:rPr>
      </w:r>
    </w:p>
    <w:p w14:paraId="7FD2FF65">
      <w:pPr>
        <w:tabs>
          <w:tab w:val="right" w:leader="dot" w:pos="9072"/>
        </w:tabs>
        <w:spacing w:after="40"/>
        <w:ind w:left="461"/>
      </w:pPr>
      <w:r>
        <w:rPr>
          <w:b w:val="0"/>
          <w:sz w:val="21"/>
        </w:rPr>
        <w:t>贸资：贸易投资自由化便利化</w:t>
        <w:tab/>
        <w:t>48</w:t>
      </w:r>
      <w:r>
        <w:rPr>
          <w:b w:val="0"/>
          <w:sz w:val="21"/>
        </w:rPr>
      </w:r>
      <w:r>
        <w:rPr>
          <w:b w:val="0"/>
          <w:sz w:val="21"/>
        </w:rPr>
      </w:r>
    </w:p>
    <w:p w14:paraId="03E7CA75">
      <w:pPr>
        <w:tabs>
          <w:tab w:val="right" w:leader="dot" w:pos="9072"/>
        </w:tabs>
        <w:spacing w:after="40"/>
        <w:ind w:left="461"/>
      </w:pPr>
      <w:r>
        <w:rPr>
          <w:b w:val="0"/>
          <w:sz w:val="21"/>
        </w:rPr>
        <w:t>总：开放包容普惠平衡共赢方向</w:t>
        <w:tab/>
        <w:t>62</w:t>
      </w:r>
      <w:r>
        <w:rPr>
          <w:b w:val="0"/>
          <w:sz w:val="21"/>
        </w:rPr>
      </w:r>
      <w:r>
        <w:rPr>
          <w:b w:val="0"/>
          <w:sz w:val="21"/>
        </w:rPr>
      </w:r>
    </w:p>
    <w:p w14:paraId="34D346A2">
      <w:pPr>
        <w:tabs>
          <w:tab w:val="right" w:leader="dot" w:pos="9072"/>
        </w:tabs>
        <w:spacing w:after="40"/>
        <w:ind w:left="461"/>
      </w:pPr>
      <w:r>
        <w:rPr>
          <w:b w:val="0"/>
          <w:sz w:val="21"/>
        </w:rPr>
        <w:t>开：高水平对外开放</w:t>
        <w:tab/>
        <w:t>87</w:t>
      </w:r>
      <w:r>
        <w:rPr>
          <w:b w:val="0"/>
          <w:sz w:val="21"/>
        </w:rPr>
      </w:r>
      <w:r>
        <w:rPr>
          <w:b w:val="0"/>
          <w:sz w:val="21"/>
        </w:rPr>
      </w:r>
    </w:p>
    <w:p w14:paraId="57CBF561">
      <w:pPr>
        <w:tabs>
          <w:tab w:val="right" w:leader="dot" w:pos="9072"/>
        </w:tabs>
        <w:spacing w:after="40"/>
        <w:ind w:left="461"/>
      </w:pPr>
      <w:r>
        <w:rPr>
          <w:b w:val="0"/>
          <w:sz w:val="21"/>
        </w:rPr>
        <w:t>兼：国内国际两种资源两个市场</w:t>
        <w:tab/>
        <w:t>104</w:t>
      </w:r>
      <w:r>
        <w:rPr>
          <w:b w:val="0"/>
          <w:sz w:val="21"/>
        </w:rPr>
      </w:r>
      <w:r>
        <w:rPr>
          <w:b w:val="0"/>
          <w:sz w:val="21"/>
        </w:rPr>
      </w:r>
    </w:p>
    <w:p w14:paraId="004E764A">
      <w:pPr>
        <w:tabs>
          <w:tab w:val="right" w:leader="dot" w:pos="9072"/>
        </w:tabs>
        <w:spacing w:after="40"/>
        <w:ind w:left="461"/>
      </w:pPr>
      <w:r>
        <w:t>国际分工、企业出海与国际竞争新优势</w:t>
        <w:tab/>
        <w:t>121</w:t>
      </w:r>
      <w:r/>
      <w:r/>
    </w:p>
    <w:p w14:paraId="106B1B57">
      <w:pPr>
        <w:tabs>
          <w:tab w:val="right" w:leader="dot" w:pos="9072"/>
        </w:tabs>
        <w:spacing w:after="40"/>
        <w:ind w:left="461"/>
      </w:pPr>
      <w:r>
        <w:t>全球经济治理与规则权益</w:t>
        <w:tab/>
        <w:t>127</w:t>
      </w:r>
      <w:r/>
      <w:r/>
    </w:p>
    <w:p w14:paraId="162671AA">
      <w:pPr>
        <w:tabs>
          <w:tab w:val="right" w:leader="dot" w:pos="9072"/>
        </w:tabs>
        <w:spacing w:after="40"/>
        <w:ind w:left="461"/>
      </w:pPr>
      <w:r>
        <w:t>产业链供应链与开放安全</w:t>
        <w:tab/>
        <w:t>136</w:t>
      </w:r>
      <w:r/>
      <w:r/>
    </w:p>
    <w:p w14:paraId="0D07D55F">
      <w:pPr>
        <w:tabs>
          <w:tab w:val="right" w:leader="dot" w:pos="9072"/>
        </w:tabs>
        <w:spacing w:after="40"/>
        <w:ind w:left="461"/>
      </w:pPr>
      <w:r>
        <w:t>数字经济、绿色转型与新兴领域</w:t>
        <w:tab/>
        <w:t>144</w:t>
      </w:r>
      <w:r/>
      <w:r/>
    </w:p>
    <w:p w14:paraId="44BC6EFF">
      <w:pPr>
        <w:tabs>
          <w:tab w:val="right" w:leader="dot" w:pos="9072"/>
        </w:tabs>
        <w:spacing w:after="40"/>
        <w:ind w:left="461"/>
      </w:pPr>
      <w:r>
        <w:t>贸易保护主义与多边贸易体制</w:t>
        <w:tab/>
        <w:t>151</w:t>
      </w:r>
      <w:r/>
      <w:r/>
    </w:p>
    <w:p w14:paraId="299D0601">
      <w:pPr>
        <w:tabs>
          <w:tab w:val="right" w:leader="dot" w:pos="9072"/>
        </w:tabs>
        <w:spacing w:after="40"/>
      </w:pPr>
      <w:r>
        <w:rPr>
          <w:b/>
          <w:color w:val="163E63"/>
          <w:sz w:val="22"/>
        </w:rPr>
        <w:t>政治多极化</w:t>
        <w:tab/>
        <w:t>157</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157</w:t>
      </w:r>
      <w:r>
        <w:rPr>
          <w:b w:val="0"/>
          <w:sz w:val="21"/>
        </w:rPr>
      </w:r>
      <w:r>
        <w:rPr>
          <w:b w:val="0"/>
          <w:sz w:val="21"/>
        </w:rPr>
      </w:r>
    </w:p>
    <w:p w14:paraId="3D9A4A86">
      <w:pPr>
        <w:tabs>
          <w:tab w:val="right" w:leader="dot" w:pos="9072"/>
        </w:tabs>
        <w:spacing w:after="40"/>
        <w:ind w:left="461"/>
      </w:pPr>
      <w:r>
        <w:rPr>
          <w:b w:val="0"/>
          <w:sz w:val="21"/>
        </w:rPr>
        <w:t>完全治：完善全球治理</w:t>
        <w:tab/>
        <w:t>174</w:t>
      </w:r>
      <w:r>
        <w:rPr>
          <w:b w:val="0"/>
          <w:sz w:val="21"/>
        </w:rPr>
      </w:r>
      <w:r>
        <w:rPr>
          <w:b w:val="0"/>
          <w:sz w:val="21"/>
        </w:rPr>
      </w:r>
    </w:p>
    <w:p w14:paraId="1273513C">
      <w:pPr>
        <w:tabs>
          <w:tab w:val="right" w:leader="dot" w:pos="9072"/>
        </w:tabs>
        <w:spacing w:after="40"/>
        <w:ind w:left="461"/>
      </w:pPr>
      <w:r>
        <w:rPr>
          <w:b w:val="0"/>
          <w:sz w:val="21"/>
        </w:rPr>
        <w:t>共体：人类命运共同体</w:t>
        <w:tab/>
        <w:t>204</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219</w:t>
      </w:r>
      <w:r>
        <w:rPr>
          <w:b w:val="0"/>
          <w:sz w:val="21"/>
        </w:rPr>
      </w:r>
      <w:r>
        <w:rPr>
          <w:b w:val="0"/>
          <w:sz w:val="21"/>
        </w:rPr>
      </w:r>
    </w:p>
    <w:p w14:paraId="42DD39A8">
      <w:pPr>
        <w:tabs>
          <w:tab w:val="right" w:leader="dot" w:pos="9072"/>
        </w:tabs>
        <w:spacing w:after="40"/>
        <w:ind w:left="461"/>
      </w:pPr>
      <w:r>
        <w:rPr>
          <w:b w:val="0"/>
          <w:sz w:val="21"/>
        </w:rPr>
        <w:t>民主：国际关系民主化</w:t>
        <w:tab/>
        <w:t>227</w:t>
      </w:r>
      <w:r>
        <w:rPr>
          <w:b w:val="0"/>
          <w:sz w:val="21"/>
        </w:rPr>
      </w:r>
      <w:r>
        <w:rPr>
          <w:b w:val="0"/>
          <w:sz w:val="21"/>
        </w:rPr>
      </w:r>
    </w:p>
    <w:p w14:paraId="33C42E89">
      <w:pPr>
        <w:tabs>
          <w:tab w:val="right" w:leader="dot" w:pos="9072"/>
        </w:tabs>
        <w:spacing w:after="40"/>
        <w:ind w:left="461"/>
      </w:pPr>
      <w:r>
        <w:t>世界多极化、全球南方与发展中国家</w:t>
        <w:tab/>
        <w:t>237</w:t>
      </w:r>
      <w:r/>
      <w:r/>
    </w:p>
    <w:p w14:paraId="3D91253A">
      <w:pPr>
        <w:tabs>
          <w:tab w:val="right" w:leader="dot" w:pos="9072"/>
        </w:tabs>
        <w:spacing w:after="40"/>
        <w:ind w:left="461"/>
      </w:pPr>
      <w:r>
        <w:t>国际秩序与国际法治</w:t>
        <w:tab/>
        <w:t>246</w:t>
      </w:r>
      <w:r/>
      <w:r/>
    </w:p>
    <w:p w14:paraId="21FF8C81">
      <w:pPr>
        <w:tabs>
          <w:tab w:val="right" w:leader="dot" w:pos="9072"/>
        </w:tabs>
        <w:spacing w:after="40"/>
        <w:ind w:left="461"/>
      </w:pPr>
      <w:r>
        <w:t>具体治理议题与文明互鉴</w:t>
        <w:tab/>
        <w:t>247</w:t>
      </w:r>
      <w:r/>
      <w:r/>
    </w:p>
    <w:p w14:paraId="79268F30">
      <w:pPr>
        <w:tabs>
          <w:tab w:val="right" w:leader="dot" w:pos="9072"/>
        </w:tabs>
        <w:spacing w:after="40"/>
      </w:pPr>
      <w:r>
        <w:rPr>
          <w:b/>
          <w:color w:val="163E63"/>
          <w:sz w:val="22"/>
        </w:rPr>
        <w:t>中国</w:t>
        <w:tab/>
        <w:t>249</w:t>
      </w:r>
      <w:r>
        <w:rPr>
          <w:b/>
          <w:color w:val="163E63"/>
          <w:sz w:val="22"/>
        </w:rPr>
      </w:r>
      <w:r>
        <w:rPr>
          <w:b/>
          <w:color w:val="163E63"/>
          <w:sz w:val="22"/>
        </w:rPr>
      </w:r>
    </w:p>
    <w:p w14:paraId="0D07CDF6">
      <w:pPr>
        <w:tabs>
          <w:tab w:val="right" w:leader="dot" w:pos="9072"/>
        </w:tabs>
        <w:spacing w:after="40"/>
        <w:ind w:left="461"/>
      </w:pPr>
      <w:r>
        <w:rPr>
          <w:b w:val="0"/>
          <w:sz w:val="21"/>
        </w:rPr>
        <w:t>政策</w:t>
        <w:tab/>
        <w:t>249</w:t>
      </w:r>
      <w:r>
        <w:rPr>
          <w:b w:val="0"/>
          <w:sz w:val="21"/>
        </w:rPr>
      </w:r>
      <w:r>
        <w:rPr>
          <w:b w:val="0"/>
          <w:sz w:val="21"/>
        </w:rPr>
      </w:r>
    </w:p>
    <w:p w14:paraId="5F88B4E6">
      <w:pPr>
        <w:tabs>
          <w:tab w:val="right" w:leader="dot" w:pos="9072"/>
        </w:tabs>
        <w:spacing w:after="40"/>
        <w:ind w:left="461"/>
      </w:pPr>
      <w:r>
        <w:rPr>
          <w:b w:val="0"/>
          <w:sz w:val="21"/>
        </w:rPr>
        <w:t>智慧</w:t>
        <w:tab/>
        <w:t>262</w:t>
      </w:r>
      <w:r>
        <w:rPr>
          <w:b w:val="0"/>
          <w:sz w:val="21"/>
        </w:rPr>
      </w:r>
      <w:r>
        <w:rPr>
          <w:b w:val="0"/>
          <w:sz w:val="21"/>
        </w:rPr>
      </w:r>
    </w:p>
    <w:p w14:paraId="071A667B">
      <w:pPr>
        <w:tabs>
          <w:tab w:val="right" w:leader="dot" w:pos="9072"/>
        </w:tabs>
        <w:spacing w:after="40"/>
        <w:ind w:left="461"/>
      </w:pPr>
      <w:r>
        <w:rPr>
          <w:b w:val="0"/>
          <w:sz w:val="21"/>
        </w:rPr>
        <w:t>责任</w:t>
        <w:tab/>
        <w:t>300</w:t>
      </w:r>
      <w:r>
        <w:rPr>
          <w:b w:val="0"/>
          <w:sz w:val="21"/>
        </w:rPr>
      </w:r>
      <w:r>
        <w:rPr>
          <w:b w:val="0"/>
          <w:sz w:val="21"/>
        </w:rPr>
      </w:r>
    </w:p>
    <w:p w14:paraId="403E0F44">
      <w:pPr>
        <w:tabs>
          <w:tab w:val="right" w:leader="dot" w:pos="9072"/>
        </w:tabs>
        <w:spacing w:after="40"/>
        <w:ind w:left="461"/>
      </w:pPr>
      <w:r>
        <w:rPr>
          <w:b w:val="0"/>
          <w:sz w:val="21"/>
        </w:rPr>
        <w:t>一条历史线</w:t>
        <w:tab/>
        <w:t>334</w:t>
      </w:r>
      <w:r>
        <w:rPr>
          <w:b w:val="0"/>
          <w:sz w:val="21"/>
        </w:rPr>
      </w:r>
      <w:r>
        <w:rPr>
          <w:b w:val="0"/>
          <w:sz w:val="21"/>
        </w:rPr>
      </w:r>
    </w:p>
    <w:p w14:paraId="27A52FC8">
      <w:pPr>
        <w:tabs>
          <w:tab w:val="right" w:leader="dot" w:pos="9072"/>
        </w:tabs>
        <w:spacing w:after="40"/>
        <w:ind w:left="461"/>
      </w:pPr>
      <w:r>
        <w:rPr>
          <w:b w:val="0"/>
          <w:sz w:val="21"/>
        </w:rPr>
        <w:t>一条主线</w:t>
        <w:tab/>
        <w:t>339</w:t>
      </w:r>
      <w:r>
        <w:rPr>
          <w:b w:val="0"/>
          <w:sz w:val="21"/>
        </w:rPr>
      </w:r>
      <w:r>
        <w:rPr>
          <w:b w:val="0"/>
          <w:sz w:val="21"/>
        </w:rPr>
      </w:r>
    </w:p>
    <w:p w14:paraId="139EA648">
      <w:pPr>
        <w:tabs>
          <w:tab w:val="right" w:leader="dot" w:pos="9072"/>
        </w:tabs>
        <w:spacing w:after="40"/>
      </w:pPr>
      <w:r>
        <w:rPr>
          <w:b/>
          <w:color w:val="163E63"/>
          <w:sz w:val="22"/>
        </w:rPr>
        <w:t>联合国</w:t>
        <w:tab/>
        <w:t>342</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342</w:t>
      </w:r>
      <w:r>
        <w:rPr>
          <w:b w:val="0"/>
          <w:sz w:val="21"/>
        </w:rPr>
      </w:r>
      <w:r>
        <w:rPr>
          <w:b w:val="0"/>
          <w:sz w:val="21"/>
        </w:rPr>
      </w:r>
    </w:p>
    <w:p w14:paraId="2C6A359C">
      <w:pPr>
        <w:tabs>
          <w:tab w:val="right" w:leader="dot" w:pos="9072"/>
        </w:tabs>
        <w:spacing w:after="40"/>
        <w:ind w:left="461"/>
      </w:pPr>
      <w:r>
        <w:rPr>
          <w:b w:val="0"/>
          <w:sz w:val="21"/>
        </w:rPr>
        <w:t>联合国宪章宗旨和原则</w:t>
        <w:tab/>
        <w:t>343</w:t>
      </w:r>
      <w:r>
        <w:rPr>
          <w:b w:val="0"/>
          <w:sz w:val="21"/>
        </w:rPr>
      </w:r>
      <w:r>
        <w:rPr>
          <w:b w:val="0"/>
          <w:sz w:val="21"/>
        </w:rPr>
      </w:r>
    </w:p>
    <w:p w14:paraId="23D7E3B7">
      <w:pPr>
        <w:tabs>
          <w:tab w:val="right" w:leader="dot" w:pos="9072"/>
        </w:tabs>
        <w:spacing w:after="40"/>
        <w:ind w:left="461"/>
      </w:pPr>
      <w:r>
        <w:t>联合国发展议程与全球治理贡献</w:t>
        <w:tab/>
        <w:t>352</w:t>
      </w:r>
      <w:r/>
      <w:r/>
    </w:p>
    <w:p w14:paraId="7F7E8803">
      <w:pPr>
        <w:tabs>
          <w:tab w:val="right" w:leader="dot" w:pos="9072"/>
        </w:tabs>
        <w:spacing w:after="40"/>
        <w:ind w:left="461"/>
      </w:pPr>
      <w:r>
        <w:t>中国与联合国关系</w:t>
        <w:tab/>
        <w:t>354</w:t>
      </w:r>
      <w:r/>
      <w:r/>
    </w:p>
    <w:p w14:paraId="6FC2CC27">
      <w:pPr>
        <w:tabs>
          <w:tab w:val="right" w:leader="dot" w:pos="9072"/>
        </w:tabs>
        <w:spacing w:after="40"/>
        <w:ind w:left="461"/>
      </w:pPr>
      <w:r>
        <w:t>六大要素术语极简速记版</w:t>
        <w:tab/>
        <w:t>356</w:t>
      </w:r>
    </w:p>
    <w:p w14:paraId="4D9B66A4">
      <w:pPr>
        <w:tabs>
          <w:tab w:val="right" w:leader="dot" w:pos="9072"/>
        </w:tabs>
        <w:spacing w:after="40"/>
        <w:ind w:left="461"/>
      </w:pPr>
      <w:r>
        <w:t>时代背景</w:t>
        <w:tab/>
        <w:t>356</w:t>
      </w:r>
    </w:p>
    <w:p w14:paraId="6D2C2B82">
      <w:pPr>
        <w:tabs>
          <w:tab w:val="right" w:leader="dot" w:pos="9072"/>
        </w:tabs>
        <w:spacing w:after="40"/>
        <w:ind w:left="461"/>
      </w:pPr>
      <w:r>
        <w:t>理论</w:t>
        <w:tab/>
        <w:t>356</w:t>
      </w:r>
    </w:p>
    <w:p w14:paraId="2959CF1B">
      <w:pPr>
        <w:tabs>
          <w:tab w:val="right" w:leader="dot" w:pos="9072"/>
        </w:tabs>
        <w:spacing w:after="40"/>
        <w:ind w:left="461"/>
      </w:pPr>
      <w:r>
        <w:t>经济全球化</w:t>
        <w:tab/>
        <w:t>356</w:t>
      </w:r>
    </w:p>
    <w:p w14:paraId="5ED42389">
      <w:pPr>
        <w:tabs>
          <w:tab w:val="right" w:leader="dot" w:pos="9072"/>
        </w:tabs>
        <w:spacing w:after="40"/>
        <w:ind w:left="461"/>
      </w:pPr>
      <w:r>
        <w:t>政治多极化</w:t>
        <w:tab/>
        <w:t>358</w:t>
      </w:r>
    </w:p>
    <w:p w14:paraId="4A36A3E6">
      <w:pPr>
        <w:tabs>
          <w:tab w:val="right" w:leader="dot" w:pos="9072"/>
        </w:tabs>
        <w:spacing w:after="40"/>
        <w:ind w:left="461"/>
      </w:pPr>
      <w:r>
        <w:t>中国</w:t>
        <w:tab/>
        <w:t>360</w:t>
      </w:r>
    </w:p>
    <w:p>
      <w:pPr>
        <w:tabs>
          <w:tab w:val="right" w:leader="dot" w:pos="9072"/>
        </w:tabs>
        <w:spacing w:after="40"/>
        <w:ind w:left="461"/>
      </w:pPr>
      <w:r>
        <w:t>联合国</w:t>
        <w:tab/>
        <w:t>361</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【材料触发点】 设问分析外交的“变”，题面把新中国外交放在不同历史阶段和国际格局演进中，说明外交内容和任务的调整与外部时代背景变化相联系。</w:t>
      </w:r>
      <w:r>
        <w:rPr>
          <w:b w:val="0"/>
          <w:sz w:val="21"/>
        </w:rPr>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 题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 题目要求说明我国为什么要努力开创周边工作新局面，材料呈现中国与周边国家在发展、安全、互联互通等方面互相需要，必须先点明共同利益是合作基础。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 题面列举零关税税目扩大、口岸管理优化、压缩"二线"出岛申报项目等具体机制；题目指向分析国内意义，封关机制直接降低企业贸易成本。</w:t>
      </w:r>
      <w:r>
        <w:rPr>
          <w:b w:val="0"/>
          <w:sz w:val="21"/>
        </w:rPr>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提高开放型经济水平</w:t>
      </w:r>
    </w:p>
    <w:p w14:paraId="141D77CB">
      <w:pPr>
        <w:spacing w:before="120"/>
      </w:pPr>
      <w:r>
        <w:rPr>
          <w:b/>
          <w:color w:val="1F497D"/>
          <w:sz w:val="22"/>
        </w:rPr>
        <w:t>5. 2026门头沟一模Q20——海南自贸港全岛封关的国内国际意义</w:t>
      </w:r>
    </w:p>
    <w:p w14:paraId="08551116">
      <w:r>
        <w:rPr>
          <w:b/>
          <w:sz w:val="21"/>
        </w:rPr>
        <w:t>【材料触发点】 题面列举零关税税目扩大、口岸管理优化、压缩"二线"出岛申报项目等具体机制；题目指向分析国内意义，封关机制直接降低企业贸易成本。</w:t>
      </w:r>
      <w:r>
        <w:rPr>
          <w:b w:val="0"/>
          <w:sz w:val="21"/>
        </w:rPr>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材料里加快互免签证、扩大单方面免签、激活双边投资促进工作组机制，都是降低跨境人员往来和资本合作成本的便利安排，因此可用推进贸易和投资自由化便利化来说明。</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 515家中外企业和机构参展、签署200多项协议，说明链博会把供应链上下游企业放到同一合作平台中对接。参展和签约数据体现跨境合作成本下降、合作渠道拓宽，因此会想到贸易投资自由化便利化。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 “投资中国”靠扩大服务业市场准入、对接国际标准、外资税收抵免压低进入门槛与成本，门槛降外资才进得便利，对应推进贸易和投资自由化便利化。</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题目指向理解“今天的中国，明天的世界”，题干中的微电网、打井、物流、希望农场等项目强调中国式现代化的开放实践让发展成果被更多国家共享，使经济全球化更有活力。</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免签、自贸“朋友圈”叠加鲁班工坊、菌草等合作项目，让更多国家参与并共享中国发展机遇。开放面向更广参与和更公平发展，体现推动经济全球化朝开放、包容、普惠、平衡、共赢方向发展。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b w:val="0"/>
          <w:sz w:val="21"/>
        </w:rPr>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题目指向理解“今天的中国，明天的世界”，题干中的微电网、打井、物流、希望农场等项目强调中国式现代化的开放实践让发展成果被更多国家共享，使经济全球化更有活力。</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“做大并分好全球经济蛋糕”同时包含发展和共享两层意思：既要扩大世界经济发展空间，也要让成果更公平惠及各国。概述完善全球治理的中国主张时，这句话应转化为推进普惠包容的经济全球化。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【材料触发点】 设问问中国给最不发达国家100%税目产品零关税这一做法中的“中国担当”，材料中的零关税安排直接体现中国推动普惠包容全球化、帮助最不发达国家分享开放红利。</w:t>
      </w:r>
      <w:r>
        <w:rPr>
          <w:b w:val="0"/>
          <w:sz w:val="21"/>
        </w:rPr>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事实之间的连接点是开放、流动、联通或共享怎样影响世界经济运行，与“推进普惠包容的经济全球化”的采分功能相吻合。可形成：中国着力解决发展不平衡问题、维护发展中国家正当权益，推进普惠包容的经济全球化，惠及亚太人民。</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 题面列举零关税税目扩大、口岸管理优化、压缩"二线"出岛申报项目等具体机制；题目指向分析国内意义，封关机制直接降低企业贸易成本。</w:t>
      </w:r>
      <w:r>
        <w:rPr>
          <w:b w:val="0"/>
          <w:sz w:val="21"/>
        </w:rPr>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“十四五”圆满收官题以中国—中亚峰会、“一带一路”国际合作高峰论坛、中非合作论坛、进博会、服贸会、消博会等事实，体现我国持续扩大高水平对外开放、拓展多边合作平台。</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 这些线索把具体事实推向规则、标准、平台和制度安排如何把开放落成可操作的机制，不能只停在现象描述上。对应“中国扩大高水平对外开放与制度型开放”后，可写成：我国对标国际规则、推进制度型开放和高水平对外开放，以国内大循环吸引全球资源要素，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 “外循环”写对标国际规则、规制、标准并深化国内改革，开放已升到规则接轨而非只降关税，再放宽准入引全球要素，落在高水平对外开放与制度型开放。</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题目指向理解“今天的中国，明天的世界”，题干中的微电网、打井、物流、希望农场等项目强调中国式现代化的开放实践让发展成果被更多国家共享，使经济全球化更有活力。</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微电网、打井、物流、希望农场等项目把中国开放同各国民生改善连在一起。材料说让经济全球化更有活力，说明开放带来的不是单方收益，而是发展成果惠及各国，正对应互利共赢的开放战略。</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 题面列举零关税税目扩大、口岸管理优化、压缩"二线"出岛申报项目等具体机制；题目指向分析国内意义，封关机制直接降低企业贸易成本。</w:t>
      </w:r>
      <w:r>
        <w:rPr>
          <w:b w:val="0"/>
          <w:sz w:val="21"/>
        </w:rPr>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材料真正的线索是互为重要市场、自贸区升级、数字基础设施和绿色发展合作。双方通过市场、技术、经验和规则联通扩大资源配置范围，因此会想到两个市场两种资源和资源配置效率。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r>
        <w:rPr>
          <w:b w:val="0"/>
          <w:sz w:val="21"/>
        </w:rPr>
      </w:r>
    </w:p>
    <w:p w14:paraId="5CAAE190">
      <w:r>
        <w:rPr>
          <w:b/>
          <w:sz w:val="21"/>
        </w:rPr>
        <w:t>【答案落点】 联动国内国际两个市场两种资源，畅通国际国内双循环，与其他国家合作共赢，开拓海外市场、提升经济循环质量。</w:t>
      </w:r>
      <w:r>
        <w:rPr>
          <w:b w:val="0"/>
          <w:sz w:val="21"/>
        </w:rPr>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 高速铁路网、高速公路网和世界级港口群为跨国货物、服务、生产要素流动提供通道。供应链成为共赢链，靠的是国内外市场和资源被更顺畅地连接起来，提升全球配置效率。</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出海要提前建供应链、各地原材料成本却难降，这是要素在国内国际间重新摆布的难题，一国资源解不开，故须利用两个市场两种资源优化全球资源配置。</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 题面列举零关税税目扩大、口岸管理优化、压缩"二线"出岛申报项目等具体机制；题目指向分析国内意义，封关机制直接降低企业贸易成本。</w:t>
      </w:r>
      <w:r>
        <w:rPr>
          <w:b w:val="0"/>
          <w:sz w:val="21"/>
        </w:rPr>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 在自力更生基点上扩大开放，推动国内国际资源联动、畅通国内国际双循环，提升开放合作水平。</w:t>
      </w:r>
      <w:r>
        <w:rPr>
          <w:b w:val="0"/>
          <w:sz w:val="21"/>
        </w:rPr>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 充分利用国内国际两种资源、两个市场，促进内外联通、畅通国内国际双循环，服务高水平对外开放。</w:t>
      </w:r>
      <w:r>
        <w:rPr>
          <w:b w:val="0"/>
          <w:sz w:val="21"/>
        </w:rPr>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因此可落到中国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 这些事实之间的连接点是行动背后的能力来源，即科技、产业和经济实力如何转化为国际竞争主动权，与“加强技术创新、提高产品质量，增强竞争力”的采分功能相吻合。可形成：我国攻克"卡脖子"难题，能调整对外贸易产品结构、生产附加值高的产品，增强产品和服务的国际竞争力。</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题目要求说明自贸区3.0版的动力来源。区域成员产业、市场和发展阶段存在差异，自贸区升级有利于把差异转化为国际分工和优势互补。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数字化技术、绿色低碳技术对应供应链成本高、信息不对称、环节不透明、流程不标准等痛点。技术赋能能降低成本、提高效率、改善绿色水平，因此指向供应链稳定畅通和高质量发展。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同学乙指出人工智能带来数据泄露、模型缺陷、伦理失控等风险，且安全相关事件占比较高；题目要求处理人工智能发展中的重要关系，应把发展动能与安全底线放在同一层说明。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 基础设施联通、供应链金融创新、链博会平台、数字绿色技术分别打通物流、资金、对接渠道和技术供给。多维合作共同服务供应链畅通，最终指向各国在产业链供应链合作中互利共赢。</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【材料触发点】 材料强调中国通过共享发展成果、促进文明互鉴，为动荡变革世界注入稳定性，体现相互尊重、公平正义、合作共赢的新型国际关系方向。</w:t>
      </w:r>
      <w:r>
        <w:rPr>
          <w:b w:val="0"/>
          <w:sz w:val="21"/>
        </w:rPr>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因此可落到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短评须防把倡议写成中国单方施惠，材料指向各方“共同未来”；用相互尊重、公平正义、合作共赢的新型国际关系，才说清这是以平等合作取代零和。</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【材料触发点】 题面写中非合力提升发展中国家在全球治理体系中的代表性和发言权；题目指向阐明价值意蕴，必须从全球治理观说明中非合作的治理意义。</w:t>
      </w:r>
      <w:r>
        <w:rPr>
          <w:b w:val="0"/>
          <w:sz w:val="21"/>
        </w:rPr>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题目指向理解“今天的中国，明天的世界”，材料把中国式现代化的开放实践写成多国共同受益的项目网络，体现共商共建共享的全球治理观。</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材料二写中方尊重非洲国家政治和经济选择，不干涉内政、不附加条件，并通过平等互利方式商签合作文件；题目要求概述完善全球治理的中国主张，应由这些表述上升到共商共建共享治理观。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r>
        <w:rPr>
          <w:b w:val="0"/>
          <w:sz w:val="21"/>
        </w:rPr>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把中国式现代化放在世界百年变局中考查。中国式现代化走和平发展道路，坚持多边主义、互利共赢和人类命运共同体理念，说明中国发展与世界和平发展相互联系。因此可落到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【材料触发点】 设问问中国“大国情怀与担当”，材料中的国际合作、共同发展和全球治理行动体现中国坚持多边路线，维护联合国宪章宗旨和原则，并以正确义利观处理国际关系。</w:t>
      </w:r>
      <w:r>
        <w:rPr>
          <w:b w:val="0"/>
          <w:sz w:val="21"/>
        </w:rPr>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材料直接点出单边主义、单边霸凌逆流，说明问题的症结在于少数国家以单边方式破坏国际合作。中国要营造良好外部环境，就要以真正的多边主义回应单边主义和霸凌行径。</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倡议把“多边主义”列入五大原则、又同联合国宪章一脉相承、推动各国共同参与治理，因此联到真正的多边主义。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 设问从“世界发展需要”层面问周边工作的意义，材料中的周边合作、互利共赢和命运共同体共识体现中国以区域合作推动国际关系民主化、践行真正的多边主义并促进全球治理变革。</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【材料触发点】 题目指向"具体方案／行动"层落地。要回答中国为破解国际局势变乱交织提供的政治层面方案，必须用"推动国际关系民主化、和平解决国际争端"作为可替代"贡献中国智慧和中国方案"的具体行动术语。</w:t>
      </w:r>
      <w:r>
        <w:rPr>
          <w:b w:val="0"/>
          <w:sz w:val="21"/>
        </w:rPr>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题面写欧盟单边征税、中方坚决反对并多次提出建设性解决方案；题目要求写认识短文，适合从反对贸易保护主义、维护本国利益和通过磋商和平解决争端展开。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国际力量对比深刻调整、全球南方声势壮大，说明世界格局不再由少数国家单向主导，而是在多种力量共同作用中发展，因此可联想到世界多极化。</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资料包讲全球南方崛起、全球治理代表性不足，说明国际力量对比变化，正是世界多极化推动治理变革的具体线索。</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 设问分析外交的“变”，题面把新中国外交放在不同历史阶段和国际格局演进中，说明外交内容和任务的调整与外部时代背景变化相联系。</w:t>
      </w:r>
      <w:r>
        <w:rPr>
          <w:b w:val="0"/>
          <w:sz w:val="21"/>
        </w:rPr>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题面集中列出恃强凌弱、巧取豪夺、零和博弈、结盟对抗和封闭排他，这些都是旧国际关系逻辑，中国答案需要先批判集团政治、实力至上和少数国家垄断价值定义。 这些事实之间的连接点是国际格局、全球治理或国家关系如何走向平等合作，与“超越集团政治、实力至上和少数国家垄断价值定义的治理逻辑”的采分功能相吻合。可形成：中国答案超越集团政治的“小圈子”规则、实力至上的逻辑和少数西方国家定义的“普世价值”，反对霸权主义和强权政治，为处理国际关系提供更公平的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题面集中列出实力至上、恃强凌弱、零和博弈、结盟对抗、封闭排他，这些正是中国新思路要超越的旧逻辑。</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说明中国式现代化需要安全稳定的外部环境。中国特色大国外交既服务发展，也回应外部安全风险，因此可落到坚持总体国家安全观、统筹发展和安全，以新安全格局保障新发展格局。</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【材料触发点】 材料把中国式现代化定位为走和平发展道路、造福中国也促进世界现代化，体现我国独立自主和平外交政策服务民族复兴和促进共同发展的统一。</w:t>
      </w:r>
      <w:r>
        <w:rPr>
          <w:b w:val="0"/>
          <w:sz w:val="21"/>
        </w:rPr>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【材料触发点】 设问分析新中国外交“不变”，材料中的外交政策基本准则指向和平共处五项原则这一稳定不变的对外关系准则。</w:t>
      </w:r>
      <w:r>
        <w:rPr>
          <w:b w:val="0"/>
          <w:sz w:val="21"/>
        </w:rPr>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“十四五”圆满收官题以中国—中亚峰会、“一带一路”国际合作高峰论坛、中非合作论坛、进博会、服贸会、消博会等事实，体现我国持续扩大高水平对外开放、拓展多边合作平台。</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【材料触发点】 材料呈现中国式现代化向世界开放、与各国共享机遇，说明中国把自身现代化实践转化为可供世界借鉴的中国智慧和中国方案。</w:t>
      </w:r>
      <w:r>
        <w:rPr>
          <w:b w:val="0"/>
          <w:sz w:val="21"/>
        </w:rPr>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些线索把具体事实推向中国做法不只服务自身发展，也为共同问题提供方案和公共产品，不能只停在现象描述上。对应“贡献中国智慧、中国方案、中国力量”后，可写成：中国以海南自贸港高水平开放实践,为畅通国际循环、助力开放型世界经济建设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“十四五”圆满收官题以中国—中亚峰会、“一带一路”国际合作高峰论坛、中非合作论坛、进博会、服贸会、消博会等事实，体现我国持续扩大高水平对外开放、拓展多边合作平台。</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6CEB54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 这些事实之间的连接点是中国行动如何把自身发展同世界共同问题联系起来，与“全球文明倡议：以文明增互信”的采分功能相吻合。可形成：面对不同文明交流碰撞甚至冲突日趋频繁，全球文明倡议通过民间外交、公共外交推动文明交流互鉴、传承创新，促进民心相通、各国人民相知相亲，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题目指向理解“今天的中国，明天的世界”，题干中的微电网、打井、物流、希望农场等项目强调中国式现代化的开放实践让发展成果被更多国家共享，使经济全球化更有活力。</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丙同学要求在自身发展之外兼顾发展中国家需求、帮助其加强能力建设，说明中国处理国际合作不是单方取利，而是兼顾他国合理关切和共同收益。这体现义利相兼、以义为先的正确义利观。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题目指向理解“今天的中国，明天的世界”，题干中的微电网、打井、物流、希望农场等项目强调中国式现代化的开放实践让发展成果被更多国家共享，使经济全球化更有活力。</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材料中的科技小院把农业技术、人才培养和成本降低落到发展中国家的生产生活改善上。典范之处不只是合作形式新，而是它能提升当地农业能力和持续发展能力，因此可落到改善发展中国家民生并助力持续发展。</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全球文明倡议的材料线索是“文明交汇碰撞”和“民间外交、公共外交”，这些行动的直接效果是通过交流互鉴减少隔阂、增进理解和认同。因此可从民心相通与文明互鉴说明中国行动的意义。</w:t>
      </w:r>
      <w:r>
        <w:rPr>
          <w:b w:val="0"/>
          <w:sz w:val="21"/>
        </w:rPr>
      </w:r>
    </w:p>
    <w:p w14:paraId="6F4F3989">
      <w:r>
        <w:rPr>
          <w:b/>
          <w:sz w:val="21"/>
        </w:rPr>
        <w:t>【答案落点】 全球文明倡议通过民间外交、公共外交和文明交流互鉴，促进各国人民相知相亲，为发展、安全、文明三类倡议形成合力提供社会基础。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【材料触发点】 中国担任安理会轮值主席、推动安理会讨论聚焦实质性问题，体现中国以实际行动维护联合国权威和宪章宗旨原则。</w:t>
      </w:r>
      <w:r>
        <w:rPr>
          <w:b w:val="0"/>
          <w:sz w:val="21"/>
        </w:rPr>
      </w:r>
    </w:p>
    <w:p w14:paraId="151CD03E">
      <w:r>
        <w:rPr>
          <w:b/>
          <w:sz w:val="21"/>
        </w:rPr>
        <w:t>【设问】 结合材料，运用《当代国际政治与经济》知识，阐释“中国需要联合国，联合国也需要中国”。</w:t>
      </w:r>
    </w:p>
    <w:p w14:paraId="1A3499EC">
      <w:r>
        <w:rPr>
          <w:b/>
          <w:sz w:val="21"/>
        </w:rPr>
        <w:t>【为什么能想到】 安理会是联合国维护国际和平与安全的重要机构，中国担任轮值主席并推动讨论聚焦实质性问题，说明中国不是旁观者，而是在联合国框架内维护宪章宗旨和原则。</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【材料触发点】 题目说明“联合国也需要中国”，关键在于中国作为联合国创始会员国和安理会常任理事国，在维护国际和平与安全、推动联合国事业中具有重要地位和作用。</w:t>
      </w:r>
      <w:r>
        <w:rPr>
          <w:b w:val="0"/>
          <w:sz w:val="21"/>
        </w:rPr>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坚持正确义利观</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