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eastAsia="黑体" w:hAnsi="Arial"/>
          <w:b/>
          <w:bCs/>
          <w:color w:val="1F3864"/>
          <w:sz w:val="52"/>
          <w:szCs w:val="52"/>
        </w:rPr>
        <w:t xml:space="preserve">《法律与生活》复习资料</w:t>
      </w:r>
    </w:p>
    <w:p>
      <w:pPr>
        <w:spacing w:after="0" w:before="80"/>
        <w:jc w:val="center"/>
      </w:pPr>
      <w:r>
        <w:rPr>
          <w:rFonts w:ascii="Arial" w:eastAsia="黑体" w:hAnsi="Arial"/>
          <w:b/>
          <w:bCs/>
          <w:color w:val="1F3864"/>
          <w:sz w:val="52"/>
          <w:szCs w:val="52"/>
        </w:rPr>
        <w:t xml:space="preserve">多视角审校与修改意见报告</w:t>
      </w:r>
    </w:p>
    <w:p>
      <w:pPr>
        <w:spacing w:after="0" w:before="360"/>
        <w:jc w:val="center"/>
      </w:pPr>
      <w:r>
        <w:rPr>
          <w:rFonts w:ascii="Arial" w:eastAsia="微软雅黑" w:hAnsi="Arial"/>
          <w:color w:val="2E5496"/>
          <w:sz w:val="26"/>
          <w:szCs w:val="26"/>
        </w:rPr>
        <w:t xml:space="preserve">2026 北京高考政治 · 选择性必修二</w:t>
      </w:r>
    </w:p>
    <w:p>
      <w:pPr>
        <w:spacing w:after="0" w:before="60"/>
        <w:jc w:val="center"/>
      </w:pPr>
      <w:r>
        <w:rPr>
          <w:rFonts w:ascii="Arial" w:eastAsia="微软雅黑" w:hAnsi="Arial"/>
          <w:color w:val="404040"/>
          <w:sz w:val="22"/>
          <w:szCs w:val="22"/>
        </w:rPr>
        <w:t xml:space="preserve">《AB 双轴学生宝典》 ＋ 《试题与评分细则汇编》（v35 学生可发版）</w:t>
      </w:r>
    </w:p>
    <w:p>
      <w:pPr>
        <w:pBdr>
          <w:bottom w:val="single" w:color="2E5496" w:sz="6" w:space="1"/>
        </w:pBdr>
        <w:spacing w:after="360" w:before="36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eastAsia="黑体" w:hAnsi="Arial"/>
          <w:b/>
          <w:bCs/>
          <w:color w:val="404040"/>
          <w:sz w:val="24"/>
          <w:szCs w:val="24"/>
        </w:rPr>
        <w:t xml:space="preserve">审校方式：五路智能体并行通读全文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04040"/>
          <w:sz w:val="22"/>
          <w:szCs w:val="22"/>
        </w:rPr>
        <w:t xml:space="preserve">① 法律准确性核实 · 试题细则汇编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04040"/>
          <w:sz w:val="22"/>
          <w:szCs w:val="22"/>
        </w:rPr>
        <w:t xml:space="preserve">② 法律准确性核实 · AB 双轴宝典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04040"/>
          <w:sz w:val="22"/>
          <w:szCs w:val="22"/>
        </w:rPr>
        <w:t xml:space="preserve">③ 完整性与跨文档一致性核实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04040"/>
          <w:sz w:val="22"/>
          <w:szCs w:val="22"/>
        </w:rPr>
        <w:t xml:space="preserve">④ 高三学生视角通读意见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04040"/>
          <w:sz w:val="22"/>
          <w:szCs w:val="22"/>
        </w:rPr>
        <w:t xml:space="preserve">⑤ 专业政治教师视角通读意见</w:t>
      </w:r>
    </w:p>
    <w:p>
      <w:pPr>
        <w:spacing w:after="0" w:before="600"/>
        <w:jc w:val="center"/>
      </w:pPr>
      <w:r>
        <w:rPr>
          <w:rFonts w:ascii="Times New Roman" w:eastAsia="宋体" w:hAnsi="Times New Roman"/>
          <w:color w:val="404040"/>
          <w:sz w:val="20"/>
          <w:szCs w:val="20"/>
        </w:rPr>
        <w:t xml:space="preserve">报告日期：2026 年 6 月 5 日</w:t>
      </w:r>
    </w:p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目录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执行摘要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第一部分　法律准确性核实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第二部分　完整性与跨文档一致性核实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第三部分　高三学生视角修改意见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第四部分　专业教师视角修改意见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第五部分　优先级总清单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after="140" w:line="300"/>
      </w:pPr>
      <w:r>
        <w:rPr>
          <w:rFonts w:ascii="Arial" w:eastAsia="黑体" w:hAnsi="Arial"/>
          <w:color w:val="404040"/>
          <w:sz w:val="23"/>
          <w:szCs w:val="23"/>
        </w:rPr>
        <w:t xml:space="preserve">附录　审校方法与法条依据</w:t>
      </w:r>
      <w:r>
        <w:rPr>
          <w:rFonts w:ascii="Times New Roman" w:eastAsia="宋体" w:hAnsi="Times New Roman"/>
          <w:color w:val="404040"/>
          <w:sz w:val="22"/>
          <w:szCs w:val="22"/>
        </w:rPr>
        <w:t xml:space="preserve">	14</w:t>
      </w:r>
    </w:p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执行摘要</w:t>
      </w:r>
    </w:p>
    <w:p>
      <w:pPr>
        <w:spacing w:after="120" w:before="0" w:line="276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本报告由五路智能体并行通读两册资料全文后汇总而成。</w:t>
      </w: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总体结论：这是一套质量相当高的校本复习资料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——真题复盘体例完整、A 轴（法律关系）× B 轴（设问形状）双轴审题方法显性化、北京阅卷踩分细则高保真保留、且已纳入 2026 多区一模二模的 AI、个人信息、公益诉讼等最新命题，时效性强。两册数量完整（各 74 个分问），跨册题面与答案逐字一致，这是本次质检最重要的正面结论。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需要处理的问题集中在三类：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(1) 少量</w:t>
      </w:r>
      <w:r>
        <w:rPr>
          <w:rFonts w:ascii="Times New Roman" w:eastAsia="宋体" w:hAnsi="Times New Roman"/>
          <w:b/>
          <w:bCs/>
          <w:i w:val="false"/>
          <w:iCs w:val="false"/>
          <w:color w:val="B00020"/>
          <w:sz w:val="21"/>
          <w:szCs w:val="21"/>
        </w:rPr>
        <w:t xml:space="preserve">法律硬伤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（主要集中在“侵权责任”一章，会直接导致学生写错法条与归责原则）；(2) </w:t>
      </w:r>
      <w:r>
        <w:rPr>
          <w:rFonts w:ascii="Times New Roman" w:eastAsia="宋体" w:hAnsi="Times New Roman"/>
          <w:b/>
          <w:bCs/>
          <w:i w:val="false"/>
          <w:iCs w:val="false"/>
          <w:color w:val="8A5A00"/>
          <w:sz w:val="21"/>
          <w:szCs w:val="21"/>
        </w:rPr>
        <w:t xml:space="preserve">完整性与体例口径瑕疵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（如“同题组 64”这一数字无任何口径可印证、E009 待补声明悬空、个别模块小标题不统一）；(3) 把资料从“答案集”升级为“提分教程”的</w:t>
      </w:r>
      <w:r>
        <w:rPr>
          <w:rFonts w:ascii="Times New Roman" w:eastAsia="宋体" w:hAnsi="Times New Roman"/>
          <w:b/>
          <w:bCs/>
          <w:i w:val="false"/>
          <w:iCs w:val="false"/>
          <w:color w:val="1E6B34"/>
          <w:sz w:val="21"/>
          <w:szCs w:val="21"/>
        </w:rPr>
        <w:t xml:space="preserve">结构性增项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（学生与教师两路意见高度一致：缺决策表、可套模板、易混点对比表、优先级标注、教学支架）。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最该优先处理的 8 件事</w:t>
      </w:r>
    </w:p>
    <w:p>
      <w:pPr>
        <w:spacing w:after="120" w:before="0" w:line="276"/>
      </w:pPr>
      <w:r>
        <w:rPr>
          <w:rFonts w:ascii="Times New Roman" w:eastAsia="宋体" w:hAnsi="Times New Roman"/>
          <w:b w:val="false"/>
          <w:bCs w:val="false"/>
          <w:i/>
          <w:iCs/>
          <w:color w:val="404040"/>
          <w:sz w:val="20"/>
          <w:szCs w:val="20"/>
        </w:rPr>
        <w:t xml:space="preserve">（详见第五部分“优先级总清单”。其中第 1 条由三路智能体独立指出，最为紧要。）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550"/>
        <w:gridCol w:w="4640"/>
        <w:gridCol w:w="1650"/>
      </w:tblGrid>
      <w:tr>
        <w:trPr>
          <w:tblHeader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说明与建议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提出方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“高空抛物”与“物件脱落坠落”混为一谈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朝阳二模第18题：细则按“举证责任倒置/高空抛物”给分，答案落点又改称“过错推定”，自相矛盾。应统一为《民法典》第1253条过错推定（物件脱落坠落），与第1254条高空抛物（可能加害人补偿）区分。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法律×2 + 教师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“好意同乘”误用“安全保障义务”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丰台一模第17题：好意同乘是过错责任＋公平原则减责（第1217条），并非安全保障义务（第1198条）。须删改，防止学生在判责题里乱套法条。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诉讼时效定义不完整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应补“须由义务人主动提出时效抗辩，人民法院不得主动适用”（第193条），否则学生误以为时效届满自动丧失胜诉权。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 + 学生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“效力待定→无效”口径不准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文身案、打赏案：限制行为能力人合同未获追认应为“不发生效力（自始无约束力）”（第145条），与法定“无效”（第153/154条）相区别，全册统一。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法律×2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惩罚性赔偿倍数未区分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食品/药品安全→十倍（《食品安全法》第148条）；一般消费欺诈→三倍（《消保法》第55条）；当事人约定→从约定。三者并存却未并排讲清，学生易写错倍数。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 + 学生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完整性声明与标注瑕疵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“同题组 64”无任何实测口径可印证（实为不同大题63／独立单题54）；E009“细则待补”在正文无对应题；海淀期末第18题两小问被误标“仅本分问”。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 + 教师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销售者产品责任定性不准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无人机案：产品责任中销售者对外亦为无过错责任（第1202/1203条），不应作为“一般过错侵权”与生产者并列。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价值术语与必背句订正</w:t>
            </w:r>
          </w:p>
        </w:tc>
        <w:tc>
          <w:tcPr>
            <w:tcW w:type="dxa" w:w="464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“社会主义和谐价值观”属错误简称（应写核心价值观具体词）；侵权“四件套”必背句漏“加害行为”要件。必背句要逐字默写，须最严格。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 + 教师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第一部分　法律准确性核实</w:t>
      </w:r>
    </w:p>
    <w:p>
      <w:pPr>
        <w:spacing w:after="120" w:before="0" w:line="276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由两路法律审校智能体分别通读 A 册《试题与评分细则汇编》与 B 册《AB 双轴学生宝典》，逐条核对《民法典》《劳动合同法》《食品安全法》《消费者权益保护法》等法条引用、法律概念、评分细则与答案落点，并对关键条文做了网络核验。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总体判断：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两册法律功底扎实，绝大多数法条引用、概念使用与答案落点在应试层面经得起推敲，并主动设置了大量高质量“易错提醒”。需硬性修改的约 8 处，建议优化的约 12 处，其余核对通过。下文区分三类呈现。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一、必须修改的法律硬伤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1 ｜ “高空抛物”与“物件脱落坠落”混淆（朝阳二模第18题）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“墙砖脱落、花盆坠落……适用举证责任倒置原则”；②标准答案填“举证责任倒置”；答案落点末尾又写“更接近物件脱落坠落责任，通常适用过错推定”。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墙砖、花盆从建筑物脱落、坠落属《民法典》第1253条“搁置物、悬挂物脱落坠落致害”，适用过错推定（由所有人/管理人/使用人证明自己无过错）；只有“抛掷物品或难以确定具体侵权人”才落入第1254条“高空抛物”补偿规则。细则正文与答案落点自相矛盾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统一表述为“第1253条·过错推定（过错的举证责任倒置）”，删去径称“高空抛物”的措辞。可直接以本册石景山一模第18题的正确口径为全书标准。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2 ｜ “好意同乘”误用“安全保障义务”（丰台一模第17题）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“驾驶人对搭乘人的身体、健康和财产安全负有合理保障义务”。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好意同乘法理核心是情谊行为下的过错责任＋公平原则减责（第1217条）；“安全保障义务”是经营场所/活动组织者的专门义务（第1198条），用在此处属张冠李戴，且与本书“安全保障义务”专题（餐厅摔倒、广场舞）自相矛盾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改为“驾驶人负审慎驾驶的注意义务；乙某有一般过失但非故意或重大过失，依第1217条应减轻赔偿责任”，与安全保障义务专题脱钩。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3 ｜ 诉讼时效定义不完整（东城一模第19题·资料卡）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“诉讼时效是指权利主体在法定期间内不行使权利，义务人便享有抗辩权……从而导致权利人无法胜诉的法律制度。”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时效届满后权利与胜诉权并不自动消灭，须由义务人主动提出时效抗辩，人民法院不得主动适用（第193条）。现表述缺此前提，易误导。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补一句“且须由义务人主动提出时效抗辩，人民法院不得主动适用诉讼时效”；并点明本题案件1正因李某主张抗辩，法院才不予保护其债权。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4 ｜ “效力待定→无效”口径不准（文身案、打赏案）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限制民事行为能力人订立的合同“效力待定；法定代理人拒绝追认后，合同归于无效”。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拒绝追认后的准确状态是“不发生效力（自始没有法律约束力）”（第145条），与法定“无效”（第153、154条的法定无效事由）是不同的效力瑕疵类别。本题恰考“合同效力”，混用会被严谨阅卷者扣分。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改为“……拒绝追认后，该合同不发生效力（自始无约束力）”，全册（含西城二模打赏案）统一口径。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5 ｜ 请求权基础串接错误（东城一模·顾氏三兄弟遗产案）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“……构成事实上的扶养，符合‘可以分给适当遗产’情形，有权作为利害关系人申请人民法院指定遗产管理人。”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“分给适当遗产”是第1131条的实体分配请求；“申请指定遗产管理人”是第1146条的程序请求。前者并非取得后者资格的法律理由（后者只需是“利害关系人”），二者被错误地作了因果串接。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拆分并列：“依第1131条可作为继承人以外的人请求分给适当遗产；同时作为利害关系人，依第1146条有权申请法院指定遗产管理人。”二者不互为条件。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6 ｜ 销售者产品责任定性不准（东城期末·无人机案）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“生产者承担无过错产品责任，销售者承担一般过错侵权责任。”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产品责任中销售者对外同样适用无过错责任，被侵权人可向生产者或销售者任一主张（第1202、1203条），销售者赔偿后再依过错内部追偿。把“销售者=一般过错侵权”作为与生产者并列的另一条产品责任路径，混淆了对外无过错责任与销售者过错责任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改为两条清晰路径：①违约（合同相对人）；②产品责任（向生产者或销售者主张，均为无过错对外责任，第1202/1203条），删去“销售者承担一般过错侵权责任”的并列表述。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7 ｜ 惩罚性赔偿法律依据未点明（西城二模·饼干案 等）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“适用食品安全法第一百四十八条……支付价款十倍赔偿金”，但全册未与“退一赔三”做区分。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本册既有食品安全十倍（食安法148条），又有一般消费欺诈三倍（消保法55条），还有当事人约定“假一赔十”（从约定）。三种倍数并存而未并排讲清，学生极易张冠李戴。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在相关答案落点明确标注依据与适用对象；并在 A9 节首做一张“倍数对照”小表（见第三、四部分建议）。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硬伤 8 ｜ 必背句与价值术语订正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侵权“四件套”必背句：“权益受损、违法或过错、因果关系、责任承担”；东城一模细则：“彰显……社会主义和谐价值观”。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B00020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① 一般侵权标准要件为加害行为、损害事实、因果关系、过错四项，必背句漏“加害行为”、且“违法或过错”并列不严谨；② 不存在“社会主义和谐价值观”提法，社会层面是“自由、平等、公正、法治”，应写核心价值观具体词。必背句要逐字默写，须最严格。</w:t>
      </w:r>
    </w:p>
    <w:p>
      <w:pPr>
        <w:spacing w:after="70" w:line="270"/>
        <w:ind w:left="30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修改建议：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四件套改为“加害行为、损害事实、因果关系、过错（无过错责任从其规定）”；价值术语统一回归“社会主义核心价值观（友善/诚信/公正/法治）”。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二、表述不严谨 / 易误导（建议优化）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好意同乘：甲某未系安全带宜按“过失相抵”（第1173条）单列，与第1217条“好意同乘减责”是两个独立减责依据，不宜合并成一句。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机票搭售案：“可撤销”与“全额退还310元”口径应一致——全额退款须以撤销整个合同为前提，仅就搭售10元主张则为返还＋三倍，建议点明返还范围取决于撤销范围。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碳排放权案：答案落点把要约/承诺主体说反（材料是乙发布比选、甲报价中标），与细则正文不一致，应以细则为准统一。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国潮图案侵权：宜表述为“著作权（如构成美术作品）或外观设计专利权（如已获授权）”，避免学生误以为任何图案自动享有外观设计专利。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知识产权惩罚性赔偿：宜同时标注《民法典》第1185条（知识产权一般·故意且情节严重）与《反不正当竞争法》第17条（不正当竞争/商业秘密），说明各自适用对象。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“事实劳动关系/经济补偿”：术语层面建议统一为“劳动关系”“经济补偿（第46、47条）”，区别于“违约赔偿金”。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西城二模 AI 题第2问：答案落点新增“权利义务相统一、用户审慎使用义务”偏离“对产业发展的影响”这一设问指向，建议删改对齐细则三角度。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三、核对通过 / 准确到位（建议保留并强化）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概念辨析的“易错提醒”质量高：约定解除权 vs 法定撤销权（年卡案）、无过错责任 vs 过错推定（产品/烈性犬）、公益诉讼 vs 私益诉讼（赤泥库案）、诉讼代理人 vs 辩护人（西城一模）等高频失分点处理专业。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赡养费/抚养费不适用诉讼时效（东城一模），援引第196条第3项准确。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好意同乘第1217条“减轻而非免除”“故意或重大过失除外”把握准确（指法理本身，措辞另见硬伤2）。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自甘风险正确区分第1176条与安全保障义务第1198条（广场舞案），定位精准。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生态环境法典时效提醒（2026.3.12公布、2026.8.15施行，按案发时点不作裁判依据）——全册最专业的时间效力提醒之一，经核属实。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格式条款规则援引第496、497条准确，区分“提示说明义务”与“排除限制对方主要权利的条款风险”。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竞业限制主体限制（仅负保密义务者）、遗赠扶养协议、遗产管理人、夫妻共同财产等身份法/继承法概念运用准确。</w:t>
      </w:r>
    </w:p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第二部分　完整性与跨文档一致性核实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color w:val="1E6B34"/>
          <w:sz w:val="21"/>
          <w:szCs w:val="21"/>
        </w:rPr>
        <w:t xml:space="preserve">结论：数量完整、跨册逐字一致。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A、B 两册各含 74 个“来源”分问，集合完全相同（无 A 独有、无 B 独有、无重复收录）；逐题比对【材料】【资料卡】【设问】【细则】【答案落点】，剔除标题行后逐字一致，未发现文字、落点条数或结论冲突。B 册目录声明的各模块分问数与正文实测逐一吻合，A1–A10 每个模块均有题、无空模块。问题集中在计数口径与标注层面，而非内容。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一、数量清点（声明值 vs 实测值）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700"/>
        <w:gridCol w:w="3160"/>
        <w:gridCol w:w="1450"/>
      </w:tblGrid>
      <w:tr>
        <w:trPr>
          <w:tblHeader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声明值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实测值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A 册 / B 册“来源”分问数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分问 74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74 / 74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bCs/>
                <w:color w:val="1E6B34"/>
                <w:sz w:val="19"/>
                <w:szCs w:val="19"/>
              </w:rPr>
              <w:t xml:space="preserve">✓ 符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A∩B 同源题（交集）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74（完全相同）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bCs/>
                <w:color w:val="1E6B34"/>
                <w:sz w:val="19"/>
                <w:szCs w:val="19"/>
              </w:rPr>
              <w:t xml:space="preserve">✓ 无孤儿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仅 A 有 / 仅 B 有 / 重复收录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0 / 0 / 0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bCs/>
                <w:color w:val="1E6B34"/>
                <w:sz w:val="19"/>
                <w:szCs w:val="19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B 各模块 A1…A10＋跨模块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5/3/8/12/15/9/3/6/4/8/1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实测全部吻合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bCs/>
                <w:color w:val="1E6B34"/>
                <w:sz w:val="19"/>
                <w:szCs w:val="19"/>
              </w:rPr>
              <w:t xml:space="preserve">✓ 全符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材料 / 设问 / 答案落点（每册）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各 74 / 74 / 74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bCs/>
                <w:color w:val="1E6B34"/>
                <w:sz w:val="19"/>
                <w:szCs w:val="19"/>
              </w:rPr>
              <w:t xml:space="preserve">✓ 无缺项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“同题组 64”</w:t>
            </w:r>
          </w:p>
        </w:tc>
        <w:tc>
          <w:tcPr>
            <w:tcW w:type="dxa" w:w="17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声明 64</w:t>
            </w:r>
          </w:p>
        </w:tc>
        <w:tc>
          <w:tcPr>
            <w:tcW w:type="dxa" w:w="31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不同大题63；独立单题54；标注“仅本分问”55</w:t>
            </w:r>
          </w:p>
        </w:tc>
        <w:tc>
          <w:tcPr>
            <w:tcW w:type="dxa" w:w="14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bCs/>
                <w:color w:val="B00020"/>
                <w:sz w:val="19"/>
                <w:szCs w:val="19"/>
              </w:rPr>
              <w:t xml:space="preserve">✗ 无口径=64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二、需修正的完整性 / 标注问题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8A5A00"/>
          <w:sz w:val="21"/>
          <w:szCs w:val="21"/>
        </w:rPr>
        <w:t xml:space="preserve">A. “同题组 64”——错误数字</w:t>
      </w:r>
    </w:p>
    <w:p>
      <w:pPr>
        <w:spacing w:after="120" w:before="0" w:line="276"/>
        <w:ind w:left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74 个分问归并为 63 个不同大题（其中 9 个为多分问大题，其余 54 个各只 1 分问）。无论按“不同大题(63)”“独立单题大题(54)”还是“标注‘仅本分问’的分问数(55)”理解，都对不上 64。建议改为 63（若指不同大题）或 54，并明确“同题组”定义口径。该声明仅在 A 册出现，B 册无对应声明，亦应统一。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8A5A00"/>
          <w:sz w:val="21"/>
          <w:szCs w:val="21"/>
        </w:rPr>
        <w:t xml:space="preserve">B. E009“正式点分布细则仍待补”——悬空声明</w:t>
      </w:r>
    </w:p>
    <w:p>
      <w:pPr>
        <w:spacing w:after="120" w:before="0" w:line="276"/>
        <w:ind w:left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全文检索：正文 74 道题没有任何一道使用 E001–E0xx 编号，E009 无法定位；也没有任何一题的细则/答案落点为空或带“待补/TODO/暂缺”。E009 是找不到对应题目的孤儿说明，应删除，或真正补入一道编号 E009 的题及其点分布。E057“跨模块背景题”虽有对应实题（西城二模第18题第3问），但正文同样未打 E057 编号，编号与正文脱节。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8A5A00"/>
          <w:sz w:val="21"/>
          <w:szCs w:val="21"/>
        </w:rPr>
        <w:t xml:space="preserve">C. 海淀期末第18题——同题组误标</w:t>
      </w:r>
    </w:p>
    <w:p>
      <w:pPr>
        <w:spacing w:after="120" w:before="0" w:line="276"/>
        <w:ind w:left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第1问与第2问是同一大题的两个小问、且都已收录，两册却都标注“本题组仅本分问”，自相矛盾。应改为两问互挂同题组（与其他 8 组体例一致）。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8A5A00"/>
          <w:sz w:val="21"/>
          <w:szCs w:val="21"/>
        </w:rPr>
        <w:t xml:space="preserve">D. B 册模块小标题不统一</w:t>
      </w:r>
    </w:p>
    <w:p>
      <w:pPr>
        <w:spacing w:after="120" w:before="0" w:line="276"/>
        <w:ind w:left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A1 目录名为“民事行为与时效”，但其下 2 题归位写成“民事主体与民事法律关系”；A3 目录名为“物权相邻与共有”，但其下 2 题写成“所有权、共有与相邻关系”。同一模块两种名称，检索与认知都易混。建议统一为目录用名（或扩充目录名以涵盖，二选一）。</w:t>
      </w:r>
    </w:p>
    <w:p>
      <w:pPr>
        <w:spacing w:after="60" w:before="170"/>
      </w:pPr>
      <w:r>
        <w:rPr>
          <w:rFonts w:ascii="Arial" w:eastAsia="黑体" w:hAnsi="Arial"/>
          <w:b/>
          <w:bCs/>
          <w:color w:val="8A5A00"/>
          <w:sz w:val="21"/>
          <w:szCs w:val="21"/>
        </w:rPr>
        <w:t xml:space="preserve">E. 设问排版瑕疵（体例优化）</w:t>
      </w:r>
    </w:p>
    <w:p>
      <w:pPr>
        <w:spacing w:after="120" w:before="0" w:line="276"/>
        <w:ind w:left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东城期末第19题第1问把【资料卡】塞进了【设问】标签内（两册同步出现），建议规范为独立【资料卡】＋【设问】两段，提高可读性。</w:t>
      </w:r>
    </w:p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第三部分　高三学生视角修改意见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第一印象：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“料很足、很真，但还没被‘嚼碎’成我能直接吞下去的样子。” B 册每节开头的“核心入口 / 第一判断 / 易错边界 / 必背句”很对胃口；但答案落点动辄六七条长句，背起来像背课文；A 册更像“老师阅卷用的内部材料”，告诉我“这样给分”，却很少告诉我“怎么想到这一步”。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一、最影响提分的痛点（按重要性排序）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10"/>
      </w:tblGrid>
      <w:tr>
        <w:trPr>
          <w:tblHeader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学生原话 / 影响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缺“A轴×B轴决策表”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双轴是好骨架，但 B 轴七种设问怎么答、固定句式是什么，散落在各题“归位”标签里，没有集中说明。考场上最想“两秒归类→套套路”，现在只能自己翻十几道题去总结。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答案落点 ≠ 可套模板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落点几乎都是“这一道题的具体结论”，换道新材料就懵。背的是“答案”不是“答法”。想要的是“违约五步/侵权四件套”这种能填空套用的骨架。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必背句、意义句高度雷同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满篇“维护社会公平正义/弘扬核心价值观/促进高质量发展”，长得太像，考场上容易把消费题的意义安到劳动题上，看着写满其实没踩中本题专属点。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A 册只给“给分”不给“审题”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细则告诉我“写到这三点给4分”，但没教我“看到材料怎么想到要分这三层”。不是不会写字，是想不到角度。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缺优先级 / 考频标注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所有题看起来一样重要。高考前没时间把 74 个分问全背熟，需要有人告诉我“这些必拿、那些眼熟即可”。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二、看不懂 / 难背的具体例子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“诉讼时效”资料卡里“抗辩权”后又套一层括号定义，一句话三个法言法语，得停下来翻译成“过了期限对方可以理直气壮不还，你就打不赢”。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“效力待定 / 可撤销 / 无效”三词反复横跳、后果不同，却分散在各题提醒，没有一张对比表。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“无过错 / 过错推定 / 一般过错”在侵权题里疯狂出现、还互相警告“别写错”——出题人都知道这是大坑，更该单独做一张三原则＋典型案例总表。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“惩罚性赔偿”十倍还是三倍被坑过：食品十倍、消费三倍、约定从约定，没并排讲清。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超长单句落点没法背：如顺义二模“财产制度”整段十几个分句不带句号连写，背到一半就断片，希望拆成短句串。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纯阅卷口径（如“民法典--1分 人格权益--1分……”）直接塞进学生宝典会吓到我，希望折叠或翻译成“你只要写到 X、Y、Z 就够了”。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三、最想增加的东西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【最想要】A轴×B轴决策表：横排 B1–B7，每格给“识别信号词＋答题骨架＋万能起手式”。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【最想要】每类一张“可填空万能模板”：违约五步、侵权四件套、意义四角度、维权四途径，做成带括号填空。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5 张易混点对比表：①效力待定/可撤销/无效 ②无过错/过错推定/一般过错 ③惩罚性赔偿倍数 ④诉讼代理人/辩护人 ⑤格式条款有效/无效。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意义句分“通用万能句（背5句走天下）＋每类专属句（2-3句）”。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全册优先级标注：每题 ★必背/★重点/★了解 ＋ 近三年北京考频。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高频长句配口诀（相邻十六字、侵权四件套、维权四途径、人格权七项），超长落点拆短句。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每个 A 类末尾加“默写自测”，散落的“不得分/必须出现”提示统一成醒目“⚠ 易错警示框”。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四、做得好、希望保留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节首“核心入口/第一判断/易错边界/必背句”四件套，是全资料最值钱的设计。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“归位”双轴标签方向非常对，希望从“标签”做成可用的“定位工具”。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真题来源、年份、区县、同题组标注清楚，便于判断考频与成套练习。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大量“可替换/变通”表述，缓解“背不出原句就慌”的焦虑（建议主答案加粗、替换词缩进小字）。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个别题已给“整体作答思路/定案核心”，正是想要的“怎么想到”，希望推广到每道大题。</w:t>
      </w:r>
    </w:p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第四部分　专业教师视角修改意见</w:t>
      </w:r>
    </w:p>
    <w:p>
      <w:pPr>
        <w:spacing w:after="120" w:before="0" w:line="276"/>
      </w:pPr>
      <w:r>
        <w:rPr>
          <w:rFonts w:ascii="Times New Roman" w:eastAsia="宋体" w:hAnsi="Times New Roman"/>
          <w:b w:val="false"/>
          <w:bCs w:val="false"/>
          <w:i/>
          <w:iCs/>
          <w:color w:val="404040"/>
          <w:sz w:val="21"/>
          <w:szCs w:val="21"/>
        </w:rPr>
        <w:t xml:space="preserve">评审身份代入：</w:t>
      </w:r>
      <w:r>
        <w:rPr>
          <w:rFonts w:ascii="Times New Roman" w:eastAsia="宋体" w:hAnsi="Times New Roman"/>
          <w:b w:val="false"/>
          <w:bCs w:val="false"/>
          <w:i/>
          <w:iCs/>
          <w:color w:val="404040"/>
          <w:sz w:val="21"/>
          <w:szCs w:val="21"/>
        </w:rPr>
        <w:t xml:space="preserve">北京市重点中学思想政治学科备课组长 / 特级教师，15 年教龄，熟悉新课标、统编教材与北京高考评分特点。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总体评价：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这是一套水平相当高、教研味很浓的校本资料，吃透了北京非选择题的命题与评分逻辑。最大亮点：① A 册“材料-设问-细则-答案落点”复盘体例完整保留了阅卷踩点与扣分边界；② 双轴把“先认法律关系、再认设问形状”这一审题元方法显性化；③ 题目时效性极强、新题处理审慎。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color w:val="8A5A00"/>
          <w:sz w:val="21"/>
          <w:szCs w:val="21"/>
        </w:rPr>
        <w:t xml:space="preserve">最大短板：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这是一套“答案集”而非“教程”——缺单元知识结构图、概念辨析卡、变式训练、分层标注、错例归因、空白练习版。它能告诉学生“标准答案长什么样”，但没系统教“怎么自己走到那一步”。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定位建议：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优秀的“教师备课弹药库＋尖子生冲刺手册”，但需二次加工后才适合作面向全体学生的课堂主用书。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一、教学法与结构编排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补“A 轴—统编单元对照表”：让老师按单元授课时能直接调题，学生清楚“这一节在第几课”。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A9“消费者权益”在教材中并非独立法律关系（分散于合同/侵权/消保法），导致同题在两册被挂到不同轴、出现重复收录（朝阳机票题、西城饼干题）。建议节首注明“仍要回到合同效力或侵权要件”。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补“B 轴判别口诀表”：问“判决理由/能否支持/谁担责”→B2 写要件链；问“对判决的认识/评析行为”→B4 写定性＋为什么＋价值；问“意义/价值”→B5 多主体多角度；问“怎么办/如何维权”→B6 路径＋措施＋救济。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对复合设问（如开源智能体“侵犯哪些权利＋如何规避风险”）标注“B2+B6 复合”，提示分段作答。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补四样支架：每节知识结构图、2-3 道变式/空白训练题、满分/中等/低分三档评分示例、学生典型错误归因表。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二、应试规范与评分对接</w:t>
      </w:r>
    </w:p>
    <w:p>
      <w:pPr>
        <w:spacing w:after="120" w:before="0" w:line="276"/>
      </w:pPr>
      <w:r>
        <w:rPr>
          <w:rFonts w:ascii="Times New Roman" w:eastAsia="宋体" w:hAnsi="Times New Roman"/>
          <w:b/>
          <w:bCs/>
          <w:i w:val="false"/>
          <w:iCs w:val="false"/>
          <w:sz w:val="21"/>
          <w:szCs w:val="21"/>
        </w:rPr>
        <w:t xml:space="preserve">建议每个 B 轴节首加“得分结构模板”小框（可直接采用）：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10"/>
      </w:tblGrid>
      <w:tr>
        <w:trPr>
          <w:tblHeader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题型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得分结构模板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起诉状（B3，7分典型）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诉讼请求2分（含“承担诉讼费用”）＋事实2分（关键时间节点全列）＋理由3分（约定/违约压进“诚信＋全面履行原则”）；全文立场一致。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评析/认识（B4，三段式）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①定性（叫准权利/行为性质）→②说理（要件＋材料事实对应）→③价值（个人/市场/社会＋核心价值观）。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意义/价值（B5，多角度）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个人＋企业/市场＋社会＋国家司法，按分值取 2–4 角度。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维权/怎么办（B6）</w:t>
            </w:r>
          </w:p>
        </w:tc>
        <w:tc>
          <w:tcPr>
            <w:tcW w:type="dxa" w:w="68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路径（协商/调解/仲裁/诉讼，注意仲裁需协议、注意三年时效）＋具体措施＋救济方式（停止侵害/排除妨碍/消除危险/赔礼道歉/损害赔偿）。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每题题号后标“分值-踩点数-每点分”，把“分值÷踩点”的换算显性教给学生（如“8分=法理5＋意义3，意义每点1分”）。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把“踩分硬词/扣分雷区”抽出做醒目侧栏：如“专利权不得分”“优化营商环境是错误表达”“维护社会公平正义不得分”“必须出现‘诚信’”“写‘补偿’不给分”“不写‘撤销合同’”“‘无过错推定’为错误表述”——这是本资料最高性价比的提分动作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做一页“评分口径勘误说明”，集中处理卷面分与细则分不符的题（如无人机题 4分 vs 6分，A 册已发现）。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三、审题思维与教材一致性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把“答案落点”升级为“材料事实→对应规则→结论”两栏对照，让全书灵魂方法“材料事实必须进入法律规则”真正落到每题——这是把答案集变教程、救中等生的关键。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劳动法宗旨表述需谨慎：宜写“以保护劳动者合法权益为宗旨，同时依法保障用人单位用工自主权”，避免学生在维权题里矫枉过正。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增设“选必二 vs 必修三模块判别清单”：何时上升到科学立法/严格执法/公正司法/全民守法、国家治理现代化——这正是 2026 新题（AI 典型案例、公益诉讼）的高频复合点。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“社会主义和谐价值观”等错误简称需清除，核心价值观一律写具体词。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四、难度分层与素养落地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给每题加“难度 ★基础/★★中档/★★★压轴”＋“素养层级（必备知识/关键能力/学科素养）”双标签。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为每题配“保底版（必踩点，拿 60–70%）＋满分版”两档答案，让中等生有抓手、尖子生有进阶。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整合三个现成专题作素养训练：①过错与责任（好意同乘＋安全保障义务＋自甘风险）；②AI 与新业态（主体资格＋个人信息＋不正当竞争＋产品责任）；③辩证评析（良法评析＋惩教并行＋格式条款效力）。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五、值得保留推广的亮点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“细则原文＋答案落点”双层结构：既给阅卷口径（知其所以然），又给可背版（知其然），市面罕见。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踩分边界与扣分雷区的高保真记录——本资料的“独门弹药”，务必保留并强化呈现。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双轴审题元方法显性化＋节首四件套，把隐性审题经验变成可教口诀。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时效性与新题处理审慎（生态环境法典施行时点、私益/公益诉讼区分、“AI 不是民事主体”）。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eastAsia="黑体" w:hAnsi="Arial"/>
          <w:b/>
          <w:bCs/>
          <w:color w:val="1E6B34"/>
          <w:sz w:val="21"/>
          <w:szCs w:val="21"/>
        </w:rPr>
        <w:t xml:space="preserve">✓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自我勘误意识（“本稿统一为 X 分口径”）与同题组互链，治学严谨。</w:t>
      </w:r>
    </w:p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第五部分　优先级总清单</w:t>
      </w:r>
    </w:p>
    <w:p>
      <w:pPr>
        <w:spacing w:after="120" w:before="0" w:line="276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综合五路意见，按“先纠错、再补完整、后增提分项”的次序分三级。建议先处理 Tier 1（会失分的法律硬伤），再处理 Tier 2（完整性与体例），Tier 3 为把资料从“答案集”升级为“提分教程”的结构性增项，可分版本迭代落地。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Tier 1 ｜ 必改法律硬伤（会失分，最高优先）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650"/>
        <w:gridCol w:w="1650"/>
      </w:tblGrid>
      <w:tr>
        <w:trPr>
          <w:tblHeader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定位 / 说明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高空抛物 vs 物件脱落坠落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朝阳二模18题：统一为第1253条过错推定，与第1254条区分；以石景山一模口径为准。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法律×2＋教师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好意同乘删“安全保障义务”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丰台一模17题：改为审慎驾驶注意义务＋第1217条公平减责。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诉讼时效定义补全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补“义务人主动抗辩＋法院不得主动适用”（第193条）。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法律＋学生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“效力待定→无效”改“不发生效力”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文身案/打赏案：第145条，全册统一。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法律×2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请求权基础拆分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顾氏遗产案：第1131条与第1146条并列、不互为条件。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销售者产品责任定性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无人机案：销售者对外亦无过错责任（第1202/1203条）。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惩罚性赔偿倍数三分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食品十倍(食安法148)/消费三倍(消保法55)/约定从约定，标注依据。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法律＋学生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必背句＋价值术语订正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四件套补“加害行为”；清除“社会主义和谐价值观”。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法律＋教师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Tier 2 ｜ 完整性与体例口径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650"/>
        <w:gridCol w:w="1650"/>
      </w:tblGrid>
      <w:tr>
        <w:trPr>
          <w:tblHeader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定位 / 说明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改正“同题组 64”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改为 63（不同大题）或 54（独立单题），明确定义；两册声明统一。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处理 E009 / E057 编号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删除或补齐 E009 待补题；E009/E057 编号与正文打通。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完整性＋教师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海淀期末18同题组互挂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两小问改为互挂，纠正“仅本分问”误标。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统一 A1 / A3 模块小标题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归位标签与目录用名一致（或扩充目录名）。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设问/资料卡排版规范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东城期末19题把资料卡塞进设问，拆为两段。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完整性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评分口径勘误说明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集中处理卷面分≠细则分的题（如无人机4 vs 6分）。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Tier 3 ｜ 提分增项（学生＋教师共识）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650"/>
        <w:gridCol w:w="1650"/>
      </w:tblGrid>
      <w:tr>
        <w:trPr>
          <w:tblHeader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定位 / 说明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A轴×B轴决策表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横排B1–B7：识别信号词＋答题骨架＋万能起手式。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学生＋教师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每类可填空万能模板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违约五步/侵权四件套/意义四角度/维权四途径。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学生＋教师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5 张易混点对比表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效力三态/三归责/赔偿倍数/代理人vs辩护人/格式条款效力。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学生＋教师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得分结构模板＋分值踩点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B轴节首得分模板；题号标“分值-踩点-每点分”。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⚠ 易错警示框（踩分/送命词）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把散落的“不得分/必须出现”集中成侧栏标签。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学生＋教师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优先级与考频标注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每题★必背/重点/了解＋近三年北京考频。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学生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21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材料→规则→结论两栏对照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答案落点显性化审题链条，救中等生。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22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难度分层＋保底/满分两档答案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难度★＋素养层级；中等生保底、尖子生进阶。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23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A轴—统编单元对照＋模块边界清单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选必二 vs 必修三判别（AI/公益诉讼高频复合）。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教师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350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404040"/>
                <w:sz w:val="18"/>
                <w:szCs w:val="18"/>
              </w:rPr>
              <w:t xml:space="preserve">默写自测＋知识结构图＋变式训练</w:t>
            </w:r>
          </w:p>
        </w:tc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每节补练手与小结，排版分离“背诵区/阅卷区”。</w:t>
            </w:r>
          </w:p>
        </w:tc>
        <w:tc>
          <w:tcPr>
            <w:tcW w:type="dxa" w:w="1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E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学生＋教师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附录　审校方法与法条依据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一、审校方法</w:t>
      </w:r>
    </w:p>
    <w:p>
      <w:pPr>
        <w:spacing w:after="120" w:before="0" w:line="276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本次审校由五路智能体并行完成，均通读两册全文（A 册约 8.3 万字／1182 行，B 册约 8.8 万字／1256 行，含全部表格）：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智能体①：法律准确性核实 · A 册《试题与评分细则汇编》（逐条核对法条、细则、答案落点，关键条文网络核验）。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智能体②：法律准确性核实 · B 册《AB 双轴宝典》（含 A/B 轴归类、必背句、核心答题点准确性）。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智能体③：完整性与跨文档一致性（数量清点、跨册逐题比对、待补项与编号核查，辅以脚本定量核对）。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智能体④：高三学生视角通读（可用性、易懂度、易错点、复习效率）。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智能体⑤：专业政治教师视角通读（教学法、内容严谨性、应试规范、评分对接、结构编排）。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color w:val="2E5496"/>
          <w:sz w:val="25"/>
          <w:szCs w:val="25"/>
        </w:rPr>
        <w:t xml:space="preserve">二、主要法条索引（经核对）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法条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《民法典》第145条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限制民事行为能力人合同效力；拒绝追认→不发生效力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《民法典》第193条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人民法院不得主动适用诉讼时效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《民法典》第196条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不适用诉讼时效的情形（含赡养费/抚养费/扶养费）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《民法典》第1131条 / 第1146条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分给适当遗产请求权 / 申请指定遗产管理人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《民法典》第1198条 / 第1217条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安全保障义务 / 好意同乘减责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《民法典》第1202、1203条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产品责任：生产者、销售者对外无过错责任与内部追偿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《民法典》第1253条 / 第1254条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搁置物悬挂物脱落坠落（过错推定） / 高空抛物（可能加害人补偿）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《民法典》第496、497条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格式条款：提示说明义务 / 无效情形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《食品安全法》第148条 / 《消保法》第55条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十倍（食品安全） / 三倍（一般消费欺诈，不足500按500）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eastAsia="黑体" w:hAnsi="Arial"/>
                <w:b/>
                <w:bCs/>
                <w:color w:val="1F3864"/>
                <w:sz w:val="18"/>
                <w:szCs w:val="18"/>
              </w:rPr>
              <w:t xml:space="preserve">《生态环境法典》</w:t>
            </w:r>
          </w:p>
        </w:tc>
        <w:tc>
          <w:tcPr>
            <w:tcW w:type="dxa" w:w="5710"/>
            <w:tcBorders>
              <w:top w:val="single" w:color="B6C2D9" w:sz="1"/>
              <w:left w:val="single" w:color="B6C2D9" w:sz="1"/>
              <w:bottom w:val="single" w:color="B6C2D9" w:sz="1"/>
              <w:right w:val="single" w:color="B6C2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color w:val="404040"/>
                <w:sz w:val="19"/>
                <w:szCs w:val="19"/>
              </w:rPr>
              <w:t xml:space="preserve">2026-03-12 公布、2026-08-15 施行（按案发时点不作裁判依据）</w:t>
            </w:r>
          </w:p>
        </w:tc>
      </w:tr>
    </w:tbl>
    <w:p>
      <w:pPr>
        <w:spacing w:after="120" w:before="120"/>
      </w:pPr>
      <w:r>
        <w:rPr>
          <w:rFonts w:ascii="Arial" w:eastAsia="黑体" w:hAnsi="Arial"/>
          <w:b/>
          <w:bCs/>
          <w:color w:val="404040"/>
          <w:sz w:val="21"/>
          <w:szCs w:val="21"/>
        </w:rPr>
        <w:t xml:space="preserve">说明：</w:t>
      </w:r>
      <w:r>
        <w:rPr>
          <w:rFonts w:ascii="Times New Roman" w:eastAsia="宋体" w:hAnsi="Times New Roman"/>
          <w:i/>
          <w:iCs/>
          <w:color w:val="404040"/>
          <w:sz w:val="21"/>
          <w:szCs w:val="21"/>
        </w:rPr>
        <w:t xml:space="preserve">本报告为修改意见汇总，未改动原始文件。如需，可据 Tier 1 / Tier 2 在原 docx 上以“修订/批注”模式直接落地修改，生成修订版。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Times New Roman" w:eastAsia="宋体" w:hAnsi="Times New Roman"/>
        <w:color w:val="8A93A6"/>
        <w:sz w:val="16"/>
        <w:szCs w:val="16"/>
      </w:rPr>
      <w:t xml:space="preserve">第 </w:t>
    </w:r>
    <w:r>
      <w:rPr>
        <w:rFonts w:ascii="Times New Roman" w:eastAsia="宋体" w:hAnsi="Times New Roman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8A93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C2D9" w:sz="4" w:space="2"/>
      </w:pBdr>
      <w:spacing w:after="0"/>
      <w:jc w:val="right"/>
    </w:pPr>
    <w:r>
      <w:rPr>
        <w:rFonts w:ascii="Times New Roman" w:eastAsia="宋体" w:hAnsi="Times New Roman"/>
        <w:color w:val="8A93A6"/>
        <w:sz w:val="16"/>
        <w:szCs w:val="16"/>
      </w:rPr>
      <w:t xml:space="preserve">《法律与生活》多视角审校与修改意见报告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eastAsia="黑体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黑体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《法律与生活》多视角审校与修改意见报告</dc:title>
  <dc:creator>多视角审校</dc:creator>
  <cp:lastModifiedBy>Un-named</cp:lastModifiedBy>
  <cp:revision>1</cp:revision>
  <dcterms:created xsi:type="dcterms:W3CDTF">2026-06-05T14:16:45.368Z</dcterms:created>
  <dcterms:modified xsi:type="dcterms:W3CDTF">2026-06-05T14:16:45.368Z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