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F4D78"/>
          <w:sz w:val="44"/>
        </w:rPr>
        <w:t>选必二《法律与生活》法律宝典 v13.7 集成终版</w:t>
      </w:r>
    </w:p>
    <w:p>
      <w:pPr>
        <w:jc w:val="center"/>
      </w:pPr>
      <w:r>
        <w:rPr>
          <w:rFonts w:ascii="Microsoft YaHei" w:hAnsi="Microsoft YaHei"/>
          <w:color w:val="4B5563"/>
          <w:sz w:val="21"/>
        </w:rPr>
        <w:t>状态：v13_7_final_baodian_integrated_pdf_rendered_docx_generated_with_docx_render_caveat</w:t>
      </w:r>
    </w:p>
    <w:p>
      <w:r>
        <w:t>框架门禁：真实 GPT/Claude 参与框架生长；真实 Claude Opus 4.7 Adaptive 以零基础高三学生身份连续盲测至 Round07。</w:t>
      </w:r>
    </w:p>
    <w:p>
      <w:r>
        <w:br w:type="page"/>
      </w:r>
    </w:p>
    <w:p>
      <w:pPr>
        <w:pStyle w:val="Heading1"/>
        <w:pageBreakBefore/>
      </w:pPr>
      <w:r>
        <w:t>选必二《法律与生活》法律宝典 v13.7 集成终版</w:t>
      </w:r>
    </w:p>
    <w:p>
      <w:pPr>
        <w:spacing w:after="80"/>
      </w:pPr>
      <w:r>
        <w:t>状态：`v13_7_final_baodian_integrated_pdf_rendered_docx_generated_with_docx_render_caveat`</w:t>
      </w:r>
    </w:p>
    <w:p>
      <w:pPr>
        <w:spacing w:after="80"/>
      </w:pPr>
      <w:r>
        <w:t>生成时间：2026-05-23 23:10 +08:00</w:t>
      </w:r>
    </w:p>
    <w:p>
      <w:pPr>
        <w:spacing w:after="80"/>
      </w:pPr>
      <w:r>
        <w:t>本目录是 v13.7 集成版法律宝典候选。它以 v13.1 的 42 题成品和追溯矩阵为题源底座，回灌 v13.2-v13.7 真实 Claude 零基础学生盲测补丁。</w:t>
      </w:r>
    </w:p>
    <w:p>
      <w:pPr>
        <w:pStyle w:val="Heading2"/>
      </w:pPr>
      <w:r>
        <w:t>核心文件</w:t>
      </w:r>
    </w:p>
    <w:p>
      <w:pPr>
        <w:pStyle w:val="ListBullet"/>
        <w:spacing w:after="30"/>
      </w:pPr>
      <w:r>
        <w:t>`01_双轴法律主观题框架章_v13_7最终宝典版.md`</w:t>
      </w:r>
    </w:p>
    <w:p>
      <w:pPr>
        <w:pStyle w:val="ListBullet"/>
        <w:spacing w:after="30"/>
      </w:pPr>
      <w:r>
        <w:t>`02_42题双轴重标与解析宝典_v13_7.md`</w:t>
      </w:r>
    </w:p>
    <w:p>
      <w:pPr>
        <w:pStyle w:val="ListBullet"/>
        <w:spacing w:after="30"/>
      </w:pPr>
      <w:r>
        <w:t>`03_AxB交叉矩阵与支持度_v13_7.md`</w:t>
      </w:r>
    </w:p>
    <w:p>
      <w:pPr>
        <w:pStyle w:val="ListBullet"/>
        <w:spacing w:after="30"/>
      </w:pPr>
      <w:r>
        <w:t>`04_开放容器与不晋升题附录_v13_7.md`</w:t>
      </w:r>
    </w:p>
    <w:p>
      <w:pPr>
        <w:pStyle w:val="ListBullet"/>
        <w:spacing w:after="30"/>
      </w:pPr>
      <w:r>
        <w:t>`05_GPT_Claude治理附录_v13_7.md`</w:t>
      </w:r>
    </w:p>
    <w:p>
      <w:pPr>
        <w:pStyle w:val="ListBullet"/>
        <w:spacing w:after="30"/>
      </w:pPr>
      <w:r>
        <w:t>`06_GOVERNOR_V13_7_FINAL_CHECK.md`</w:t>
      </w:r>
    </w:p>
    <w:p>
      <w:pPr>
        <w:pStyle w:val="ListBullet"/>
        <w:spacing w:after="30"/>
      </w:pPr>
      <w:r>
        <w:t>`governor_confucius/CONFUCIUS_ARTIFACT_ONLY_CHECK_v13_7.md`</w:t>
      </w:r>
    </w:p>
    <w:p>
      <w:pPr>
        <w:pStyle w:val="ListBullet"/>
        <w:spacing w:after="30"/>
      </w:pPr>
      <w:r>
        <w:t>`traceability/TRACEABILITY_MATRIX_v13_7_final.csv`</w:t>
      </w:r>
    </w:p>
    <w:p>
      <w:pPr>
        <w:pStyle w:val="Heading2"/>
      </w:pPr>
      <w:r>
        <w:t>边界</w:t>
      </w:r>
    </w:p>
    <w:p>
      <w:pPr>
        <w:spacing w:after="80"/>
      </w:pPr>
      <w:r>
        <w:t>开放容器、参考运行题和下一版回填候选仍不得进入 42 道 locked core 正文。DOCX direct render QA 只有在未来 LibreOffice/soffice 可用时才能声明通过。</w:t>
      </w:r>
    </w:p>
    <w:p>
      <w:pPr>
        <w:pStyle w:val="Heading1"/>
        <w:pageBreakBefore/>
      </w:pPr>
      <w:r>
        <w:t>01 v13.7 双轴法律主观题框架章</w:t>
      </w:r>
    </w:p>
    <w:p>
      <w:pPr>
        <w:spacing w:after="80"/>
      </w:pPr>
      <w:r>
        <w:t>生成时间：2026-05-23 23:10 +08:00</w:t>
      </w:r>
    </w:p>
    <w:p>
      <w:pPr>
        <w:spacing w:after="80"/>
      </w:pPr>
      <w:r>
        <w:t>状态：`v13_7_final_baodian_integrated_pdf_rendered_docx_generated_with_docx_render_caveat`</w:t>
      </w:r>
    </w:p>
    <w:p>
      <w:pPr>
        <w:spacing w:after="80"/>
      </w:pPr>
      <w:r>
        <w:t>本章是 v13.1 成品框架经真实 Claude 零基础学生盲测后，连续 v13.2-v13.7 补丁整合而成的学生版框架章。它不推翻 A/B 双轴：A轴解决“这是哪类法律关系或法律内容”，B轴解决“题目要我做什么动作”。v13.7 的新增价值在于把聪明但零基础的学生容易卡住的地方补成可执行口令：入口后工具句、B1 表格列名、B3 诉求分层、双链字数比例、停止条件。</w:t>
      </w:r>
    </w:p>
    <w:p>
      <w:pPr>
        <w:pStyle w:val="Heading2"/>
      </w:pPr>
      <w:r>
        <w:t>一页总览</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先后</w:t>
            </w:r>
          </w:p>
        </w:tc>
        <w:tc>
          <w:tcPr>
            <w:tcW w:type="dxa" w:w="3326"/>
            <w:vAlign w:val="center"/>
            <w:shd w:fill="E8EEF5"/>
          </w:tcPr>
          <w:p>
            <w:r/>
            <w:r>
              <w:rPr>
                <w:rFonts w:ascii="Microsoft YaHei" w:hAnsi="Microsoft YaHei"/>
                <w:b/>
                <w:sz w:val="16"/>
              </w:rPr>
              <w:t>问自己什么</w:t>
            </w:r>
          </w:p>
        </w:tc>
        <w:tc>
          <w:tcPr>
            <w:tcW w:type="dxa" w:w="3326"/>
            <w:vAlign w:val="center"/>
            <w:shd w:fill="E8EEF5"/>
          </w:tcPr>
          <w:p>
            <w:r/>
            <w:r>
              <w:rPr>
                <w:rFonts w:ascii="Microsoft YaHei" w:hAnsi="Microsoft YaHei"/>
                <w:b/>
                <w:sz w:val="16"/>
              </w:rPr>
              <w:t>输出什么</w:t>
            </w:r>
          </w:p>
        </w:tc>
      </w:tr>
      <w:tr>
        <w:tc>
          <w:tcPr>
            <w:tcW w:type="dxa" w:w="3326"/>
            <w:vAlign w:val="center"/>
          </w:tcPr>
          <w:p>
            <w:r/>
            <w:r>
              <w:rPr>
                <w:rFonts w:ascii="Microsoft YaHei" w:hAnsi="Microsoft YaHei"/>
                <w:b w:val="0"/>
                <w:sz w:val="16"/>
              </w:rPr>
              <w:t>1</w:t>
            </w:r>
          </w:p>
        </w:tc>
        <w:tc>
          <w:tcPr>
            <w:tcW w:type="dxa" w:w="3326"/>
            <w:vAlign w:val="center"/>
          </w:tcPr>
          <w:p>
            <w:r/>
            <w:r>
              <w:rPr>
                <w:rFonts w:ascii="Microsoft YaHei" w:hAnsi="Microsoft YaHei"/>
                <w:b w:val="0"/>
                <w:sz w:val="16"/>
              </w:rPr>
              <w:t>这是谁和谁，围绕什么利益起争议？</w:t>
            </w:r>
          </w:p>
        </w:tc>
        <w:tc>
          <w:tcPr>
            <w:tcW w:type="dxa" w:w="3326"/>
            <w:vAlign w:val="center"/>
          </w:tcPr>
          <w:p>
            <w:r/>
            <w:r>
              <w:rPr>
                <w:rFonts w:ascii="Microsoft YaHei" w:hAnsi="Microsoft YaHei"/>
                <w:b w:val="0"/>
                <w:sz w:val="16"/>
              </w:rPr>
              <w:t>A轴主入口：人格、物权、合同、竞争、侵权、婚姻继承、劳动、消费、程序等</w:t>
            </w:r>
          </w:p>
        </w:tc>
      </w:tr>
      <w:tr>
        <w:tc>
          <w:tcPr>
            <w:tcW w:type="dxa" w:w="3326"/>
            <w:vAlign w:val="center"/>
          </w:tcPr>
          <w:p>
            <w:r/>
            <w:r>
              <w:rPr>
                <w:rFonts w:ascii="Microsoft YaHei" w:hAnsi="Microsoft YaHei"/>
                <w:b w:val="0"/>
                <w:sz w:val="16"/>
              </w:rPr>
              <w:t>2</w:t>
            </w:r>
          </w:p>
        </w:tc>
        <w:tc>
          <w:tcPr>
            <w:tcW w:type="dxa" w:w="3326"/>
            <w:vAlign w:val="center"/>
          </w:tcPr>
          <w:p>
            <w:r/>
            <w:r>
              <w:rPr>
                <w:rFonts w:ascii="Microsoft YaHei" w:hAnsi="Microsoft YaHei"/>
                <w:b w:val="0"/>
                <w:sz w:val="16"/>
              </w:rPr>
              <w:t>题干让我完成什么动作？</w:t>
            </w:r>
          </w:p>
        </w:tc>
        <w:tc>
          <w:tcPr>
            <w:tcW w:type="dxa" w:w="3326"/>
            <w:vAlign w:val="center"/>
          </w:tcPr>
          <w:p>
            <w:r/>
            <w:r>
              <w:rPr>
                <w:rFonts w:ascii="Microsoft YaHei" w:hAnsi="Microsoft YaHei"/>
                <w:b w:val="0"/>
                <w:sz w:val="16"/>
              </w:rPr>
              <w:t>B轴动作：表格、判决理由、诉求支持、评析认识、意义价值、维权路径</w:t>
            </w:r>
          </w:p>
        </w:tc>
      </w:tr>
      <w:tr>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材料给了哪些事实信号？</w:t>
            </w:r>
          </w:p>
        </w:tc>
        <w:tc>
          <w:tcPr>
            <w:tcW w:type="dxa" w:w="3326"/>
            <w:vAlign w:val="center"/>
          </w:tcPr>
          <w:p>
            <w:r/>
            <w:r>
              <w:rPr>
                <w:rFonts w:ascii="Microsoft YaHei" w:hAnsi="Microsoft YaHei"/>
                <w:b w:val="0"/>
                <w:sz w:val="16"/>
              </w:rPr>
              <w:t>事实 -&gt; 法律要件 -&gt; 结论，不空背条文</w:t>
            </w:r>
          </w:p>
        </w:tc>
      </w:tr>
      <w:tr>
        <w:tc>
          <w:tcPr>
            <w:tcW w:type="dxa" w:w="3326"/>
            <w:vAlign w:val="center"/>
          </w:tcPr>
          <w:p>
            <w:r/>
            <w:r>
              <w:rPr>
                <w:rFonts w:ascii="Microsoft YaHei" w:hAnsi="Microsoft YaHei"/>
                <w:b w:val="0"/>
                <w:sz w:val="16"/>
              </w:rPr>
              <w:t>4</w:t>
            </w:r>
          </w:p>
        </w:tc>
        <w:tc>
          <w:tcPr>
            <w:tcW w:type="dxa" w:w="3326"/>
            <w:vAlign w:val="center"/>
          </w:tcPr>
          <w:p>
            <w:r/>
            <w:r>
              <w:rPr>
                <w:rFonts w:ascii="Microsoft YaHei" w:hAnsi="Microsoft YaHei"/>
                <w:b w:val="0"/>
                <w:sz w:val="16"/>
              </w:rPr>
              <w:t>是否有副入口？</w:t>
            </w:r>
          </w:p>
        </w:tc>
        <w:tc>
          <w:tcPr>
            <w:tcW w:type="dxa" w:w="3326"/>
            <w:vAlign w:val="center"/>
          </w:tcPr>
          <w:p>
            <w:r/>
            <w:r>
              <w:rPr>
                <w:rFonts w:ascii="Microsoft YaHei" w:hAnsi="Microsoft YaHei"/>
                <w:b w:val="0"/>
                <w:sz w:val="16"/>
              </w:rPr>
              <w:t>主链先写，副链按题干和材料比例补写</w:t>
            </w:r>
          </w:p>
        </w:tc>
      </w:tr>
      <w:tr>
        <w:tc>
          <w:tcPr>
            <w:tcW w:type="dxa" w:w="3326"/>
            <w:vAlign w:val="center"/>
          </w:tcPr>
          <w:p>
            <w:r/>
            <w:r>
              <w:rPr>
                <w:rFonts w:ascii="Microsoft YaHei" w:hAnsi="Microsoft YaHei"/>
                <w:b w:val="0"/>
                <w:sz w:val="16"/>
              </w:rPr>
              <w:t>5</w:t>
            </w:r>
          </w:p>
        </w:tc>
        <w:tc>
          <w:tcPr>
            <w:tcW w:type="dxa" w:w="3326"/>
            <w:vAlign w:val="center"/>
          </w:tcPr>
          <w:p>
            <w:r/>
            <w:r>
              <w:rPr>
                <w:rFonts w:ascii="Microsoft YaHei" w:hAnsi="Microsoft YaHei"/>
                <w:b w:val="0"/>
                <w:sz w:val="16"/>
              </w:rPr>
              <w:t>什么时候收束？</w:t>
            </w:r>
          </w:p>
        </w:tc>
        <w:tc>
          <w:tcPr>
            <w:tcW w:type="dxa" w:w="3326"/>
            <w:vAlign w:val="center"/>
          </w:tcPr>
          <w:p>
            <w:r/>
            <w:r>
              <w:rPr>
                <w:rFonts w:ascii="Microsoft YaHei" w:hAnsi="Microsoft YaHei"/>
                <w:b w:val="0"/>
                <w:sz w:val="16"/>
              </w:rPr>
              <w:t>问裁判落责任，问意义落价值，问路径落程序，不互相乱写</w:t>
            </w:r>
          </w:p>
        </w:tc>
      </w:tr>
    </w:tbl>
    <w:p/>
    <w:p>
      <w:pPr>
        <w:pStyle w:val="Heading2"/>
      </w:pPr>
      <w:r>
        <w:t>二、完整补丁链</w:t>
      </w:r>
    </w:p>
    <w:p>
      <w:pPr>
        <w:spacing w:after="80"/>
      </w:pPr>
      <w:r>
        <w:t>以下保留 v13.2-v13.7 的完整可迁移规则。标题中的早期版本号表示规则的生长来源，不表示当前状态倒退。</w:t>
      </w:r>
    </w:p>
    <w:p>
      <w:pPr>
        <w:pStyle w:val="Heading2"/>
      </w:pPr>
      <w:r>
        <w:t>三、v13.2：零基础工具箱</w:t>
      </w:r>
    </w:p>
    <w:p>
      <w:pPr>
        <w:spacing w:after="80"/>
      </w:pPr>
      <w:r>
        <w:t>v13.1 已经证明 A/B 双轴有效：先判断法律关系/内容，再判断设问动作/命题路径。真实 Claude 零基础盲测暴露的不是双轴失效，而是双轴后面缺少“会写答案的工具”。聪明学生能分到正确入口，但进门后不知道调用哪些要件句、责任句和表格句。</w:t>
      </w:r>
    </w:p>
    <w:p>
      <w:pPr>
        <w:spacing w:after="80"/>
      </w:pPr>
      <w:r>
        <w:t>v13.2 不推翻 v13.1。它只增加四个硬补丁：</w:t>
      </w:r>
    </w:p>
    <w:p>
      <w:pPr>
        <w:spacing w:after="80"/>
      </w:pPr>
      <w:r>
        <w:t>1. A1 只当基础脊柱，不抢真实生活场景主入口。 2. 每个 A 入口增加高频要件句和责任句。 3. B1 表格题增加可迁移模板。 4. 双链题增加主副轴排序规则。</w:t>
      </w:r>
    </w:p>
    <w:p>
      <w:pPr>
        <w:pStyle w:val="Heading2"/>
      </w:pPr>
      <w:r>
        <w:t>二、总公式</w:t>
      </w:r>
    </w:p>
    <w:p>
      <w:pPr>
        <w:ind w:left="255"/>
      </w:pPr>
      <w:r>
        <w:rPr>
          <w:i/>
          <w:color w:val="1F4D78"/>
        </w:rPr>
        <w:t>先问“这是谁和谁、围绕什么利益的纠纷”，定 A 轴真实生活场景；再看设问动作，定 B 轴；最后调用该 A 入口的要件句和责任句，把材料事实压进法律链条。</w:t>
      </w:r>
    </w:p>
    <w:p>
      <w:pPr>
        <w:spacing w:after="80"/>
      </w:pPr>
      <w:r>
        <w:t>考场写作顺序：</w:t>
      </w:r>
    </w:p>
    <w:p>
      <w:pPr>
        <w:spacing w:after="80"/>
      </w:pPr>
      <w:r>
        <w:t>1. 定场景：消费者、经营者、劳动者、合同当事人、邻居、家人、权利受害人、竞争者、程序当事人。 2. 定规则：从本框架对应 A 入口拿 2-4 个要件句。 3. 定事实：把题面事实逐个压到要件上。 4. 定结论：支持/不支持、担责/不担责、有效/无效、返还/赔偿/停止侵害。 5. 只有 B4/B5/B6 或题干明示意义价值时，才写价值收束。</w:t>
      </w:r>
    </w:p>
    <w:p>
      <w:pPr>
        <w:pStyle w:val="Heading2"/>
      </w:pPr>
      <w:r>
        <w:t>三、A1 不抢主入口的硬规则</w:t>
      </w:r>
    </w:p>
    <w:p>
      <w:pPr>
        <w:spacing w:after="80"/>
      </w:pPr>
      <w:r>
        <w:t>A1 民事法律关系总论包括行为能力、意思表示、代理、时效、民事法律行为效力。它很重要，但多数时候是“得分脊柱”，不是“生活场景主入口”。</w:t>
      </w:r>
    </w:p>
    <w:p>
      <w:pPr>
        <w:pStyle w:val="Heading3"/>
      </w:pPr>
      <w:r>
        <w:t>A1 只能作主入口的情况</w:t>
      </w:r>
    </w:p>
    <w:p>
      <w:pPr>
        <w:pStyle w:val="ListBullet"/>
        <w:spacing w:after="30"/>
      </w:pPr>
      <w:r>
        <w:t>题干直接问民事法律行为是否有效、行为能力、代理、追认、时效。</w:t>
      </w:r>
    </w:p>
    <w:p>
      <w:pPr>
        <w:pStyle w:val="ListBullet"/>
        <w:spacing w:after="30"/>
      </w:pPr>
      <w:r>
        <w:t>材料没有更具体的消费者、合同、人格、物权、劳动、婚姻、竞争或程序场景。</w:t>
      </w:r>
    </w:p>
    <w:p>
      <w:pPr>
        <w:pStyle w:val="Heading3"/>
      </w:pPr>
      <w:r>
        <w:t>A1 不得压过主场景的情况</w:t>
      </w:r>
    </w:p>
    <w:p>
      <w:pPr>
        <w:pStyle w:val="ListBullet"/>
        <w:spacing w:after="30"/>
      </w:pPr>
      <w:r>
        <w:t>未成年人直播打赏：主场景是 A9 消费者权益与经营者义务，A1 作为限制民事行为能力、追认、返还和过错分担的得分脊柱。</w:t>
      </w:r>
    </w:p>
    <w:p>
      <w:pPr>
        <w:pStyle w:val="ListBullet"/>
        <w:spacing w:after="30"/>
      </w:pPr>
      <w:r>
        <w:t>无人机买卖、碳配额采购、研发委托：主场景是 A4 合同，A1 的要约承诺或意思表示只是合同成立的工具。</w:t>
      </w:r>
    </w:p>
    <w:p>
      <w:pPr>
        <w:pStyle w:val="ListBullet"/>
        <w:spacing w:after="30"/>
      </w:pPr>
      <w:r>
        <w:t>平台扣款、预订服务、虚假宣传：主场景优先 A9，格式条款或意思表示只服务于消费者链。</w:t>
      </w:r>
    </w:p>
    <w:p>
      <w:pPr>
        <w:spacing w:after="80"/>
      </w:pPr>
      <w:r>
        <w:t>一句话：A1 是骨架，不是外衣。先看题目穿的是什么生活场景，再把 A1 骨架塞进去。</w:t>
      </w:r>
    </w:p>
    <w:p>
      <w:pPr>
        <w:pStyle w:val="Heading2"/>
      </w:pPr>
      <w:r>
        <w:t>四、A轴入口后的法条工具箱</w:t>
      </w:r>
    </w:p>
    <w:p>
      <w:pPr>
        <w:pStyle w:val="Heading3"/>
      </w:pPr>
      <w:r>
        <w:t>A1 民事法律关系总论工具句</w:t>
      </w:r>
    </w:p>
    <w:p>
      <w:pPr>
        <w:pStyle w:val="ListBullet"/>
        <w:spacing w:after="30"/>
      </w:pPr>
      <w:r>
        <w:t>限制民事行为能力人实施纯获利益或与其年龄、智力相适应的民事法律行为有效，明显超出其年龄、智力和经济认知范围的行为，需要法定代理人同意或追认。</w:t>
      </w:r>
    </w:p>
    <w:p>
      <w:pPr>
        <w:pStyle w:val="ListBullet"/>
        <w:spacing w:after="30"/>
      </w:pPr>
      <w:r>
        <w:t>未经追认的行为不能当然要求监护人承担全部后果；已经取得的财产原则上应返还。</w:t>
      </w:r>
    </w:p>
    <w:p>
      <w:pPr>
        <w:pStyle w:val="ListBullet"/>
        <w:spacing w:after="30"/>
      </w:pPr>
      <w:r>
        <w:t>行为有效性之外，还要看交易相对方、监护人、行为人本人是否有过错，再按公平原则或过错程度分担责任。</w:t>
      </w:r>
    </w:p>
    <w:p>
      <w:pPr>
        <w:pStyle w:val="ListBullet"/>
        <w:spacing w:after="30"/>
      </w:pPr>
      <w:r>
        <w:t>要约内容具体确定并表明受约束意思，承诺到达时合同成立。</w:t>
      </w:r>
    </w:p>
    <w:p>
      <w:pPr>
        <w:pStyle w:val="Heading3"/>
      </w:pPr>
      <w:r>
        <w:t>A2 人身权与人格权工具句</w:t>
      </w:r>
    </w:p>
    <w:p>
      <w:pPr>
        <w:pStyle w:val="ListBullet"/>
        <w:spacing w:after="30"/>
      </w:pPr>
      <w:r>
        <w:t>先叫准权利名：生命健康、名誉、肖像、隐私、个人信息、未成年人身心利益。</w:t>
      </w:r>
    </w:p>
    <w:p>
      <w:pPr>
        <w:pStyle w:val="ListBullet"/>
        <w:spacing w:after="30"/>
      </w:pPr>
      <w:r>
        <w:t>私密空间、私密活动、私密信息受隐私权保护；可识别自然人的信息受个人信息权益保护。</w:t>
      </w:r>
    </w:p>
    <w:p>
      <w:pPr>
        <w:pStyle w:val="ListBullet"/>
        <w:spacing w:after="30"/>
      </w:pPr>
      <w:r>
        <w:t>公开监控、聊天记录、行踪规律、私密活动，通常先写隐私或个人信息，再写侵权责任。</w:t>
      </w:r>
    </w:p>
    <w:p>
      <w:pPr>
        <w:pStyle w:val="ListBullet"/>
        <w:spacing w:after="30"/>
      </w:pPr>
      <w:r>
        <w:t>无事实依据贬损自然人或法人名誉、商誉，造成社会评价降低，应承担停止侵害、消除影响、赔礼道歉、赔偿损失等责任。</w:t>
      </w:r>
    </w:p>
    <w:p>
      <w:pPr>
        <w:pStyle w:val="ListBullet"/>
        <w:spacing w:after="30"/>
      </w:pPr>
      <w:r>
        <w:t>涉及未成年人时，要写保护未成年人身心健康和公序良俗。</w:t>
      </w:r>
    </w:p>
    <w:p>
      <w:pPr>
        <w:pStyle w:val="Heading3"/>
      </w:pPr>
      <w:r>
        <w:t>A3 物权与相邻关系工具句</w:t>
      </w:r>
    </w:p>
    <w:p>
      <w:pPr>
        <w:pStyle w:val="ListBullet"/>
        <w:spacing w:after="30"/>
      </w:pPr>
      <w:r>
        <w:t>业主对专有部分享有权利，对共有部分享有共同管理和合理使用利益。</w:t>
      </w:r>
    </w:p>
    <w:p>
      <w:pPr>
        <w:pStyle w:val="ListBullet"/>
        <w:spacing w:after="30"/>
      </w:pPr>
      <w:r>
        <w:t>改变共有部分用途或利用共有部分，应符合法定程序和业主共同决定规则。</w:t>
      </w:r>
    </w:p>
    <w:p>
      <w:pPr>
        <w:pStyle w:val="ListBullet"/>
        <w:spacing w:after="30"/>
      </w:pPr>
      <w:r>
        <w:t>相邻关系按有利生产、方便生活、团结互助、公平合理原则处理。</w:t>
      </w:r>
    </w:p>
    <w:p>
      <w:pPr>
        <w:pStyle w:val="ListBullet"/>
        <w:spacing w:after="30"/>
      </w:pPr>
      <w:r>
        <w:t>对采光、通风、通行、安全等影响，要结合事实勘查和损害程度，不能只喊民生工程或只喊绝对权利。</w:t>
      </w:r>
    </w:p>
    <w:p>
      <w:pPr>
        <w:pStyle w:val="ListBullet"/>
        <w:spacing w:after="30"/>
      </w:pPr>
      <w:r>
        <w:t>程序合法、审批公示等事实可以支撑裁判，但不自动把题目变成 A10 程序题。</w:t>
      </w:r>
    </w:p>
    <w:p>
      <w:pPr>
        <w:pStyle w:val="Heading3"/>
      </w:pPr>
      <w:r>
        <w:t>A4 合同工具句</w:t>
      </w:r>
    </w:p>
    <w:p>
      <w:pPr>
        <w:pStyle w:val="ListBullet"/>
        <w:spacing w:after="30"/>
      </w:pPr>
      <w:r>
        <w:t>先看合同是否成立：要约是否具体明确，承诺是否到达。</w:t>
      </w:r>
    </w:p>
    <w:p>
      <w:pPr>
        <w:pStyle w:val="ListBullet"/>
        <w:spacing w:after="30"/>
      </w:pPr>
      <w:r>
        <w:t>合同成立生效后，当事人应全面履行、诚信履行。</w:t>
      </w:r>
    </w:p>
    <w:p>
      <w:pPr>
        <w:pStyle w:val="ListBullet"/>
        <w:spacing w:after="30"/>
      </w:pPr>
      <w:r>
        <w:t>履行不符合约定、迟延履行、拒不履行，构成违约，应承担继续履行、采取补救措施、赔偿损失、支付违约金、返还价款等责任。</w:t>
      </w:r>
    </w:p>
    <w:p>
      <w:pPr>
        <w:pStyle w:val="ListBullet"/>
        <w:spacing w:after="30"/>
      </w:pPr>
      <w:r>
        <w:t>格式条款若排除或限制消费者主要权利、加重消费者责任，且未尽提示说明义务，不能作为经营者免责依据。</w:t>
      </w:r>
    </w:p>
    <w:p>
      <w:pPr>
        <w:pStyle w:val="ListBullet"/>
        <w:spacing w:after="30"/>
      </w:pPr>
      <w:r>
        <w:t>同一题有侵权损害时，先写合同链，再补侵权或人身损害链。</w:t>
      </w:r>
    </w:p>
    <w:p>
      <w:pPr>
        <w:pStyle w:val="Heading3"/>
      </w:pPr>
      <w:r>
        <w:t>A5 知识产权与竞争秩序工具句</w:t>
      </w:r>
    </w:p>
    <w:p>
      <w:pPr>
        <w:pStyle w:val="ListBullet"/>
        <w:spacing w:after="30"/>
      </w:pPr>
      <w:r>
        <w:t>受害者是创新主体、竞争者或经营者，题眼是技术秘密、商业秘密、商标、著作权、混淆、虚假宣传、商业诋毁、数据抓取，优先 A5。</w:t>
      </w:r>
    </w:p>
    <w:p>
      <w:pPr>
        <w:pStyle w:val="ListBullet"/>
        <w:spacing w:after="30"/>
      </w:pPr>
      <w:r>
        <w:t>技术秘密/商业秘密要抓“非公开性、商业价值、保密措施、接触或不正当获取使用”。</w:t>
      </w:r>
    </w:p>
    <w:p>
      <w:pPr>
        <w:pStyle w:val="ListBullet"/>
        <w:spacing w:after="30"/>
      </w:pPr>
      <w:r>
        <w:t>混淆类不正当竞争要抓“名称图标近似、业务相同或相近、足以造成公众混淆”。</w:t>
      </w:r>
    </w:p>
    <w:p>
      <w:pPr>
        <w:pStyle w:val="ListBullet"/>
        <w:spacing w:after="30"/>
      </w:pPr>
      <w:r>
        <w:t>数据抓取类要抓“合法投入形成数据产品、规避技术限制或伪造身份抓取、商业化使用、损害竞争利益和市场秩序”。</w:t>
      </w:r>
    </w:p>
    <w:p>
      <w:pPr>
        <w:pStyle w:val="ListBullet"/>
        <w:spacing w:after="30"/>
      </w:pPr>
      <w:r>
        <w:t>责任句：停止侵害、消除影响、赔偿损失；严重侵权可提高违法成本，保护创新和公平竞争。</w:t>
      </w:r>
    </w:p>
    <w:p>
      <w:pPr>
        <w:pStyle w:val="ListBullet"/>
        <w:spacing w:after="30"/>
      </w:pPr>
      <w:r>
        <w:t>不要把所有数据、软件、经营标识都简单写成著作权；先看题干是否真正给出作品独创性或复制传播事实。</w:t>
      </w:r>
    </w:p>
    <w:p>
      <w:pPr>
        <w:pStyle w:val="Heading3"/>
      </w:pPr>
      <w:r>
        <w:t>A6 侵权责任工具句</w:t>
      </w:r>
    </w:p>
    <w:p>
      <w:pPr>
        <w:pStyle w:val="ListBullet"/>
        <w:spacing w:after="30"/>
      </w:pPr>
      <w:r>
        <w:t>侵权链固定四步：权利或利益受损、行为违法或有过错、行为与损害有因果关系、承担责任。</w:t>
      </w:r>
    </w:p>
    <w:p>
      <w:pPr>
        <w:pStyle w:val="ListBullet"/>
        <w:spacing w:after="30"/>
      </w:pPr>
      <w:r>
        <w:t>经营场所、游乐项目、旅游服务等有安全风险的，经营者负有安全保障义务。</w:t>
      </w:r>
    </w:p>
    <w:p>
      <w:pPr>
        <w:pStyle w:val="ListBullet"/>
        <w:spacing w:after="30"/>
      </w:pPr>
      <w:r>
        <w:t>工作人员执行工作任务造成他人损害，通常由用人单位或经营者承担相应责任。</w:t>
      </w:r>
    </w:p>
    <w:p>
      <w:pPr>
        <w:pStyle w:val="ListBullet"/>
        <w:spacing w:after="30"/>
      </w:pPr>
      <w:r>
        <w:t>受害人自身有过错或参与风险项目时，可以影响责任分担，不能只写经营者全责。</w:t>
      </w:r>
    </w:p>
    <w:p>
      <w:pPr>
        <w:pStyle w:val="ListBullet"/>
        <w:spacing w:after="30"/>
      </w:pPr>
      <w:r>
        <w:t>责任方式包括停止侵害、排除妨碍、消除危险、赔偿医疗费、护理费、误工费、残疾赔偿金、精神损害抚慰金等。</w:t>
      </w:r>
    </w:p>
    <w:p>
      <w:pPr>
        <w:pStyle w:val="Heading3"/>
      </w:pPr>
      <w:r>
        <w:t>A7 婚姻家庭与继承工具句</w:t>
      </w:r>
    </w:p>
    <w:p>
      <w:pPr>
        <w:pStyle w:val="ListBullet"/>
        <w:spacing w:after="30"/>
      </w:pPr>
      <w:r>
        <w:t>婚姻家庭题先定位关系：夫妻、亲子、赡养扶养、共同债务、继承、遗产管理。</w:t>
      </w:r>
    </w:p>
    <w:p>
      <w:pPr>
        <w:pStyle w:val="ListBullet"/>
        <w:spacing w:after="30"/>
      </w:pPr>
      <w:r>
        <w:t>评价历史法律规则时，不要用今天标准全盘否定，要结合当时社会条件和保护对象。</w:t>
      </w:r>
    </w:p>
    <w:p>
      <w:pPr>
        <w:pStyle w:val="ListBullet"/>
        <w:spacing w:after="30"/>
      </w:pPr>
      <w:r>
        <w:t>夫妻共同债务要写共同偿还、共同财产不足或财产归各自所有时协议清偿，协议不成由法院判决。</w:t>
      </w:r>
    </w:p>
    <w:p>
      <w:pPr>
        <w:pStyle w:val="ListBullet"/>
        <w:spacing w:after="30"/>
      </w:pPr>
      <w:r>
        <w:t>良法判断要回到人民利益、公平正义、权利保护和时代发展。</w:t>
      </w:r>
    </w:p>
    <w:p>
      <w:pPr>
        <w:pStyle w:val="Heading3"/>
      </w:pPr>
      <w:r>
        <w:t>A8 劳动关系工具句</w:t>
      </w:r>
    </w:p>
    <w:p>
      <w:pPr>
        <w:pStyle w:val="ListBullet"/>
        <w:spacing w:after="30"/>
      </w:pPr>
      <w:r>
        <w:t>劳动关系先看人格从属性、经济从属性、组织从属性，不能只看有没有书面合同。</w:t>
      </w:r>
    </w:p>
    <w:p>
      <w:pPr>
        <w:pStyle w:val="ListBullet"/>
        <w:spacing w:after="30"/>
      </w:pPr>
      <w:r>
        <w:t>用工管理、劳动报酬、工作安排、纪律考核、持续提供劳动，都是事实劳动关系信号。</w:t>
      </w:r>
    </w:p>
    <w:p>
      <w:pPr>
        <w:pStyle w:val="ListBullet"/>
        <w:spacing w:after="30"/>
      </w:pPr>
      <w:r>
        <w:t>劳动者享有平等就业、取得劳动报酬、休息休假、劳动安全卫生、社会保险等权利。</w:t>
      </w:r>
    </w:p>
    <w:p>
      <w:pPr>
        <w:pStyle w:val="ListBullet"/>
        <w:spacing w:after="30"/>
      </w:pPr>
      <w:r>
        <w:t>竞业限制、保密义务等要兼顾企业合法权益和劳动者就业权，不能无限扩大。</w:t>
      </w:r>
    </w:p>
    <w:p>
      <w:pPr>
        <w:pStyle w:val="Heading3"/>
      </w:pPr>
      <w:r>
        <w:t>A9 消费者权益与经营者义务工具句</w:t>
      </w:r>
    </w:p>
    <w:p>
      <w:pPr>
        <w:pStyle w:val="ListBullet"/>
        <w:spacing w:after="30"/>
      </w:pPr>
      <w:r>
        <w:t>受害者是消费者，题眼是知情权、选择权、公平交易、安全保障、退赔、惩罚性赔偿、平台扣款、直播打赏，优先 A9。</w:t>
      </w:r>
    </w:p>
    <w:p>
      <w:pPr>
        <w:pStyle w:val="ListBullet"/>
        <w:spacing w:after="30"/>
      </w:pPr>
      <w:r>
        <w:t>经营者应真实、全面提供商品或服务信息，不得虚假或引人误解宣传。</w:t>
      </w:r>
    </w:p>
    <w:p>
      <w:pPr>
        <w:pStyle w:val="ListBullet"/>
        <w:spacing w:after="30"/>
      </w:pPr>
      <w:r>
        <w:t>欺诈消费者的，通常支持退还价款并按消费者权益保护规则增加赔偿；题面若明确食品药品安全，再考虑更特殊规则。</w:t>
      </w:r>
    </w:p>
    <w:p>
      <w:pPr>
        <w:pStyle w:val="ListBullet"/>
        <w:spacing w:after="30"/>
      </w:pPr>
      <w:r>
        <w:t>平台或经营者利用提示不清、预设条款、格式条款强行扣款，要写未尽提示说明义务和损害消费者知情、公平交易权。</w:t>
      </w:r>
    </w:p>
    <w:p>
      <w:pPr>
        <w:pStyle w:val="ListBullet"/>
        <w:spacing w:after="30"/>
      </w:pPr>
      <w:r>
        <w:t>未成年人直播打赏固定写法：A9 是直播平台交易场景，A1 是限制民事行为能力和追认脊柱；再写平台、监护人、未成年人本人可能均有过错，法院按过错和公平原则合理分担。</w:t>
      </w:r>
    </w:p>
    <w:p>
      <w:pPr>
        <w:pStyle w:val="Heading3"/>
      </w:pPr>
      <w:r>
        <w:t>A10 多元纠纷解决与诉讼程序工具句</w:t>
      </w:r>
    </w:p>
    <w:p>
      <w:pPr>
        <w:pStyle w:val="ListBullet"/>
        <w:spacing w:after="30"/>
      </w:pPr>
      <w:r>
        <w:t>只有纠纷解决机制、证据、举证责任、诉讼类型、仲裁、调解、司法确认本身成为评分对象时，A10 才作主入口。</w:t>
      </w:r>
    </w:p>
    <w:p>
      <w:pPr>
        <w:pStyle w:val="ListBullet"/>
        <w:spacing w:after="30"/>
      </w:pPr>
      <w:r>
        <w:t>维权路径题要写主体、证据、协商/调解/仲裁/诉讼路径和请求内容。</w:t>
      </w:r>
    </w:p>
    <w:p>
      <w:pPr>
        <w:pStyle w:val="ListBullet"/>
        <w:spacing w:after="30"/>
      </w:pPr>
      <w:r>
        <w:t>法院、公安、行政机关出现，不等于自动进入 A10；要看题目是否考程序本身。</w:t>
      </w:r>
    </w:p>
    <w:p>
      <w:pPr>
        <w:pStyle w:val="Heading2"/>
      </w:pPr>
      <w:r>
        <w:t>五、B轴写作模板</w:t>
      </w:r>
    </w:p>
    <w:p>
      <w:pPr>
        <w:pStyle w:val="Heading3"/>
      </w:pPr>
      <w:r>
        <w:t>B1 表格/裁判要点/补链</w:t>
      </w:r>
    </w:p>
    <w:p>
      <w:pPr>
        <w:spacing w:after="80"/>
      </w:pPr>
      <w:r>
        <w:t>触发口令：完成表格、参考示例、补裁判要点、补链。</w:t>
      </w:r>
    </w:p>
    <w:p>
      <w:pPr>
        <w:spacing w:after="80"/>
      </w:pPr>
      <w:r>
        <w:t>硬规则：</w:t>
      </w:r>
    </w:p>
    <w:p>
      <w:pPr>
        <w:pStyle w:val="ListBullet"/>
        <w:spacing w:after="30"/>
      </w:pPr>
      <w:r>
        <w:t>题目给了表格列名，必须沿用原列名，不自造列名。</w:t>
      </w:r>
    </w:p>
    <w:p>
      <w:pPr>
        <w:pStyle w:val="ListBullet"/>
        <w:spacing w:after="30"/>
      </w:pPr>
      <w:r>
        <w:t>题面压缩或考试现场看不清列名时，用默认三列：材料事实 | 法律关系和要件 | 裁判要点/责任。</w:t>
      </w:r>
    </w:p>
    <w:p>
      <w:pPr>
        <w:pStyle w:val="ListBullet"/>
        <w:spacing w:after="30"/>
      </w:pPr>
      <w:r>
        <w:t>一行只写一条法律链。多个案例分多行；同一案例有合同链和竞争链，也可分两格写。</w:t>
      </w:r>
    </w:p>
    <w:p>
      <w:pPr>
        <w:pStyle w:val="ListBullet"/>
        <w:spacing w:after="30"/>
      </w:pPr>
      <w:r>
        <w:t>每格都要有“事实 -&gt; 规则 -&gt; 结论”，不要只写价值。</w:t>
      </w:r>
    </w:p>
    <w:p>
      <w:pPr>
        <w:pStyle w:val="ListBullet"/>
        <w:spacing w:after="30"/>
      </w:pPr>
      <w:r>
        <w:t>如果材料出现受害人自身风险、监护人疏忽、平台审核不足，要在裁判要点里写责任分担。</w:t>
      </w:r>
    </w:p>
    <w:p>
      <w:pPr>
        <w:spacing w:after="80"/>
      </w:pPr>
      <w:r>
        <w:t>默认表格模板：</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材料事实</w:t>
            </w:r>
          </w:p>
        </w:tc>
        <w:tc>
          <w:tcPr>
            <w:tcW w:type="dxa" w:w="3326"/>
            <w:vAlign w:val="center"/>
            <w:shd w:fill="E8EEF5"/>
          </w:tcPr>
          <w:p>
            <w:r/>
            <w:r>
              <w:rPr>
                <w:rFonts w:ascii="Microsoft YaHei" w:hAnsi="Microsoft YaHei"/>
                <w:b/>
                <w:sz w:val="16"/>
              </w:rPr>
              <w:t>法律关系和要件</w:t>
            </w:r>
          </w:p>
        </w:tc>
        <w:tc>
          <w:tcPr>
            <w:tcW w:type="dxa" w:w="3326"/>
            <w:vAlign w:val="center"/>
            <w:shd w:fill="E8EEF5"/>
          </w:tcPr>
          <w:p>
            <w:r/>
            <w:r>
              <w:rPr>
                <w:rFonts w:ascii="Microsoft YaHei" w:hAnsi="Microsoft YaHei"/>
                <w:b/>
                <w:sz w:val="16"/>
              </w:rPr>
              <w:t>裁判要点/责任</w:t>
            </w:r>
          </w:p>
        </w:tc>
      </w:tr>
      <w:tr>
        <w:tc>
          <w:tcPr>
            <w:tcW w:type="dxa" w:w="3326"/>
            <w:vAlign w:val="center"/>
          </w:tcPr>
          <w:p>
            <w:r/>
            <w:r>
              <w:rPr>
                <w:rFonts w:ascii="Microsoft YaHei" w:hAnsi="Microsoft YaHei"/>
                <w:b w:val="0"/>
                <w:sz w:val="16"/>
              </w:rPr>
              <w:t>谁做了什么，造成什么结果</w:t>
            </w:r>
          </w:p>
        </w:tc>
        <w:tc>
          <w:tcPr>
            <w:tcW w:type="dxa" w:w="3326"/>
            <w:vAlign w:val="center"/>
          </w:tcPr>
          <w:p>
            <w:r/>
            <w:r>
              <w:rPr>
                <w:rFonts w:ascii="Microsoft YaHei" w:hAnsi="Microsoft YaHei"/>
                <w:b w:val="0"/>
                <w:sz w:val="16"/>
              </w:rPr>
              <w:t>属于哪个 A 入口；符合哪些要件</w:t>
            </w:r>
          </w:p>
        </w:tc>
        <w:tc>
          <w:tcPr>
            <w:tcW w:type="dxa" w:w="3326"/>
            <w:vAlign w:val="center"/>
          </w:tcPr>
          <w:p>
            <w:r/>
            <w:r>
              <w:rPr>
                <w:rFonts w:ascii="Microsoft YaHei" w:hAnsi="Microsoft YaHei"/>
                <w:b w:val="0"/>
                <w:sz w:val="16"/>
              </w:rPr>
              <w:t>支持什么结论，承担什么责任，是否分担</w:t>
            </w:r>
          </w:p>
        </w:tc>
      </w:tr>
    </w:tbl>
    <w:p/>
    <w:p>
      <w:pPr>
        <w:pStyle w:val="Heading3"/>
      </w:pPr>
      <w:r>
        <w:t>B2 判决/裁判/责任理由</w:t>
      </w:r>
    </w:p>
    <w:p>
      <w:pPr>
        <w:spacing w:after="80"/>
      </w:pPr>
      <w:r>
        <w:t>固定顺序：法律关系 -&gt; 法律规则 -&gt; 材料事实 -&gt; 裁判结论 -&gt; 边界或责任分担。</w:t>
      </w:r>
    </w:p>
    <w:p>
      <w:pPr>
        <w:spacing w:after="80"/>
      </w:pPr>
      <w:r>
        <w:t>不要一上来写意义价值。问判决结果，就必须落到“为什么这样判、谁承担什么责任、是否全额支持”。</w:t>
      </w:r>
    </w:p>
    <w:p>
      <w:pPr>
        <w:pStyle w:val="Heading3"/>
      </w:pPr>
      <w:r>
        <w:t>B3 诉求/请求能否支持</w:t>
      </w:r>
    </w:p>
    <w:p>
      <w:pPr>
        <w:spacing w:after="80"/>
      </w:pPr>
      <w:r>
        <w:t>先给结论：能支持、不能支持、部分支持。再分别说明每个诉求的权利基础、构成要件和责任方式。</w:t>
      </w:r>
    </w:p>
    <w:p>
      <w:pPr>
        <w:spacing w:after="80"/>
      </w:pPr>
      <w:r>
        <w:t>题干出现“分别判断”时，按题干顺序逐项写，不要把多个诉求揉成一段。</w:t>
      </w:r>
    </w:p>
    <w:p>
      <w:pPr>
        <w:pStyle w:val="Heading3"/>
      </w:pPr>
      <w:r>
        <w:t>B4 评析/认识/观点</w:t>
      </w:r>
    </w:p>
    <w:p>
      <w:pPr>
        <w:spacing w:after="80"/>
      </w:pPr>
      <w:r>
        <w:t>固定结构：先表态，承认合理部分；再指出片面或错误边界；最后给正确法律立场。</w:t>
      </w:r>
    </w:p>
    <w:p>
      <w:pPr>
        <w:spacing w:after="80"/>
      </w:pPr>
      <w:r>
        <w:t>评析不是单纯赞美，也不是单纯否定，要把观点放回法律关系、时代背景、权利义务边界中判断。</w:t>
      </w:r>
    </w:p>
    <w:p>
      <w:pPr>
        <w:pStyle w:val="Heading3"/>
      </w:pPr>
      <w:r>
        <w:t>B5 意义/价值/保护/推动</w:t>
      </w:r>
    </w:p>
    <w:p>
      <w:pPr>
        <w:spacing w:after="80"/>
      </w:pPr>
      <w:r>
        <w:t>固定结构：法律保护什么对象 -&gt; 约束什么行为 -&gt; 形成什么秩序 -&gt; 对社会治理或国家发展有什么作用。</w:t>
      </w:r>
    </w:p>
    <w:p>
      <w:pPr>
        <w:spacing w:after="80"/>
      </w:pPr>
      <w:r>
        <w:t>价值题也必须有材料事实支撑，不能只写依法治国、社会公平、诚信经营等空话。</w:t>
      </w:r>
    </w:p>
    <w:p>
      <w:pPr>
        <w:pStyle w:val="Heading3"/>
      </w:pPr>
      <w:r>
        <w:t>B6 调解/维权/纠纷解决路径</w:t>
      </w:r>
    </w:p>
    <w:p>
      <w:pPr>
        <w:spacing w:after="80"/>
      </w:pPr>
      <w:r>
        <w:t>固定结构：争议焦点 -&gt; 可主张的权利 -&gt; 要准备的证据 -&gt; 协商/调解/仲裁/诉讼路径 -&gt; 请求内容。</w:t>
      </w:r>
    </w:p>
    <w:p>
      <w:pPr>
        <w:pStyle w:val="Heading2"/>
      </w:pPr>
      <w:r>
        <w:t>六、双链题排序规则</w:t>
      </w:r>
    </w:p>
    <w:p>
      <w:pPr>
        <w:spacing w:after="80"/>
      </w:pPr>
      <w:r>
        <w:t>1. 题干明示“分别判断甲、乙”时，严格按题干顺序写。 2. 题干没有顺序时，先写最核心受侵害法益，再写交易或责任副链。 3. 两个独立案例可以各有自己的主入口；同一案例内部不要随便写“双主轴”，要区分主入口和副入口。 4. 人格侵害 + 消费者欺诈：先人格/隐私/个人信息链，再消费者虚假宣传或惩罚性赔偿链。 5. 数据抓取 + 游乐受伤：数据抓取归 A5；游乐受伤归 A6/A9，且要写安全保障义务和受害人自身注意义务可能影响责任分担。</w:t>
      </w:r>
    </w:p>
    <w:p>
      <w:pPr>
        <w:pStyle w:val="Heading2"/>
      </w:pPr>
      <w:r>
        <w:t>七、考场自检</w:t>
      </w:r>
    </w:p>
    <w:p>
      <w:pPr>
        <w:spacing w:after="80"/>
      </w:pPr>
      <w:r>
        <w:t>写完答案后用四个问题检查：</w:t>
      </w:r>
    </w:p>
    <w:p>
      <w:pPr>
        <w:spacing w:after="80"/>
      </w:pPr>
      <w:r>
        <w:t>1. 我有没有先定真实生活场景，而不是让 A1 抢主入口？ 2. 我有没有根据 B 轴动作写对应形状，而不是所有题都写意义价值？ 3. 每段有没有材料事实、法律规则和结论三件事？ 4. 如果是表格题，我有没有一格一链，并保留责任分担或自身过错？</w:t>
      </w:r>
    </w:p>
    <w:p>
      <w:pPr>
        <w:spacing w:after="80"/>
      </w:pPr>
      <w:r>
        <w:t>---</w:t>
      </w:r>
    </w:p>
    <w:p>
      <w:pPr>
        <w:pStyle w:val="Heading1"/>
        <w:pageBreakBefore/>
      </w:pPr>
      <w:r>
        <w:t>02 v13.3 责任方式与考场术语补丁</w:t>
      </w:r>
    </w:p>
    <w:p>
      <w:pPr>
        <w:spacing w:after="80"/>
      </w:pPr>
      <w:r>
        <w:t>生成时间：2026-05-23 21:35 +08:00</w:t>
      </w:r>
    </w:p>
    <w:p>
      <w:pPr>
        <w:spacing w:after="80"/>
      </w:pPr>
      <w:r>
        <w:t>状态：`v13_3_zero_baseline_responsibility_terms_patch_pending_claude_retest`</w:t>
      </w:r>
    </w:p>
    <w:p>
      <w:pPr>
        <w:spacing w:after="80"/>
      </w:pPr>
      <w:r>
        <w:t>v13.3 继续保留 v13.2 的 A/B 双轴和入口工具箱，只补三件事：责任方式触发表、考场标配术语、B1 多案例总入口规则。</w:t>
      </w:r>
    </w:p>
    <w:p>
      <w:pPr>
        <w:pStyle w:val="Heading2"/>
      </w:pPr>
      <w:r>
        <w:t>一、责任方式触发表</w:t>
      </w:r>
    </w:p>
    <w:p>
      <w:pPr>
        <w:pStyle w:val="Heading3"/>
      </w:pPr>
      <w:r>
        <w:t>1. 消费者欺诈</w:t>
      </w:r>
    </w:p>
    <w:p>
      <w:pPr>
        <w:spacing w:after="80"/>
      </w:pPr>
      <w:r>
        <w:t>事实信号：虚假宣传、夸大功效、隐瞒重要事实、诱导消费、消费者因错误认识购买。</w:t>
      </w:r>
    </w:p>
    <w:p>
      <w:pPr>
        <w:spacing w:after="80"/>
      </w:pPr>
      <w:r>
        <w:t>写法：</w:t>
      </w:r>
    </w:p>
    <w:p>
      <w:pPr>
        <w:pStyle w:val="ListBullet"/>
        <w:spacing w:after="30"/>
      </w:pPr>
      <w:r>
        <w:t>先写经营者侵害消费者知情权、选择权和公平交易权，构成欺诈。</w:t>
      </w:r>
    </w:p>
    <w:p>
      <w:pPr>
        <w:pStyle w:val="ListBullet"/>
        <w:spacing w:after="30"/>
      </w:pPr>
      <w:r>
        <w:t>一般消费者欺诈：退还价款或赔偿损失，并按消费者要求增加赔偿，通常写“退一赔三；增加赔偿不足五百元的，按五百元”。</w:t>
      </w:r>
    </w:p>
    <w:p>
      <w:pPr>
        <w:pStyle w:val="ListBullet"/>
        <w:spacing w:after="30"/>
      </w:pPr>
      <w:r>
        <w:t>食品药品安全特殊规则：只有题面明示食品、药品、安全不符合标准或造成健康风险时，才考虑“十倍价款或三倍损失”等特殊惩罚性赔偿。普通保健功效虚假宣传若题面不明示食品药品安全，不要贸然套十倍。</w:t>
      </w:r>
    </w:p>
    <w:p>
      <w:pPr>
        <w:pStyle w:val="Heading3"/>
      </w:pPr>
      <w:r>
        <w:t>2. 平台预扣、格式条款、提示不清</w:t>
      </w:r>
    </w:p>
    <w:p>
      <w:pPr>
        <w:spacing w:after="80"/>
      </w:pPr>
      <w:r>
        <w:t>事实信号：预设条款、自动扣款、预扣房款、消费者不知情、未实际接受服务、经营者未提示说明。</w:t>
      </w:r>
    </w:p>
    <w:p>
      <w:pPr>
        <w:spacing w:after="80"/>
      </w:pPr>
      <w:r>
        <w:t>写法：</w:t>
      </w:r>
    </w:p>
    <w:p>
      <w:pPr>
        <w:pStyle w:val="ListBullet"/>
        <w:spacing w:after="30"/>
      </w:pPr>
      <w:r>
        <w:t>先写格式条款提供者应履行提示说明义务，不得排除消费者主要权利、加重消费者责任。</w:t>
      </w:r>
    </w:p>
    <w:p>
      <w:pPr>
        <w:pStyle w:val="ListBullet"/>
        <w:spacing w:after="30"/>
      </w:pPr>
      <w:r>
        <w:t>再写该条款对消费者不发生应有约束力，经营者不能据此免责或强扣款。</w:t>
      </w:r>
    </w:p>
    <w:p>
      <w:pPr>
        <w:pStyle w:val="ListBullet"/>
        <w:spacing w:after="30"/>
      </w:pPr>
      <w:r>
        <w:t>责任方式优先写退还已扣款、返还价款、赔偿损失；只有题面另有欺诈事实，才写退一赔三。</w:t>
      </w:r>
    </w:p>
    <w:p>
      <w:pPr>
        <w:pStyle w:val="Heading3"/>
      </w:pPr>
      <w:r>
        <w:t>3. 未成年人打赏、文身等限制行为能力</w:t>
      </w:r>
    </w:p>
    <w:p>
      <w:pPr>
        <w:spacing w:after="80"/>
      </w:pPr>
      <w:r>
        <w:t>事实信号：未成年人年龄、金额或行为明显超出认知范围、监护人不知情/不追认、经营者未审查或平台审核不足。</w:t>
      </w:r>
    </w:p>
    <w:p>
      <w:pPr>
        <w:spacing w:after="80"/>
      </w:pPr>
      <w:r>
        <w:t>写法：</w:t>
      </w:r>
    </w:p>
    <w:p>
      <w:pPr>
        <w:pStyle w:val="ListBullet"/>
        <w:spacing w:after="30"/>
      </w:pPr>
      <w:r>
        <w:t>A1 脊柱写限制民事行为能力、行为与年龄智力不相适应、未经追认不发生效力、已取得财产原则上返还。</w:t>
      </w:r>
    </w:p>
    <w:p>
      <w:pPr>
        <w:pStyle w:val="ListBullet"/>
        <w:spacing w:after="30"/>
      </w:pPr>
      <w:r>
        <w:t>A9/A2 场景写经营者或平台对未成年人负有更高审慎义务。</w:t>
      </w:r>
    </w:p>
    <w:p>
      <w:pPr>
        <w:pStyle w:val="ListBullet"/>
        <w:spacing w:after="30"/>
      </w:pPr>
      <w:r>
        <w:t>责任方式写返还、退费、赔偿损失；同时写平台/经营者、监护人、未成年人本人过错分担。不要写消费者欺诈惩罚性赔偿，除非题面另有虚假宣传。</w:t>
      </w:r>
    </w:p>
    <w:p>
      <w:pPr>
        <w:pStyle w:val="Heading3"/>
      </w:pPr>
      <w:r>
        <w:t>4. 合同违约、返还服务费和违约金</w:t>
      </w:r>
    </w:p>
    <w:p>
      <w:pPr>
        <w:spacing w:after="80"/>
      </w:pPr>
      <w:r>
        <w:t>事实信号：约定标准和期限、履行不达标、超期、拒不交付、法院判返还服务费并支付违约金。</w:t>
      </w:r>
    </w:p>
    <w:p>
      <w:pPr>
        <w:spacing w:after="80"/>
      </w:pPr>
      <w:r>
        <w:t>写法：</w:t>
      </w:r>
    </w:p>
    <w:p>
      <w:pPr>
        <w:pStyle w:val="ListBullet"/>
        <w:spacing w:after="30"/>
      </w:pPr>
      <w:r>
        <w:t>先写合同成立生效，当事人应全面、诚信履行。</w:t>
      </w:r>
    </w:p>
    <w:p>
      <w:pPr>
        <w:pStyle w:val="ListBullet"/>
        <w:spacing w:after="30"/>
      </w:pPr>
      <w:r>
        <w:t>再写履行不符合约定或迟延履行构成违约。</w:t>
      </w:r>
    </w:p>
    <w:p>
      <w:pPr>
        <w:pStyle w:val="ListBullet"/>
        <w:spacing w:after="30"/>
      </w:pPr>
      <w:r>
        <w:t>若题面给出“返还服务费”，可写违约导致合同目的不能实现或约定成果未达成，返还已收服务费并支付违约金、赔偿损失。不要只写“保护创新”。</w:t>
      </w:r>
    </w:p>
    <w:p>
      <w:pPr>
        <w:pStyle w:val="Heading3"/>
      </w:pPr>
      <w:r>
        <w:t>5. 人格权、隐私、名誉、商誉</w:t>
      </w:r>
    </w:p>
    <w:p>
      <w:pPr>
        <w:spacing w:after="80"/>
      </w:pPr>
      <w:r>
        <w:t>事实信号：公开监控、聊天记录、私密活动；无事实依据贬损、侮辱、诽谤，造成社会评价降低。</w:t>
      </w:r>
    </w:p>
    <w:p>
      <w:pPr>
        <w:spacing w:after="80"/>
      </w:pPr>
      <w:r>
        <w:t>写法：</w:t>
      </w:r>
    </w:p>
    <w:p>
      <w:pPr>
        <w:pStyle w:val="ListBullet"/>
        <w:spacing w:after="30"/>
      </w:pPr>
      <w:r>
        <w:t>隐私/个人信息：停止侵害、删除信息、消除影响、赔礼道歉、赔偿损失；严重精神损害可写精神损害抚慰金。</w:t>
      </w:r>
    </w:p>
    <w:p>
      <w:pPr>
        <w:pStyle w:val="ListBullet"/>
        <w:spacing w:after="30"/>
      </w:pPr>
      <w:r>
        <w:t>名誉/商誉：停止侵害、消除影响、赔礼道歉或发布声明、赔偿损失。法人商誉可归 A2 人格权益链。</w:t>
      </w:r>
    </w:p>
    <w:p>
      <w:pPr>
        <w:pStyle w:val="Heading3"/>
      </w:pPr>
      <w:r>
        <w:t>6. 知识产权和不正当竞争</w:t>
      </w:r>
    </w:p>
    <w:p>
      <w:pPr>
        <w:spacing w:after="80"/>
      </w:pPr>
      <w:r>
        <w:t>事实信号：商业秘密、技术秘密、数据抓取、混淆、商业诋毁、虚假宣传。</w:t>
      </w:r>
    </w:p>
    <w:p>
      <w:pPr>
        <w:spacing w:after="80"/>
      </w:pPr>
      <w:r>
        <w:t>写法：</w:t>
      </w:r>
    </w:p>
    <w:p>
      <w:pPr>
        <w:pStyle w:val="ListBullet"/>
        <w:spacing w:after="30"/>
      </w:pPr>
      <w:r>
        <w:t>责任方式：停止侵害、消除影响、赔偿损失；严重故意侵权可写惩罚性赔偿或提高违法成本。</w:t>
      </w:r>
    </w:p>
    <w:p>
      <w:pPr>
        <w:pStyle w:val="ListBullet"/>
        <w:spacing w:after="30"/>
      </w:pPr>
      <w:r>
        <w:t>数据抓取不要写“混淆”，除非题面有名称、图标、来源误认。数据抓取写“规避技术措施、不正当获取、商业化使用、损害数据产品权益和公平竞争秩序”。</w:t>
      </w:r>
    </w:p>
    <w:p>
      <w:pPr>
        <w:pStyle w:val="ListBullet"/>
        <w:spacing w:after="30"/>
      </w:pPr>
      <w:r>
        <w:t>混淆类写“使用与他人有一定影响的名称、标识等近似标识，足以造成相关公众混淆”。</w:t>
      </w:r>
    </w:p>
    <w:p>
      <w:pPr>
        <w:pStyle w:val="Heading3"/>
      </w:pPr>
      <w:r>
        <w:t>7. 经营场所安全保障和侵权赔偿</w:t>
      </w:r>
    </w:p>
    <w:p>
      <w:pPr>
        <w:spacing w:after="80"/>
      </w:pPr>
      <w:r>
        <w:t>事实信号：游乐项目、旅游服务、公共场所、工作人员操作、摔伤住院、伤残。</w:t>
      </w:r>
    </w:p>
    <w:p>
      <w:pPr>
        <w:spacing w:after="80"/>
      </w:pPr>
      <w:r>
        <w:t>写法：</w:t>
      </w:r>
    </w:p>
    <w:p>
      <w:pPr>
        <w:pStyle w:val="ListBullet"/>
        <w:spacing w:after="30"/>
      </w:pPr>
      <w:r>
        <w:t>先写经营者负有安全保障义务，工作人员执行工作任务造成损害的，由经营者或用人单位承担相应责任。</w:t>
      </w:r>
    </w:p>
    <w:p>
      <w:pPr>
        <w:pStyle w:val="ListBullet"/>
        <w:spacing w:after="30"/>
      </w:pPr>
      <w:r>
        <w:t>再写过错、损害、因果关系。</w:t>
      </w:r>
    </w:p>
    <w:p>
      <w:pPr>
        <w:pStyle w:val="ListBullet"/>
        <w:spacing w:after="30"/>
      </w:pPr>
      <w:r>
        <w:t>责任方式：医疗费、护理费、误工费、交通费、住院伙食补助费、残疾赔偿金、精神损害抚慰金等。</w:t>
      </w:r>
    </w:p>
    <w:p>
      <w:pPr>
        <w:pStyle w:val="ListBullet"/>
        <w:spacing w:after="30"/>
      </w:pPr>
      <w:r>
        <w:t>若题面有受害人违规、冒险、未尽注意义务，写过错分担；若题面只有工作人员过度操作，经营者承担主要责任甚至全部责任，不要过度保守。</w:t>
      </w:r>
    </w:p>
    <w:p>
      <w:pPr>
        <w:pStyle w:val="Heading2"/>
      </w:pPr>
      <w:r>
        <w:t>二、考场标配术语清单</w:t>
      </w:r>
    </w:p>
    <w:p>
      <w:pPr>
        <w:pStyle w:val="ListBullet"/>
        <w:spacing w:after="30"/>
      </w:pPr>
      <w:r>
        <w:t>A2 隐私：私密空间、私密活动、私密信息、个人信息、停止侵害、删除、消除影响、赔礼道歉、精神损害抚慰金。</w:t>
      </w:r>
    </w:p>
    <w:p>
      <w:pPr>
        <w:pStyle w:val="ListBullet"/>
        <w:spacing w:after="30"/>
      </w:pPr>
      <w:r>
        <w:t>A2 名誉/商誉：无事实依据、社会评价降低、法人名誉/商誉、消除影响、赔礼道歉、赔偿损失。</w:t>
      </w:r>
    </w:p>
    <w:p>
      <w:pPr>
        <w:pStyle w:val="ListBullet"/>
        <w:spacing w:after="30"/>
      </w:pPr>
      <w:r>
        <w:t>A4 合同：合同成立并生效、全面履行、诚信履行、履行不符合约定、迟延履行、合同目的不能实现、返还服务费、违约金。</w:t>
      </w:r>
    </w:p>
    <w:p>
      <w:pPr>
        <w:pStyle w:val="ListBullet"/>
        <w:spacing w:after="30"/>
      </w:pPr>
      <w:r>
        <w:t>A5 数据抓取：合法投入形成数据产品、规避技术措施、伪造身份或变换 IP、不正当获取、商业化使用、损害竞争利益、公平竞争秩序。</w:t>
      </w:r>
    </w:p>
    <w:p>
      <w:pPr>
        <w:pStyle w:val="ListBullet"/>
        <w:spacing w:after="30"/>
      </w:pPr>
      <w:r>
        <w:t>A5 混淆：有一定影响的名称/包装/装潢等标识、近似使用、足以造成相关公众混淆、停止使用、赔偿损失。</w:t>
      </w:r>
    </w:p>
    <w:p>
      <w:pPr>
        <w:pStyle w:val="ListBullet"/>
        <w:spacing w:after="30"/>
      </w:pPr>
      <w:r>
        <w:t>A6 安全保障：经营场所或公共场所安全保障义务、工作人员执行工作任务、过错、因果关系、人身损害赔偿、自身过错减责。</w:t>
      </w:r>
    </w:p>
    <w:p>
      <w:pPr>
        <w:pStyle w:val="ListBullet"/>
        <w:spacing w:after="30"/>
      </w:pPr>
      <w:r>
        <w:t>A9 消费者：知情权、选择权、公平交易权、安全保障权、真实全面信息、虚假或引人误解宣传、退一赔三、格式条款提示说明义务。</w:t>
      </w:r>
    </w:p>
    <w:p>
      <w:pPr>
        <w:pStyle w:val="Heading2"/>
      </w:pPr>
      <w:r>
        <w:t>三、B1 多案例题总入口规则</w:t>
      </w:r>
    </w:p>
    <w:p>
      <w:pPr>
        <w:spacing w:after="80"/>
      </w:pPr>
      <w:r>
        <w:t>B1 表格题经常一题多案。作答时要分两层写：</w:t>
      </w:r>
    </w:p>
    <w:p>
      <w:pPr>
        <w:spacing w:after="80"/>
      </w:pPr>
      <w:r>
        <w:t>1. 先声明整题总入口：根据题卡最核心法益、第一格主干或多数案例主干，给出一个总入口。 2. 再在表格里写每一行的局部入口和副入口。</w:t>
      </w:r>
    </w:p>
    <w:p>
      <w:pPr>
        <w:spacing w:after="80"/>
      </w:pPr>
      <w:r>
        <w:t>常见规则：</w:t>
      </w:r>
    </w:p>
    <w:p>
      <w:pPr>
        <w:pStyle w:val="ListBullet"/>
        <w:spacing w:after="30"/>
      </w:pPr>
      <w:r>
        <w:t>多案例中出现未成年人身心利益、法人名誉/商誉、隐私/个人信息等人格权益，并且另有消费者或合同副链时，整题可先定 A2，人格权益是总入口，A9/A4 进表格行内副链。</w:t>
      </w:r>
    </w:p>
    <w:p>
      <w:pPr>
        <w:pStyle w:val="ListBullet"/>
        <w:spacing w:after="30"/>
      </w:pPr>
      <w:r>
        <w:t>多案例中第一格是合同违约，第二格是不正当竞争，且题目围绕研发委托和创新交易秩序，整题可先定 A4，第二格 A5 作为行内入口。</w:t>
      </w:r>
    </w:p>
    <w:p>
      <w:pPr>
        <w:pStyle w:val="ListBullet"/>
        <w:spacing w:after="30"/>
      </w:pPr>
      <w:r>
        <w:t>多案例中第一格或主干是数据抓取、不正当竞争，另有旅游安全保障案例，整题可先定 A5，旅游行内写 A6/A9。</w:t>
      </w:r>
    </w:p>
    <w:p>
      <w:pPr>
        <w:pStyle w:val="ListBullet"/>
        <w:spacing w:after="30"/>
      </w:pPr>
      <w:r>
        <w:t>如果原题表格已经给了列名，沿用原列名；压缩盲测看不到列名时，默认三列不算结构错误。</w:t>
      </w:r>
    </w:p>
    <w:p>
      <w:pPr>
        <w:spacing w:after="80"/>
      </w:pPr>
      <w:r>
        <w:t>一句话：整题有一个总入口，表格每行可以有局部入口。不要只写局部入口而忘了总入口。</w:t>
      </w:r>
    </w:p>
    <w:p>
      <w:pPr>
        <w:spacing w:after="80"/>
      </w:pPr>
      <w:r>
        <w:t>---</w:t>
      </w:r>
    </w:p>
    <w:p>
      <w:pPr>
        <w:pStyle w:val="Heading1"/>
        <w:pageBreakBefore/>
      </w:pPr>
      <w:r>
        <w:t>03 v13.4 边界决策树补丁</w:t>
      </w:r>
    </w:p>
    <w:p>
      <w:pPr>
        <w:spacing w:after="80"/>
      </w:pPr>
      <w:r>
        <w:t>生成时间：2026-05-23 21:15 +08:00</w:t>
      </w:r>
    </w:p>
    <w:p>
      <w:pPr>
        <w:spacing w:after="80"/>
      </w:pPr>
      <w:r>
        <w:t>状态：`v13_4_zero_baseline_boundary_decision_patch_pending_claude_retest`</w:t>
      </w:r>
    </w:p>
    <w:p>
      <w:pPr>
        <w:spacing w:after="80"/>
      </w:pPr>
      <w:r>
        <w:t>v13.4 不增加新主轴，只解决 v13.3 后仍让零基础学生自疑的边界问题。</w:t>
      </w:r>
    </w:p>
    <w:p>
      <w:pPr>
        <w:pStyle w:val="Heading2"/>
      </w:pPr>
      <w:r>
        <w:t>一、过错分担：不需要猜具体比例</w:t>
      </w:r>
    </w:p>
    <w:p>
      <w:pPr>
        <w:spacing w:after="80"/>
      </w:pPr>
      <w:r>
        <w:t>高考主观题一般不要求写 80%、60% 这类具体比例，除非题面直接给出比例或判决结果。得分关键词是：</w:t>
      </w:r>
    </w:p>
    <w:p>
      <w:pPr>
        <w:pStyle w:val="ListBullet"/>
        <w:spacing w:after="30"/>
      </w:pPr>
      <w:r>
        <w:t>综合各方过错程度。</w:t>
      </w:r>
    </w:p>
    <w:p>
      <w:pPr>
        <w:pStyle w:val="ListBullet"/>
        <w:spacing w:after="30"/>
      </w:pPr>
      <w:r>
        <w:t>依据公平原则。</w:t>
      </w:r>
    </w:p>
    <w:p>
      <w:pPr>
        <w:pStyle w:val="ListBullet"/>
        <w:spacing w:after="30"/>
      </w:pPr>
      <w:r>
        <w:t>酌定返还或赔偿范围。</w:t>
      </w:r>
    </w:p>
    <w:p>
      <w:pPr>
        <w:pStyle w:val="ListBullet"/>
        <w:spacing w:after="30"/>
      </w:pPr>
      <w:r>
        <w:t>既保护未成年人/消费者，也规范平台经营者和监护责任。</w:t>
      </w:r>
    </w:p>
    <w:p>
      <w:pPr>
        <w:spacing w:after="80"/>
      </w:pPr>
      <w:r>
        <w:t>未成年人打赏固定写法：</w:t>
      </w:r>
    </w:p>
    <w:p>
      <w:pPr>
        <w:pStyle w:val="ListBullet"/>
        <w:spacing w:after="30"/>
      </w:pPr>
      <w:r>
        <w:t>先写大额打赏未经监护人追认，返还有基础。</w:t>
      </w:r>
    </w:p>
    <w:p>
      <w:pPr>
        <w:pStyle w:val="ListBullet"/>
        <w:spacing w:after="30"/>
      </w:pPr>
      <w:r>
        <w:t>再写平台/主播、监护人、未成年人本人均可能有过错。</w:t>
      </w:r>
    </w:p>
    <w:p>
      <w:pPr>
        <w:pStyle w:val="ListBullet"/>
        <w:spacing w:after="30"/>
      </w:pPr>
      <w:r>
        <w:t>最后写法院综合过错程度合理分担，不必给出具体返还比例。</w:t>
      </w:r>
    </w:p>
    <w:p>
      <w:pPr>
        <w:pStyle w:val="ListBullet"/>
        <w:spacing w:after="30"/>
      </w:pPr>
      <w:r>
        <w:t>不要因为不知道比例而自扣大分。</w:t>
      </w:r>
    </w:p>
    <w:p>
      <w:pPr>
        <w:pStyle w:val="Heading2"/>
      </w:pPr>
      <w:r>
        <w:t>二、安全保障责任：没有受害人过错时，不主动减责</w:t>
      </w:r>
    </w:p>
    <w:p>
      <w:pPr>
        <w:spacing w:after="80"/>
      </w:pPr>
      <w:r>
        <w:t>游乐项目、旅游服务、公共场所伤害题：</w:t>
      </w:r>
    </w:p>
    <w:p>
      <w:pPr>
        <w:pStyle w:val="ListBullet"/>
        <w:spacing w:after="30"/>
      </w:pPr>
      <w:r>
        <w:t>如果题面只给“工作人员过度操作/设施管理不当/未尽安全保障义务”，且没有给游客违规、冒险、不听劝阻等事实，就写经营者承担赔偿责任。</w:t>
      </w:r>
    </w:p>
    <w:p>
      <w:pPr>
        <w:pStyle w:val="ListBullet"/>
        <w:spacing w:after="30"/>
      </w:pPr>
      <w:r>
        <w:t>可以写“若受害人有过错，可相应减轻经营者责任”，但不要在无事实依据时主动把责任降成“可能主要责任”。</w:t>
      </w:r>
    </w:p>
    <w:p>
      <w:pPr>
        <w:pStyle w:val="ListBullet"/>
        <w:spacing w:after="30"/>
      </w:pPr>
      <w:r>
        <w:t>考场稳妥句：题面未显示游客自身存在过错，旅游公司应对工作人员执行工作任务造成的损害承担相应赔偿责任。</w:t>
      </w:r>
    </w:p>
    <w:p>
      <w:pPr>
        <w:pStyle w:val="Heading2"/>
      </w:pPr>
      <w:r>
        <w:t>三、法人商誉 vs 商业诋毁</w:t>
      </w:r>
    </w:p>
    <w:p>
      <w:pPr>
        <w:spacing w:after="80"/>
      </w:pPr>
      <w:r>
        <w:t>先问行为人和受害企业是否存在竞争关系或经营竞争语境：</w:t>
      </w:r>
    </w:p>
    <w:p>
      <w:pPr>
        <w:pStyle w:val="ListBullet"/>
        <w:spacing w:after="30"/>
      </w:pPr>
      <w:r>
        <w:t>普通自媒体、个人、非竞争者无事实依据贬损企业，造成负面影响：走 A2 法人名誉/商誉，写停止侵害、消除影响、赔礼道歉或声明、赔偿损失。</w:t>
      </w:r>
    </w:p>
    <w:p>
      <w:pPr>
        <w:pStyle w:val="ListBullet"/>
        <w:spacing w:after="30"/>
      </w:pPr>
      <w:r>
        <w:t>竞争者、经营者在竞争语境中编造传播虚假信息，损害竞争对手商誉：可走 A5 商业诋毁/不正当竞争。</w:t>
      </w:r>
    </w:p>
    <w:p>
      <w:pPr>
        <w:pStyle w:val="ListBullet"/>
        <w:spacing w:after="30"/>
      </w:pPr>
      <w:r>
        <w:t>题面没有竞争关系，不要为了“企业”二字强行写 A5。</w:t>
      </w:r>
    </w:p>
    <w:p>
      <w:pPr>
        <w:pStyle w:val="Heading2"/>
      </w:pPr>
      <w:r>
        <w:t>四、食品药品特殊赔偿 vs 一般消费者欺诈</w:t>
      </w:r>
    </w:p>
    <w:p>
      <w:pPr>
        <w:spacing w:after="80"/>
      </w:pPr>
      <w:r>
        <w:t>先看题面有没有三个信号：</w:t>
      </w:r>
    </w:p>
    <w:p>
      <w:pPr>
        <w:spacing w:after="80"/>
      </w:pPr>
      <w:r>
        <w:t>1. 商品身份：食品、药品、保健食品、医疗器械等。 2. 安全问题：不符合安全标准、危及健康、造成健康损害。 3. 设问或材料明确要求适用食品药品安全责任。</w:t>
      </w:r>
    </w:p>
    <w:p>
      <w:pPr>
        <w:spacing w:after="80"/>
      </w:pPr>
      <w:r>
        <w:t>三者不全时，先按一般消费者欺诈写退一赔三。遇到治疗功效虚假宣传但未明示食品药品安全标准，可写：</w:t>
      </w:r>
    </w:p>
    <w:p>
      <w:pPr>
        <w:pStyle w:val="ListBullet"/>
        <w:spacing w:after="30"/>
      </w:pPr>
      <w:r>
        <w:t>至少构成虚假宣传或欺诈，支持退还价款并退一赔三。</w:t>
      </w:r>
    </w:p>
    <w:p>
      <w:pPr>
        <w:pStyle w:val="ListBullet"/>
        <w:spacing w:after="30"/>
      </w:pPr>
      <w:r>
        <w:t>如题面进一步证明属于食品药品安全责任，可依法适用更高惩罚性赔偿。</w:t>
      </w:r>
    </w:p>
    <w:p>
      <w:pPr>
        <w:spacing w:after="80"/>
      </w:pPr>
      <w:r>
        <w:t>这样既不漏一般欺诈，也不贸然套十倍。</w:t>
      </w:r>
    </w:p>
    <w:p>
      <w:pPr>
        <w:pStyle w:val="Heading2"/>
      </w:pPr>
      <w:r>
        <w:t>五、格式条款/提示不清 vs 欺诈</w:t>
      </w:r>
    </w:p>
    <w:p>
      <w:pPr>
        <w:spacing w:after="80"/>
      </w:pPr>
      <w:r>
        <w:t>判断顺序：</w:t>
      </w:r>
    </w:p>
    <w:p>
      <w:pPr>
        <w:pStyle w:val="ListBullet"/>
        <w:spacing w:after="30"/>
      </w:pPr>
      <w:r>
        <w:t>只有预扣、提示不清、格式条款、消费者不知情、未实际服务：优先 A9 知情权/公平交易权 + A4 格式条款，写退还款项。</w:t>
      </w:r>
    </w:p>
    <w:p>
      <w:pPr>
        <w:pStyle w:val="ListBullet"/>
        <w:spacing w:after="30"/>
      </w:pPr>
      <w:r>
        <w:t>有虚构事实、隐瞒决定性事实、明知不能履行仍诱导购买、虚假承诺服务效果：才升为欺诈，写退一赔三。</w:t>
      </w:r>
    </w:p>
    <w:p>
      <w:pPr>
        <w:pStyle w:val="ListBullet"/>
        <w:spacing w:after="30"/>
      </w:pPr>
      <w:r>
        <w:t>不确定时写边界句：本题材料足以支持返还；若另能证明经营者故意虚构或隐瞒关键事实诱导消费，可另主张欺诈惩罚性赔偿。</w:t>
      </w:r>
    </w:p>
    <w:p>
      <w:pPr>
        <w:pStyle w:val="Heading2"/>
      </w:pPr>
      <w:r>
        <w:t>六、术语精度分层</w:t>
      </w:r>
    </w:p>
    <w:p>
      <w:pPr>
        <w:spacing w:after="80"/>
      </w:pPr>
      <w:r>
        <w:t>每个答案按两层写：</w:t>
      </w:r>
    </w:p>
    <w:p>
      <w:pPr>
        <w:pStyle w:val="ListBullet"/>
        <w:spacing w:after="30"/>
      </w:pPr>
      <w:r>
        <w:t>必得层：主入口、要件、结论、责任方式。</w:t>
      </w:r>
    </w:p>
    <w:p>
      <w:pPr>
        <w:pStyle w:val="ListBullet"/>
        <w:spacing w:after="30"/>
      </w:pPr>
      <w:r>
        <w:t>加分层：标准术语和边界句。</w:t>
      </w:r>
    </w:p>
    <w:p>
      <w:pPr>
        <w:spacing w:after="80"/>
      </w:pPr>
      <w:r>
        <w:t>不要因为加分层不确定而破坏必得层。先把必得层写稳，再用“若题面进一步证明……”写边界。</w:t>
      </w:r>
    </w:p>
    <w:p>
      <w:pPr>
        <w:spacing w:after="80"/>
      </w:pPr>
      <w:r>
        <w:t>---</w:t>
      </w:r>
    </w:p>
    <w:p>
      <w:pPr>
        <w:pStyle w:val="Heading1"/>
        <w:pageBreakBefore/>
      </w:pPr>
      <w:r>
        <w:t>04 v13.5 高分档锁分补丁</w:t>
      </w:r>
    </w:p>
    <w:p>
      <w:pPr>
        <w:spacing w:after="80"/>
      </w:pPr>
      <w:r>
        <w:t>生成时间：2026-05-23 21:40 +08:00</w:t>
      </w:r>
    </w:p>
    <w:p>
      <w:pPr>
        <w:spacing w:after="80"/>
      </w:pPr>
      <w:r>
        <w:t>状态：`v13_5_zero_baseline_high_score_lock_patch_pending_claude_retest`</w:t>
      </w:r>
    </w:p>
    <w:p>
      <w:pPr>
        <w:spacing w:after="80"/>
      </w:pPr>
      <w:r>
        <w:t>v13.5 不增加新主轴，不改变已锁定题目的分类。它只解决 v13.4 后零基础学生还能自疑的高分档问题：表格题总入口、方向性结论、治疗功效边界、最小术语清单。</w:t>
      </w:r>
    </w:p>
    <w:p>
      <w:pPr>
        <w:pStyle w:val="Heading2"/>
      </w:pPr>
      <w:r>
        <w:t>一、B1 表格题：总入口是审题定位，不是每次都要写进正式答案</w:t>
      </w:r>
    </w:p>
    <w:p>
      <w:pPr>
        <w:spacing w:after="80"/>
      </w:pPr>
      <w:r>
        <w:t>B1 多案例表格题要先在草稿上定“整题总入口”，防止审题散掉；但正式答案以题干和表格列名为准。</w:t>
      </w:r>
    </w:p>
    <w:p>
      <w:pPr>
        <w:spacing w:after="80"/>
      </w:pPr>
      <w:r>
        <w:t>硬规则：</w:t>
      </w:r>
    </w:p>
    <w:p>
      <w:pPr>
        <w:spacing w:after="80"/>
      </w:pPr>
      <w:r>
        <w:t>1. 原题如果要求“完成下表/参考示例”，正式答案优先按表格逐行写，不必强行在表格外另写一段总入口。 2. 总入口可以作为开头一句，但只能是“本表主要围绕……，各行分别判断……”，不能压过每行的局部入口。 3. 每一行必须自洽：材料事实 -&gt; 法律关系和要件 -&gt; 裁判要点/责任。阅卷主要看行内链条是否命中。 4. 如果一题多案差异很大，正式答案可以不写总入口，只在每行第一句写清局部入口。 5. 总入口选错的风险大于不写总入口。拿不准时，把总入口留在草稿，不写进正式答案。</w:t>
      </w:r>
    </w:p>
    <w:p>
      <w:pPr>
        <w:spacing w:after="80"/>
      </w:pPr>
      <w:r>
        <w:t>稳定写法：</w:t>
      </w:r>
    </w:p>
    <w:p>
      <w:pPr>
        <w:pStyle w:val="ListBullet"/>
        <w:spacing w:after="30"/>
      </w:pPr>
      <w:r>
        <w:t>草稿：先定整题总入口。</w:t>
      </w:r>
    </w:p>
    <w:p>
      <w:pPr>
        <w:pStyle w:val="ListBullet"/>
        <w:spacing w:after="30"/>
      </w:pPr>
      <w:r>
        <w:t>正式答案：表格内每行写“本案属于 A__，因为……，所以……”。需要总括时只写一句，不展开。</w:t>
      </w:r>
    </w:p>
    <w:p>
      <w:pPr>
        <w:pStyle w:val="Heading2"/>
      </w:pPr>
      <w:r>
        <w:t>二、未成年人打赏：不猜比例，但要写方向性结论</w:t>
      </w:r>
    </w:p>
    <w:p>
      <w:pPr>
        <w:spacing w:after="80"/>
      </w:pPr>
      <w:r>
        <w:t>未成年人网络打赏、文身、充值等题，不要求学生猜 80%、60% 这类具体比例，但必须写出方向性结论。</w:t>
      </w:r>
    </w:p>
    <w:p>
      <w:pPr>
        <w:spacing w:after="80"/>
      </w:pPr>
      <w:r>
        <w:t>必写三句：</w:t>
      </w:r>
    </w:p>
    <w:p>
      <w:pPr>
        <w:spacing w:after="80"/>
      </w:pPr>
      <w:r>
        <w:t>1. 行为效力句：限制民事行为能力人大额消费/打赏明显超出年龄、智力和经济认知范围，未经监护人追认，不发生应有效力或返还有基础。 2. 过错分担句：平台/经营者、监护人、未成年人本人均可能有过错，法院综合各方过错程度，依据公平原则酌定返还或赔偿范围。 3. 结论方向句：一般不支持全额返还或全额免责，而是酌定部分返还/合理分担；谁有较大过错，谁承担更大不利后果。</w:t>
      </w:r>
    </w:p>
    <w:p>
      <w:pPr>
        <w:spacing w:after="80"/>
      </w:pPr>
      <w:r>
        <w:t>平台已经采取限制措施时：</w:t>
      </w:r>
    </w:p>
    <w:p>
      <w:pPr>
        <w:pStyle w:val="ListBullet"/>
        <w:spacing w:after="30"/>
      </w:pPr>
      <w:r>
        <w:t>可以写“该事实影响平台责任大小”。</w:t>
      </w:r>
    </w:p>
    <w:p>
      <w:pPr>
        <w:pStyle w:val="ListBullet"/>
        <w:spacing w:after="30"/>
      </w:pPr>
      <w:r>
        <w:t>不能直接写“平台完全无过错”。</w:t>
      </w:r>
    </w:p>
    <w:p>
      <w:pPr>
        <w:pStyle w:val="ListBullet"/>
        <w:spacing w:after="30"/>
      </w:pPr>
      <w:r>
        <w:t>如果未成年人冒充监护人、绕过限制，要写“未成年人本人较大过错/监护人监管不足会影响返还范围”。</w:t>
      </w:r>
    </w:p>
    <w:p>
      <w:pPr>
        <w:pStyle w:val="Heading2"/>
      </w:pPr>
      <w:r>
        <w:t>三、治疗功效/医疗健康宣传：先锁一般欺诈，再看特殊高倍赔偿</w:t>
      </w:r>
    </w:p>
    <w:p>
      <w:pPr>
        <w:spacing w:after="80"/>
      </w:pPr>
      <w:r>
        <w:t>看到“治疗疾病、改善并发症、医疗功效、保健功效”时，不要立刻套食品药品高倍赔偿，也不要因不确定而弱化欺诈结论。</w:t>
      </w:r>
    </w:p>
    <w:p>
      <w:pPr>
        <w:spacing w:after="80"/>
      </w:pPr>
      <w:r>
        <w:t>三层判断：</w:t>
      </w:r>
    </w:p>
    <w:p>
      <w:pPr>
        <w:spacing w:after="80"/>
      </w:pPr>
      <w:r>
        <w:t>1. 必得层：虚假或引人误解的治疗/医疗/保健功效宣传，足以影响消费者选择，构成虚假宣传或欺诈，侵害知情权、选择权和公平交易权。责任先写退还价款、赔偿损失、退一赔三；增加赔偿不足五百元的，按五百元。 2. 特殊层：只有题面明示商品属于食品、药品、保健食品、医疗器械等，且有不符合安全标准、危及健康、造成健康损害，或设问要求适用食品药品安全责任时，才写十倍价款或三倍损失等更高惩罚性赔偿。 3. 边界句：如题面进一步证明属于食品药品安全责任范畴，可依法适用更高惩罚性赔偿。没有这些信号时，不因没写十倍而自扣大分。</w:t>
      </w:r>
    </w:p>
    <w:p>
      <w:pPr>
        <w:spacing w:after="80"/>
      </w:pPr>
      <w:r>
        <w:t>一句话：治疗功效虚假宣传一定先保住“退一赔三”；高倍赔偿要有商品身份和安全风险信号。</w:t>
      </w:r>
    </w:p>
    <w:p>
      <w:pPr>
        <w:pStyle w:val="Heading2"/>
      </w:pPr>
      <w:r>
        <w:t>四、常见行的最小命中术语清单</w:t>
      </w:r>
    </w:p>
    <w:p>
      <w:pPr>
        <w:spacing w:after="80"/>
      </w:pPr>
      <w:r>
        <w:t>正式答案不必每行都长篇大论，但每类至少命中下面的关键词。</w:t>
      </w:r>
    </w:p>
    <w:p>
      <w:pPr>
        <w:pStyle w:val="Heading3"/>
      </w:pPr>
      <w:r>
        <w:t>1. 未成年人文身/大额消费</w:t>
      </w:r>
    </w:p>
    <w:p>
      <w:pPr>
        <w:spacing w:after="80"/>
      </w:pPr>
      <w:r>
        <w:t>最小词：限制民事行为能力；与年龄智力不相适应；未成年人身心健康；公序良俗或未成年人保护；经营者审慎义务；退费/赔偿/返还；过错分担。</w:t>
      </w:r>
    </w:p>
    <w:p>
      <w:pPr>
        <w:pStyle w:val="Heading3"/>
      </w:pPr>
      <w:r>
        <w:t>2. 法人名誉/商誉</w:t>
      </w:r>
    </w:p>
    <w:p>
      <w:pPr>
        <w:spacing w:after="80"/>
      </w:pPr>
      <w:r>
        <w:t>最小词：无事实依据；贬损或侮辱；社会评价降低；法人名誉/商誉；停止侵害；消除影响；赔礼道歉或声明；赔偿损失。</w:t>
      </w:r>
    </w:p>
    <w:p>
      <w:pPr>
        <w:pStyle w:val="Heading3"/>
      </w:pPr>
      <w:r>
        <w:t>3. 平台预扣/格式条款</w:t>
      </w:r>
    </w:p>
    <w:p>
      <w:pPr>
        <w:spacing w:after="80"/>
      </w:pPr>
      <w:r>
        <w:t>最小词：格式条款；未尽提示说明义务；排除或限制消费者主要权利/加重消费者责任；知情权；公平交易权；条款不发生应有约束力；退还已扣款。</w:t>
      </w:r>
    </w:p>
    <w:p>
      <w:pPr>
        <w:pStyle w:val="Heading3"/>
      </w:pPr>
      <w:r>
        <w:t>4. 合同违约/研发委托</w:t>
      </w:r>
    </w:p>
    <w:p>
      <w:pPr>
        <w:spacing w:after="80"/>
      </w:pPr>
      <w:r>
        <w:t>最小词：合同成立并生效；全面履行；诚信履行；约定标准和期限；履行不符合约定或迟延履行；合同目的不能实现或约定成果未达成；返还服务费；违约金；赔偿损失。</w:t>
      </w:r>
    </w:p>
    <w:p>
      <w:pPr>
        <w:pStyle w:val="Heading3"/>
      </w:pPr>
      <w:r>
        <w:t>5. 数据抓取不正当竞争</w:t>
      </w:r>
    </w:p>
    <w:p>
      <w:pPr>
        <w:spacing w:after="80"/>
      </w:pPr>
      <w:r>
        <w:t>最小词：合法投入形成数据产品；规避技术措施；伪造身份/变换 IP；不正当获取；商业化使用；损害竞争利益；破坏公平竞争秩序；停止侵害；赔偿损失。</w:t>
      </w:r>
    </w:p>
    <w:p>
      <w:pPr>
        <w:pStyle w:val="Heading3"/>
      </w:pPr>
      <w:r>
        <w:t>6. 混淆类不正当竞争</w:t>
      </w:r>
    </w:p>
    <w:p>
      <w:pPr>
        <w:spacing w:after="80"/>
      </w:pPr>
      <w:r>
        <w:t>最小词：有一定影响；名称/图标/标识；近似使用；业务相同或相近；足以造成相关公众混淆；停止使用；赔偿损失。</w:t>
      </w:r>
    </w:p>
    <w:p>
      <w:pPr>
        <w:pStyle w:val="Heading3"/>
      </w:pPr>
      <w:r>
        <w:t>7. 经营场所安全保障</w:t>
      </w:r>
    </w:p>
    <w:p>
      <w:pPr>
        <w:spacing w:after="80"/>
      </w:pPr>
      <w:r>
        <w:t>最小词：经营场所或游乐项目；安全保障义务；工作人员执行工作任务；过错；损害；因果关系；题面未显示受害人过错则不主动减责；医疗费/护理费/误工费/残疾赔偿金/精神损害抚慰金。</w:t>
      </w:r>
    </w:p>
    <w:p>
      <w:pPr>
        <w:pStyle w:val="Heading3"/>
      </w:pPr>
      <w:r>
        <w:t>8. 隐私/个人信息</w:t>
      </w:r>
    </w:p>
    <w:p>
      <w:pPr>
        <w:spacing w:after="80"/>
      </w:pPr>
      <w:r>
        <w:t>最小词：私密空间；私密活动；私密信息；个人信息；未经同意公开；停止侵害；删除信息；消除影响；赔礼道歉；赔偿损失；严重时精神损害抚慰金。</w:t>
      </w:r>
    </w:p>
    <w:p>
      <w:pPr>
        <w:pStyle w:val="Heading3"/>
      </w:pPr>
      <w:r>
        <w:t>9. 消费者欺诈</w:t>
      </w:r>
    </w:p>
    <w:p>
      <w:pPr>
        <w:spacing w:after="80"/>
      </w:pPr>
      <w:r>
        <w:t>最小词：虚假或引人误解宣传；真实全面信息义务；知情权；选择权；公平交易权；错误认识购买；退还价款；退一赔三；不足五百元按五百元。</w:t>
      </w:r>
    </w:p>
    <w:p>
      <w:pPr>
        <w:pStyle w:val="Heading2"/>
      </w:pPr>
      <w:r>
        <w:t>五、B3 诉求题：必写层和加分层分开</w:t>
      </w:r>
    </w:p>
    <w:p>
      <w:pPr>
        <w:spacing w:after="80"/>
      </w:pPr>
      <w:r>
        <w:t>B3 问“能否支持诉求/请求”时，按三层写：</w:t>
      </w:r>
    </w:p>
    <w:p>
      <w:pPr>
        <w:spacing w:after="80"/>
      </w:pPr>
      <w:r>
        <w:t>1. 结论层：能支持/不能支持/部分支持。 2. 必写层：权利基础、构成要件、材料事实、责任方式。 3. 加分层：精神损害抚慰金、五百元保底、撤销/返还、特殊高倍赔偿、边界句。</w:t>
      </w:r>
    </w:p>
    <w:p>
      <w:pPr>
        <w:spacing w:after="80"/>
      </w:pPr>
      <w:r>
        <w:t>加分层何时写：</w:t>
      </w:r>
    </w:p>
    <w:p>
      <w:pPr>
        <w:pStyle w:val="ListBullet"/>
        <w:spacing w:after="30"/>
      </w:pPr>
      <w:r>
        <w:t>精神损害抚慰金：材料有隐私公开、人格严重受损、明显精神痛苦等信号时写“严重时可主张”。</w:t>
      </w:r>
    </w:p>
    <w:p>
      <w:pPr>
        <w:pStyle w:val="ListBullet"/>
        <w:spacing w:after="30"/>
      </w:pPr>
      <w:r>
        <w:t>五百元保底：写退一赔三时顺手补“不足五百元按五百元”，这是消费者欺诈稳定加分词。</w:t>
      </w:r>
    </w:p>
    <w:p>
      <w:pPr>
        <w:pStyle w:val="ListBullet"/>
        <w:spacing w:after="30"/>
      </w:pPr>
      <w:r>
        <w:t>撤销/返还：合同或消费欺诈题可写，但不要替代退一赔三和赔偿损失。</w:t>
      </w:r>
    </w:p>
    <w:p>
      <w:pPr>
        <w:pStyle w:val="ListBullet"/>
        <w:spacing w:after="30"/>
      </w:pPr>
      <w:r>
        <w:t>特殊高倍赔偿：只在食品药品安全、医疗器械安全或题面明示特殊责任时写为主结论；不确定时只写边界句。</w:t>
      </w:r>
    </w:p>
    <w:p>
      <w:pPr>
        <w:pStyle w:val="Heading2"/>
      </w:pPr>
      <w:r>
        <w:t>六、考场闭眼检查</w:t>
      </w:r>
    </w:p>
    <w:p>
      <w:pPr>
        <w:spacing w:after="80"/>
      </w:pPr>
      <w:r>
        <w:t>写完后问五个问题：</w:t>
      </w:r>
    </w:p>
    <w:p>
      <w:pPr>
        <w:spacing w:after="80"/>
      </w:pPr>
      <w:r>
        <w:t>1. 表格题每行是否都有“事实 -&gt; 规则 -&gt; 结论”，有没有被总入口带偏？ 2. 是否写出了方向性结论，而不是只写“合理分担”？ 3. 治疗功效宣传是否先锁住一般消费者欺诈退一赔三？ 4. 每行是否至少命中 3-6 个最小术语？ 5. 边界句是否放在最后，没有冲掉必得层？</w:t>
      </w:r>
    </w:p>
    <w:p>
      <w:pPr>
        <w:spacing w:after="80"/>
      </w:pPr>
      <w:r>
        <w:t>---</w:t>
      </w:r>
    </w:p>
    <w:p>
      <w:pPr>
        <w:pStyle w:val="Heading1"/>
        <w:pageBreakBefore/>
      </w:pPr>
      <w:r>
        <w:t>05 v13.6 95+ 行内精度补丁</w:t>
      </w:r>
    </w:p>
    <w:p>
      <w:pPr>
        <w:spacing w:after="80"/>
      </w:pPr>
      <w:r>
        <w:t>生成时间：2026-05-23 22:05 +08:00</w:t>
      </w:r>
    </w:p>
    <w:p>
      <w:pPr>
        <w:spacing w:after="80"/>
      </w:pPr>
      <w:r>
        <w:t>状态：`v13_6_zero_baseline_95plus_precision_patch_pending_claude_retest`</w:t>
      </w:r>
    </w:p>
    <w:p>
      <w:pPr>
        <w:spacing w:after="80"/>
      </w:pPr>
      <w:r>
        <w:t>v13.6 不改 A/B 双轴，不新增主入口。它只处理 v13.5 后仍可能影响 95+ 的三件事：表格列名、合同责任并列、双链题字数和分值配比。</w:t>
      </w:r>
    </w:p>
    <w:p>
      <w:pPr>
        <w:pStyle w:val="Heading2"/>
      </w:pPr>
      <w:r>
        <w:t>一、B1 表格列名：真实考场先沿用原列名</w:t>
      </w:r>
    </w:p>
    <w:p>
      <w:pPr>
        <w:spacing w:after="80"/>
      </w:pPr>
      <w:r>
        <w:t>表格题的第一规则永远是：原表有什么列名，就用什么列名。不要为了框架默认三列而改掉原题列名。</w:t>
      </w:r>
    </w:p>
    <w:p>
      <w:pPr>
        <w:spacing w:after="80"/>
      </w:pPr>
      <w:r>
        <w:t>处理顺序：</w:t>
      </w:r>
    </w:p>
    <w:p>
      <w:pPr>
        <w:spacing w:after="80"/>
      </w:pPr>
      <w:r>
        <w:t>1. 列名可见：逐字沿用原列名，只在列内填入“事实 -&gt; 规则 -&gt; 结论”。 2. 列名部分可见：保留可见列名，缺失部分按“事实/法律关系和要件/裁判要点或责任”补足。 3. 列名完全不可见或压缩盲测：才用默认三列“材料事实 | 法律关系和要件 | 裁判要点/责任”。 4. 如果题干有“参考示例”，先观察示例的表达形状：示例如果是裁判理由句，就不要写成纯概念表；示例如果是短语填空，就不要写成长段作文。</w:t>
      </w:r>
    </w:p>
    <w:p>
      <w:pPr>
        <w:spacing w:after="80"/>
      </w:pPr>
      <w:r>
        <w:t>常见列名推断：</w:t>
      </w:r>
    </w:p>
    <w:p>
      <w:pPr>
        <w:pStyle w:val="ListBullet"/>
        <w:spacing w:after="30"/>
      </w:pPr>
      <w:r>
        <w:t>“分析事实，印证法理”：事实信号 | 法律规则/法理 | 裁判要点。</w:t>
      </w:r>
    </w:p>
    <w:p>
      <w:pPr>
        <w:pStyle w:val="ListBullet"/>
        <w:spacing w:after="30"/>
      </w:pPr>
      <w:r>
        <w:t>“诉求能否支持”：诉求/请求 | 法律分析 | 支持或不支持及责任。</w:t>
      </w:r>
    </w:p>
    <w:p>
      <w:pPr>
        <w:pStyle w:val="ListBullet"/>
        <w:spacing w:after="30"/>
      </w:pPr>
      <w:r>
        <w:t>“违反法律规定/法律责任”：行为或事实 | 违反的规则 | 应承担的责任。</w:t>
      </w:r>
    </w:p>
    <w:p>
      <w:pPr>
        <w:pStyle w:val="ListBullet"/>
        <w:spacing w:after="30"/>
      </w:pPr>
      <w:r>
        <w:t>“案件/法理/启示”：案件事实 | 法律关系和规则 | 裁判结果或法治意义。</w:t>
      </w:r>
    </w:p>
    <w:p>
      <w:pPr>
        <w:spacing w:after="80"/>
      </w:pPr>
      <w:r>
        <w:t>考场稳妥句：如原表列名与本框架默认三列不同，以原表列名为准；本框架只帮助你在每列里组织要点。</w:t>
      </w:r>
    </w:p>
    <w:p>
      <w:pPr>
        <w:pStyle w:val="Heading2"/>
      </w:pPr>
      <w:r>
        <w:t>二、合同违约：返还、违约金、损害赔偿不是乱堆</w:t>
      </w:r>
    </w:p>
    <w:p>
      <w:pPr>
        <w:spacing w:after="80"/>
      </w:pPr>
      <w:r>
        <w:t>高中政治主观题不要求展开复杂民法计算，但责任方式要和题面事实、诉求或判决一致。</w:t>
      </w:r>
    </w:p>
    <w:p>
      <w:pPr>
        <w:spacing w:after="80"/>
      </w:pPr>
      <w:r>
        <w:t>判断顺序：</w:t>
      </w:r>
    </w:p>
    <w:p>
      <w:pPr>
        <w:spacing w:after="80"/>
      </w:pPr>
      <w:r>
        <w:t>1. 先写合同成立并生效，当事人应全面履行、诚信履行。 2. 再写违约事实：未按约定标准交付、迟延履行、拒不履行、合同目的不能实现或约定成果未达成。 3. 最后按题面写责任方式：</w:t>
      </w:r>
    </w:p>
    <w:p>
      <w:pPr>
        <w:pStyle w:val="ListBullet"/>
        <w:spacing w:after="30"/>
      </w:pPr>
      <w:r>
        <w:t>题面给“返还服务费/返还价款”：写因合同目的不能实现或约定成果未达成，返还已收款项。</w:t>
      </w:r>
    </w:p>
    <w:p>
      <w:pPr>
        <w:pStyle w:val="ListBullet"/>
        <w:spacing w:after="30"/>
      </w:pPr>
      <w:r>
        <w:t>题面给“违约金”：写按约承担违约金责任；不需要计算数额。</w:t>
      </w:r>
    </w:p>
    <w:p>
      <w:pPr>
        <w:pStyle w:val="ListBullet"/>
        <w:spacing w:after="30"/>
      </w:pPr>
      <w:r>
        <w:t>题面给“赔偿损失”：写赔偿因违约造成的损失。</w:t>
      </w:r>
    </w:p>
    <w:p>
      <w:pPr>
        <w:pStyle w:val="ListBullet"/>
        <w:spacing w:after="30"/>
      </w:pPr>
      <w:r>
        <w:t>题面没有给损失事实时，不把“赔偿损失”写成主结论，可写“依法承担违约责任，如支付违约金、赔偿损失等”。</w:t>
      </w:r>
    </w:p>
    <w:p>
      <w:pPr>
        <w:spacing w:after="80"/>
      </w:pPr>
      <w:r>
        <w:t>并列规则：</w:t>
      </w:r>
    </w:p>
    <w:p>
      <w:pPr>
        <w:pStyle w:val="ListBullet"/>
        <w:spacing w:after="30"/>
      </w:pPr>
      <w:r>
        <w:t>“返还服务费 + 违约金”可以并列：前者处理未达成合同目的后的款项返还，后者处理违约责任。</w:t>
      </w:r>
    </w:p>
    <w:p>
      <w:pPr>
        <w:pStyle w:val="ListBullet"/>
        <w:spacing w:after="30"/>
      </w:pPr>
      <w:r>
        <w:t>“违约金 + 损害赔偿”不要无条件并列成重复赔偿。稳妥写法是：按约支付违约金；如违约金不足以弥补损失或题面另有损失事实，可依法赔偿相应损失。</w:t>
      </w:r>
    </w:p>
    <w:p>
      <w:pPr>
        <w:pStyle w:val="ListBullet"/>
        <w:spacing w:after="30"/>
      </w:pPr>
      <w:r>
        <w:t>如果题面已经说“法院判返还服务费并支付违约金”，答题只需解释为什么这样判，不必质疑司法计算。</w:t>
      </w:r>
    </w:p>
    <w:p>
      <w:pPr>
        <w:pStyle w:val="Heading2"/>
      </w:pPr>
      <w:r>
        <w:t>三、双链题：按设问顺序和分值配比写字数</w:t>
      </w:r>
    </w:p>
    <w:p>
      <w:pPr>
        <w:spacing w:after="80"/>
      </w:pPr>
      <w:r>
        <w:t>双链题不是平均作文。字数和要点按三个信号分配：</w:t>
      </w:r>
    </w:p>
    <w:p>
      <w:pPr>
        <w:spacing w:after="80"/>
      </w:pPr>
      <w:r>
        <w:t>1. 有分值：按分值配比。6 分链写得比 4 分链更细；总分高的链多写事实和责任方式。 2. 无分值但设问说“分别判断”：严格按设问顺序，每链至少四件套：结论 -&gt; 权利基础/规则 -&gt; 材料事实 -&gt; 责任方式。 3. 无分值且两链争议程度不同：更有争议、责任更重、材料事实更多的一链多写；另一链保留必写四件套。</w:t>
      </w:r>
    </w:p>
    <w:p>
      <w:pPr>
        <w:spacing w:after="80"/>
      </w:pPr>
      <w:r>
        <w:t>隐私 + 消费者欺诈常见配比：</w:t>
      </w:r>
    </w:p>
    <w:p>
      <w:pPr>
        <w:pStyle w:val="ListBullet"/>
        <w:spacing w:after="30"/>
      </w:pPr>
      <w:r>
        <w:t>隐私链必写：私密空间、私密活动、私密信息/个人信息、未经同意公开、停止侵害/删除/消除影响/赔礼道歉/赔偿损失。</w:t>
      </w:r>
    </w:p>
    <w:p>
      <w:pPr>
        <w:pStyle w:val="ListBullet"/>
        <w:spacing w:after="30"/>
      </w:pPr>
      <w:r>
        <w:t>欺诈链必写：虚假或引人误解宣传、知情权/选择权/公平交易权、错误认识购买、退还价款、退一赔三、不足五百元按五百元。</w:t>
      </w:r>
    </w:p>
    <w:p>
      <w:pPr>
        <w:pStyle w:val="ListBullet"/>
        <w:spacing w:after="30"/>
      </w:pPr>
      <w:r>
        <w:t>如果题干重点在“消费者诉求能否支持”，消费欺诈链通常责任金额更明确，可比隐私链稍多写；但不能省掉隐私链构成要件。</w:t>
      </w:r>
    </w:p>
    <w:p>
      <w:pPr>
        <w:pStyle w:val="Heading2"/>
      </w:pPr>
      <w:r>
        <w:t>四、95+ 最后检查</w:t>
      </w:r>
    </w:p>
    <w:p>
      <w:pPr>
        <w:spacing w:after="80"/>
      </w:pPr>
      <w:r>
        <w:t>交卷前再查三件事：</w:t>
      </w:r>
    </w:p>
    <w:p>
      <w:pPr>
        <w:spacing w:after="80"/>
      </w:pPr>
      <w:r>
        <w:t>1. 表格是否沿用原列名；如果没看到列名，是否说明按默认三列组织。 2. 合同责任是否按题面诉求/判决写，没有把违约金和赔偿损失机械堆叠。 3. 双链题是否按分值或设问顺序分配篇幅，每条链都有结论、规则、事实、责任。</w:t>
      </w:r>
    </w:p>
    <w:p>
      <w:pPr>
        <w:spacing w:after="80"/>
      </w:pPr>
      <w:r>
        <w:t>---</w:t>
      </w:r>
    </w:p>
    <w:p>
      <w:pPr>
        <w:pStyle w:val="Heading1"/>
        <w:pageBreakBefore/>
      </w:pPr>
      <w:r>
        <w:t>06 v13.7 B1/B3 最终精度补丁</w:t>
      </w:r>
    </w:p>
    <w:p>
      <w:pPr>
        <w:spacing w:after="80"/>
      </w:pPr>
      <w:r>
        <w:t>生成时间：2026-05-23 22:35 +08:00</w:t>
      </w:r>
    </w:p>
    <w:p>
      <w:pPr>
        <w:spacing w:after="80"/>
      </w:pPr>
      <w:r>
        <w:t>状态：`v13_7_zero_baseline_b1_b3_final_precision_patch_pending_claude_retest`</w:t>
      </w:r>
    </w:p>
    <w:p>
      <w:pPr>
        <w:spacing w:after="80"/>
      </w:pPr>
      <w:r>
        <w:t>v13.7 不改 A/B 双轴，不新增主入口。它只补 v13.6 后剩下的三处 95+ 精度：表格口令映射、双链字数配比量化、启示/价值列触发规则。</w:t>
      </w:r>
    </w:p>
    <w:p>
      <w:pPr>
        <w:pStyle w:val="Heading2"/>
      </w:pPr>
      <w:r>
        <w:t>一、B1 表格口令映射表</w:t>
      </w:r>
    </w:p>
    <w:p>
      <w:pPr>
        <w:spacing w:after="80"/>
      </w:pPr>
      <w:r>
        <w:t>原表列名优先；若列名只部分可见，就用题干口令和示例形状推断。</w:t>
      </w:r>
    </w:p>
    <w:p>
      <w:pPr>
        <w:pStyle w:val="Heading3"/>
      </w:pPr>
      <w:r>
        <w:t>1. 题干说“了解案件，分析事实，印证法理，参考示例”</w:t>
      </w:r>
    </w:p>
    <w:p>
      <w:pPr>
        <w:spacing w:after="80"/>
      </w:pPr>
      <w:r>
        <w:t>默认列形：案件事实 | 法理印证 | 裁判要点/启示。</w:t>
      </w:r>
    </w:p>
    <w:p>
      <w:pPr>
        <w:pStyle w:val="ListBullet"/>
        <w:spacing w:after="30"/>
      </w:pPr>
      <w:r>
        <w:t>案件事实：只放材料事实，不放抽象价值。</w:t>
      </w:r>
    </w:p>
    <w:p>
      <w:pPr>
        <w:pStyle w:val="ListBullet"/>
        <w:spacing w:after="30"/>
      </w:pPr>
      <w:r>
        <w:t>法理印证：写法律关系、构成要件、关键词。</w:t>
      </w:r>
    </w:p>
    <w:p>
      <w:pPr>
        <w:pStyle w:val="ListBullet"/>
        <w:spacing w:after="30"/>
      </w:pPr>
      <w:r>
        <w:t>裁判要点/启示：先写裁判责任；若列名或示例含“启示/意义/作用”，再加一句价值收束。</w:t>
      </w:r>
    </w:p>
    <w:p>
      <w:pPr>
        <w:pStyle w:val="Heading3"/>
      </w:pPr>
      <w:r>
        <w:t>2. 题干说“阅读材料，完成下表”</w:t>
      </w:r>
    </w:p>
    <w:p>
      <w:pPr>
        <w:spacing w:after="80"/>
      </w:pPr>
      <w:r>
        <w:t>默认列形：材料事实 | 法律关系和要件 | 裁判要点/责任。</w:t>
      </w:r>
    </w:p>
    <w:p>
      <w:pPr>
        <w:pStyle w:val="ListBullet"/>
        <w:spacing w:after="30"/>
      </w:pPr>
      <w:r>
        <w:t>不额外加表外总入口。</w:t>
      </w:r>
    </w:p>
    <w:p>
      <w:pPr>
        <w:pStyle w:val="ListBullet"/>
        <w:spacing w:after="30"/>
      </w:pPr>
      <w:r>
        <w:t>每行必须自洽，不让第一行主入口压过其他行。</w:t>
      </w:r>
    </w:p>
    <w:p>
      <w:pPr>
        <w:pStyle w:val="Heading3"/>
      </w:pPr>
      <w:r>
        <w:t>3. 题干说“参考示例，完成下表”</w:t>
      </w:r>
    </w:p>
    <w:p>
      <w:pPr>
        <w:spacing w:after="80"/>
      </w:pPr>
      <w:r>
        <w:t>先模仿示例长短：</w:t>
      </w:r>
    </w:p>
    <w:p>
      <w:pPr>
        <w:pStyle w:val="ListBullet"/>
        <w:spacing w:after="30"/>
      </w:pPr>
      <w:r>
        <w:t>示例是短语：每格写短语，少写长段。</w:t>
      </w:r>
    </w:p>
    <w:p>
      <w:pPr>
        <w:pStyle w:val="ListBullet"/>
        <w:spacing w:after="30"/>
      </w:pPr>
      <w:r>
        <w:t>示例是完整句：每格写“事实 -&gt; 规则 -&gt; 结论”的完整句。</w:t>
      </w:r>
    </w:p>
    <w:p>
      <w:pPr>
        <w:pStyle w:val="ListBullet"/>
        <w:spacing w:after="30"/>
      </w:pPr>
      <w:r>
        <w:t>示例最后一列如果是“意义/启示”，该列必须有价值收束；如果只是“裁判要点/责任”，不要强塞价值。</w:t>
      </w:r>
    </w:p>
    <w:p>
      <w:pPr>
        <w:pStyle w:val="Heading3"/>
      </w:pPr>
      <w:r>
        <w:t>4. 题干说“诉求/请求能否支持”</w:t>
      </w:r>
    </w:p>
    <w:p>
      <w:pPr>
        <w:spacing w:after="80"/>
      </w:pPr>
      <w:r>
        <w:t>列形或段落形：诉求 | 法律分析 | 支持/不支持及责任。</w:t>
      </w:r>
    </w:p>
    <w:p>
      <w:pPr>
        <w:pStyle w:val="ListBullet"/>
        <w:spacing w:after="30"/>
      </w:pPr>
      <w:r>
        <w:t>每个诉求先给结论。</w:t>
      </w:r>
    </w:p>
    <w:p>
      <w:pPr>
        <w:pStyle w:val="ListBullet"/>
        <w:spacing w:after="30"/>
      </w:pPr>
      <w:r>
        <w:t>再写权利基础、构成要件、材料事实、责任方式。</w:t>
      </w:r>
    </w:p>
    <w:p>
      <w:pPr>
        <w:pStyle w:val="Heading2"/>
      </w:pPr>
      <w:r>
        <w:t>二、启示/价值列触发规则</w:t>
      </w:r>
    </w:p>
    <w:p>
      <w:pPr>
        <w:spacing w:after="80"/>
      </w:pPr>
      <w:r>
        <w:t>只有出现下列口令，表格最后一格才升级为“裁判要点 + 价值收束”：</w:t>
      </w:r>
    </w:p>
    <w:p>
      <w:pPr>
        <w:pStyle w:val="ListBullet"/>
        <w:spacing w:after="30"/>
      </w:pPr>
      <w:r>
        <w:t>启示、意义、作用、价值、保护了什么、推动了什么、说明了什么法治道理。</w:t>
      </w:r>
    </w:p>
    <w:p>
      <w:pPr>
        <w:spacing w:after="80"/>
      </w:pPr>
      <w:r>
        <w:t>价值收束固定句式：</w:t>
      </w:r>
    </w:p>
    <w:p>
      <w:pPr>
        <w:spacing w:after="80"/>
      </w:pPr>
      <w:r>
        <w:t>法律规则保护____，约束____，维护____秩序/促进____发展。</w:t>
      </w:r>
    </w:p>
    <w:p>
      <w:pPr>
        <w:spacing w:after="80"/>
      </w:pPr>
      <w:r>
        <w:t>常见填法：</w:t>
      </w:r>
    </w:p>
    <w:p>
      <w:pPr>
        <w:pStyle w:val="ListBullet"/>
        <w:spacing w:after="30"/>
      </w:pPr>
      <w:r>
        <w:t>数据抓取：保护合法投入形成的数据产品和创新成果，约束不正当抓取、商业化利用行为，维护公平竞争秩序。</w:t>
      </w:r>
    </w:p>
    <w:p>
      <w:pPr>
        <w:pStyle w:val="ListBullet"/>
        <w:spacing w:after="30"/>
      </w:pPr>
      <w:r>
        <w:t>旅游安全：保护消费者人身安全，约束经营者安全保障义务，促进文旅市场安全有序。</w:t>
      </w:r>
    </w:p>
    <w:p>
      <w:pPr>
        <w:pStyle w:val="ListBullet"/>
        <w:spacing w:after="30"/>
      </w:pPr>
      <w:r>
        <w:t>未成年人文身：保护未成年人身心健康，约束涉未成年人经营行为，维护公序良俗。</w:t>
      </w:r>
    </w:p>
    <w:p>
      <w:pPr>
        <w:pStyle w:val="ListBullet"/>
        <w:spacing w:after="30"/>
      </w:pPr>
      <w:r>
        <w:t>格式条款扣款：保护消费者知情权和公平交易权，约束平台格式条款，维护公平消费秩序。</w:t>
      </w:r>
    </w:p>
    <w:p>
      <w:pPr>
        <w:pStyle w:val="ListBullet"/>
        <w:spacing w:after="30"/>
      </w:pPr>
      <w:r>
        <w:t>研发委托合同：保护创新交易和合同预期，约束违约行为，维护诚信交易秩序。</w:t>
      </w:r>
    </w:p>
    <w:p>
      <w:pPr>
        <w:pStyle w:val="ListBullet"/>
        <w:spacing w:after="30"/>
      </w:pPr>
      <w:r>
        <w:t>混淆竞争：保护有一定影响的商业标识，约束搭便车行为，维护公平竞争秩序。</w:t>
      </w:r>
    </w:p>
    <w:p>
      <w:pPr>
        <w:spacing w:after="80"/>
      </w:pPr>
      <w:r>
        <w:t>如果列名没有启示/意义/价值，价值句可放最后一句，不要喧宾夺主。</w:t>
      </w:r>
    </w:p>
    <w:p>
      <w:pPr>
        <w:pStyle w:val="Heading2"/>
      </w:pPr>
      <w:r>
        <w:t>三、双链题字数配比量化</w:t>
      </w:r>
    </w:p>
    <w:p>
      <w:pPr>
        <w:spacing w:after="80"/>
      </w:pPr>
      <w:r>
        <w:t>无分值时，按下面的量化规则：</w:t>
      </w:r>
    </w:p>
    <w:p>
      <w:pPr>
        <w:spacing w:after="80"/>
      </w:pPr>
      <w:r>
        <w:t>1. 明显主诉求链 + 副链：6:4。主链多写一个责任方式或一个边界句。 2. 设问“分别判断 A 与 B”且无主副：5:5。两链各有结论、规则、事实、责任。 3. 一链事实明显更多或责任金额更明确：6:4。事实更多/金额更明确的一链多写。 4. 一链只是副轴脊柱：7:3。副轴只写得分关键词，不展开成长段。</w:t>
      </w:r>
    </w:p>
    <w:p>
      <w:pPr>
        <w:spacing w:after="80"/>
      </w:pPr>
      <w:r>
        <w:t>隐私 + 消费者欺诈：</w:t>
      </w:r>
    </w:p>
    <w:p>
      <w:pPr>
        <w:pStyle w:val="ListBullet"/>
        <w:spacing w:after="30"/>
      </w:pPr>
      <w:r>
        <w:t>如果题干重心是“消费者诉求能否支持”，且欺诈责任涉及退一赔三，写成隐私 4、欺诈 6。</w:t>
      </w:r>
    </w:p>
    <w:p>
      <w:pPr>
        <w:pStyle w:val="ListBullet"/>
        <w:spacing w:after="30"/>
      </w:pPr>
      <w:r>
        <w:t>隐私链写够：私密空间/活动/信息、未经同意公开、停止/删除/消除影响/道歉/赔偿。</w:t>
      </w:r>
    </w:p>
    <w:p>
      <w:pPr>
        <w:pStyle w:val="ListBullet"/>
        <w:spacing w:after="30"/>
      </w:pPr>
      <w:r>
        <w:t>欺诈链多写：虚假宣传、错误认识购买、退还价款、退一赔三、五百元保底、食品药品边界句。</w:t>
      </w:r>
    </w:p>
    <w:p>
      <w:pPr>
        <w:pStyle w:val="Heading2"/>
      </w:pPr>
      <w:r>
        <w:t>四、最终停止条件</w:t>
      </w:r>
    </w:p>
    <w:p>
      <w:pPr>
        <w:spacing w:after="80"/>
      </w:pPr>
      <w:r>
        <w:t>如果真实 Claude 在下一轮仍只提出以下问题，不再进入新框架补丁，只记入宝典写作注意：</w:t>
      </w:r>
    </w:p>
    <w:p>
      <w:pPr>
        <w:pStyle w:val="ListBullet"/>
        <w:spacing w:after="30"/>
      </w:pPr>
      <w:r>
        <w:t>原题列名不可见导致的压缩测试不确定。</w:t>
      </w:r>
    </w:p>
    <w:p>
      <w:pPr>
        <w:pStyle w:val="ListBullet"/>
        <w:spacing w:after="30"/>
      </w:pPr>
      <w:r>
        <w:t>具体分值未知导致的字数比例微调。</w:t>
      </w:r>
    </w:p>
    <w:p>
      <w:pPr>
        <w:pStyle w:val="ListBullet"/>
        <w:spacing w:after="30"/>
      </w:pPr>
      <w:r>
        <w:t>个别责任金额、比例或法条编号不确定。</w:t>
      </w:r>
    </w:p>
    <w:p>
      <w:pPr>
        <w:spacing w:after="80"/>
      </w:pPr>
      <w:r>
        <w:t>这些不是框架缺陷，而是原题信息缺失或考试现场信息问题。框架已经给出处理规则即可。</w:t>
      </w:r>
    </w:p>
    <w:p>
      <w:pPr>
        <w:pStyle w:val="Heading1"/>
        <w:pageBreakBefore/>
      </w:pPr>
      <w:r>
        <w:t>02 42题双轴重标与解析宝典 v13.7</w:t>
      </w:r>
    </w:p>
    <w:p>
      <w:pPr>
        <w:spacing w:after="80"/>
      </w:pPr>
      <w:r>
        <w:t>生成时间：2026-05-23 23:10 +08:00</w:t>
      </w:r>
    </w:p>
    <w:p>
      <w:pPr>
        <w:spacing w:after="80"/>
      </w:pPr>
      <w:r>
        <w:t>本文件只收 42 道 locked core 正文题。题源、评分锚点、材料触发和答案骨架继承 v13.1 已核验题卡；本版回灌 v13.7 零基础迁移补丁，在每张题卡中增加 A轴入口后工具提示和 B轴设问动作提示。</w:t>
      </w:r>
    </w:p>
    <w:p>
      <w:pPr>
        <w:spacing w:after="80"/>
      </w:pPr>
      <w:r>
        <w:t>使用顺序：先看材料核心和材料触发，再定 A轴主入口和副入口，随后按 B轴设问动作提示组织答案。评分锚点和答案骨架仍是最后落笔依据。</w:t>
      </w:r>
    </w:p>
    <w:p>
      <w:pPr>
        <w:pStyle w:val="Heading2"/>
      </w:pPr>
      <w:r>
        <w:t>A2_人身权与人格权（4题）</w:t>
      </w:r>
    </w:p>
    <w:p>
      <w:pPr>
        <w:pStyle w:val="Heading3"/>
      </w:pPr>
      <w:r>
        <w:t>1. CC0084_2025_东城_二模_19</w:t>
      </w:r>
    </w:p>
    <w:p>
      <w:pPr>
        <w:pStyle w:val="ListBullet"/>
        <w:spacing w:after="30"/>
      </w:pPr>
      <w:r>
        <w:t>区年卷题：2025年 东城 二模 第19题</w:t>
      </w:r>
    </w:p>
    <w:p>
      <w:pPr>
        <w:pStyle w:val="ListBullet"/>
        <w:spacing w:after="30"/>
      </w:pPr>
      <w:r>
        <w:t>设问动作：阅读材料，完成下表。</w:t>
      </w:r>
    </w:p>
    <w:p>
      <w:pPr>
        <w:pStyle w:val="ListBullet"/>
        <w:spacing w:after="30"/>
      </w:pPr>
      <w:r>
        <w:t>A轴主入口：A2_人身权与人格权</w:t>
      </w:r>
    </w:p>
    <w:p>
      <w:pPr>
        <w:pStyle w:val="ListBullet"/>
        <w:spacing w:after="30"/>
      </w:pPr>
      <w:r>
        <w:t>v13.7入口后工具提示：先叫准人格权益或人身权益名称，再写侵害行为、损害后果和停止侵害、赔礼道歉、赔偿等责任。</w:t>
      </w:r>
    </w:p>
    <w:p>
      <w:pPr>
        <w:pStyle w:val="ListBullet"/>
        <w:spacing w:after="30"/>
      </w:pPr>
      <w:r>
        <w:t>A轴副入口/边界：有：A9_消费者权益与经营者义务;A4_合同</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双轴裁决说明：Round05采纳：商誉/法人名誉损害归入A2人格权益链，材料未显示竞争关系，不用A5反不正当竞争副轴。</w:t>
      </w:r>
    </w:p>
    <w:p>
      <w:pPr>
        <w:pStyle w:val="ListBullet"/>
        <w:spacing w:after="30"/>
      </w:pPr>
      <w:r>
        <w:t>命题路径：先定A2_人身权与人格权，再按B1_表格/裁判要点/补链作答；v12.2路径：形式触发 -&gt; 一格一链 -&gt; 法律关系/法律要件 -&gt; 格内结论。</w:t>
      </w:r>
    </w:p>
    <w:p>
      <w:pPr>
        <w:pStyle w:val="ListBullet"/>
        <w:spacing w:after="30"/>
      </w:pPr>
      <w:r>
        <w:t>材料核心：三个案例：13周岁未成年人被经营者大面积文身，法院判退费并赔偿；自媒体无事实依据贬损某公司并造成负面影响，法院判道歉赔偿；平台预订境外客房后预扣房款，消费者不知情且未入住，法院判退还房款。</w:t>
      </w:r>
    </w:p>
    <w:p>
      <w:pPr>
        <w:pStyle w:val="ListBullet"/>
        <w:spacing w:after="30"/>
      </w:pPr>
      <w:r>
        <w:t>评分锚点：案件一写未成年人保护和公序良俗。 / 案件二写无事实依据贬损造成商誉损害，承担道歉赔偿责任。 / 案件三写格式条款和消费者知情、公平交易，平台不能用提示不清条款强扣款。</w:t>
      </w:r>
    </w:p>
    <w:p>
      <w:pPr>
        <w:pStyle w:val="ListBullet"/>
        <w:spacing w:after="30"/>
      </w:pPr>
      <w:r>
        <w:t>材料触发：经营者为13周岁未成年人进行大面积文身 → 违反守法和公序良俗，损害未成年人身心利益 → 退费赔偿并保护未成年人健康成长；自媒体无事实依据贬损企业“无赖”“强盗”等 → 侵害名誉/商誉，违反诚信原则 → 公开道歉、赔偿损失，维护良性竞争秩序；平台用预设服务条款预扣房款，消费者不知情且未入住 → 格式条款排除消费者主要权利、违反公平 → 退还房款并规范平台经营</w:t>
      </w:r>
    </w:p>
    <w:p>
      <w:pPr>
        <w:pStyle w:val="ListBullet"/>
        <w:spacing w:after="30"/>
      </w:pPr>
      <w:r>
        <w:t>答案骨架：案件一写未成年人保护和公序良俗。 / 案件二写无事实依据贬损造成商誉损害，承担道歉赔偿责任。 / 案件三写格式条款和消费者知情、公平交易，平台不能用提示不清条款强扣款。</w:t>
      </w:r>
    </w:p>
    <w:p>
      <w:pPr>
        <w:pStyle w:val="ListBullet"/>
        <w:spacing w:after="30"/>
      </w:pPr>
      <w:r>
        <w:t>学生预警：看到平台就写三从属性；看到企业就写经济经营措施；消费者题只写诚信经营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CC0305_2026_海淀_一模_18_3</w:t>
      </w:r>
    </w:p>
    <w:p>
      <w:pPr>
        <w:pStyle w:val="ListBullet"/>
        <w:spacing w:after="30"/>
      </w:pPr>
      <w:r>
        <w:t>区年卷题：2026年 海淀 一模 第18题</w:t>
      </w:r>
    </w:p>
    <w:p>
      <w:pPr>
        <w:pStyle w:val="ListBullet"/>
        <w:spacing w:after="30"/>
      </w:pPr>
      <w:r>
        <w:t>设问动作：围绕消费者诉求能否支持，分别判断隐私权侵害与消费者欺诈责任。</w:t>
      </w:r>
    </w:p>
    <w:p>
      <w:pPr>
        <w:pStyle w:val="ListBullet"/>
        <w:spacing w:after="30"/>
      </w:pPr>
      <w:r>
        <w:t>A轴主入口：A2_人身权与人格权</w:t>
      </w:r>
    </w:p>
    <w:p>
      <w:pPr>
        <w:pStyle w:val="ListBullet"/>
        <w:spacing w:after="30"/>
      </w:pPr>
      <w:r>
        <w:t>v13.7入口后工具提示：先叫准人格权益或人身权益名称，再写侵害行为、损害后果和停止侵害、赔礼道歉、赔偿等责任。</w:t>
      </w:r>
    </w:p>
    <w:p>
      <w:pPr>
        <w:pStyle w:val="ListBullet"/>
        <w:spacing w:after="30"/>
      </w:pPr>
      <w:r>
        <w:t>A轴副入口/边界：有：A9_消费者权益与经营者义务</w:t>
      </w:r>
    </w:p>
    <w:p>
      <w:pPr>
        <w:pStyle w:val="ListBullet"/>
        <w:spacing w:after="30"/>
      </w:pPr>
      <w:r>
        <w:t>B轴设问动作：B3_诉求/请求能否支持；v12.2旧入口：E3_诉求请求能否支持</w:t>
      </w:r>
    </w:p>
    <w:p>
      <w:pPr>
        <w:pStyle w:val="ListBullet"/>
        <w:spacing w:after="30"/>
      </w:pPr>
      <w:r>
        <w:t>v13.7设问动作提示：诉求能否支持题先给支持/不支持/部分支持，再逐项写权利基础、构成要件、责任方式和惩罚性赔偿边界。</w:t>
      </w:r>
    </w:p>
    <w:p>
      <w:pPr>
        <w:pStyle w:val="ListBullet"/>
        <w:spacing w:after="30"/>
      </w:pPr>
      <w:r>
        <w:t>双轴裁决说明：包间监控和传播聊天视频先侵害隐私，虚假功效宣传进入消费者副轴。</w:t>
      </w:r>
    </w:p>
    <w:p>
      <w:pPr>
        <w:pStyle w:val="ListBullet"/>
        <w:spacing w:after="30"/>
      </w:pPr>
      <w:r>
        <w:t>命题路径：先定A2_人身权与人格权，再按B3_诉求/请求能否支持作答；v12.2路径：诉求对象 -&gt; 权利基础 -&gt; 法律要件 -&gt; 支持/不支持及理由。</w:t>
      </w:r>
    </w:p>
    <w:p>
      <w:pPr>
        <w:pStyle w:val="ListBullet"/>
        <w:spacing w:after="30"/>
      </w:pPr>
      <w:r>
        <w:t>材料核心：服务消费纠纷：消费者在经营者提供的包间内活动具有私密性，商家公开包厢内监控录像片段、网络聊天信息；赵某虚假宣传具有治疗糖尿病并发症等功效、夸大功效诱导消费。</w:t>
      </w:r>
    </w:p>
    <w:p>
      <w:pPr>
        <w:pStyle w:val="ListBullet"/>
        <w:spacing w:after="30"/>
      </w:pPr>
      <w:r>
        <w:t>评分锚点：先分两条链：隐私权侵害链和消费者欺诈链。 / 隐私链写监控、公开信息和侵权责任。 / 消费链写虚假宣传、知情权和惩罚性赔偿条件。</w:t>
      </w:r>
    </w:p>
    <w:p>
      <w:pPr>
        <w:pStyle w:val="ListBullet"/>
        <w:spacing w:after="30"/>
      </w:pPr>
      <w:r>
        <w:t>材料触发：包间监控和聊天信息公开 → 隐私权受侵害 → 经营者应承担侵权责任；虚假宣传治疗功效 → 消费者知情权受损 → 构成欺诈或虚假宣传；消费者诉求 → 权利侵害和欺诈事实并存 → 可支持停止侵害、赔偿和惩罚性赔偿等请求</w:t>
      </w:r>
    </w:p>
    <w:p>
      <w:pPr>
        <w:pStyle w:val="ListBullet"/>
        <w:spacing w:after="30"/>
      </w:pPr>
      <w:r>
        <w:t>答案骨架：先分两条链：隐私权侵害链和消费者欺诈链。 / 隐私链写监控、公开信息和侵权责任。 / 消费链写虚假宣传、知情权和惩罚性赔偿条件。</w:t>
      </w:r>
    </w:p>
    <w:p>
      <w:pPr>
        <w:pStyle w:val="ListBullet"/>
        <w:spacing w:after="30"/>
      </w:pPr>
      <w:r>
        <w:t>学生预警：平台用工；普通合同主轴；必修三套话</w:t>
      </w:r>
    </w:p>
    <w:p>
      <w:pPr>
        <w:pStyle w:val="ListBullet"/>
        <w:spacing w:after="30"/>
      </w:pPr>
      <w:r>
        <w:t>源检边界：none</w:t>
      </w:r>
    </w:p>
    <w:p>
      <w:pPr>
        <w:pStyle w:val="ListBullet"/>
        <w:spacing w:after="30"/>
      </w:pPr>
      <w:r>
        <w:t>证据状态：PASS_RECOVERED_FORMAL_BUT_ASK_TEXT_PARTIAL；source_check_state=not_in_round03_source_check；source_check_decision=covered_by_prior_locked_core</w:t>
      </w:r>
    </w:p>
    <w:p>
      <w:pPr>
        <w:pStyle w:val="Heading3"/>
      </w:pPr>
      <w:r>
        <w:t>3. CC0150_2025_朝阳_二模_20</w:t>
      </w:r>
    </w:p>
    <w:p>
      <w:pPr>
        <w:pStyle w:val="ListBullet"/>
        <w:spacing w:after="30"/>
      </w:pPr>
      <w:r>
        <w:t>区年卷题：2025年 朝阳 二模 第20题</w:t>
      </w:r>
    </w:p>
    <w:p>
      <w:pPr>
        <w:pStyle w:val="ListBullet"/>
        <w:spacing w:after="30"/>
      </w:pPr>
      <w:r>
        <w:t>设问动作：结合材料,运用《法律与生活》知识,分析上述案例。</w:t>
      </w:r>
    </w:p>
    <w:p>
      <w:pPr>
        <w:pStyle w:val="ListBullet"/>
        <w:spacing w:after="30"/>
      </w:pPr>
      <w:r>
        <w:t>A轴主入口：A2_人身权与人格权</w:t>
      </w:r>
    </w:p>
    <w:p>
      <w:pPr>
        <w:pStyle w:val="ListBullet"/>
        <w:spacing w:after="30"/>
      </w:pPr>
      <w:r>
        <w:t>v13.7入口后工具提示：先叫准人格权益或人身权益名称，再写侵害行为、损害后果和停止侵害、赔礼道歉、赔偿等责任。</w:t>
      </w:r>
    </w:p>
    <w:p>
      <w:pPr>
        <w:pStyle w:val="ListBullet"/>
        <w:spacing w:after="30"/>
      </w:pPr>
      <w:r>
        <w:t>A轴副入口/边界：有：A3_物权与相邻关系</w:t>
      </w:r>
    </w:p>
    <w:p>
      <w:pPr>
        <w:pStyle w:val="ListBullet"/>
        <w:spacing w:after="30"/>
      </w:pPr>
      <w:r>
        <w:t>B轴设问动作：B4_评析/认识/观点；v12.2旧入口：E4_评析认识谈看法</w:t>
      </w:r>
    </w:p>
    <w:p>
      <w:pPr>
        <w:pStyle w:val="ListBullet"/>
        <w:spacing w:after="30"/>
      </w:pPr>
      <w:r>
        <w:t>v13.7设问动作提示：评析/认识题先表态，再指出合理处和边界，最后给正确法律立场；不要把它写成纯价值口号。</w:t>
      </w:r>
    </w:p>
    <w:p>
      <w:pPr>
        <w:pStyle w:val="ListBullet"/>
        <w:spacing w:after="30"/>
      </w:pPr>
      <w:r>
        <w:t>双轴裁决说明：可视门铃、人脸识别和云存储先落隐私/个人信息，相邻关系解释边界。</w:t>
      </w:r>
    </w:p>
    <w:p>
      <w:pPr>
        <w:pStyle w:val="ListBullet"/>
        <w:spacing w:after="30"/>
      </w:pPr>
      <w:r>
        <w:t>命题路径：先定A2_人身权与人格权，再按B4_评析/认识/观点作答；v12.2路径：观点/做法 -&gt; 法律关系和制度背景 -&gt; 判断边界 -&gt; 规范评价。</w:t>
      </w:r>
    </w:p>
    <w:p>
      <w:pPr>
        <w:pStyle w:val="ListBullet"/>
        <w:spacing w:after="30"/>
      </w:pPr>
      <w:r>
        <w:t>材料核心：20.(10 分)在日常生活中,要把握好权利和义务的关系。 材料一 孙女士和刘先生是同一楼层的邻居,两家入户门相对,相距约2 米。刘先生在自家入户门安装 了具有“智能人脸识别”“180 度超广角”“自动人体侦测”“云存储”等功能的可视门铃摄像头,可通过 手机远程操控。孙女士认为该摄像头可能拍摄到自己及家人的日常出行规律及其他动态信息,要求刘先生 拆除该摄像头,双方由此产生纠纷。 材料二 《中华人民共和国民法典》(节选) 第二百七十一条 业主对建筑物内的住宅、经营性用房等专有部…</w:t>
      </w:r>
    </w:p>
    <w:p>
      <w:pPr>
        <w:pStyle w:val="ListBullet"/>
        <w:spacing w:after="30"/>
      </w:pPr>
      <w:r>
        <w:t>评分锚点：先根据案情锁定具体权利。 / 再把侵害行为和损害结果对应起来。 / 最后写责任方式和依法保护权利的意义。</w:t>
      </w:r>
    </w:p>
    <w:p>
      <w:pPr>
        <w:pStyle w:val="ListBullet"/>
        <w:spacing w:after="30"/>
      </w:pPr>
      <w:r>
        <w:t>材料触发：材料中的具体权利受侵害 → 先叫准权利名 → 才能写责任；侵害行为造成损害 → 按侵权责任判断 → 停止侵害、赔偿、道歉等责任方式；法院结合案情处理 → 法律保护权利也划清行为边界 → 引导依法维权</w:t>
      </w:r>
    </w:p>
    <w:p>
      <w:pPr>
        <w:pStyle w:val="ListBullet"/>
        <w:spacing w:after="30"/>
      </w:pPr>
      <w:r>
        <w:t>答案骨架：先根据案情锁定具体权利。 / 再把侵害行为和损害结果对应起来。 / 最后写责任方式和依法保护权利的意义。</w:t>
      </w:r>
    </w:p>
    <w:p>
      <w:pPr>
        <w:pStyle w:val="ListBullet"/>
        <w:spacing w:after="30"/>
      </w:pPr>
      <w:r>
        <w:t>学生预警：万能意义价值；平台用工；合同成立</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CC0332_2026_石景山_二模_19</w:t>
      </w:r>
    </w:p>
    <w:p>
      <w:pPr>
        <w:pStyle w:val="ListBullet"/>
        <w:spacing w:after="30"/>
      </w:pPr>
      <w:r>
        <w:t>区年卷题：2026年 石景山 二模 第19题</w:t>
      </w:r>
    </w:p>
    <w:p>
      <w:pPr>
        <w:pStyle w:val="ListBullet"/>
        <w:spacing w:after="30"/>
      </w:pPr>
      <w:r>
        <w:t>设问动作：结合材料，运用《法律与生活》知识，谈谈对未成年人校园欺凌违法行为“惩”“教”并行的认识。</w:t>
      </w:r>
    </w:p>
    <w:p>
      <w:pPr>
        <w:pStyle w:val="ListBullet"/>
        <w:spacing w:after="30"/>
      </w:pPr>
      <w:r>
        <w:t>A轴主入口：A2_人身权与人格权</w:t>
      </w:r>
    </w:p>
    <w:p>
      <w:pPr>
        <w:pStyle w:val="ListBullet"/>
        <w:spacing w:after="30"/>
      </w:pPr>
      <w:r>
        <w:t>v13.7入口后工具提示：先叫准人格权益或人身权益名称，再写侵害行为、损害后果和停止侵害、赔礼道歉、赔偿等责任。</w:t>
      </w:r>
    </w:p>
    <w:p>
      <w:pPr>
        <w:pStyle w:val="ListBullet"/>
        <w:spacing w:after="30"/>
      </w:pPr>
      <w:r>
        <w:t>A轴副入口/边界：边界：公法/未成年人保护，不计入A10；保留A2主轴</w:t>
      </w:r>
    </w:p>
    <w:p>
      <w:pPr>
        <w:pStyle w:val="ListBullet"/>
        <w:spacing w:after="30"/>
      </w:pPr>
      <w:r>
        <w:t>B轴设问动作：B4_评析/认识/观点；v12.2旧入口：E4_评析认识谈看法</w:t>
      </w:r>
    </w:p>
    <w:p>
      <w:pPr>
        <w:pStyle w:val="ListBullet"/>
        <w:spacing w:after="30"/>
      </w:pPr>
      <w:r>
        <w:t>v13.7设问动作提示：评析/认识题先表态，再指出合理处和边界，最后给正确法律立场；不要把它写成纯价值口号。</w:t>
      </w:r>
    </w:p>
    <w:p>
      <w:pPr>
        <w:pStyle w:val="ListBullet"/>
        <w:spacing w:after="30"/>
      </w:pPr>
      <w:r>
        <w:t>双轴裁决说明：Round05采纳边界补丁：校园欺凌惩教并行主要保护未成年人人身人格利益，治安处罚/矫治教育不得自动并入A10。</w:t>
      </w:r>
    </w:p>
    <w:p>
      <w:pPr>
        <w:pStyle w:val="ListBullet"/>
        <w:spacing w:after="30"/>
      </w:pPr>
      <w:r>
        <w:t>命题路径：先定A2_人身权与人格权，再按B4_评析/认识/观点作答；v12.2路径：观点/做法 -&gt; 法律关系和制度背景 -&gt; 判断边界 -&gt; 规范评价。</w:t>
      </w:r>
    </w:p>
    <w:p>
      <w:pPr>
        <w:pStyle w:val="ListBullet"/>
        <w:spacing w:after="30"/>
      </w:pPr>
      <w:r>
        <w:t>材料核心：19．（8分） 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 本次修订打破了“未成年人违法不拘留”的惯例，规定已满14周岁不满16周岁的未成年人，一年内两次以上违反治安管理的，依法执行行政拘留；已满14周岁不满18周岁，初次违反治安管理但情节严重、影响恶…</w:t>
      </w:r>
    </w:p>
    <w:p>
      <w:pPr>
        <w:pStyle w:val="ListBullet"/>
        <w:spacing w:after="30"/>
      </w:pPr>
      <w:r>
        <w:t>评分锚点：先写校园欺凌是违法行为，需要依法惩戒。 / 再写未成年人保护要求教育矫治并重，不能只罚不教。 / 最后写惩教并行既保护受害人，也帮助未成年人回归正轨。</w:t>
      </w:r>
    </w:p>
    <w:p>
      <w:pPr>
        <w:pStyle w:val="ListBullet"/>
        <w:spacing w:after="30"/>
      </w:pPr>
      <w:r>
        <w:t>材料触发：校园欺凌纳入法律规制 → 未成年人违法也要承担相应责任 → 惩戒维护秩序和受害人权益；未成年人行政拘留规则 → 处理要符合法定年龄和保护原则 → 不能只严惩；监护和教育矫治 → 家庭、学校、社会共同教育 → 惩教并行保护未成年人健康成长</w:t>
      </w:r>
    </w:p>
    <w:p>
      <w:pPr>
        <w:pStyle w:val="ListBullet"/>
        <w:spacing w:after="30"/>
      </w:pPr>
      <w:r>
        <w:t>答案骨架：先写校园欺凌是违法行为，需要依法惩戒。 / 再写未成年人保护要求教育矫治并重，不能只罚不教。 / 最后写惩教并行既保护受害人，也帮助未成年人回归正轨。</w:t>
      </w:r>
    </w:p>
    <w:p>
      <w:pPr>
        <w:pStyle w:val="ListBullet"/>
        <w:spacing w:after="30"/>
      </w:pPr>
      <w:r>
        <w:t>学生预警：生态绿色；合同；平台用工</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2"/>
      </w:pPr>
      <w:r>
        <w:t>A3_物权与相邻关系（3题）</w:t>
      </w:r>
    </w:p>
    <w:p>
      <w:pPr>
        <w:pStyle w:val="Heading3"/>
      </w:pPr>
      <w:r>
        <w:t>1. CC0364_2026_通州_期中_19_1</w:t>
      </w:r>
    </w:p>
    <w:p>
      <w:pPr>
        <w:pStyle w:val="ListBullet"/>
        <w:spacing w:after="30"/>
      </w:pPr>
      <w:r>
        <w:t>区年卷题：2026年 通州 期中 第19题</w:t>
      </w:r>
    </w:p>
    <w:p>
      <w:pPr>
        <w:pStyle w:val="ListBullet"/>
        <w:spacing w:after="30"/>
      </w:pPr>
      <w:r>
        <w:t>设问动作：结合材料，运用《法律与生活》知识，分析判决结果并说明理由。</w:t>
      </w:r>
    </w:p>
    <w:p>
      <w:pPr>
        <w:pStyle w:val="ListBullet"/>
        <w:spacing w:after="30"/>
      </w:pPr>
      <w:r>
        <w:t>A轴主入口：A3_物权与相邻关系</w:t>
      </w:r>
    </w:p>
    <w:p>
      <w:pPr>
        <w:pStyle w:val="ListBullet"/>
        <w:spacing w:after="30"/>
      </w:pPr>
      <w:r>
        <w:t>v13.7入口后工具提示：先看专有/共有、相邻关系、采光通行安全和程序事实；程序合法是裁判事实，不自动变成程序题。</w:t>
      </w:r>
    </w:p>
    <w:p>
      <w:pPr>
        <w:pStyle w:val="ListBullet"/>
        <w:spacing w:after="30"/>
      </w:pPr>
      <w:r>
        <w:t>A轴副入口/边界：有：A1_民事法律关系总论（同意、公示、审批合法性支撑裁判；不计入A10）</w:t>
      </w:r>
    </w:p>
    <w:p>
      <w:pPr>
        <w:pStyle w:val="ListBullet"/>
        <w:spacing w:after="30"/>
      </w:pPr>
      <w:r>
        <w:t>B轴设问动作：B2_判决/裁判/责任理由；v12.2旧入口：E2_判决裁判责任理由</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双轴裁决说明：Round05采纳：加装电梯审批/公示是相邻关系裁判事实，不是多元纠纷解决或诉讼程序。</w:t>
      </w:r>
    </w:p>
    <w:p>
      <w:pPr>
        <w:pStyle w:val="ListBullet"/>
        <w:spacing w:after="30"/>
      </w:pPr>
      <w:r>
        <w:t>命题路径：先定A3_物权与相邻关系，再按B2_判决/裁判/责任理由作答；v12.2路径：裁判对象 -&gt; 法律关系 -&gt; 要件/过错/程序/责任 -&gt; 裁判结论与边界。</w:t>
      </w:r>
    </w:p>
    <w:p>
      <w:pPr>
        <w:pStyle w:val="ListBullet"/>
        <w:spacing w:after="30"/>
      </w:pPr>
      <w:r>
        <w:t>材料核心：某小区3号楼2单元全体业主一致同意增设电梯，已公示、承诺、提交图纸，公示期未收到异议并取得审批手续。相邻楼业主范某认为影响采光，多次阻碍施工。法院现场勘查认为全玻璃设计未对采光造成影响，判令范某停止阻碍；若投入使用后确有较大影响，可另行协商或依法解决。</w:t>
      </w:r>
    </w:p>
    <w:p>
      <w:pPr>
        <w:pStyle w:val="ListBullet"/>
        <w:spacing w:after="30"/>
      </w:pPr>
      <w:r>
        <w:t>评分锚点：先写加装电梯已获同意、公示和审批，程序合法。 / 再写现场勘查显示未影响采光，范某阻碍没有事实依据。 / 最后写相邻关系应方便生活、公平合理，判令停止妨害，同时保留后续补偿或法律途径。</w:t>
      </w:r>
    </w:p>
    <w:p>
      <w:pPr>
        <w:pStyle w:val="ListBullet"/>
        <w:spacing w:after="30"/>
      </w:pPr>
      <w:r>
        <w:t>材料触发：2单元全体业主一致同意、已公示且取得审批 → 加装电梯程序具有合法基础 → 不是少数业主私自施工；法院现场勘查确认全玻璃设计未影响采光 → 范某主张缺乏事实依据 → 阻碍施工不应支持；民法典相邻关系要求便利、合理、减少损害 → 范某应停止妨害；如日后确有较大影响，可另行协商或依法解决</w:t>
      </w:r>
    </w:p>
    <w:p>
      <w:pPr>
        <w:pStyle w:val="ListBullet"/>
        <w:spacing w:after="30"/>
      </w:pPr>
      <w:r>
        <w:t>答案骨架：先写加装电梯已获同意、公示和审批，程序合法。 / 再写现场勘查显示未影响采光，范某阻碍没有事实依据。 / 最后写相邻关系应方便生活、公平合理，判令停止妨害，同时保留后续补偿或法律途径。</w:t>
      </w:r>
    </w:p>
    <w:p>
      <w:pPr>
        <w:pStyle w:val="ListBullet"/>
        <w:spacing w:after="30"/>
      </w:pPr>
      <w:r>
        <w:t>学生预警：只写民生工程有意义；把范某一概说成侵权人不讲事实勘查；把推理小问混入法律题</w:t>
      </w:r>
    </w:p>
    <w:p>
      <w:pPr>
        <w:pStyle w:val="ListBullet"/>
        <w:spacing w:after="30"/>
      </w:pPr>
      <w:r>
        <w:t>源检边界：Procedure legality is rewarded in this case because the original answer includes legal proportion consent/procedure and the source card says procedure was locked. It is not a universal first sentence for all E2 questions. Do not import the separate 逻辑与思维 subquestion atoms R02..08 into the law framework.</w:t>
      </w:r>
    </w:p>
    <w:p>
      <w:pPr>
        <w:pStyle w:val="ListBullet"/>
        <w:spacing w:after="30"/>
      </w:pPr>
      <w:r>
        <w:t>证据状态：PASS；source_check_state=formal_locked_with_id_alias；source_check_decision=KEEP_CORE_WITH_ALIAS_NOTE</w:t>
      </w:r>
    </w:p>
    <w:p>
      <w:pPr>
        <w:pStyle w:val="Heading3"/>
      </w:pPr>
      <w:r>
        <w:t>2. CC0340_2026_西城_一模_17</w:t>
      </w:r>
    </w:p>
    <w:p>
      <w:pPr>
        <w:pStyle w:val="ListBullet"/>
        <w:spacing w:after="30"/>
      </w:pPr>
      <w:r>
        <w:t>区年卷题：2026年 西城 一模 第17题</w:t>
      </w:r>
    </w:p>
    <w:p>
      <w:pPr>
        <w:pStyle w:val="ListBullet"/>
        <w:spacing w:after="30"/>
      </w:pPr>
      <w:r>
        <w:t>设问动作：结合材料，运用法律相关知识，说明民法典物权编的上述规定如何推动国家绿色发展。</w:t>
      </w:r>
    </w:p>
    <w:p>
      <w:pPr>
        <w:pStyle w:val="ListBullet"/>
        <w:spacing w:after="30"/>
      </w:pPr>
      <w:r>
        <w:t>A轴主入口：A3_物权与相邻关系</w:t>
      </w:r>
    </w:p>
    <w:p>
      <w:pPr>
        <w:pStyle w:val="ListBullet"/>
        <w:spacing w:after="30"/>
      </w:pPr>
      <w:r>
        <w:t>v13.7入口后工具提示：先看专有/共有、相邻关系、采光通行安全和程序事实；程序合法是裁判事实，不自动变成程序题。</w:t>
      </w:r>
    </w:p>
    <w:p>
      <w:pPr>
        <w:pStyle w:val="ListBullet"/>
        <w:spacing w:after="30"/>
      </w:pPr>
      <w:r>
        <w:t>A轴副入口/边界：有：A6_侵权责任</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双轴裁决说明：小区共有和物业规则推动绿色发展，以物权/物业秩序为主，环境侵权责任为副轴。</w:t>
      </w:r>
    </w:p>
    <w:p>
      <w:pPr>
        <w:pStyle w:val="ListBullet"/>
        <w:spacing w:after="30"/>
      </w:pPr>
      <w:r>
        <w:t>命题路径：先定A3_物权与相邻关系，再按B5_意义/价值/保护/推动作答；v12.2路径：法律规则/制度 -&gt; 保护对象或治理对象 -&gt; 行为方式 -&gt; 秩序与权益效果。</w:t>
      </w:r>
    </w:p>
    <w:p>
      <w:pPr>
        <w:pStyle w:val="ListBullet"/>
        <w:spacing w:after="30"/>
      </w:pPr>
      <w:r>
        <w:t>材料核心：17．（8分）良好生态环境是最公平的公共产品，是最普惠的民生福祉。 【民法典物权编】 第286条： 业主应当遵守法律、法规以及管理规约，相关行为应当符合节约资源、保护生态环境的要求。对于物业服务企业或者其他管理人执行政府依法实施的应急处置措施和其他管理措施，业主应当依法予以配合。 业主大会或者业主委员会，对任意弃置垃圾、排放污染物或者噪声等损害他人合法权益的行为，有权依照法律、法规以及管理规约，请求行为人停止侵害、排除妨碍、消除危险、恢复原状、赔偿损失。 …… 第294条：不…</w:t>
      </w:r>
    </w:p>
    <w:p>
      <w:pPr>
        <w:pStyle w:val="ListBullet"/>
        <w:spacing w:after="30"/>
      </w:pPr>
      <w:r>
        <w:t>评分锚点：先写物权编规定民事主体行使物权应兼顾绿色原则和公共利益。 / 再结合业主规约、停止侵害、恢复原状说明规则如何约束行为。 / 最后写这些规定把绿色发展落实到日常民事生活。</w:t>
      </w:r>
    </w:p>
    <w:p>
      <w:pPr>
        <w:pStyle w:val="ListBullet"/>
        <w:spacing w:after="30"/>
      </w:pPr>
      <w:r>
        <w:t>材料触发：业主遵守规约保护环境 → 物权行使受绿色原则和共同生活规则约束 → 个人权利不能损害公共环境；业委会请求停止侵害 → 民事主体可依法维护共有利益 → 责任方式服务环境保护；恢复原状 → 物权责任落到实际修复 → 推动绿色发展有具体民事路径</w:t>
      </w:r>
    </w:p>
    <w:p>
      <w:pPr>
        <w:pStyle w:val="ListBullet"/>
        <w:spacing w:after="30"/>
      </w:pPr>
      <w:r>
        <w:t>答案骨架：先写物权编规定民事主体行使物权应兼顾绿色原则和公共利益。 / 再结合业主规约、停止侵害、恢复原状说明规则如何约束行为。 / 最后写这些规定把绿色发展落实到日常民事生活。</w:t>
      </w:r>
    </w:p>
    <w:p>
      <w:pPr>
        <w:pStyle w:val="ListBullet"/>
        <w:spacing w:after="30"/>
      </w:pPr>
      <w:r>
        <w:t>学生预警：知识产权；消费者；平台用工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CC0092_2025_东城_期末_19_1</w:t>
      </w:r>
    </w:p>
    <w:p>
      <w:pPr>
        <w:pStyle w:val="ListBullet"/>
        <w:spacing w:after="30"/>
      </w:pPr>
      <w:r>
        <w:t>区年卷题：2025年 东城 期末 第19题</w:t>
      </w:r>
    </w:p>
    <w:p>
      <w:pPr>
        <w:pStyle w:val="ListBullet"/>
        <w:spacing w:after="30"/>
      </w:pPr>
      <w:r>
        <w:t>设问动作：遇到的法律问题：____、____。</w:t>
      </w:r>
    </w:p>
    <w:p>
      <w:pPr>
        <w:pStyle w:val="ListBullet"/>
        <w:spacing w:after="30"/>
      </w:pPr>
      <w:r>
        <w:t>A轴主入口：A3_物权与相邻关系</w:t>
      </w:r>
    </w:p>
    <w:p>
      <w:pPr>
        <w:pStyle w:val="ListBullet"/>
        <w:spacing w:after="30"/>
      </w:pPr>
      <w:r>
        <w:t>v13.7入口后工具提示：先看专有/共有、相邻关系、采光通行安全和程序事实；程序合法是裁判事实，不自动变成程序题。</w:t>
      </w:r>
    </w:p>
    <w:p>
      <w:pPr>
        <w:pStyle w:val="ListBullet"/>
        <w:spacing w:after="30"/>
      </w:pPr>
      <w:r>
        <w:t>A轴副入口/边界：有：A10_多元纠纷解决与诉讼程序</w:t>
      </w:r>
    </w:p>
    <w:p>
      <w:pPr>
        <w:pStyle w:val="ListBullet"/>
        <w:spacing w:after="30"/>
      </w:pPr>
      <w:r>
        <w:t>B轴设问动作：B6_调解/维权/纠纷解决路径；v12.2旧入口：E6_调解维权纠纷解决证据路径</w:t>
      </w:r>
    </w:p>
    <w:p>
      <w:pPr>
        <w:pStyle w:val="ListBullet"/>
        <w:spacing w:after="30"/>
      </w:pPr>
      <w:r>
        <w:t>v13.7设问动作提示：维权路径题写清主体、证据、协商/调解/仲裁/诉讼路径、请求内容和程序边界。</w:t>
      </w:r>
    </w:p>
    <w:p>
      <w:pPr>
        <w:pStyle w:val="ListBullet"/>
        <w:spacing w:after="30"/>
      </w:pPr>
      <w:r>
        <w:t>双轴裁决说明：共有区域充电柜、消防安全和相邻权利以物权/物业关系为主，程序解决为副轴。</w:t>
      </w:r>
    </w:p>
    <w:p>
      <w:pPr>
        <w:pStyle w:val="ListBullet"/>
        <w:spacing w:after="30"/>
      </w:pPr>
      <w:r>
        <w:t>命题路径：先定A3_物权与相邻关系，再按B6_调解/维权/纠纷解决路径作答；v12.2路径：纠纷事实 -&gt; 权利受损或争议焦点 -&gt; 路径/主体/证据 -&gt; 救济方案。</w:t>
      </w:r>
    </w:p>
    <w:p>
      <w:pPr>
        <w:pStyle w:val="ListBullet"/>
        <w:spacing w:after="30"/>
      </w:pPr>
      <w:r>
        <w:t>材料核心：社区有446辆电动自行车但只有60个充电接口，居民围绕公共区域设置电池充电柜产生分歧：占用绿地、无集中充电设备、消防安全、通行和采光等。学生提出在公共区域设置“车电分离”的电池充电柜方案，资料卡给出消防规定和民法典共有部分用途改变规定。</w:t>
      </w:r>
    </w:p>
    <w:p>
      <w:pPr>
        <w:pStyle w:val="ListBullet"/>
        <w:spacing w:after="30"/>
      </w:pPr>
      <w:r>
        <w:t>评分锚点：先写本题要找法律问题，不是直接出治理口号。 / 再从共有部分用途、消防安全、人身财产安全和相邻权中选具体问题。 / 最后说明解决分歧要在合法程序和权利边界内协商。</w:t>
      </w:r>
    </w:p>
    <w:p>
      <w:pPr>
        <w:pStyle w:val="ListBullet"/>
        <w:spacing w:after="30"/>
      </w:pPr>
      <w:r>
        <w:t>材料触发：公共区域设置电池充电柜 → 改变共有部分用途或利用共有部分经营 → 需要符合法定程序和业主共同决定规则；电动自行车集中充电 → 消防安全与人身财产安全 → 设施须符合消防规定并防范侵权风险；居民担心绿地、通行、采光受影响 → 业主共有权和相邻权 → 方案不能损害其他居民合法权益</w:t>
      </w:r>
    </w:p>
    <w:p>
      <w:pPr>
        <w:pStyle w:val="ListBullet"/>
        <w:spacing w:after="30"/>
      </w:pPr>
      <w:r>
        <w:t>答案骨架：先写本题要找法律问题，不是直接出治理口号。 / 再从共有部分用途、消防安全、人身财产安全和相邻权中选具体问题。 / 最后说明解决分歧要在合法程序和权利边界内协商。</w:t>
      </w:r>
    </w:p>
    <w:p>
      <w:pPr>
        <w:pStyle w:val="ListBullet"/>
        <w:spacing w:after="30"/>
      </w:pPr>
      <w:r>
        <w:t>学生预警：只写社区治理协商；只写政府管理；把充电柜方案直接当合理措施</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2"/>
      </w:pPr>
      <w:r>
        <w:t>A4_合同（5题）</w:t>
      </w:r>
    </w:p>
    <w:p>
      <w:pPr>
        <w:pStyle w:val="Heading3"/>
      </w:pPr>
      <w:r>
        <w:t>1. CC0189_2025_石景山_一模_20</w:t>
      </w:r>
    </w:p>
    <w:p>
      <w:pPr>
        <w:pStyle w:val="ListBullet"/>
        <w:spacing w:after="30"/>
      </w:pPr>
      <w:r>
        <w:t>区年卷题：2025年 石景山 一模 第20题</w:t>
      </w:r>
    </w:p>
    <w:p>
      <w:pPr>
        <w:pStyle w:val="ListBullet"/>
        <w:spacing w:after="30"/>
      </w:pPr>
      <w:r>
        <w:t>设问动作：阅读材料，参考示例，完成下表。</w:t>
      </w:r>
    </w:p>
    <w:p>
      <w:pPr>
        <w:pStyle w:val="ListBullet"/>
        <w:spacing w:after="30"/>
      </w:pPr>
      <w:r>
        <w:t>A轴主入口：A4_合同</w:t>
      </w:r>
    </w:p>
    <w:p>
      <w:pPr>
        <w:pStyle w:val="ListBullet"/>
        <w:spacing w:after="30"/>
      </w:pPr>
      <w:r>
        <w:t>v13.7入口后工具提示：先判断合同成立和履行，再写违约责任；有侵权损害时，合同链和侵权链分开落点。</w:t>
      </w:r>
    </w:p>
    <w:p>
      <w:pPr>
        <w:pStyle w:val="ListBullet"/>
        <w:spacing w:after="30"/>
      </w:pPr>
      <w:r>
        <w:t>A轴副入口/边界：有：A5_知识产权与竞争秩序</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双轴裁决说明：研发委托合同违约和软件混淆竞争并列，第一格合同链承担主入口。</w:t>
      </w:r>
    </w:p>
    <w:p>
      <w:pPr>
        <w:pStyle w:val="ListBullet"/>
        <w:spacing w:after="30"/>
      </w:pPr>
      <w:r>
        <w:t>命题路径：先定A4_合同，再按B1_表格/裁判要点/补链作答；v12.2路径：形式触发 -&gt; 一格一链 -&gt; 法律关系/法律要件 -&gt; 格内结论。</w:t>
      </w:r>
    </w:p>
    <w:p>
      <w:pPr>
        <w:pStyle w:val="ListBullet"/>
        <w:spacing w:after="30"/>
      </w:pPr>
      <w:r>
        <w:t>材料核心：案例一：科技公司与电路公司签订集成电路研发委托合同，约定按标准按期交付；被告阶段性产品不达标且进度超期，最终仍未提交达标成果，法院判返还服务费并支付违约金。案例二：“好省”APP上线三年后，被告开发“超好省-省钱助手”，名称图标相近、业务内容相同，造成公众混淆，法院判停止侵权并赔偿。</w:t>
      </w:r>
    </w:p>
    <w:p>
      <w:pPr>
        <w:pStyle w:val="ListBullet"/>
        <w:spacing w:after="30"/>
      </w:pPr>
      <w:r>
        <w:t>评分锚点：案例一按合同违约写：有约定、未达标、超期、担责。 / 案例二按不正当竞争写：近似标识、业务相同、混淆、担责。 / 最后把规则作用落到守约研发、公平竞争和新质生产力。</w:t>
      </w:r>
    </w:p>
    <w:p>
      <w:pPr>
        <w:pStyle w:val="ListBullet"/>
        <w:spacing w:after="30"/>
      </w:pPr>
      <w:r>
        <w:t>材料触发：研发委托合同约定标准和期限，阶段产品不达标且进度超期 → 不履行或履行不符合约定构成违约 → 返还服务费并支付违约金；“超好省”与“好省”名称图标相近、业务相同，造成混淆 → 构成不正当竞争 → 停止侵权并赔偿损失；集成电路和软件均指向新质生产力 → 合同规则和竞争规则保护创新投入 → 维护市场秩序、营造创新环境</w:t>
      </w:r>
    </w:p>
    <w:p>
      <w:pPr>
        <w:pStyle w:val="ListBullet"/>
        <w:spacing w:after="30"/>
      </w:pPr>
      <w:r>
        <w:t>答案骨架：案例一按合同违约写：有约定、未达标、超期、担责。 / 案例二按不正当竞争写：近似标识、业务相同、混淆、担责。 / 最后把规则作用落到守约研发、公平竞争和新质生产力。</w:t>
      </w:r>
    </w:p>
    <w:p>
      <w:pPr>
        <w:pStyle w:val="ListBullet"/>
        <w:spacing w:after="30"/>
      </w:pPr>
      <w:r>
        <w:t>学生预警：只写保护创新；把软件混淆写成著作权主轴；忽略合同违约事实</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2. CC0054_2024_石景山_一模_17</w:t>
      </w:r>
    </w:p>
    <w:p>
      <w:pPr>
        <w:pStyle w:val="ListBullet"/>
        <w:spacing w:after="30"/>
      </w:pPr>
      <w:r>
        <w:t>区年卷题：2024年 石景山 一模 第17题</w:t>
      </w:r>
    </w:p>
    <w:p>
      <w:pPr>
        <w:pStyle w:val="ListBullet"/>
        <w:spacing w:after="30"/>
      </w:pPr>
      <w:r>
        <w:t>设问动作：运用法律知识，结合案情，说明甲乙两公司合同成立的理由，并从民法基本原则角 度阐述该司法判决的意义。</w:t>
      </w:r>
    </w:p>
    <w:p>
      <w:pPr>
        <w:pStyle w:val="ListBullet"/>
        <w:spacing w:after="30"/>
      </w:pPr>
      <w:r>
        <w:t>A轴主入口：A4_合同</w:t>
      </w:r>
    </w:p>
    <w:p>
      <w:pPr>
        <w:pStyle w:val="ListBullet"/>
        <w:spacing w:after="30"/>
      </w:pPr>
      <w:r>
        <w:t>v13.7入口后工具提示：先判断合同成立和履行，再写违约责任；有侵权损害时，合同链和侵权链分开落点。</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双轴裁决说明：要约承诺与合同成立是主轴。</w:t>
      </w:r>
    </w:p>
    <w:p>
      <w:pPr>
        <w:pStyle w:val="ListBullet"/>
        <w:spacing w:after="30"/>
      </w:pPr>
      <w:r>
        <w:t>命题路径：先定A4_合同，再按B2_判决/裁判/责任理由作答；v12.2路径：裁判对象 -&gt; 法律关系 -&gt; 要件/过错/程序/责任 -&gt; 裁判结论与边界。</w:t>
      </w:r>
    </w:p>
    <w:p>
      <w:pPr>
        <w:pStyle w:val="ListBullet"/>
        <w:spacing w:after="30"/>
      </w:pPr>
      <w:r>
        <w:t>材料核心：乙公司发布碳排放配额采购比选公告；甲公司报价内容具体明确并承诺违约补差；乙公司确认中标并送达通知，之后甲公司拒不履行导致乙公司高价另购。</w:t>
      </w:r>
    </w:p>
    <w:p>
      <w:pPr>
        <w:pStyle w:val="ListBullet"/>
        <w:spacing w:after="30"/>
      </w:pPr>
      <w:r>
        <w:t>评分锚点：先写报价具体明确构成要约，中标通知到达构成承诺，合同成立。 / 再写合同成立后双方应全面履行、遵循诚信原则，拒不履行应担责。 / 最后从碳排放配额交易看，判决维护交易安全，也服务绿色发展。</w:t>
      </w:r>
    </w:p>
    <w:p>
      <w:pPr>
        <w:pStyle w:val="ListBullet"/>
        <w:spacing w:after="30"/>
      </w:pPr>
      <w:r>
        <w:t>材料触发：报价内容具体明确 → 构成要约 → 具备合同成立的意思表示基础；中标通知送达 → 承诺生效 → 甲乙之间合同成立；拒不履行 → 违反全面履行和诚信原则 → 应承担违约责任并服务绿色交易秩序</w:t>
      </w:r>
    </w:p>
    <w:p>
      <w:pPr>
        <w:pStyle w:val="ListBullet"/>
        <w:spacing w:after="30"/>
      </w:pPr>
      <w:r>
        <w:t>答案骨架：先写报价具体明确构成要约，中标通知到达构成承诺，合同成立。 / 再写合同成立后双方应全面履行、遵循诚信原则，拒不履行应担责。 / 最后从碳排放配额交易看，判决维护交易安全，也服务绿色发展。</w:t>
      </w:r>
    </w:p>
    <w:p>
      <w:pPr>
        <w:pStyle w:val="ListBullet"/>
        <w:spacing w:after="30"/>
      </w:pPr>
      <w:r>
        <w:t>学生预警：多主体过错；平台用工；消费者欺诈；普通纠纷解决</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CC0244_2026_东城_期中_18</w:t>
      </w:r>
    </w:p>
    <w:p>
      <w:pPr>
        <w:pStyle w:val="ListBullet"/>
        <w:spacing w:after="30"/>
      </w:pPr>
      <w:r>
        <w:t>区年卷题：2026年 东城 期中 第18题</w:t>
      </w:r>
    </w:p>
    <w:p>
      <w:pPr>
        <w:pStyle w:val="ListBullet"/>
        <w:spacing w:after="30"/>
      </w:pPr>
      <w:r>
        <w:t>设问动作：运用《法律与生活》知识，分析本案涉及的法律责任及法律依据。</w:t>
      </w:r>
    </w:p>
    <w:p>
      <w:pPr>
        <w:pStyle w:val="ListBullet"/>
        <w:spacing w:after="30"/>
      </w:pPr>
      <w:r>
        <w:t>A轴主入口：A4_合同</w:t>
      </w:r>
    </w:p>
    <w:p>
      <w:pPr>
        <w:pStyle w:val="ListBullet"/>
        <w:spacing w:after="30"/>
      </w:pPr>
      <w:r>
        <w:t>v13.7入口后工具提示：先判断合同成立和履行，再写违约责任；有侵权损害时，合同链和侵权链分开落点。</w:t>
      </w:r>
    </w:p>
    <w:p>
      <w:pPr>
        <w:pStyle w:val="ListBullet"/>
        <w:spacing w:after="30"/>
      </w:pPr>
      <w:r>
        <w:t>A轴副入口/边界：有：A6_侵权责任</w:t>
      </w:r>
    </w:p>
    <w:p>
      <w:pPr>
        <w:pStyle w:val="ListBullet"/>
        <w:spacing w:after="30"/>
      </w:pPr>
      <w:r>
        <w:t>B轴设问动作：B2_判决/裁判/责任理由；v12.2旧入口：E4_评析认识谈看法</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双轴裁决说明：无人机买卖的要约承诺、错发瑕疵品和合同责任为主轴，坠机损害作侵权副轴。</w:t>
      </w:r>
    </w:p>
    <w:p>
      <w:pPr>
        <w:pStyle w:val="ListBullet"/>
        <w:spacing w:after="30"/>
      </w:pPr>
      <w:r>
        <w:t>命题路径：先定A4_合同，再按B2_判决/裁判/责任理由作答；Round05补丁：设问要求分析法律责任及法律依据，不能按泛评析处理。</w:t>
      </w:r>
    </w:p>
    <w:p>
      <w:pPr>
        <w:pStyle w:val="ListBullet"/>
        <w:spacing w:after="30"/>
      </w:pPr>
      <w:r>
        <w:t>材料核心：18. 无人机起飞如何系好“安全带”? 陈某向店主刘某发送邮件：“急需购买A 型号无人机一台。用于重要商业拍摄。”刘某回复：“全新 原装，15000 元。”陈某立即转账。刘某误将一台内部结构轻微损伤（外观无明显痕迹）的同型号展示机 寄出。 陈某收货后在首次使用中，该无人机因上述损伤失控坠毁，砸伤陈某手臂。陈某花费医疗费8000 元，并因错过商业拍摄损失收入5000 元。陈某要求刘某赔偿，双方协商未果。 （1） （2）维权成功需要做好充分准备和策略选择。你认为陈某需要做好哪些工…</w:t>
      </w:r>
    </w:p>
    <w:p>
      <w:pPr>
        <w:pStyle w:val="ListBullet"/>
        <w:spacing w:after="30"/>
      </w:pPr>
      <w:r>
        <w:t>评分锚点：先确定双方是什么法律关系。 / 再看行为违反了什么义务、侵害了什么权利。 / 最后写应承担的法律责任和依据。</w:t>
      </w:r>
    </w:p>
    <w:p>
      <w:pPr>
        <w:pStyle w:val="ListBullet"/>
        <w:spacing w:after="30"/>
      </w:pPr>
      <w:r>
        <w:t>材料触发：主体关系明确 → 先判断权利义务关系 → 法律责任要有关系基础；具体行为违反义务 → 对应违约或侵权责任 → 不能泛写违法担责；损害或后果出现 → 落到责任方式 → 说明法律依据和行为边界</w:t>
      </w:r>
    </w:p>
    <w:p>
      <w:pPr>
        <w:pStyle w:val="ListBullet"/>
        <w:spacing w:after="30"/>
      </w:pPr>
      <w:r>
        <w:t>答案骨架：先确定双方是什么法律关系。 / 再看行为违反了什么义务、侵害了什么权利。 / 最后写应承担的法律责任和依据。</w:t>
      </w:r>
    </w:p>
    <w:p>
      <w:pPr>
        <w:pStyle w:val="ListBullet"/>
        <w:spacing w:after="30"/>
      </w:pPr>
      <w:r>
        <w:t>学生预警：必修三套话；平台用工；消费者乱套</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CC0019_2024_朝阳_一模_19</w:t>
      </w:r>
    </w:p>
    <w:p>
      <w:pPr>
        <w:pStyle w:val="ListBullet"/>
        <w:spacing w:after="30"/>
      </w:pPr>
      <w:r>
        <w:t>区年卷题：2024年 朝阳 一模 第19题</w:t>
      </w:r>
    </w:p>
    <w:p>
      <w:pPr>
        <w:pStyle w:val="ListBullet"/>
        <w:spacing w:after="30"/>
      </w:pPr>
      <w:r>
        <w:t>设问动作：结合材料，运用《法律与生活》知识，分析诚信原则对促进社会主义市场经济健康发展的积极作用。</w:t>
      </w:r>
    </w:p>
    <w:p>
      <w:pPr>
        <w:pStyle w:val="ListBullet"/>
        <w:spacing w:after="30"/>
      </w:pPr>
      <w:r>
        <w:t>A轴主入口：A4_合同</w:t>
      </w:r>
    </w:p>
    <w:p>
      <w:pPr>
        <w:pStyle w:val="ListBullet"/>
        <w:spacing w:after="30"/>
      </w:pPr>
      <w:r>
        <w:t>v13.7入口后工具提示：先判断合同成立和履行，再写违约责任；有侵权损害时，合同链和侵权链分开落点。</w:t>
      </w:r>
    </w:p>
    <w:p>
      <w:pPr>
        <w:pStyle w:val="ListBullet"/>
        <w:spacing w:after="30"/>
      </w:pPr>
      <w:r>
        <w:t>A轴副入口/边界：有：A9_消费者权益与经营者义务</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双轴裁决说明：合同欠款和诚信履行是主轴，商户信用与消费信心为副轴。</w:t>
      </w:r>
    </w:p>
    <w:p>
      <w:pPr>
        <w:pStyle w:val="ListBullet"/>
        <w:spacing w:after="30"/>
      </w:pPr>
      <w:r>
        <w:t>命题路径：先定A4_合同，再按B5_意义/价值/保护/推动作答；v12.2路径：法律规则/制度 -&gt; 保护对象或治理对象 -&gt; 行为方式 -&gt; 秩序与权益效果。</w:t>
      </w:r>
    </w:p>
    <w:p>
      <w:pPr>
        <w:pStyle w:val="ListBullet"/>
        <w:spacing w:after="30"/>
      </w:pPr>
      <w:r>
        <w:t>材料核心：民法典第七条确立诚信原则。镜头一：A公司依约供货，B公司长期拖欠货款，法院判令B公司付清欠款并支付逾期违约金。镜头二：购物中心用“码上诚信”公开商户信用信息，消费者因商家信用、商品质量和售后服务而放心消费。</w:t>
      </w:r>
    </w:p>
    <w:p>
      <w:pPr>
        <w:pStyle w:val="ListBullet"/>
        <w:spacing w:after="30"/>
      </w:pPr>
      <w:r>
        <w:t>评分锚点：先写民法典诚信原则是社会主义市场经济中民事活动的重要规则。 / 再用合同拖欠货款说明诚信原则约束合同履行、保护守约方。 / 最后用码上诚信说明经营者诚信经营能保护消费者权益、维护健康市场秩序。</w:t>
      </w:r>
    </w:p>
    <w:p>
      <w:pPr>
        <w:pStyle w:val="ListBullet"/>
        <w:spacing w:after="30"/>
      </w:pPr>
      <w:r>
        <w:t>材料触发：B公司收货后长期拖欠货款 → 合同当事人应按约全面履行、遵循诚信原则 → 规范民事主体行为，维护守约方合法权益；法院判令支付欠款和违约金 → 司法可依据诚信原则定分止争 → 维护公平正义和诚信市场秩序；“码上诚信”公开商户信用信息、消费者放心消费 → 经营者依法诚信经营 → 保护消费者合法权益，促进守法诚信经营者发展</w:t>
      </w:r>
    </w:p>
    <w:p>
      <w:pPr>
        <w:pStyle w:val="ListBullet"/>
        <w:spacing w:after="30"/>
      </w:pPr>
      <w:r>
        <w:t>答案骨架：先写民法典诚信原则是社会主义市场经济中民事活动的重要规则。 / 再用合同拖欠货款说明诚信原则约束合同履行、保护守约方。 / 最后用码上诚信说明经营者诚信经营能保护消费者权益、维护健康市场秩序。</w:t>
      </w:r>
    </w:p>
    <w:p>
      <w:pPr>
        <w:pStyle w:val="ListBullet"/>
        <w:spacing w:after="30"/>
      </w:pPr>
      <w:r>
        <w:t>学生预警：只写道德诚信；只写全面依法治国；乱套消费者欺诈和惩罚性赔偿</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CC0245_2026_东城_期中_18_2</w:t>
      </w:r>
    </w:p>
    <w:p>
      <w:pPr>
        <w:pStyle w:val="ListBullet"/>
        <w:spacing w:after="30"/>
      </w:pPr>
      <w:r>
        <w:t>区年卷题：2026年 东城 期中 第18题</w:t>
      </w:r>
    </w:p>
    <w:p>
      <w:pPr>
        <w:pStyle w:val="ListBullet"/>
        <w:spacing w:after="30"/>
      </w:pPr>
      <w:r>
        <w:t>设问动作：维权成功需要做好充分准备和策略选择。你认为陈某需要做好哪些工作？</w:t>
      </w:r>
    </w:p>
    <w:p>
      <w:pPr>
        <w:pStyle w:val="ListBullet"/>
        <w:spacing w:after="30"/>
      </w:pPr>
      <w:r>
        <w:t>A轴主入口：A4_合同</w:t>
      </w:r>
    </w:p>
    <w:p>
      <w:pPr>
        <w:pStyle w:val="ListBullet"/>
        <w:spacing w:after="30"/>
      </w:pPr>
      <w:r>
        <w:t>v13.7入口后工具提示：先判断合同成立和履行，再写违约责任；有侵权损害时，合同链和侵权链分开落点。</w:t>
      </w:r>
    </w:p>
    <w:p>
      <w:pPr>
        <w:pStyle w:val="ListBullet"/>
        <w:spacing w:after="30"/>
      </w:pPr>
      <w:r>
        <w:t>A轴副入口/边界：有：A6_侵权责任;A10_多元纠纷解决与诉讼程序</w:t>
      </w:r>
    </w:p>
    <w:p>
      <w:pPr>
        <w:pStyle w:val="ListBullet"/>
        <w:spacing w:after="30"/>
      </w:pPr>
      <w:r>
        <w:t>B轴设问动作：B6_调解/维权/纠纷解决路径；v12.2旧入口：E6_调解维权纠纷解决证据路径</w:t>
      </w:r>
    </w:p>
    <w:p>
      <w:pPr>
        <w:pStyle w:val="ListBullet"/>
        <w:spacing w:after="30"/>
      </w:pPr>
      <w:r>
        <w:t>v13.7设问动作提示：维权路径题写清主体、证据、协商/调解/仲裁/诉讼路径、请求内容和程序边界。</w:t>
      </w:r>
    </w:p>
    <w:p>
      <w:pPr>
        <w:pStyle w:val="ListBullet"/>
        <w:spacing w:after="30"/>
      </w:pPr>
      <w:r>
        <w:t>双轴裁决说明：无人机瑕疵买卖可走违约或侵权，合同请求权是主轴。</w:t>
      </w:r>
    </w:p>
    <w:p>
      <w:pPr>
        <w:pStyle w:val="ListBullet"/>
        <w:spacing w:after="30"/>
      </w:pPr>
      <w:r>
        <w:t>命题路径：先定A4_合同，再按B6_调解/维权/纠纷解决路径作答；v12.2路径：纠纷事实 -&gt; 权利受损或争议焦点 -&gt; 路径/主体/证据 -&gt; 救济方案。</w:t>
      </w:r>
    </w:p>
    <w:p>
      <w:pPr>
        <w:pStyle w:val="ListBullet"/>
        <w:spacing w:after="30"/>
      </w:pPr>
      <w:r>
        <w:t>材料核心：陈某邮件表示急需购买A型号无人机，刘某回复全新原装15000元，陈某转账；刘某误寄内部结构受损的展示机。陈某首次使用时无人机因损伤失控坠毁，砸伤手臂并造成医疗费和误工损失；双方协商未果。</w:t>
      </w:r>
    </w:p>
    <w:p>
      <w:pPr>
        <w:pStyle w:val="ListBullet"/>
        <w:spacing w:after="30"/>
      </w:pPr>
      <w:r>
        <w:t>评分锚点：先选路径：调解、仲裁或诉讼，协商未果后路径要升级。 / 再备证据：合同订单、邮件转账、无人机故障、伤害和损失、因果关系。 / 最后明诉求：可主张违约责任或侵权责任，提出退费、医疗费、误工损失等合理请求。</w:t>
      </w:r>
    </w:p>
    <w:p>
      <w:pPr>
        <w:pStyle w:val="ListBullet"/>
        <w:spacing w:after="30"/>
      </w:pPr>
      <w:r>
        <w:t>材料触发：双方协商未果 → 不能再只写协商，可选择调解、仲裁或诉讼 → 维权路径要具体且合法；邮件、回复、转账、交付展示机 → 合同和订单证据 → 证明交易存在和刘某交付不符合约定；无人机失控坠毁、手臂受伤、医疗费和误工损失 → 损害事实、因果关系和损失证据 → 为违约责任或侵权责任请求做准备</w:t>
      </w:r>
    </w:p>
    <w:p>
      <w:pPr>
        <w:pStyle w:val="ListBullet"/>
        <w:spacing w:after="30"/>
      </w:pPr>
      <w:r>
        <w:t>答案骨架：先选路径：调解、仲裁或诉讼，协商未果后路径要升级。 / 再备证据：合同订单、邮件转账、无人机故障、伤害和损失、因果关系。 / 最后明诉求：可主张违约责任或侵权责任，提出退费、医疗费、误工损失等合理请求。</w:t>
      </w:r>
    </w:p>
    <w:p>
      <w:pPr>
        <w:pStyle w:val="ListBullet"/>
        <w:spacing w:after="30"/>
      </w:pPr>
      <w:r>
        <w:t>学生预警：直接写上诉；对刘某提行政诉讼；只罗列违约事实不归纳证据类型</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A5_知识产权与竞争秩序（8题）</w:t>
      </w:r>
    </w:p>
    <w:p>
      <w:pPr>
        <w:pStyle w:val="Heading3"/>
      </w:pPr>
      <w:r>
        <w:t>1. CC0137_2025_昌平_二模_20</w:t>
      </w:r>
    </w:p>
    <w:p>
      <w:pPr>
        <w:pStyle w:val="ListBullet"/>
        <w:spacing w:after="30"/>
      </w:pPr>
      <w:r>
        <w:t>区年卷题：2025年 昌平 二模 第20题</w:t>
      </w:r>
    </w:p>
    <w:p>
      <w:pPr>
        <w:pStyle w:val="ListBullet"/>
        <w:spacing w:after="30"/>
      </w:pPr>
      <w:r>
        <w:t>设问动作：阅读材料，运用《法律与生活》知识，完成裁判理由。</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A轴副入口/边界：有：A4_合同</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双轴裁决说明：AI 图片著作权是第一内容轴，信用卡领用合同作第二格。</w:t>
      </w:r>
    </w:p>
    <w:p>
      <w:pPr>
        <w:pStyle w:val="ListBullet"/>
        <w:spacing w:after="30"/>
      </w:pPr>
      <w:r>
        <w:t>命题路径：先定A5_知识产权与竞争秩序，再按B1_表格/裁判要点/补链作答；v12.2路径：形式触发 -&gt; 一格一链 -&gt; 法律关系/法律要件 -&gt; 格内结论。</w:t>
      </w:r>
    </w:p>
    <w:p>
      <w:pPr>
        <w:pStyle w:val="ListBullet"/>
        <w:spacing w:after="30"/>
      </w:pPr>
      <w:r>
        <w:t>材料核心：（1）李某使用 AI 绘图软件制作图片，加“AI 绘画”等标签发布；刘某未经许可拿来配图并抹去水印；法院支持李某诉讼请求。（2）小王申请开通信用卡，声明已阅览申请材料并愿意遵守领用合约；使用信用卡透支消费后未按约还款；银行诉至法院；法院判决小王偿还本金和利息。</w:t>
      </w:r>
    </w:p>
    <w:p>
      <w:pPr>
        <w:pStyle w:val="ListBullet"/>
        <w:spacing w:after="30"/>
      </w:pPr>
      <w:r>
        <w:t>评分锚点：AI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pStyle w:val="ListBullet"/>
        <w:spacing w:after="30"/>
      </w:pPr>
      <w:r>
        <w:t>材料触发：AI 不能成为著作权主体，但李某使用 AI 形成具备智力成果和独创性的图片 → 受著作权法保护 → AI 格先判主体与作品保护；刘某未经许可使用并抹去水印 → 侵犯信息网络传播权/署名权 → 应承担侵权责任；小王真实意思表示申请信用卡并同意合约，合同有效；透支后拒不还款 → 构成违约 → 偿还本金和利息</w:t>
      </w:r>
    </w:p>
    <w:p>
      <w:pPr>
        <w:pStyle w:val="ListBullet"/>
        <w:spacing w:after="30"/>
      </w:pPr>
      <w:r>
        <w:t>答案骨架：AI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pStyle w:val="ListBullet"/>
        <w:spacing w:after="30"/>
      </w:pPr>
      <w:r>
        <w:t>学生预警：平台用工；消费者欺诈；公共场所侵权；动物侵权；只写创新价值</w:t>
      </w:r>
    </w:p>
    <w:p>
      <w:pPr>
        <w:pStyle w:val="ListBullet"/>
        <w:spacing w:after="30"/>
      </w:pPr>
      <w:r>
        <w:t>源检边界：CC0137 only supports one-grid-one-chain table reasoning: AI copyright grid and credit-card contract grid. Do not expand into a general AI innovation trunk.</w:t>
      </w:r>
    </w:p>
    <w:p>
      <w:pPr>
        <w:pStyle w:val="ListBullet"/>
        <w:spacing w:after="30"/>
      </w:pPr>
      <w:r>
        <w:t>证据状态：PASS；source_check_state=formal_locked；source_check_decision=KEEP_CORE</w:t>
      </w:r>
    </w:p>
    <w:p>
      <w:pPr>
        <w:pStyle w:val="Heading3"/>
      </w:pPr>
      <w:r>
        <w:t>2. CC0157_2025_朝阳_期末_20</w:t>
      </w:r>
    </w:p>
    <w:p>
      <w:pPr>
        <w:pStyle w:val="ListBullet"/>
        <w:spacing w:after="30"/>
      </w:pPr>
      <w:r>
        <w:t>区年卷题：2025年 朝阳 期末 第20题</w:t>
      </w:r>
    </w:p>
    <w:p>
      <w:pPr>
        <w:pStyle w:val="ListBullet"/>
        <w:spacing w:after="30"/>
      </w:pPr>
      <w:r>
        <w:t>设问动作：了解案件，分析事实，印证法理，参考示例，完成下表。</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A轴副入口/边界：有：A6_侵权责任;A9_消费者权益与经营者义务</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双轴裁决说明：数据抓取不正当竞争是主要法益，旅游安全保障以侵权责任承接。</w:t>
      </w:r>
    </w:p>
    <w:p>
      <w:pPr>
        <w:pStyle w:val="ListBullet"/>
        <w:spacing w:after="30"/>
      </w:pPr>
      <w:r>
        <w:t>命题路径：先定A5_知识产权与竞争秩序，再按B1_表格/裁判要点/补链作答；v12.2路径：形式触发 -&gt; 一格一链 -&gt; 法律关系/法律要件 -&gt; 格内结论。</w:t>
      </w:r>
    </w:p>
    <w:p>
      <w:pPr>
        <w:pStyle w:val="ListBullet"/>
        <w:spacing w:after="30"/>
      </w:pPr>
      <w:r>
        <w:t>材料核心：案例二：丙公司通过电子地图数据、用户出行数据和实时交通信息，经算法形成“拥堵延时指数”；丁公司用变换IP、伪造浏览器标识等手段抓取数据，并在付费软件中商业化使用。案例三：甲购买旅游门票参加“摇摆桥”，工作人员过度摇晃桥面致甲摔伤住院并构成伤残，甲起诉旅游公司赔偿。</w:t>
      </w:r>
    </w:p>
    <w:p>
      <w:pPr>
        <w:pStyle w:val="ListBullet"/>
        <w:spacing w:after="30"/>
      </w:pPr>
      <w:r>
        <w:t>评分锚点：案件二按“不正当手段抓取数据—不正当竞争—停止侵害赔偿”写。 / 案件三按“安全保障义务—过错和因果—侵权/违约责任”写。 / 如果写责任范围，要记得游客自身注意义务可能影响分担。</w:t>
      </w:r>
    </w:p>
    <w:p>
      <w:pPr>
        <w:pStyle w:val="ListBullet"/>
        <w:spacing w:after="30"/>
      </w:pPr>
      <w:r>
        <w:t>材料触发：丁公司变换IP、伪造浏览器标识抓取“拥堵延时指数”并商业化使用 → 违反反不正当竞争法、损害数据产品权益和市场秩序 → 停止使用、消除影响、赔偿损失；旅游公司工作人员过度摇晃桥面致游客摔伤 → 未尽安全保障义务，行为与损害有因果关系 → 旅游公司承担侵权责任或违约责任并赔偿损失；游客是完全民事行为能力人且参与风险项目 → 自身安全注意义务也进入责任衡量 → 可按过错程度分担责任</w:t>
      </w:r>
    </w:p>
    <w:p>
      <w:pPr>
        <w:pStyle w:val="ListBullet"/>
        <w:spacing w:after="30"/>
      </w:pPr>
      <w:r>
        <w:t>答案骨架：案件二按“不正当手段抓取数据—不正当竞争—停止侵害赔偿”写。 / 案件三按“安全保障义务—过错和因果—侵权/违约责任”写。 / 如果写责任范围，要记得游客自身注意义务可能影响分担。</w:t>
      </w:r>
    </w:p>
    <w:p>
      <w:pPr>
        <w:pStyle w:val="ListBullet"/>
        <w:spacing w:after="30"/>
      </w:pPr>
      <w:r>
        <w:t>学生预警：把数据产品写成著作权；只写旅游公司有合同；忽略游客自身注意义务</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CC0206_2025_西城_期末_19</w:t>
      </w:r>
    </w:p>
    <w:p>
      <w:pPr>
        <w:pStyle w:val="ListBullet"/>
        <w:spacing w:after="30"/>
      </w:pPr>
      <w:r>
        <w:t>区年卷题：2025年 西城 期末 第19题</w:t>
      </w:r>
    </w:p>
    <w:p>
      <w:pPr>
        <w:pStyle w:val="ListBullet"/>
        <w:spacing w:after="30"/>
      </w:pPr>
      <w:r>
        <w:t>设问动作：“唤醒词”亦受法律保护，请运用法律知识分析法院的判决。</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A轴副入口/边界：有：A9_消费者权益与经营者义务</w:t>
      </w:r>
    </w:p>
    <w:p>
      <w:pPr>
        <w:pStyle w:val="ListBullet"/>
        <w:spacing w:after="30"/>
      </w:pPr>
      <w:r>
        <w:t>B轴设问动作：B2_判决/裁判/责任理由；v12.2旧入口：E2_判决裁判责任理由</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双轴裁决说明：标识混淆、商标抢注和虚假宣传指向知识产权与竞争秩序。</w:t>
      </w:r>
    </w:p>
    <w:p>
      <w:pPr>
        <w:pStyle w:val="ListBullet"/>
        <w:spacing w:after="30"/>
      </w:pPr>
      <w:r>
        <w:t>命题路径：先定A5_知识产权与竞争秩序，再按B2_判决/裁判/责任理由作答；v12.2路径：裁判对象 -&gt; 法律关系 -&gt; 要件/过错/程序/责任 -&gt; 裁判结论与边界。</w:t>
      </w:r>
    </w:p>
    <w:p>
      <w:pPr>
        <w:pStyle w:val="ListBullet"/>
        <w:spacing w:after="30"/>
      </w:pPr>
      <w:r>
        <w:t>材料核心：M公司推出“小爱同学”智能语音设备后，“小爱同学”作为唤醒词和商品名称已有较高影响。陈某抢先在不同商品类别申请相关商标，并与Y公司在手表、闹钟等商品上使用“小爱同学”商标、发布宣传文章。M公司起诉，法院认定受反不正当竞争法保护，判停止侵权并赔偿。</w:t>
      </w:r>
    </w:p>
    <w:p>
      <w:pPr>
        <w:pStyle w:val="ListBullet"/>
        <w:spacing w:after="30"/>
      </w:pPr>
      <w:r>
        <w:t>评分锚点：先说明“小爱同学”已经形成一定影响，应受反不正当竞争法保护。 / 再结合抢注、使用、宣传说明混淆和虚假宣传。 / 最后写判决制止不正当竞争，保护创新企业商誉，维护数字经济秩序。</w:t>
      </w:r>
    </w:p>
    <w:p>
      <w:pPr>
        <w:pStyle w:val="ListBullet"/>
        <w:spacing w:after="30"/>
      </w:pPr>
      <w:r>
        <w:t>材料触发：“小爱同学”唤醒词和商品名称已有影响力 → 可受反不正当竞争法保护 → 不是普通流行词任意抢注；陈某抢先大量注册相关商标，并与Y公司在同类商品上使用宣传 → 容易造成混淆并有引人误解宣传 → 构成不正当竞争，违背诚信原则；法院判停止侵权、赔偿损失 → 规制权利滥用和恶意抢注 → 保护科技企业品牌商誉和数字经济秩序</w:t>
      </w:r>
    </w:p>
    <w:p>
      <w:pPr>
        <w:pStyle w:val="ListBullet"/>
        <w:spacing w:after="30"/>
      </w:pPr>
      <w:r>
        <w:t>答案骨架：先说明“小爱同学”已经形成一定影响，应受反不正当竞争法保护。 / 再结合抢注、使用、宣传说明混淆和虚假宣传。 / 最后写判决制止不正当竞争，保护创新企业商誉，维护数字经济秩序。</w:t>
      </w:r>
    </w:p>
    <w:p>
      <w:pPr>
        <w:pStyle w:val="ListBullet"/>
        <w:spacing w:after="30"/>
      </w:pPr>
      <w:r>
        <w:t>学生预警：只写商标权归属；只写保护创新；把唤醒词当人格权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CC0238_2026_东城_二模_19</w:t>
      </w:r>
    </w:p>
    <w:p>
      <w:pPr>
        <w:pStyle w:val="ListBullet"/>
        <w:spacing w:after="30"/>
      </w:pPr>
      <w:r>
        <w:t>区年卷题：2026年 东城 二模 第19题</w:t>
      </w:r>
    </w:p>
    <w:p>
      <w:pPr>
        <w:pStyle w:val="ListBullet"/>
        <w:spacing w:after="30"/>
      </w:pPr>
      <w:r>
        <w:t>设问动作：结合材料，运用《法律与生活》知识，评析乙公司和张某的行为。</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A轴副入口/边界：有：A9_消费者权益与经营者义务;A8_劳动关系</w:t>
      </w:r>
    </w:p>
    <w:p>
      <w:pPr>
        <w:pStyle w:val="ListBullet"/>
        <w:spacing w:after="30"/>
      </w:pPr>
      <w:r>
        <w:t>B轴设问动作：B4_评析/认识/观点；v12.2旧入口：E4_评析认识谈看法</w:t>
      </w:r>
    </w:p>
    <w:p>
      <w:pPr>
        <w:pStyle w:val="ListBullet"/>
        <w:spacing w:after="30"/>
      </w:pPr>
      <w:r>
        <w:t>v13.7设问动作提示：评析/认识题先表态，再指出合理处和边界，最后给正确法律立场；不要把它写成纯价值口号。</w:t>
      </w:r>
    </w:p>
    <w:p>
      <w:pPr>
        <w:pStyle w:val="ListBullet"/>
        <w:spacing w:after="30"/>
      </w:pPr>
      <w:r>
        <w:t>双轴裁决说明：Round05采纳：乙公司商业诋毁/不正当竞争是主链，张某违规签约进入劳动纪律副链；A9只保留经营者义务边界。</w:t>
      </w:r>
    </w:p>
    <w:p>
      <w:pPr>
        <w:pStyle w:val="ListBullet"/>
        <w:spacing w:after="30"/>
      </w:pPr>
      <w:r>
        <w:t>命题路径：先定A5_知识产权与竞争秩序，再按B4_评析/认识/观点作答；A9只保留经营者义务边界，A8只承接张某劳动纪律副链；v12.2路径：观点/做法 -&gt; 法律关系和制度背景 -&gt; 判断边界 -&gt; 规范评价。</w:t>
      </w:r>
    </w:p>
    <w:p>
      <w:pPr>
        <w:pStyle w:val="ListBullet"/>
        <w:spacing w:after="30"/>
      </w:pPr>
      <w:r>
        <w:t>材料核心：19．（8分）法治是最好的营商环境。大健康产业蓬勃发展，需要企业规范深耕。 甲公司开拓新领域，打造“中药＋餐饮＋健康检测”一站式新型养生空间。为加速项目落地，甲公司开启对外招商，锁定乙、丙两家公司作为候选合作伙伴。 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pStyle w:val="ListBullet"/>
        <w:spacing w:after="30"/>
      </w:pPr>
      <w:r>
        <w:t>评分锚点：对乙公司：行为定性 + 法律后果 + 规范经营/公平竞争。 / 对张某：行为定性 + 劳动纪律/职业道德/诚信义务 + 应然要求。 / 价值：法律规制不正当行为，维护公平竞争和营商环境。</w:t>
      </w:r>
    </w:p>
    <w:p>
      <w:pPr>
        <w:pStyle w:val="ListBullet"/>
        <w:spacing w:after="30"/>
      </w:pPr>
      <w:r>
        <w:t>材料触发：乙公司行为 → 分析是否构成不正当竞争/商业诋毁/扰乱公平竞争秩序 → 应承担法律责任，依法诚信经营；张某行为 → 分析是否违反劳动纪律、职业道德或相关义务 → 应遵守劳动纪律和诚信要求；法治是最好的营商环境 → 价值只能从前面规则推出 → 不能裸写营商环境</w:t>
      </w:r>
    </w:p>
    <w:p>
      <w:pPr>
        <w:pStyle w:val="ListBullet"/>
        <w:spacing w:after="30"/>
      </w:pPr>
      <w:r>
        <w:t>答案骨架：对乙公司：行为定性 + 法律后果 + 规范经营/公平竞争。 / 对张某：行为定性 + 劳动纪律/职业道德/诚信义务 + 应然要求。 / 价值：法律规制不正当行为，维护公平竞争和营商环境。</w:t>
      </w:r>
    </w:p>
    <w:p>
      <w:pPr>
        <w:pStyle w:val="ListBullet"/>
        <w:spacing w:after="30"/>
      </w:pPr>
      <w:r>
        <w:t>学生预警：完成裁判理由；万能合同；万能意义；只写企业诚信经营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CC0103_2025_丰台_一模_19</w:t>
      </w:r>
    </w:p>
    <w:p>
      <w:pPr>
        <w:pStyle w:val="ListBullet"/>
        <w:spacing w:after="30"/>
      </w:pPr>
      <w:r>
        <w:t>区年卷题：2025年 丰台 一模 第19题</w:t>
      </w:r>
    </w:p>
    <w:p>
      <w:pPr>
        <w:pStyle w:val="ListBullet"/>
        <w:spacing w:after="30"/>
      </w:pPr>
      <w:r>
        <w:t>设问动作：结合材料，运用法治相关知识，分析本案作为人民法院保护科技创新典型案例的意义。</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A轴副入口/边界：有：A8_劳动关系</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双轴裁决说明：技术秘密、实用新型和惩罚性赔偿构成知识产权/竞争主轴，前员工身份为副轴。</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材料核心：19. 2024 年6 月，最高人民法院知识产权法庭对一起因技术秘密侵权纠纷上诉案作出判决。原告方下 属公司的近40 名高级管理人员及技术人员离职后加入被告方，并利用在原单位接触的技术信息申请了12 件实用新型专利。 根据《中华人民共和国反不正当竞争法》，最高人民法院知识产权法庭依法适用2 倍惩罚性赔偿，判 决被告方赔偿原告方经济损失及维权合理开支合计6.4 亿余元，创下我国知识产权侵权诉讼判赔数额新 高。 该案在停止侵害民事责任承担的具体方式、内容、范围，以及拒绝履行、停止…</w:t>
      </w:r>
    </w:p>
    <w:p>
      <w:pPr>
        <w:pStyle w:val="ListBullet"/>
        <w:spacing w:after="30"/>
      </w:pPr>
      <w:r>
        <w:t>评分锚点：先写技术秘密属于知识产权保护对象，任何主体不得以不正当手段获取和使用。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pStyle w:val="ListBullet"/>
        <w:spacing w:after="30"/>
      </w:pPr>
      <w:r>
        <w:t>材料触发：核心人员离职后使用原单位技术秘密 → 技术秘密受法律保护 → 不正当获取使用应担责；申请实用新型专利并投入竞争 → 侵害权利并破坏公平竞争 → 提高侵权成本才有震慑；法院适用惩罚性赔偿 → 加强知识产权司法保护 → 激励真创新、保护新质生产力</w:t>
      </w:r>
    </w:p>
    <w:p>
      <w:pPr>
        <w:pStyle w:val="ListBullet"/>
        <w:spacing w:after="30"/>
      </w:pPr>
      <w:r>
        <w:t>答案骨架：先写技术秘密属于知识产权保护对象，任何主体不得以不正当手段获取和使用。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pStyle w:val="ListBullet"/>
        <w:spacing w:after="30"/>
      </w:pPr>
      <w:r>
        <w:t>学生预警：合同成立；消费者；平台用工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6. CC0131_2025_房山_一模_19</w:t>
      </w:r>
    </w:p>
    <w:p>
      <w:pPr>
        <w:pStyle w:val="ListBullet"/>
        <w:spacing w:after="30"/>
      </w:pPr>
      <w:r>
        <w:t>区年卷题：2025年 房山 一模 第19题</w:t>
      </w:r>
    </w:p>
    <w:p>
      <w:pPr>
        <w:pStyle w:val="ListBullet"/>
        <w:spacing w:after="30"/>
      </w:pPr>
      <w:r>
        <w:t>设问动作：结合材料，谈谈“真创新”受到“真保护”的法治价值。</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A轴副入口/边界：有：A8_劳动关系</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双轴裁决说明：新能源底盘技术秘密和不正当竞争主轴。</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A集团近40名高管及技术人员离职赴B集团工作；B集团利用离职人员在原单位接触掌握的新能源汽车底盘技术信息申请12件实用新型专利，并在无合法技术来源情况下短期推出相关车型；法院认定B集团以不正当手段侵害A集团技术秘密，适用2倍惩罚性赔偿，判赔6.4亿余元。</w:t>
      </w:r>
    </w:p>
    <w:p>
      <w:pPr>
        <w:pStyle w:val="ListBullet"/>
        <w:spacing w:after="30"/>
      </w:pPr>
      <w:r>
        <w:t>评分锚点：先写技术秘密和知识产权应受法律保护。 / 再结合离职人员、技术信息、无合法来源说明B集团构成不正当竞争。 / 最后写惩罚性赔偿提高侵权成本，维护公平竞争，激励真创新。</w:t>
      </w:r>
    </w:p>
    <w:p>
      <w:pPr>
        <w:pStyle w:val="ListBullet"/>
        <w:spacing w:after="30"/>
      </w:pPr>
      <w:r>
        <w:t>材料触发：离职人员利用原单位技术秘密 → 技术秘密受反不正当竞争保护 → 不正当获取使用应承担责任；无合法技术来源却短期推出车型 → 破坏公平竞争和创新秩序 → 侵权成本必须提高；法院适用2倍惩罚性赔偿 → 严格保护真创新 → 让侵权者付出足够代价</w:t>
      </w:r>
    </w:p>
    <w:p>
      <w:pPr>
        <w:pStyle w:val="ListBullet"/>
        <w:spacing w:after="30"/>
      </w:pPr>
      <w:r>
        <w:t>答案骨架：先写技术秘密和知识产权应受法律保护。 / 再结合离职人员、技术信息、无合法来源说明B集团构成不正当竞争。 / 最后写惩罚性赔偿提高侵权成本，维护公平竞争，激励真创新。</w:t>
      </w:r>
    </w:p>
    <w:p>
      <w:pPr>
        <w:pStyle w:val="ListBullet"/>
        <w:spacing w:after="30"/>
      </w:pPr>
      <w:r>
        <w:t>学生预警：合同成立；消费者；平台用工；裸写法治价值</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7. CC0229_2026_东城_一模_18</w:t>
      </w:r>
    </w:p>
    <w:p>
      <w:pPr>
        <w:pStyle w:val="ListBullet"/>
        <w:spacing w:after="30"/>
      </w:pPr>
      <w:r>
        <w:t>区年卷题：2026年 东城 一模 第18题</w:t>
      </w:r>
    </w:p>
    <w:p>
      <w:pPr>
        <w:pStyle w:val="ListBullet"/>
        <w:spacing w:after="30"/>
      </w:pPr>
      <w:r>
        <w:t>设问动作：结合材料，运用《法律与生活》知识，谈谈法院是如何以司法之力守护“向新力”的。</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双轴裁决说明：司法保护创新以知识产权主轴组织，调解和惩罚性赔偿为程序工具。</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材料核心：18．（8 分）人民法院以司法之力守护“向新力”。 案例一 某科技公司三名创始人，因专利权归属纠纷，陷入长期诉讼，公司发展因此停滞。对此，办 案合议庭没有“一判了之”，而是居中斡旋，弥合分歧。当事人最终达成和解，全身心投入创新创业，实 现了多方共赢。 案例二 甲公司系某水稻植物新品种的权利人。乙公司擅自将甲公司享有植物新品种权的稻种更换包 装后对外销售。经人民法院查明，乙公司侵权行为覆盖范围广。人民法院判令乙公司立即停止侵害，并对 其适用惩罚性赔偿，赔偿甲公司经济损失300 …</w:t>
      </w:r>
    </w:p>
    <w:p>
      <w:pPr>
        <w:pStyle w:val="ListBullet"/>
        <w:spacing w:after="30"/>
      </w:pPr>
      <w:r>
        <w:t>评分锚点：法院通过解决知识产权权属纠纷，稳定创新主体预期。 / 通过惩罚性赔偿提高侵权成本，保护创新成果。 / 通过规制恶意诉讼和权利滥用，维护公平竞争和创新环境。</w:t>
      </w:r>
    </w:p>
    <w:p>
      <w:pPr>
        <w:pStyle w:val="ListBullet"/>
        <w:spacing w:after="30"/>
      </w:pPr>
      <w:r>
        <w:t>材料触发：案例一：专利权归属纠纷长期诉讼 → 通过司法裁判/诉调明确权利归属 → 减少纠纷对创新企业发展的拖累；案例二：知识产权侵权与惩罚性赔偿 → 提高侵权成本 → 保护创新成果；案例三：恶意诉讼/权利滥用 → 规制不诚信诉讼 → 维护公平竞争和创新环境</w:t>
      </w:r>
    </w:p>
    <w:p>
      <w:pPr>
        <w:pStyle w:val="ListBullet"/>
        <w:spacing w:after="30"/>
      </w:pPr>
      <w:r>
        <w:t>答案骨架：法院通过解决知识产权权属纠纷，稳定创新主体预期。 / 通过惩罚性赔偿提高侵权成本，保护创新成果。 / 通过规制恶意诉讼和权利滥用，维护公平竞争和创新环境。</w:t>
      </w:r>
    </w:p>
    <w:p>
      <w:pPr>
        <w:pStyle w:val="ListBullet"/>
        <w:spacing w:after="30"/>
      </w:pPr>
      <w:r>
        <w:t>学生预警：必修三公正司法套话；旧错配经济/产业串页词；只写保护创新</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8. CC0283_2026_朝阳_一模_18</w:t>
      </w:r>
    </w:p>
    <w:p>
      <w:pPr>
        <w:pStyle w:val="ListBullet"/>
        <w:spacing w:after="30"/>
      </w:pPr>
      <w:r>
        <w:t>区年卷题：2026年 朝阳 一模 第18题</w:t>
      </w:r>
    </w:p>
    <w:p>
      <w:pPr>
        <w:pStyle w:val="ListBullet"/>
        <w:spacing w:after="30"/>
      </w:pPr>
      <w:r>
        <w:t>设问动作：结合材料，运用《法律与生活》知识，谈谈人民法院是如何依法保护知识产权以护航新质生产力发展的。</w:t>
      </w:r>
    </w:p>
    <w:p>
      <w:pPr>
        <w:pStyle w:val="ListBullet"/>
        <w:spacing w:after="30"/>
      </w:pPr>
      <w:r>
        <w:t>A轴主入口：A5_知识产权与竞争秩序</w:t>
      </w:r>
    </w:p>
    <w:p>
      <w:pPr>
        <w:pStyle w:val="ListBullet"/>
        <w:spacing w:after="30"/>
      </w:pPr>
      <w:r>
        <w:t>v13.7入口后工具提示：先看商业秘密、著作权、商标、混淆、虚假宣传、商业诋毁或数据抓取；不要把所有经营标识都写成著作权。</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双轴裁决说明：知识产权保护为主，调解、惩罚性赔偿和反恶意诉讼为程序副轴。</w:t>
      </w:r>
    </w:p>
    <w:p>
      <w:pPr>
        <w:pStyle w:val="ListBullet"/>
        <w:spacing w:after="30"/>
      </w:pPr>
      <w:r>
        <w:t>命题路径：先定A5_知识产权与竞争秩序，再按B5_意义/价值/保护/推动作答；v12.2路径：法律规则/制度 -&gt; 保护对象或治理对象 -&gt; 行为方式 -&gt; 秩序与权益效果。</w:t>
      </w:r>
    </w:p>
    <w:p>
      <w:pPr>
        <w:pStyle w:val="ListBullet"/>
        <w:spacing w:after="30"/>
      </w:pPr>
      <w:r>
        <w:t>材料核心：人民法院以“调、惩、辩”三维实践护航创新：通过第三方调解高效化解生物医药领域专利权归属纠纷；对故意侵害植物新品种权、商业秘密等行为适用惩罚性赔偿；对假借维权实施恶意诉讼、权利滥用的行为快速审结并否定。</w:t>
      </w:r>
    </w:p>
    <w:p>
      <w:pPr>
        <w:pStyle w:val="ListBullet"/>
        <w:spacing w:after="30"/>
      </w:pPr>
      <w:r>
        <w:t>评分锚点：按“调、惩、辩”三段写。 / 每段先写法院做了什么，再写保护了什么。 / 最后总收束：保护知识产权、兼顾公共利益，为新质生产力提供稳定法治环境。</w:t>
      </w:r>
    </w:p>
    <w:p>
      <w:pPr>
        <w:pStyle w:val="ListBullet"/>
        <w:spacing w:after="30"/>
      </w:pPr>
      <w:r>
        <w:t>材料触发：专利权归属纠纷可能拖累科研 → 第三方调解、一揽子化解关联诉讼 → 提高效率、降低诉讼成本，让创新主体回归研发；故意侵害植物新品种权、商业秘密 → 惩罚性赔偿 → 提高侵权成本，保护创新成果和市场秩序；恶意诉讼、权利滥用 → 快速审结并司法谴责 → 规制不诚信诉讼，营造诚实守信的创新生态</w:t>
      </w:r>
    </w:p>
    <w:p>
      <w:pPr>
        <w:pStyle w:val="ListBullet"/>
        <w:spacing w:after="30"/>
      </w:pPr>
      <w:r>
        <w:t>答案骨架：按“调、惩、辩”三段写。 / 每段先写法院做了什么，再写保护了什么。 / 最后总收束：保护知识产权、兼顾公共利益，为新质生产力提供稳定法治环境。</w:t>
      </w:r>
    </w:p>
    <w:p>
      <w:pPr>
        <w:pStyle w:val="ListBullet"/>
        <w:spacing w:after="30"/>
      </w:pPr>
      <w:r>
        <w:t>学生预警：只写保护创新；写成必修三公正司法套话；漏掉调惩辩三种手段</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A6_侵权责任（5题）</w:t>
      </w:r>
    </w:p>
    <w:p>
      <w:pPr>
        <w:pStyle w:val="Heading3"/>
      </w:pPr>
      <w:r>
        <w:t>1. CC0180_2025_海淀_期末_20</w:t>
      </w:r>
    </w:p>
    <w:p>
      <w:pPr>
        <w:pStyle w:val="ListBullet"/>
        <w:spacing w:after="30"/>
      </w:pPr>
      <w:r>
        <w:t>区年卷题：2025年 海淀 期末 第20题</w:t>
      </w:r>
    </w:p>
    <w:p>
      <w:pPr>
        <w:pStyle w:val="ListBullet"/>
        <w:spacing w:after="30"/>
      </w:pPr>
      <w:r>
        <w:t>设问动作：下表列出了《最高人民法院关于适用〈中华人民共和国民法典〉侵权责任编的解释（一）》部分条款。参考示例，完成下表。</w:t>
      </w:r>
    </w:p>
    <w:p>
      <w:pPr>
        <w:pStyle w:val="ListBullet"/>
        <w:spacing w:after="30"/>
      </w:pPr>
      <w:r>
        <w:t>A轴主入口：A6_侵权责任</w:t>
      </w:r>
    </w:p>
    <w:p>
      <w:pPr>
        <w:pStyle w:val="ListBullet"/>
        <w:spacing w:after="30"/>
      </w:pPr>
      <w:r>
        <w:t>v13.7入口后工具提示：按侵权四步写：权益受损、违法或过错、因果关系、责任方式；安全保障题必须看受害人自身风险和责任分担。</w:t>
      </w:r>
    </w:p>
    <w:p>
      <w:pPr>
        <w:pStyle w:val="ListBullet"/>
        <w:spacing w:after="30"/>
      </w:pPr>
      <w:r>
        <w:t>A轴副入口/边界：有：A9_消费者权益与经营者义务</w:t>
      </w:r>
    </w:p>
    <w:p>
      <w:pPr>
        <w:pStyle w:val="ListBullet"/>
        <w:spacing w:after="30"/>
      </w:pPr>
      <w:r>
        <w:t>B轴设问动作：B1_表格/裁判要点/补链；v12.2旧入口：E5_意义价值作用保护推动</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双轴裁决说明：产品责任、危险动物和无过错责任是侵权主轴，消费者保护为副轴。</w:t>
      </w:r>
    </w:p>
    <w:p>
      <w:pPr>
        <w:pStyle w:val="ListBullet"/>
        <w:spacing w:after="30"/>
      </w:pPr>
      <w:r>
        <w:t>命题路径：先定A6_侵权责任，再按B1_表格/裁判要点/补链作答；Round05补丁：题干明示参考示例完成下表，B5意义只作格内收束。</w:t>
      </w:r>
    </w:p>
    <w:p>
      <w:pPr>
        <w:pStyle w:val="ListBullet"/>
        <w:spacing w:after="30"/>
      </w:pPr>
      <w:r>
        <w:t>材料核心：最高人民法院围绕民法典侵权责任编重大争议制定解释。题表要求解释两类规则：缺陷产品造成产品自身损害是否纳入产品责任赔偿范围；禁止饲养的烈性犬等危险动物造成损害时，动物饲养人或管理人如何承担责任。</w:t>
      </w:r>
    </w:p>
    <w:p>
      <w:pPr>
        <w:pStyle w:val="ListBullet"/>
        <w:spacing w:after="30"/>
      </w:pPr>
      <w:r>
        <w:t>评分锚点：第一格写缺陷产品责任：无过错责任，保护消费者。 / 第二格写禁养危险动物致害：最严格无过错责任，强化饲养人责任。 / 最后收束到司法解释明确责任边界、保障生命财产安全。</w:t>
      </w:r>
    </w:p>
    <w:p>
      <w:pPr>
        <w:pStyle w:val="ListBullet"/>
        <w:spacing w:after="30"/>
      </w:pPr>
      <w:r>
        <w:t>材料触发：缺陷产品造成产品自身损害 → 产品责任也可进入赔偿范围，生产者承担无过错侵权责任 → 保护消费者合法权益；禁止饲养的烈性犬等危险动物致害 → 动物饲养人或管理人承担最严格无过错责任 → 不能用无过错等理由免责减责；最高法解释回应审判争议 → 明确裁判规则和责任边界 → 维护生命财产安全和社会秩序</w:t>
      </w:r>
    </w:p>
    <w:p>
      <w:pPr>
        <w:pStyle w:val="ListBullet"/>
        <w:spacing w:after="30"/>
      </w:pPr>
      <w:r>
        <w:t>答案骨架：第一格写缺陷产品责任：无过错责任，保护消费者。 / 第二格写禁养危险动物致害：最严格无过错责任，强化饲养人责任。 / 最后收束到司法解释明确责任边界、保障生命财产安全。</w:t>
      </w:r>
    </w:p>
    <w:p>
      <w:pPr>
        <w:pStyle w:val="ListBullet"/>
        <w:spacing w:after="30"/>
      </w:pPr>
      <w:r>
        <w:t>学生预警：把烈性犬写成过错推定；只写保护消费者不写责任类型；把解释意义写成全面依法治国</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CC0289_2026_朝阳_二模_18</w:t>
      </w:r>
    </w:p>
    <w:p>
      <w:pPr>
        <w:pStyle w:val="ListBullet"/>
        <w:spacing w:after="30"/>
      </w:pPr>
      <w:r>
        <w:t>区年卷题：2026年 朝阳 二模 第18题</w:t>
      </w:r>
    </w:p>
    <w:p>
      <w:pPr>
        <w:pStyle w:val="ListBullet"/>
        <w:spacing w:after="30"/>
      </w:pPr>
      <w:r>
        <w:t>设问动作：结合材料，运用《法律与生活》知识，将以上回答补充完整。从以上三个问答中任选其一，谈谈如何依法保护问答中所涉及到的权利。</w:t>
      </w:r>
    </w:p>
    <w:p>
      <w:pPr>
        <w:pStyle w:val="ListBullet"/>
        <w:spacing w:after="30"/>
      </w:pPr>
      <w:r>
        <w:t>A轴主入口：A6_侵权责任</w:t>
      </w:r>
    </w:p>
    <w:p>
      <w:pPr>
        <w:pStyle w:val="ListBullet"/>
        <w:spacing w:after="30"/>
      </w:pPr>
      <w:r>
        <w:t>v13.7入口后工具提示：按侵权四步写：权益受损、违法或过错、因果关系、责任方式；安全保障题必须看受害人自身风险和责任分担。</w:t>
      </w:r>
    </w:p>
    <w:p>
      <w:pPr>
        <w:pStyle w:val="ListBullet"/>
        <w:spacing w:after="30"/>
      </w:pPr>
      <w:r>
        <w:t>A轴副入口/边界：有：A2_人身权与人格权;A3_物权与相邻关系;A10_多元纠纷解决与诉讼程序</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双轴裁决说明：高空抛物/物件损害带出侵权主轴，隐私、相邻和救济路径为副轴。</w:t>
      </w:r>
    </w:p>
    <w:p>
      <w:pPr>
        <w:pStyle w:val="ListBullet"/>
        <w:spacing w:after="30"/>
      </w:pPr>
      <w:r>
        <w:t>命题路径：先定A6_侵权责任，再按B1_表格/裁判要点/补链作答；v12.2路径：形式触发 -&gt; 一格一链 -&gt; 法律关系/法律要件 -&gt; 格内结论。</w:t>
      </w:r>
    </w:p>
    <w:p>
      <w:pPr>
        <w:pStyle w:val="ListBullet"/>
        <w:spacing w:after="30"/>
      </w:pPr>
      <w:r>
        <w:t>材料核心：三个问答分别涉及：高空抛物、坠物危害人身权益且适用举证责任倒置；安装摄像头可能影响邻居隐私，需要沟通协商、调整拍摄范围或拆除设备；违法构筑物影响通行、通风、采光，涉及相邻不动产权利人合法权益，原告需举证影响。</w:t>
      </w:r>
    </w:p>
    <w:p>
      <w:pPr>
        <w:pStyle w:val="ListBullet"/>
        <w:spacing w:after="30"/>
      </w:pPr>
      <w:r>
        <w:t>评分锚点：先把三个问答分别补成具体权利和规则。 / 任选一个时，按权利名、侵害事实、保护路径写。 / 最后说明依法保护权利要既有实体权利也有证据和程序意识。</w:t>
      </w:r>
    </w:p>
    <w:p>
      <w:pPr>
        <w:pStyle w:val="ListBullet"/>
        <w:spacing w:after="30"/>
      </w:pPr>
      <w:r>
        <w:t>材料触发：高空抛物/坠物危害人身 → 生命权、身体权、健康权保护 → 适用举证责任倒置思路；摄像头影响邻居隐私 → 隐私权保护 → 应沟通协商、调整范围或拆除；违法构筑物影响通行通风采光 → 相邻关系权利边界 → 原告应举证并请求拆除</w:t>
      </w:r>
    </w:p>
    <w:p>
      <w:pPr>
        <w:pStyle w:val="ListBullet"/>
        <w:spacing w:after="30"/>
      </w:pPr>
      <w:r>
        <w:t>答案骨架：先把三个问答分别补成具体权利和规则。 / 任选一个时，按权利名、侵害事实、保护路径写。 / 最后说明依法保护权利要既有实体权利也有证据和程序意识。</w:t>
      </w:r>
    </w:p>
    <w:p>
      <w:pPr>
        <w:pStyle w:val="ListBullet"/>
        <w:spacing w:after="30"/>
      </w:pPr>
      <w:r>
        <w:t>学生预警：合同成立；平台用工；消费者三倍赔偿；万能意义价值</w:t>
      </w:r>
    </w:p>
    <w:p>
      <w:pPr>
        <w:pStyle w:val="ListBullet"/>
        <w:spacing w:after="30"/>
      </w:pPr>
      <w:r>
        <w:t>源检边界：Primary delivery is completion of three Q&amp;A blanks; the '任选其一' part then asks rights-protection by basis + action + remedy. Choosing question 1/2/3 itself is not scored; personal information and 必修三 slogans are not scored.</w:t>
      </w:r>
    </w:p>
    <w:p>
      <w:pPr>
        <w:pStyle w:val="ListBullet"/>
        <w:spacing w:after="30"/>
      </w:pPr>
      <w:r>
        <w:t>证据状态：PASS；source_check_state=formal_locked；source_check_decision=KEEP_CORE_MIXED</w:t>
      </w:r>
    </w:p>
    <w:p>
      <w:pPr>
        <w:pStyle w:val="Heading3"/>
      </w:pPr>
      <w:r>
        <w:t>3. CC0002_2024_丰台_一模_17</w:t>
      </w:r>
    </w:p>
    <w:p>
      <w:pPr>
        <w:pStyle w:val="ListBullet"/>
        <w:spacing w:after="30"/>
      </w:pPr>
      <w:r>
        <w:t>区年卷题：2024年 丰台 一模 第17题</w:t>
      </w:r>
    </w:p>
    <w:p>
      <w:pPr>
        <w:pStyle w:val="ListBullet"/>
        <w:spacing w:after="30"/>
      </w:pPr>
      <w:r>
        <w:t>设问动作：结合材料，运用《法律与生活》知识，谈谈法院酌情减轻被告赔偿责任的法理依据和现实意义。</w:t>
      </w:r>
    </w:p>
    <w:p>
      <w:pPr>
        <w:pStyle w:val="ListBullet"/>
        <w:spacing w:after="30"/>
      </w:pPr>
      <w:r>
        <w:t>A轴主入口：A6_侵权责任</w:t>
      </w:r>
    </w:p>
    <w:p>
      <w:pPr>
        <w:pStyle w:val="ListBullet"/>
        <w:spacing w:after="30"/>
      </w:pPr>
      <w:r>
        <w:t>v13.7入口后工具提示：按侵权四步写：权益受损、违法或过错、因果关系、责任方式；安全保障题必须看受害人自身风险和责任分担。</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双轴裁决说明：好意同乘交通损害是侵权减责，A1 只提示民事关系底盘。</w:t>
      </w:r>
    </w:p>
    <w:p>
      <w:pPr>
        <w:pStyle w:val="ListBullet"/>
        <w:spacing w:after="30"/>
      </w:pPr>
      <w:r>
        <w:t>命题路径：先定A6_侵权责任，再按B2_判决/裁判/责任理由作答；v12.2路径：裁判对象 -&gt; 法律关系 -&gt; 要件/过错/程序/责任 -&gt; 裁判结论与边界。</w:t>
      </w:r>
    </w:p>
    <w:p>
      <w:pPr>
        <w:pStyle w:val="ListBullet"/>
        <w:spacing w:after="30"/>
      </w:pPr>
      <w:r>
        <w:t>材料核心：甲某无偿搭乘乙某车辆且未系安全带；乙某雨天驾驶发生交通事故致甲某受伤；民法典好意同乘规则要求对非故意、非重大过失的驾驶人减轻赔偿责任。</w:t>
      </w:r>
    </w:p>
    <w:p>
      <w:pPr>
        <w:pStyle w:val="ListBullet"/>
        <w:spacing w:after="30"/>
      </w:pPr>
      <w:r>
        <w:t>评分锚点：先说明本案是好意同乘交通损害，不是合同纠纷。 / 再写驾驶人无故意或重大过失，无偿搭乘关系下可酌情减轻赔偿责任。 / 最后写这样既保护受害人合法权益，也鼓励互助善意并守住安全责任边界。</w:t>
      </w:r>
    </w:p>
    <w:p>
      <w:pPr>
        <w:pStyle w:val="ListBullet"/>
        <w:spacing w:after="30"/>
      </w:pPr>
      <w:r>
        <w:t>材料触发：无偿搭乘交通事故 → 好意同乘下适用侵权责任减责规则 → 无偿帮忙关系中驾驶人无故意或重大过失，可依法酌情减轻赔偿责任；驾驶人无故意或重大过失 → 过错程度影响责任承担 → 法院不是否定赔偿，而是在责任范围内公平衡量；搭乘人未系安全带 → 受害人自身过错影响责任分担 → 损害后果与双方注意义务共同进入裁判衡量</w:t>
      </w:r>
    </w:p>
    <w:p>
      <w:pPr>
        <w:pStyle w:val="ListBullet"/>
        <w:spacing w:after="30"/>
      </w:pPr>
      <w:r>
        <w:t>答案骨架：先说明本案是好意同乘交通损害，不是合同纠纷。 / 再写驾驶人无故意或重大过失，无偿搭乘关系下可酌情减轻赔偿责任。 / 最后写这样既保护受害人合法权益，也鼓励互助善意并守住安全责任边界。</w:t>
      </w:r>
    </w:p>
    <w:p>
      <w:pPr>
        <w:pStyle w:val="ListBullet"/>
        <w:spacing w:after="30"/>
      </w:pPr>
      <w:r>
        <w:t>学生预警：合同成立；人格权主轴；消费者欺诈；平台用工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CC0254_2026_丰台_二模_18</w:t>
      </w:r>
    </w:p>
    <w:p>
      <w:pPr>
        <w:pStyle w:val="ListBullet"/>
        <w:spacing w:after="30"/>
      </w:pPr>
      <w:r>
        <w:t>区年卷题：2026年 丰台 二模 第18题</w:t>
      </w:r>
    </w:p>
    <w:p>
      <w:pPr>
        <w:pStyle w:val="ListBullet"/>
        <w:spacing w:after="30"/>
      </w:pPr>
      <w:r>
        <w:t>设问动作：司法给予我们的不仅是定分止争，也是一份融通情理的温暖力量。结合材料，综合运用法治知识，阐明你对这一观点的认识。</w:t>
      </w:r>
    </w:p>
    <w:p>
      <w:pPr>
        <w:pStyle w:val="ListBullet"/>
        <w:spacing w:after="30"/>
      </w:pPr>
      <w:r>
        <w:t>A轴主入口：A6_侵权责任</w:t>
      </w:r>
    </w:p>
    <w:p>
      <w:pPr>
        <w:pStyle w:val="ListBullet"/>
        <w:spacing w:after="30"/>
      </w:pPr>
      <w:r>
        <w:t>v13.7入口后工具提示：按侵权四步写：权益受损、违法或过错、因果关系、责任方式；安全保障题必须看受害人自身风险和责任分担。</w:t>
      </w:r>
    </w:p>
    <w:p>
      <w:pPr>
        <w:pStyle w:val="ListBullet"/>
        <w:spacing w:after="30"/>
      </w:pPr>
      <w:r>
        <w:t>A轴副入口/边界：有：A10_多元纠纷解决与诉讼程序</w:t>
      </w:r>
    </w:p>
    <w:p>
      <w:pPr>
        <w:pStyle w:val="ListBullet"/>
        <w:spacing w:after="30"/>
      </w:pPr>
      <w:r>
        <w:t>B轴设问动作：B4_评析/认识/观点；v12.2旧入口：E4_评析认识谈看法</w:t>
      </w:r>
    </w:p>
    <w:p>
      <w:pPr>
        <w:pStyle w:val="ListBullet"/>
        <w:spacing w:after="30"/>
      </w:pPr>
      <w:r>
        <w:t>v13.7设问动作提示：评析/认识题先表态，再指出合理处和边界，最后给正确法律立场；不要把它写成纯价值口号。</w:t>
      </w:r>
    </w:p>
    <w:p>
      <w:pPr>
        <w:pStyle w:val="ListBullet"/>
        <w:spacing w:after="30"/>
      </w:pPr>
      <w:r>
        <w:t>双轴裁决说明：牛入果园致损是动物/侵权责任，调解方案为 B6 副动作。</w:t>
      </w:r>
    </w:p>
    <w:p>
      <w:pPr>
        <w:pStyle w:val="ListBullet"/>
        <w:spacing w:after="30"/>
      </w:pPr>
      <w:r>
        <w:t>命题路径：先定A6_侵权责任，再按B4_评析/认识/观点作答；v12.2路径：观点/做法 -&gt; 法律关系和制度背景 -&gt; 判断边界 -&gt; 规范评价。</w:t>
      </w:r>
    </w:p>
    <w:p>
      <w:pPr>
        <w:pStyle w:val="ListBullet"/>
        <w:spacing w:after="30"/>
      </w:pPr>
      <w:r>
        <w:t>材料核心：张某承包果园，李某饲养的牛群多次闯入果园造成果树受损、减产；民法典规定饲养动物造成他人损害，动物饲养人或管理人应承担侵权责任。法院受理后现场勘验，释明民法典饲养动物损害责任，并结合生态环境法典理念提出“分期赔偿+行为约束+生态修复”调解方案，促成和解。</w:t>
      </w:r>
    </w:p>
    <w:p>
      <w:pPr>
        <w:pStyle w:val="ListBullet"/>
        <w:spacing w:after="30"/>
      </w:pPr>
      <w:r>
        <w:t>评分锚点：先写饲养动物造成他人损害，饲养人或管理人依法承担侵权责任。 / 再写法院通过现场勘验和释明规则厘清责任。 / 最后写调解方案兼顾赔偿、行为约束和生态修复，体现法律温度。</w:t>
      </w:r>
    </w:p>
    <w:p>
      <w:pPr>
        <w:pStyle w:val="ListBullet"/>
        <w:spacing w:after="30"/>
      </w:pPr>
      <w:r>
        <w:t>材料触发：牛群多次闯入果园造成损害 → 饲养动物损害责任 → 饲养人或管理人应承担侵权责任；法院释明动物致害责任 → 以法律规则定分止争 → 先有法理才有温情；分期赔偿、行为约束、生态修复调解 → 调解兼顾赔偿、预防和修复 → 体现法理情融合</w:t>
      </w:r>
    </w:p>
    <w:p>
      <w:pPr>
        <w:pStyle w:val="ListBullet"/>
        <w:spacing w:after="30"/>
      </w:pPr>
      <w:r>
        <w:t>答案骨架：先写饲养动物造成他人损害，饲养人或管理人依法承担侵权责任。 / 再写法院通过现场勘验和释明规则厘清责任。 / 最后写调解方案兼顾赔偿、行为约束和生态修复，体现法律温度。</w:t>
      </w:r>
    </w:p>
    <w:p>
      <w:pPr>
        <w:pStyle w:val="ListBullet"/>
        <w:spacing w:after="30"/>
      </w:pPr>
      <w:r>
        <w:t>学生预警：合同成立；知识产权；消费者；平台用工；非法律串页</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CC0011_2024_丰台_二模_17</w:t>
      </w:r>
    </w:p>
    <w:p>
      <w:pPr>
        <w:pStyle w:val="ListBullet"/>
        <w:spacing w:after="30"/>
      </w:pPr>
      <w:r>
        <w:t>区年卷题：2024年 丰台 二模 第17题</w:t>
      </w:r>
    </w:p>
    <w:p>
      <w:pPr>
        <w:pStyle w:val="ListBullet"/>
        <w:spacing w:after="30"/>
      </w:pPr>
      <w:r>
        <w:t>设问动作：运用《法律与生活》知识，结合上述案例分析民法典的相关规定对保护生态环境的作用。</w:t>
      </w:r>
    </w:p>
    <w:p>
      <w:pPr>
        <w:pStyle w:val="ListBullet"/>
        <w:spacing w:after="30"/>
      </w:pPr>
      <w:r>
        <w:t>A轴主入口：A6_侵权责任</w:t>
      </w:r>
    </w:p>
    <w:p>
      <w:pPr>
        <w:pStyle w:val="ListBullet"/>
        <w:spacing w:after="30"/>
      </w:pPr>
      <w:r>
        <w:t>v13.7入口后工具提示：按侵权四步写：权益受损、违法或过错、因果关系、责任方式；安全保障题必须看受害人自身风险和责任分担。</w:t>
      </w:r>
    </w:p>
    <w:p>
      <w:pPr>
        <w:pStyle w:val="ListBullet"/>
        <w:spacing w:after="30"/>
      </w:pPr>
      <w:r>
        <w:t>A轴副入口/边界：有：A5_知识产权与竞争秩序</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双轴裁决说明：生态环境公益诉讼以侵权责任和停止损害为主，专利技术保护为副轴。</w:t>
      </w:r>
    </w:p>
    <w:p>
      <w:pPr>
        <w:pStyle w:val="ListBullet"/>
        <w:spacing w:after="30"/>
      </w:pPr>
      <w:r>
        <w:t>命题路径：先定A6_侵权责任，再按B5_意义/价值/保护/推动作答；v12.2路径：法律规则/制度 -&gt; 保护对象或治理对象 -&gt; 行为方式 -&gt; 秩序与权益效果。</w:t>
      </w:r>
    </w:p>
    <w:p>
      <w:pPr>
        <w:pStyle w:val="ListBullet"/>
        <w:spacing w:after="30"/>
      </w:pPr>
      <w:r>
        <w:t>材料核心：民法典守护碧水蓝天。案例一：某公司发明污水污泥分离技术，解决长期污水污泥分离难题，并在农村污水净化处理项目中应用推广。案例二：甲公司长期超标排放废水、废气等污染物损害环境公共利益，乙环境研究所提起环境民事公益诉讼，法院判令甲公司立即停止侵权、消除危险、赔偿环境损失。</w:t>
      </w:r>
    </w:p>
    <w:p>
      <w:pPr>
        <w:pStyle w:val="ListBullet"/>
        <w:spacing w:after="30"/>
      </w:pPr>
      <w:r>
        <w:t>评分锚点：先写民法典绿色原则要求民事活动有利于节约资源、保护生态环境。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pStyle w:val="ListBullet"/>
        <w:spacing w:after="30"/>
      </w:pPr>
      <w:r>
        <w:t>材料触发：专利技术治理污水 → 民法典保护知识产权也服务生态治理 → 技术创新能为环境保护提供法治保护和实践支撑；长期超标排污损害公共利益 → 污染破坏生态应承担侵权责任 → 民法典用责任机制约束破坏环境行为；法院判令停止侵害、消除危险、赔偿损失 → 法律责任落到修复和预防 → 保护生态环境不是口号，而是权利义务责任的落地</w:t>
      </w:r>
    </w:p>
    <w:p>
      <w:pPr>
        <w:pStyle w:val="ListBullet"/>
        <w:spacing w:after="30"/>
      </w:pPr>
      <w:r>
        <w:t>答案骨架：先写民法典绿色原则要求民事活动有利于节约资源、保护生态环境。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pStyle w:val="ListBullet"/>
        <w:spacing w:after="30"/>
      </w:pPr>
      <w:r>
        <w:t>学生预警：知识产权侵权主轴；消费者；平台用工</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A7_婚姻家庭与继承（3题）</w:t>
      </w:r>
    </w:p>
    <w:p>
      <w:pPr>
        <w:pStyle w:val="Heading3"/>
      </w:pPr>
      <w:r>
        <w:t>1. CC0051_2024_海淀_期中_21_1</w:t>
      </w:r>
    </w:p>
    <w:p>
      <w:pPr>
        <w:pStyle w:val="ListBullet"/>
        <w:spacing w:after="30"/>
      </w:pPr>
      <w:r>
        <w:t>区年卷题：2024年 海淀 期中 第21题</w:t>
      </w:r>
    </w:p>
    <w:p>
      <w:pPr>
        <w:pStyle w:val="ListBullet"/>
        <w:spacing w:after="30"/>
      </w:pPr>
      <w:r>
        <w:t>设问动作：运用法治知识，对小海的观点进行评析。</w:t>
      </w:r>
    </w:p>
    <w:p>
      <w:pPr>
        <w:pStyle w:val="ListBullet"/>
        <w:spacing w:after="30"/>
      </w:pPr>
      <w:r>
        <w:t>A轴主入口：A7_婚姻家庭与继承</w:t>
      </w:r>
    </w:p>
    <w:p>
      <w:pPr>
        <w:pStyle w:val="ListBullet"/>
        <w:spacing w:after="30"/>
      </w:pPr>
      <w:r>
        <w:t>v13.7入口后工具提示：先定位婚姻、亲子、赡养、共同债务或继承关系；评价制度时要回到当时保护对象和公平正义。</w:t>
      </w:r>
    </w:p>
    <w:p>
      <w:pPr>
        <w:pStyle w:val="ListBullet"/>
        <w:spacing w:after="30"/>
      </w:pPr>
      <w:r>
        <w:t>A轴副入口/边界：有：A1_民事法律关系总论</w:t>
      </w:r>
    </w:p>
    <w:p>
      <w:pPr>
        <w:pStyle w:val="ListBullet"/>
        <w:spacing w:after="30"/>
      </w:pPr>
      <w:r>
        <w:t>B轴设问动作：B4_评析/认识/观点；v12.2旧入口：E4_评析认识谈看法</w:t>
      </w:r>
    </w:p>
    <w:p>
      <w:pPr>
        <w:pStyle w:val="ListBullet"/>
        <w:spacing w:after="30"/>
      </w:pPr>
      <w:r>
        <w:t>v13.7设问动作提示：评析/认识题先表态，再指出合理处和边界，最后给正确法律立场；不要把它写成纯价值口号。</w:t>
      </w:r>
    </w:p>
    <w:p>
      <w:pPr>
        <w:pStyle w:val="ListBullet"/>
        <w:spacing w:after="30"/>
      </w:pPr>
      <w:r>
        <w:t>双轴裁决说明：夫妻共同债务和法律变迁属于婚姻家庭财产规则。</w:t>
      </w:r>
    </w:p>
    <w:p>
      <w:pPr>
        <w:pStyle w:val="ListBullet"/>
        <w:spacing w:after="30"/>
      </w:pPr>
      <w:r>
        <w:t>命题路径：先定A7_婚姻家庭与继承，再按B4_评析/认识/观点作答；v12.2路径：观点/做法 -&gt; 法律关系和制度背景 -&gt; 判断边界 -&gt; 规范评价。</w:t>
      </w:r>
    </w:p>
    <w:p>
      <w:pPr>
        <w:pStyle w:val="ListBullet"/>
        <w:spacing w:after="30"/>
      </w:pPr>
      <w:r>
        <w:t>材料核心：1950年婚姻法确立婚姻自由、一夫一妻、保护妇女儿童权益；其中离婚共同债务不足时规定“由男方清偿”。民法典婚姻家庭编规定离婚时夫妻共同债务应共同偿还，共同财产不足或财产归各自所有的，由双方协议清偿，协议不成由人民法院判决。小海认为1950年规定不合理，民法典规定才符合良法要求。</w:t>
      </w:r>
    </w:p>
    <w:p>
      <w:pPr>
        <w:pStyle w:val="ListBullet"/>
        <w:spacing w:after="30"/>
      </w:pPr>
      <w:r>
        <w:t>评分锚点：先表态：小海观点有合理之处，但不能脱离历史条件全盘否定1950年婚姻法。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pStyle w:val="ListBullet"/>
        <w:spacing w:after="30"/>
      </w:pPr>
      <w:r>
        <w:t>材料触发：1950年婚姻法废除封建家庭制度、保护妇女儿童 → 法律要符合当时国情和社会实际 → 不能简单否定其历史进步性；“由男方清偿”与现代夫妻平等保护不完全一致 → 良法要随着社会发展回应公平正义要求 → 小海看到问题有合理性；民法典规定夫妻共同债务共同偿还、协议不成由法院判决 → 平等保护夫妻双方合法权益 → 民法典规定更符合新时代良法要求</w:t>
      </w:r>
    </w:p>
    <w:p>
      <w:pPr>
        <w:pStyle w:val="ListBullet"/>
        <w:spacing w:after="30"/>
      </w:pPr>
      <w:r>
        <w:t>答案骨架：先表态：小海观点有合理之处，但不能脱离历史条件全盘否定1950年婚姻法。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pStyle w:val="ListBullet"/>
        <w:spacing w:after="30"/>
      </w:pPr>
      <w:r>
        <w:t>学生预警：一句话判“1950年错误”；只写科学立法空话；脱离两则法条谈必修三</w:t>
      </w:r>
    </w:p>
    <w:p>
      <w:pPr>
        <w:pStyle w:val="ListBullet"/>
        <w:spacing w:after="30"/>
      </w:pPr>
      <w:r>
        <w:t>源检边界：Use as recovered evidence for evaluation of a view under marriage-family law and good-law standards. Do not create a broad legal-change trunk, and do not turn it into 必修三 scientific legislation slogans.</w:t>
      </w:r>
    </w:p>
    <w:p>
      <w:pPr>
        <w:pStyle w:val="ListBullet"/>
        <w:spacing w:after="30"/>
      </w:pPr>
      <w:r>
        <w:t>证据状态：PASS_RECOVERED；source_check_state=pass_recovered_locked；source_check_decision=KEEP_CORE_LOW_FREQUENCY</w:t>
      </w:r>
    </w:p>
    <w:p>
      <w:pPr>
        <w:pStyle w:val="Heading3"/>
      </w:pPr>
      <w:r>
        <w:t>2. CC0061_2024_西城_一模_18</w:t>
      </w:r>
    </w:p>
    <w:p>
      <w:pPr>
        <w:pStyle w:val="ListBullet"/>
        <w:spacing w:after="30"/>
      </w:pPr>
      <w:r>
        <w:t>区年卷题：2024年 西城 一模 第18题</w:t>
      </w:r>
    </w:p>
    <w:p>
      <w:pPr>
        <w:pStyle w:val="ListBullet"/>
        <w:spacing w:after="30"/>
      </w:pPr>
      <w:r>
        <w:t>设问动作：运用法治知识，谈谈对二审法院向郭某的三个儿子发出《督促履行义务告知书》的认识。</w:t>
      </w:r>
    </w:p>
    <w:p>
      <w:pPr>
        <w:pStyle w:val="ListBullet"/>
        <w:spacing w:after="30"/>
      </w:pPr>
      <w:r>
        <w:t>A轴主入口：A7_婚姻家庭与继承</w:t>
      </w:r>
    </w:p>
    <w:p>
      <w:pPr>
        <w:pStyle w:val="ListBullet"/>
        <w:spacing w:after="30"/>
      </w:pPr>
      <w:r>
        <w:t>v13.7入口后工具提示：先定位婚姻、亲子、赡养、共同债务或继承关系；评价制度时要回到当时保护对象和公平正义。</w:t>
      </w:r>
    </w:p>
    <w:p>
      <w:pPr>
        <w:pStyle w:val="ListBullet"/>
        <w:spacing w:after="30"/>
      </w:pPr>
      <w:r>
        <w:t>A轴副入口/边界：有：A1_民事法律关系总论</w:t>
      </w:r>
    </w:p>
    <w:p>
      <w:pPr>
        <w:pStyle w:val="ListBullet"/>
        <w:spacing w:after="30"/>
      </w:pPr>
      <w:r>
        <w:t>B轴设问动作：B4_评析/认识/观点；v12.2旧入口：E4_评析认识谈看法</w:t>
      </w:r>
    </w:p>
    <w:p>
      <w:pPr>
        <w:pStyle w:val="ListBullet"/>
        <w:spacing w:after="30"/>
      </w:pPr>
      <w:r>
        <w:t>v13.7设问动作提示：评析/认识题先表态，再指出合理处和边界，最后给正确法律立场；不要把它写成纯价值口号。</w:t>
      </w:r>
    </w:p>
    <w:p>
      <w:pPr>
        <w:pStyle w:val="ListBullet"/>
        <w:spacing w:after="30"/>
      </w:pPr>
      <w:r>
        <w:t>双轴裁决说明：成年子女赡养父母是家庭法义务。</w:t>
      </w:r>
    </w:p>
    <w:p>
      <w:pPr>
        <w:pStyle w:val="ListBullet"/>
        <w:spacing w:after="30"/>
      </w:pPr>
      <w:r>
        <w:t>命题路径：先定A7_婚姻家庭与继承，再按B4_评析/认识/观点作答；v12.2路径：观点/做法 -&gt; 法律关系和制度背景 -&gt; 判断边界 -&gt; 规范评价。</w:t>
      </w:r>
    </w:p>
    <w:p>
      <w:pPr>
        <w:pStyle w:val="ListBullet"/>
        <w:spacing w:after="30"/>
      </w:pPr>
      <w:r>
        <w:t>材料核心：九十岁郭某起诉三子支付赡养费，一审未支持；二审虽未支持抚养费请求，但基于老人精神陪伴需求向三个儿子发出督促履行义务告知书。</w:t>
      </w:r>
    </w:p>
    <w:p>
      <w:pPr>
        <w:pStyle w:val="ListBullet"/>
        <w:spacing w:after="30"/>
      </w:pPr>
      <w:r>
        <w:t>评分锚点：先写成年子女对父母负有赡养义务。 / 再说明赡养包括经济供养、生活照料和精神慰藉，不能只给钱。 / 最后写法院告知书以柔性方式督促履行，有助于保护老人权益和家庭和谐。</w:t>
      </w:r>
    </w:p>
    <w:p>
      <w:pPr>
        <w:pStyle w:val="ListBullet"/>
        <w:spacing w:after="30"/>
      </w:pPr>
      <w:r>
        <w:t>材料触发：高龄父母需要陪伴照料 → 成年子女赡养义务不只经济供养 → 还包括生活照料和精神慰藉；三个儿子未充分履责 → 违反法定赡养义务 → 应依法履行家庭责任；法院发出告知书 → 用柔性司法督促履责 → 保护老年人权益并修复家庭关系</w:t>
      </w:r>
    </w:p>
    <w:p>
      <w:pPr>
        <w:pStyle w:val="ListBullet"/>
        <w:spacing w:after="30"/>
      </w:pPr>
      <w:r>
        <w:t>答案骨架：先写成年子女对父母负有赡养义务。 / 再说明赡养包括经济供养、生活照料和精神慰藉，不能只给钱。 / 最后写法院告知书以柔性方式督促履行，有助于保护老人权益和家庭和谐。</w:t>
      </w:r>
    </w:p>
    <w:p>
      <w:pPr>
        <w:pStyle w:val="ListBullet"/>
        <w:spacing w:after="30"/>
      </w:pPr>
      <w:r>
        <w:t>学生预警：合同成立；回避制度主轴；平台用工；消费者</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3. CC0045_2024_海淀_二模_19</w:t>
      </w:r>
    </w:p>
    <w:p>
      <w:pPr>
        <w:pStyle w:val="ListBullet"/>
        <w:spacing w:after="30"/>
      </w:pPr>
      <w:r>
        <w:t>区年卷题：2024年 海淀 二模 第19题</w:t>
      </w:r>
    </w:p>
    <w:p>
      <w:pPr>
        <w:pStyle w:val="ListBullet"/>
        <w:spacing w:after="30"/>
      </w:pPr>
      <w:r>
        <w:t>设问动作：结合材料，运用《法律与生活》知识，分析本案判决的社会价值。</w:t>
      </w:r>
    </w:p>
    <w:p>
      <w:pPr>
        <w:pStyle w:val="ListBullet"/>
        <w:spacing w:after="30"/>
      </w:pPr>
      <w:r>
        <w:t>A轴主入口：A7_婚姻家庭与继承</w:t>
      </w:r>
    </w:p>
    <w:p>
      <w:pPr>
        <w:pStyle w:val="ListBullet"/>
        <w:spacing w:after="30"/>
      </w:pPr>
      <w:r>
        <w:t>v13.7入口后工具提示：先定位婚姻、亲子、赡养、共同债务或继承关系；评价制度时要回到当时保护对象和公平正义。</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双轴裁决说明：遗赠扶养协议、老人权益和多元养老属于婚姻家庭继承主轴。</w:t>
      </w:r>
    </w:p>
    <w:p>
      <w:pPr>
        <w:pStyle w:val="ListBullet"/>
        <w:spacing w:after="30"/>
      </w:pPr>
      <w:r>
        <w:t>命题路径：先定A7_婚姻家庭与继承，再按B5_意义/价值/保护/推动作答；v12.2路径：法律规则/制度 -&gt; 保护对象或治理对象 -&gt; 行为方式 -&gt; 秩序与权益效果。</w:t>
      </w:r>
    </w:p>
    <w:p>
      <w:pPr>
        <w:pStyle w:val="ListBullet"/>
        <w:spacing w:after="30"/>
      </w:pPr>
      <w:r>
        <w:t>材料核心：19．（6 分）遗赠扶养协议纠纷案宣判。 【案情简介】某社区居委会与曹某签订协议，约定由某居委会定时定员结对子照看关心曹某， 每月给予曹某基本生活费，免费看病诊治，逢年过节给予曹某各类生活补助及慰问生活用品等， 养老至寿终；曹某现有的动产和不动产在曹某寿终后，产权移交某居委会。此后，某居委会按照 约定履行扶养义务。曹某去世后，曹某的四个子女要求继承遗产，与该居委会产生争议。该居委 会遂将曹某的四个子女等人诉至法院，请求判令：（1）确认某居委会与曹某签订的协议有效；（2） 曹某…</w:t>
      </w:r>
    </w:p>
    <w:p>
      <w:pPr>
        <w:pStyle w:val="ListBullet"/>
        <w:spacing w:after="30"/>
      </w:pPr>
      <w:r>
        <w:t>评分锚点：先写遗赠扶养协议依法有效，扶养人履行义务应受保护。 / 再结合居委会照料老人和子女争议说明判决维护诚信和老人权益。 / 最后写判决有助于鼓励多元养老、弘扬家庭和社会责任。</w:t>
      </w:r>
    </w:p>
    <w:p>
      <w:pPr>
        <w:pStyle w:val="ListBullet"/>
        <w:spacing w:after="30"/>
      </w:pPr>
      <w:r>
        <w:t>材料触发：居委会长期按协议照料老人 → 遗赠扶养协议体现真实扶养事实 → 协议效力应受尊重；子女争夺遗产 → 不能只凭亲属身份否定合法协议 → 法律保护诚信履约和养老安排；法院确认协议效力 → 维护老年人自主处分权益 → 引导社会力量参与养老服务</w:t>
      </w:r>
    </w:p>
    <w:p>
      <w:pPr>
        <w:pStyle w:val="ListBullet"/>
        <w:spacing w:after="30"/>
      </w:pPr>
      <w:r>
        <w:t>答案骨架：先写遗赠扶养协议依法有效，扶养人履行义务应受保护。 / 再结合居委会照料老人和子女争议说明判决维护诚信和老人权益。 / 最后写判决有助于鼓励多元养老、弘扬家庭和社会责任。</w:t>
      </w:r>
    </w:p>
    <w:p>
      <w:pPr>
        <w:pStyle w:val="ListBullet"/>
        <w:spacing w:after="30"/>
      </w:pPr>
      <w:r>
        <w:t>学生预警：普通合同主轴；平台用工；消费者</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2"/>
      </w:pPr>
      <w:r>
        <w:t>A8_劳动关系（7题）</w:t>
      </w:r>
    </w:p>
    <w:p>
      <w:pPr>
        <w:pStyle w:val="Heading3"/>
      </w:pPr>
      <w:r>
        <w:t>1. CC0213_2025_门头沟_一模_20</w:t>
      </w:r>
    </w:p>
    <w:p>
      <w:pPr>
        <w:pStyle w:val="ListBullet"/>
        <w:spacing w:after="30"/>
      </w:pPr>
      <w:r>
        <w:t>区年卷题：2025年 门头沟 一模 第20题</w:t>
      </w:r>
    </w:p>
    <w:p>
      <w:pPr>
        <w:pStyle w:val="ListBullet"/>
        <w:spacing w:after="30"/>
      </w:pPr>
      <w:r>
        <w:t>设问动作：结合以下案例，参照所给出完成下表。</w:t>
      </w:r>
    </w:p>
    <w:p>
      <w:pPr>
        <w:pStyle w:val="ListBullet"/>
        <w:spacing w:after="30"/>
      </w:pPr>
      <w:r>
        <w:t>A轴主入口：A8_劳动关系</w:t>
      </w:r>
    </w:p>
    <w:p>
      <w:pPr>
        <w:pStyle w:val="ListBullet"/>
        <w:spacing w:after="30"/>
      </w:pPr>
      <w:r>
        <w:t>v13.7入口后工具提示：先看人格、经济、组织三从属性；事实用工管理、报酬、考核、持续劳动比合同名称更关键。</w:t>
      </w:r>
    </w:p>
    <w:p>
      <w:pPr>
        <w:pStyle w:val="ListBullet"/>
        <w:spacing w:after="30"/>
      </w:pPr>
      <w:r>
        <w:t>A轴副入口/边界：有：A5_知识产权与竞争秩序（案例一仅作示例/参照框架，不作主答主轴）</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双轴裁决说明：Round05采纳：待作答内容是孙某劳动合同诚信与试用期解除，著作权案例只是示例，A8为主、A5为参照副轴。</w:t>
      </w:r>
    </w:p>
    <w:p>
      <w:pPr>
        <w:pStyle w:val="ListBullet"/>
        <w:spacing w:after="30"/>
      </w:pPr>
      <w:r>
        <w:t>命题路径：先定A8_劳动关系，再按B1_表格/裁判要点/补链作答；案例一著作权只作为参照格式和副轴说明，不作为主答主轴，也不支撑A5计数；v12.2路径：形式触发 -&gt; 一格一链 -&gt; 法律关系/法律要件 -&gt; 格内结论。</w:t>
      </w:r>
    </w:p>
    <w:p>
      <w:pPr>
        <w:pStyle w:val="ListBullet"/>
        <w:spacing w:after="30"/>
      </w:pPr>
      <w:r>
        <w:t>材料核心：案例一给出“我不是胖虎”美术作品著作权侵权示例。案例二：孙某应聘甲公司时简历只写4段工作经历，入职后查明其7年间曾在17家公司任职；甲公司以未如实提供工作经历为由，在试用期内解除劳动关系。</w:t>
      </w:r>
    </w:p>
    <w:p>
      <w:pPr>
        <w:pStyle w:val="ListBullet"/>
        <w:spacing w:after="30"/>
      </w:pPr>
      <w:r>
        <w:t>评分锚点：先照案例一的格式：裁判结果、裁判理由、现实意义。 / 案例二结果写驳回孙某请求，甲公司无需赔偿。 / 理由写诚实信用、知情权、劳动合同无效或解除合法；意义写维护用人单位权益和诚信劳动关系。</w:t>
      </w:r>
    </w:p>
    <w:p>
      <w:pPr>
        <w:pStyle w:val="ListBullet"/>
        <w:spacing w:after="30"/>
      </w:pPr>
      <w:r>
        <w:t>材料触发：“我不是胖虎”作品未经许可被用作微博图片 → 著作权人作品被信息网络传播使用 → 停止侵害、删除内容、赔偿损失；孙某简历隐瞒大量工作经历 → 违反订立劳动合同的诚实信用原则，损害用人单位知情权 → 劳动合同效力和解除合法性受到影响；甲公司基于查证结果解除劳动关系 → 解除劳动关系符合法律规定 → 维护用人单位合法权益并约束劳动者诚信应聘</w:t>
      </w:r>
    </w:p>
    <w:p>
      <w:pPr>
        <w:pStyle w:val="ListBullet"/>
        <w:spacing w:after="30"/>
      </w:pPr>
      <w:r>
        <w:t>答案骨架：先照案例一的格式：裁判结果、裁判理由、现实意义。 / 案例二结果写驳回孙某请求，甲公司无需赔偿。 / 理由写诚实信用、知情权、劳动合同无效或解除合法；意义写维护用人单位权益和诚信劳动关系。</w:t>
      </w:r>
    </w:p>
    <w:p>
      <w:pPr>
        <w:pStyle w:val="ListBullet"/>
        <w:spacing w:after="30"/>
      </w:pPr>
      <w:r>
        <w:t>学生预警：把劳动案写成普通合同；只写劳动者被保护；把著作权案例价值套到劳动案例</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CC0214_2025_门头沟_一模_20_2</w:t>
      </w:r>
    </w:p>
    <w:p>
      <w:pPr>
        <w:pStyle w:val="ListBullet"/>
        <w:spacing w:after="30"/>
      </w:pPr>
      <w:r>
        <w:t>区年卷题：2025年 门头沟 一模 第20题</w:t>
      </w:r>
    </w:p>
    <w:p>
      <w:pPr>
        <w:pStyle w:val="ListBullet"/>
        <w:spacing w:after="30"/>
      </w:pPr>
      <w:r>
        <w:t>设问动作：参照案例一，完成案例二的裁判理由。</w:t>
      </w:r>
    </w:p>
    <w:p>
      <w:pPr>
        <w:pStyle w:val="ListBullet"/>
        <w:spacing w:after="30"/>
      </w:pPr>
      <w:r>
        <w:t>A轴主入口：A8_劳动关系</w:t>
      </w:r>
    </w:p>
    <w:p>
      <w:pPr>
        <w:pStyle w:val="ListBullet"/>
        <w:spacing w:after="30"/>
      </w:pPr>
      <w:r>
        <w:t>v13.7入口后工具提示：先看人格、经济、组织三从属性；事实用工管理、报酬、考核、持续劳动比合同名称更关键。</w:t>
      </w:r>
    </w:p>
    <w:p>
      <w:pPr>
        <w:pStyle w:val="ListBullet"/>
        <w:spacing w:after="30"/>
      </w:pPr>
      <w:r>
        <w:t>A轴副入口/边界：有：A1_民事法律关系总论</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双轴裁决说明：劳动合同诚信题；A1 只作为真实意思表示和行为效力底层。</w:t>
      </w:r>
    </w:p>
    <w:p>
      <w:pPr>
        <w:pStyle w:val="ListBullet"/>
        <w:spacing w:after="30"/>
      </w:pPr>
      <w:r>
        <w:t>命题路径：先定A8_劳动关系，再按B1_表格/裁判要点/补链作答；v12.2路径：形式触发 -&gt; 一格一链 -&gt; 法律关系/法律要件 -&gt; 格内结论。</w:t>
      </w:r>
    </w:p>
    <w:p>
      <w:pPr>
        <w:pStyle w:val="ListBullet"/>
        <w:spacing w:after="30"/>
      </w:pPr>
      <w:r>
        <w:t>材料核心：孙某入职甲公司时隐瞒真实工作经历，甲公司在违背真实意思情况下与其签订劳动合同；试用期内查证后解除劳动关系，孙某请求赔偿。</w:t>
      </w:r>
    </w:p>
    <w:p>
      <w:pPr>
        <w:pStyle w:val="ListBullet"/>
        <w:spacing w:after="30"/>
      </w:pPr>
      <w:r>
        <w:t>评分锚点：先写劳动合同订立要遵循诚实信用。 / 再写孙某隐瞒经历使甲公司违背真实意思签约。 / 最后写甲公司解除劳动关系合法，不承担赔偿责任。</w:t>
      </w:r>
    </w:p>
    <w:p>
      <w:pPr>
        <w:pStyle w:val="ListBullet"/>
        <w:spacing w:after="30"/>
      </w:pPr>
      <w:r>
        <w:t>材料触发：孙某应聘时隐瞒真实工作经历 → 违反诚实信用原则和劳动者职业道德 → 用人单位知情权受损；甲公司在不知真实经历情况下签订劳动合同 → 意思表示不真实 → 劳动合同可认定无效或部分无效；甲公司查证后解除劳动关系 → 解除有法律依据 → 无需支付赔偿金</w:t>
      </w:r>
    </w:p>
    <w:p>
      <w:pPr>
        <w:pStyle w:val="ListBullet"/>
        <w:spacing w:after="30"/>
      </w:pPr>
      <w:r>
        <w:t>答案骨架：先写劳动合同订立要遵循诚实信用。 / 再写孙某隐瞒经历使甲公司违背真实意思签约。 / 最后写甲公司解除劳动关系合法，不承担赔偿责任。</w:t>
      </w:r>
    </w:p>
    <w:p>
      <w:pPr>
        <w:pStyle w:val="ListBullet"/>
        <w:spacing w:after="30"/>
      </w:pPr>
      <w:r>
        <w:t>学生预警：只写孙某有就业权；把所有劳动题都写成平台用工；忽略“真实意思表示”</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CC0025_2024_朝阳_二模_17</w:t>
      </w:r>
    </w:p>
    <w:p>
      <w:pPr>
        <w:pStyle w:val="ListBullet"/>
        <w:spacing w:after="30"/>
      </w:pPr>
      <w:r>
        <w:t>区年卷题：2024年 朝阳 二模 第17题</w:t>
      </w:r>
    </w:p>
    <w:p>
      <w:pPr>
        <w:pStyle w:val="ListBullet"/>
        <w:spacing w:after="30"/>
      </w:pPr>
      <w:r>
        <w:t>设问动作：结合材料,说明仲裁委员会作出上述裁决的理由,并分析该典型案例的意义。</w:t>
      </w:r>
    </w:p>
    <w:p>
      <w:pPr>
        <w:pStyle w:val="ListBullet"/>
        <w:spacing w:after="30"/>
      </w:pPr>
      <w:r>
        <w:t>A轴主入口：A8_劳动关系</w:t>
      </w:r>
    </w:p>
    <w:p>
      <w:pPr>
        <w:pStyle w:val="ListBullet"/>
        <w:spacing w:after="30"/>
      </w:pPr>
      <w:r>
        <w:t>v13.7入口后工具提示：先看人格、经济、组织三从属性；事实用工管理、报酬、考核、持续劳动比合同名称更关键。</w:t>
      </w:r>
    </w:p>
    <w:p>
      <w:pPr>
        <w:pStyle w:val="ListBullet"/>
        <w:spacing w:after="30"/>
      </w:pPr>
      <w:r>
        <w:t>A轴副入口/边界：有：A10_多元纠纷解决与诉讼程序</w:t>
      </w:r>
    </w:p>
    <w:p>
      <w:pPr>
        <w:pStyle w:val="ListBullet"/>
        <w:spacing w:after="30"/>
      </w:pPr>
      <w:r>
        <w:t>B轴设问动作：B2_判决/裁判/责任理由；v12.2旧入口：E2_判决裁判责任理由</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双轴裁决说明：平台用工事实劳动关系，仲裁裁决只是 B 轴动作。</w:t>
      </w:r>
    </w:p>
    <w:p>
      <w:pPr>
        <w:pStyle w:val="ListBullet"/>
        <w:spacing w:after="30"/>
      </w:pPr>
      <w:r>
        <w:t>命题路径：先定A8_劳动关系，再按B2_判决/裁判/责任理由作答；v12.2路径：裁判对象 -&gt; 法律关系 -&gt; 要件/过错/程序/责任 -&gt; 裁判结论与边界。</w:t>
      </w:r>
    </w:p>
    <w:p>
      <w:pPr>
        <w:pStyle w:val="ListBullet"/>
        <w:spacing w:after="30"/>
      </w:pPr>
      <w:r>
        <w:t>材料核心：平台企业与劳动者签合作协议，但平台派单、签到、奖惩、结算并把运输服务纳入自身业务组成；仲裁支持劳动者确认事实劳动关系。</w:t>
      </w:r>
    </w:p>
    <w:p>
      <w:pPr>
        <w:pStyle w:val="ListBullet"/>
        <w:spacing w:after="30"/>
      </w:pPr>
      <w:r>
        <w:t>评分锚点：先写不能只看合作协议名称，要看实际用工关系。 / 再从派单、签到、奖惩、结算和业务组成说明三从属性。 / 最后写仲裁认定劳动关系有利于保护新就业形态劳动者合法权益，规范平台用工。</w:t>
      </w:r>
    </w:p>
    <w:p>
      <w:pPr>
        <w:pStyle w:val="ListBullet"/>
        <w:spacing w:after="30"/>
      </w:pPr>
      <w:r>
        <w:t>材料触发：平台派单 → 平台对劳动过程有管理控制 → 体现人格从属性；签到、奖惩 → 劳动者接受平台管理和考核 → 不是平等合作关系；结算报酬且业务属于平台组成部分 → 劳动者经济上依赖平台、组织上嵌入平台 → 可认定事实劳动关系并保护劳动权益</w:t>
      </w:r>
    </w:p>
    <w:p>
      <w:pPr>
        <w:pStyle w:val="ListBullet"/>
        <w:spacing w:after="30"/>
      </w:pPr>
      <w:r>
        <w:t>答案骨架：先写不能只看合作协议名称，要看实际用工关系。 / 再从派单、签到、奖惩、结算和业务组成说明三从属性。 / 最后写仲裁认定劳动关系有利于保护新就业形态劳动者合法权益，规范平台用工。</w:t>
      </w:r>
    </w:p>
    <w:p>
      <w:pPr>
        <w:pStyle w:val="ListBullet"/>
        <w:spacing w:after="30"/>
      </w:pPr>
      <w:r>
        <w:t>学生预警：普通合同成立；消费者欺诈；知识产权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CC0119_2025_丰台_期末_19</w:t>
      </w:r>
    </w:p>
    <w:p>
      <w:pPr>
        <w:pStyle w:val="ListBullet"/>
        <w:spacing w:after="30"/>
      </w:pPr>
      <w:r>
        <w:t>区年卷题：2025年 丰台 期末 第19题</w:t>
      </w:r>
    </w:p>
    <w:p>
      <w:pPr>
        <w:pStyle w:val="ListBullet"/>
        <w:spacing w:after="30"/>
      </w:pPr>
      <w:r>
        <w:t>设问动作：请运用《法律与生活》相关知识阐释法院的裁判理由。</w:t>
      </w:r>
    </w:p>
    <w:p>
      <w:pPr>
        <w:pStyle w:val="ListBullet"/>
        <w:spacing w:after="30"/>
      </w:pPr>
      <w:r>
        <w:t>A轴主入口：A8_劳动关系</w:t>
      </w:r>
    </w:p>
    <w:p>
      <w:pPr>
        <w:pStyle w:val="ListBullet"/>
        <w:spacing w:after="30"/>
      </w:pPr>
      <w:r>
        <w:t>v13.7入口后工具提示：先看人格、经济、组织三从属性；事实用工管理、报酬、考核、持续劳动比合同名称更关键。</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双轴裁决说明：劳动纪律与解除劳动合同。</w:t>
      </w:r>
    </w:p>
    <w:p>
      <w:pPr>
        <w:pStyle w:val="ListBullet"/>
        <w:spacing w:after="30"/>
      </w:pPr>
      <w:r>
        <w:t>命题路径：先定A8_劳动关系，再按B2_判决/裁判/责任理由作答；v12.2路径：裁判对象 -&gt; 法律关系 -&gt; 要件/过错/程序/责任 -&gt; 裁判结论与边界。</w:t>
      </w:r>
    </w:p>
    <w:p>
      <w:pPr>
        <w:pStyle w:val="ListBullet"/>
        <w:spacing w:after="30"/>
      </w:pPr>
      <w:r>
        <w:t>材料核心：尹某在购物中心任主管期间违反管理规章，单位结合经营需要调整其岗位。尹某消极怠工、经常无故旷工，经多次提醒仍未改变。购物中心解除劳动合同，尹某诉请支付违法赔偿金，法院驳回其诉讼请求。</w:t>
      </w:r>
    </w:p>
    <w:p>
      <w:pPr>
        <w:pStyle w:val="ListBullet"/>
        <w:spacing w:after="30"/>
      </w:pPr>
      <w:r>
        <w:t>评分锚点：先写劳动者既有权利也有义务。 / 再结合尹某旷工和违反规章说明解除有法律依据。 / 最后写法院驳回赔偿请求，维护合理用工秩序和健康劳动关系。</w:t>
      </w:r>
    </w:p>
    <w:p>
      <w:pPr>
        <w:pStyle w:val="ListBullet"/>
        <w:spacing w:after="30"/>
      </w:pPr>
      <w:r>
        <w:t>材料触发：尹某违反规章、消极怠工、无故旷工 → 劳动者应完成劳动任务、遵守劳动纪律和职业道德 → 未履行劳动者义务；购物中心多次提醒后仍未改变 → 严重违反用人单位规章制度 → 用人单位可依法解除劳动合同；法院驳回赔偿请求 → 解除行为合法、不构成违法解除 → 保护用人单位合理用工自主权，提醒劳动者权利义务统一</w:t>
      </w:r>
    </w:p>
    <w:p>
      <w:pPr>
        <w:pStyle w:val="ListBullet"/>
        <w:spacing w:after="30"/>
      </w:pPr>
      <w:r>
        <w:t>答案骨架：先写劳动者既有权利也有义务。 / 再结合尹某旷工和违反规章说明解除有法律依据。 / 最后写法院驳回赔偿请求，维护合理用工秩序和健康劳动关系。</w:t>
      </w:r>
    </w:p>
    <w:p>
      <w:pPr>
        <w:pStyle w:val="ListBullet"/>
        <w:spacing w:after="30"/>
      </w:pPr>
      <w:r>
        <w:t>学生预警：只写劳动者权利；把单位调岗写成单方侵权；空写公平正义</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5. CC0373_2026_顺义_一模_18</w:t>
      </w:r>
    </w:p>
    <w:p>
      <w:pPr>
        <w:pStyle w:val="ListBullet"/>
        <w:spacing w:after="30"/>
      </w:pPr>
      <w:r>
        <w:t>区年卷题：2026年 顺义 一模 第18题</w:t>
      </w:r>
    </w:p>
    <w:p>
      <w:pPr>
        <w:pStyle w:val="ListBullet"/>
        <w:spacing w:after="30"/>
      </w:pPr>
      <w:r>
        <w:t>设问动作：结合材料，运用《法律与生活》知识，闫某和张某的诉求能否得到法院的支持，并说明理由。</w:t>
      </w:r>
    </w:p>
    <w:p>
      <w:pPr>
        <w:pStyle w:val="ListBullet"/>
        <w:spacing w:after="30"/>
      </w:pPr>
      <w:r>
        <w:t>A轴主入口：A8_劳动关系</w:t>
      </w:r>
    </w:p>
    <w:p>
      <w:pPr>
        <w:pStyle w:val="ListBullet"/>
        <w:spacing w:after="30"/>
      </w:pPr>
      <w:r>
        <w:t>v13.7入口后工具提示：先看人格、经济、组织三从属性；事实用工管理、报酬、考核、持续劳动比合同名称更关键。</w:t>
      </w:r>
    </w:p>
    <w:p>
      <w:pPr>
        <w:pStyle w:val="ListBullet"/>
        <w:spacing w:after="30"/>
      </w:pPr>
      <w:r>
        <w:t>A轴副入口/边界：有：A5_知识产权与竞争秩序;A1_民事法律关系总论</w:t>
      </w:r>
    </w:p>
    <w:p>
      <w:pPr>
        <w:pStyle w:val="ListBullet"/>
        <w:spacing w:after="30"/>
      </w:pPr>
      <w:r>
        <w:t>B轴设问动作：B3_诉求/请求能否支持；v12.2旧入口：E3_诉求请求能否支持</w:t>
      </w:r>
    </w:p>
    <w:p>
      <w:pPr>
        <w:pStyle w:val="ListBullet"/>
        <w:spacing w:after="30"/>
      </w:pPr>
      <w:r>
        <w:t>v13.7设问动作提示：诉求能否支持题先给支持/不支持/部分支持，再逐项写权利基础、构成要件、责任方式和惩罚性赔偿边界。</w:t>
      </w:r>
    </w:p>
    <w:p>
      <w:pPr>
        <w:pStyle w:val="ListBullet"/>
        <w:spacing w:after="30"/>
      </w:pPr>
      <w:r>
        <w:t>双轴裁决说明：就业平等和竞业限制均属劳动关系，商业竞争利益和主体关系为副轴。</w:t>
      </w:r>
    </w:p>
    <w:p>
      <w:pPr>
        <w:pStyle w:val="ListBullet"/>
        <w:spacing w:after="30"/>
      </w:pPr>
      <w:r>
        <w:t>命题路径：先定A8_劳动关系，再按B3_诉求/请求能否支持作答；v12.2路径：诉求对象 -&gt; 权利基础 -&gt; 法律要件 -&gt; 支持/不支持及理由。</w:t>
      </w:r>
    </w:p>
    <w:p>
      <w:pPr>
        <w:pStyle w:val="ListBullet"/>
        <w:spacing w:after="30"/>
      </w:pPr>
      <w:r>
        <w:t>材料核心：闫某求职遭公司以仅招男性为由拒绝面试；张某原系A公司总经理并签订竞业限制协议，离职后其妻成为B公司投资人，B公司业务与A公司竞争，且B公司关联公司为张某缴纳社保。</w:t>
      </w:r>
    </w:p>
    <w:p>
      <w:pPr>
        <w:pStyle w:val="ListBullet"/>
        <w:spacing w:after="30"/>
      </w:pPr>
      <w:r>
        <w:t>评分锚点：先分判两个诉求：就业歧视和竞业限制。 / 就业歧视链写平等就业权；竞业限制链写保护商业秘密与劳动者就业权平衡。 / 最后说明法院应在企业利益和劳动者权益之间依法平衡。</w:t>
      </w:r>
    </w:p>
    <w:p>
      <w:pPr>
        <w:pStyle w:val="ListBullet"/>
        <w:spacing w:after="30"/>
      </w:pPr>
      <w:r>
        <w:t>材料触发：仅招男性拒绝面试 → 平等就业权受侵害 → 用人单位不得性别歧视；竞业限制协议 → 保护商业秘密但限制劳动者就业 → 必须合法适度；配偶投资竞争企业并缴社保 → 需具体判断是否违反竞业义务 → 不能机械扩大限制范围</w:t>
      </w:r>
    </w:p>
    <w:p>
      <w:pPr>
        <w:pStyle w:val="ListBullet"/>
        <w:spacing w:after="30"/>
      </w:pPr>
      <w:r>
        <w:t>答案骨架：先分判两个诉求：就业歧视和竞业限制。 / 就业歧视链写平等就业权；竞业限制链写保护商业秘密与劳动者就业权平衡。 / 最后说明法院应在企业利益和劳动者权益之间依法平衡。</w:t>
      </w:r>
    </w:p>
    <w:p>
      <w:pPr>
        <w:pStyle w:val="ListBullet"/>
        <w:spacing w:after="30"/>
      </w:pPr>
      <w:r>
        <w:t>学生预警：平台劳动三从属性；普通合同成立；消费者</w:t>
      </w:r>
    </w:p>
    <w:p>
      <w:pPr>
        <w:pStyle w:val="ListBullet"/>
        <w:spacing w:after="30"/>
      </w:pPr>
      <w:r>
        <w:t>源检边界：none</w:t>
      </w:r>
    </w:p>
    <w:p>
      <w:pPr>
        <w:pStyle w:val="ListBullet"/>
        <w:spacing w:after="30"/>
      </w:pPr>
      <w:r>
        <w:t>证据状态：PASS_RECOVERED；source_check_state=not_in_round03_source_check；source_check_decision=covered_by_prior_locked_core</w:t>
      </w:r>
    </w:p>
    <w:p>
      <w:pPr>
        <w:pStyle w:val="Heading3"/>
      </w:pPr>
      <w:r>
        <w:t>6. CC0181_2025_海淀_期末_21</w:t>
      </w:r>
    </w:p>
    <w:p>
      <w:pPr>
        <w:pStyle w:val="ListBullet"/>
        <w:spacing w:after="30"/>
      </w:pPr>
      <w:r>
        <w:t>区年卷题：2025年 海淀 期末 第21题</w:t>
      </w:r>
    </w:p>
    <w:p>
      <w:pPr>
        <w:pStyle w:val="ListBullet"/>
        <w:spacing w:after="30"/>
      </w:pPr>
      <w:r>
        <w:t>设问动作：结合材料，运用《法律与生活》知识，说明法律规定“竞业限制”并对其加以限制的原因。</w:t>
      </w:r>
    </w:p>
    <w:p>
      <w:pPr>
        <w:pStyle w:val="ListBullet"/>
        <w:spacing w:after="30"/>
      </w:pPr>
      <w:r>
        <w:t>A轴主入口：A8_劳动关系</w:t>
      </w:r>
    </w:p>
    <w:p>
      <w:pPr>
        <w:pStyle w:val="ListBullet"/>
        <w:spacing w:after="30"/>
      </w:pPr>
      <w:r>
        <w:t>v13.7入口后工具提示：先看人格、经济、组织三从属性；事实用工管理、报酬、考核、持续劳动比合同名称更关键。</w:t>
      </w:r>
    </w:p>
    <w:p>
      <w:pPr>
        <w:pStyle w:val="ListBullet"/>
        <w:spacing w:after="30"/>
      </w:pPr>
      <w:r>
        <w:t>A轴副入口/边界：有：A5_知识产权与竞争秩序</w:t>
      </w:r>
    </w:p>
    <w:p>
      <w:pPr>
        <w:pStyle w:val="ListBullet"/>
        <w:spacing w:after="30"/>
      </w:pPr>
      <w:r>
        <w:t>B轴设问动作：B5_意义/价值/保护/推动；v12.2旧入口：E2_判决裁判责任理由</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双轴裁决说明：竞业限制在劳动关系内平衡商业秘密和就业权。</w:t>
      </w:r>
    </w:p>
    <w:p>
      <w:pPr>
        <w:pStyle w:val="ListBullet"/>
        <w:spacing w:after="30"/>
      </w:pPr>
      <w:r>
        <w:t>命题路径：先定A8_劳动关系，再按B5_意义/价值/保护/推动作答；Round05补丁：题干问竞业限制及加以限制的原因，本质是制度价值与权利平衡。</w:t>
      </w:r>
    </w:p>
    <w:p>
      <w:pPr>
        <w:pStyle w:val="ListBullet"/>
        <w:spacing w:after="30"/>
      </w:pPr>
      <w:r>
        <w:t>材料核心：21. 阅读材料，完成问题。 “竞业限制”是指用人单位与劳动者之间约定，劳动者在离职后不得到生产同类产品或经营同类产业且有竞争关系的其他用人单位任职，也不得自己生产与原单位有竞争关系的同类产品或经营同类业务。 案例一：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w:t>
      </w:r>
    </w:p>
    <w:p>
      <w:pPr>
        <w:pStyle w:val="ListBullet"/>
        <w:spacing w:after="30"/>
      </w:pPr>
      <w:r>
        <w:t>评分锚点：先写竞业限制是为了保护用人单位商业秘密和竞争利益。 / 再写竞业限制会影响劳动者就业权，因此必须依法、合理、适度。 / 最后写法律既保护企业创新，也保障劳动者自主择业和人才合理流动。</w:t>
      </w:r>
    </w:p>
    <w:p>
      <w:pPr>
        <w:pStyle w:val="ListBullet"/>
        <w:spacing w:after="30"/>
      </w:pPr>
      <w:r>
        <w:t>材料触发：竞业限制保护商业秘密 → 企业有保护合法权益的需要 → 法律允许合理限制；竞业限制影响劳动者就业 → 限制必须合法、合理、适度 → 不能过度剥夺劳动权利；法律对竞业限制加以限制 → 平衡企业创新利益和劳动者就业权益 → 维护公平竞争和人才流动</w:t>
      </w:r>
    </w:p>
    <w:p>
      <w:pPr>
        <w:pStyle w:val="ListBullet"/>
        <w:spacing w:after="30"/>
      </w:pPr>
      <w:r>
        <w:t>答案骨架：先写竞业限制是为了保护用人单位商业秘密和竞争利益。 / 再写竞业限制会影响劳动者就业权，因此必须依法、合理、适度。 / 最后写法律既保护企业创新，也保障劳动者自主择业和人才合理流动。</w:t>
      </w:r>
    </w:p>
    <w:p>
      <w:pPr>
        <w:pStyle w:val="ListBullet"/>
        <w:spacing w:after="30"/>
      </w:pPr>
      <w:r>
        <w:t>学生预警：平台三从属性（无平台事实时）；消费者；知识产权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7. CC0195_2025_西城_一模_20</w:t>
      </w:r>
    </w:p>
    <w:p>
      <w:pPr>
        <w:pStyle w:val="ListBullet"/>
        <w:spacing w:after="30"/>
      </w:pPr>
      <w:r>
        <w:t>区年卷题：2025年 西城 一模 第20题</w:t>
      </w:r>
    </w:p>
    <w:p>
      <w:pPr>
        <w:pStyle w:val="ListBullet"/>
        <w:spacing w:after="30"/>
      </w:pPr>
      <w:r>
        <w:t>设问动作：结合材料，综合运用经济和法律的知识，说明上述做法能促进社会公平与经济效率的平衡。</w:t>
      </w:r>
    </w:p>
    <w:p>
      <w:pPr>
        <w:pStyle w:val="ListBullet"/>
        <w:spacing w:after="30"/>
      </w:pPr>
      <w:r>
        <w:t>A轴主入口：A8_劳动关系</w:t>
      </w:r>
    </w:p>
    <w:p>
      <w:pPr>
        <w:pStyle w:val="ListBullet"/>
        <w:spacing w:after="30"/>
      </w:pPr>
      <w:r>
        <w:t>v13.7入口后工具提示：先看人格、经济、组织三从属性；事实用工管理、报酬、考核、持续劳动比合同名称更关键。</w:t>
      </w:r>
    </w:p>
    <w:p>
      <w:pPr>
        <w:pStyle w:val="ListBullet"/>
        <w:spacing w:after="30"/>
      </w:pPr>
      <w:r>
        <w:t>A轴副入口/边界：有：A10_多元纠纷解决与诉讼程序</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双轴裁决说明：工会平台、集体协商、工资工时和劳动定额属于劳动关系主轴。</w:t>
      </w:r>
    </w:p>
    <w:p>
      <w:pPr>
        <w:pStyle w:val="ListBullet"/>
        <w:spacing w:after="30"/>
      </w:pPr>
      <w:r>
        <w:t>命题路径：先定A8_劳动关系，再按B5_意义/价值/保护/推动作答；v12.2路径：法律规则/制度 -&gt; 保护对象或治理对象 -&gt; 行为方式 -&gt; 秩序与权益效果。</w:t>
      </w:r>
    </w:p>
    <w:p>
      <w:pPr>
        <w:pStyle w:val="ListBullet"/>
        <w:spacing w:after="30"/>
      </w:pPr>
      <w:r>
        <w:t>材料核心：全国总工会、人社部等启动集体协商“集中要约行动”，指导工会与企业开展集体协商、签订集体合同；各级工会把工资调整幅度、加班工资基数、劳动定额标准、工资支付办法等作为协商核心议题。</w:t>
      </w:r>
    </w:p>
    <w:p>
      <w:pPr>
        <w:pStyle w:val="ListBullet"/>
        <w:spacing w:after="30"/>
      </w:pPr>
      <w:r>
        <w:t>评分锚点：先写集体协商是劳动者依法表达利益诉求的机制。 / 再写工资、加班、劳动定额等议题关系劳动者权益和企业管理。 / 最后落到公平保护劳动者、效率稳定企业生产，两者通过协商机制实现平衡。</w:t>
      </w:r>
    </w:p>
    <w:p>
      <w:pPr>
        <w:pStyle w:val="ListBullet"/>
        <w:spacing w:after="30"/>
      </w:pPr>
      <w:r>
        <w:t>材料触发：工会指导企业开展集体协商并签订集体合同 → 通过法定协商机制表达劳动者诉求 → 保护劳动者合法权益、促进社会公平；工资调整、加班工资、劳动定额、工资支付办法进入协商议题 → 明确劳动报酬和劳动条件 → 减少劳动争议，规范企业用工；企业与劳动者形成稳定协商关系 → 兼顾劳动者积极性和企业正常经营 → 促进效率提升与和谐劳动关系</w:t>
      </w:r>
    </w:p>
    <w:p>
      <w:pPr>
        <w:pStyle w:val="ListBullet"/>
        <w:spacing w:after="30"/>
      </w:pPr>
      <w:r>
        <w:t>答案骨架：先写集体协商是劳动者依法表达利益诉求的机制。 / 再写工资、加班、劳动定额等议题关系劳动者权益和企业管理。 / 最后落到公平保护劳动者、效率稳定企业生产，两者通过协商机制实现平衡。</w:t>
      </w:r>
    </w:p>
    <w:p>
      <w:pPr>
        <w:pStyle w:val="ListBullet"/>
        <w:spacing w:after="30"/>
      </w:pPr>
      <w:r>
        <w:t>学生预警：只写经济效率；只写工会政治作用；脱离劳动法写共同富裕套话</w:t>
      </w:r>
    </w:p>
    <w:p>
      <w:pPr>
        <w:pStyle w:val="ListBullet"/>
        <w:spacing w:after="30"/>
      </w:pPr>
      <w:r>
        <w:t>源检边界：Keep as law-supported labor-rights fairness/efficiency evidence: union platform + collective contract + labor-rights protection + enterprise lawful employment + efficiency. Do not classify as non-legal economics by default.</w:t>
      </w:r>
    </w:p>
    <w:p>
      <w:pPr>
        <w:pStyle w:val="ListBullet"/>
        <w:spacing w:after="30"/>
      </w:pPr>
      <w:r>
        <w:t>证据状态：PASS；source_check_state=formal_locked；source_check_decision=KEEP_CORE</w:t>
      </w:r>
    </w:p>
    <w:p>
      <w:pPr>
        <w:pStyle w:val="Heading2"/>
      </w:pPr>
      <w:r>
        <w:t>A9_消费者权益与经营者义务（4题）</w:t>
      </w:r>
    </w:p>
    <w:p>
      <w:pPr>
        <w:pStyle w:val="Heading3"/>
      </w:pPr>
      <w:r>
        <w:t>1. CC0200_2025_西城_二模_18</w:t>
      </w:r>
    </w:p>
    <w:p>
      <w:pPr>
        <w:pStyle w:val="ListBullet"/>
        <w:spacing w:after="30"/>
      </w:pPr>
      <w:r>
        <w:t>区年卷题：2025年 西城 二模 第18题</w:t>
      </w:r>
    </w:p>
    <w:p>
      <w:pPr>
        <w:pStyle w:val="ListBullet"/>
        <w:spacing w:after="30"/>
      </w:pPr>
      <w:r>
        <w:t>设问动作：结合材料，运用《法律与生活》的知识，分析人民法院的判决结果。</w:t>
      </w:r>
    </w:p>
    <w:p>
      <w:pPr>
        <w:pStyle w:val="ListBullet"/>
        <w:spacing w:after="30"/>
      </w:pPr>
      <w:r>
        <w:t>A轴主入口：A9_消费者权益与经营者义务</w:t>
      </w:r>
    </w:p>
    <w:p>
      <w:pPr>
        <w:pStyle w:val="ListBullet"/>
        <w:spacing w:after="30"/>
      </w:pPr>
      <w:r>
        <w:t>v13.7入口后工具提示：消费者场景优先写知情、公平交易、安全保障、格式条款、退赔和欺诈；未成年人直播打赏用 A9 主场景加 A1 脊柱。</w:t>
      </w:r>
    </w:p>
    <w:p>
      <w:pPr>
        <w:pStyle w:val="ListBullet"/>
        <w:spacing w:after="30"/>
      </w:pPr>
      <w:r>
        <w:t>A轴副入口/边界：有：A1_民事法律关系总论</w:t>
      </w:r>
    </w:p>
    <w:p>
      <w:pPr>
        <w:pStyle w:val="ListBullet"/>
        <w:spacing w:after="30"/>
      </w:pPr>
      <w:r>
        <w:t>B轴设问动作：B2_判决/裁判/责任理由；v12.2旧入口：E2_判决裁判责任理由</w:t>
      </w:r>
    </w:p>
    <w:p>
      <w:pPr>
        <w:pStyle w:val="ListBullet"/>
        <w:spacing w:after="30"/>
      </w:pPr>
      <w:r>
        <w:t>v13.7设问动作提示：判决/责任理由题按“法律关系 -&gt; 规则 -&gt; 事实 -&gt; 裁判结论 -&gt; 边界或责任分担”写，不要先写意义价值。</w:t>
      </w:r>
    </w:p>
    <w:p>
      <w:pPr>
        <w:pStyle w:val="ListBullet"/>
        <w:spacing w:after="30"/>
      </w:pPr>
      <w:r>
        <w:t>双轴裁决说明：直播打赏发生在消费者/平台交易场景，未成年人行为能力作为关键副轴。 Round05 guardrail：本题A9是直播平台交易场景，得分脊柱在A1限制民事行为能力、追认和责任分担；不得写成单纯消费者保护。</w:t>
      </w:r>
    </w:p>
    <w:p>
      <w:pPr>
        <w:pStyle w:val="ListBullet"/>
        <w:spacing w:after="30"/>
      </w:pPr>
      <w:r>
        <w:t>命题路径：先定A9_消费者权益与经营者义务，再按B2_判决/裁判/责任理由作答；v12.2路径：裁判对象 -&gt; 法律关系 -&gt; 要件/过错/程序/责任 -&gt; 裁判结论与边界。</w:t>
      </w:r>
    </w:p>
    <w:p>
      <w:pPr>
        <w:pStyle w:val="ListBullet"/>
        <w:spacing w:after="30"/>
      </w:pPr>
      <w:r>
        <w:t>材料核心：17 岁小刘背着家长、绕过平台监管打赏多名网络主播，金额高达 45 万余元；家长事先不知情、事后不追认；平台发现异常后采取限制措施，但小刘冒充监护人与平台客服沟通，绕过限制；家长诉请返还打赏款。</w:t>
      </w:r>
    </w:p>
    <w:p>
      <w:pPr>
        <w:pStyle w:val="ListBullet"/>
        <w:spacing w:after="30"/>
      </w:pPr>
      <w:r>
        <w:t>评分锚点：先写小刘是限制民事行为能力人，大额打赏未经监护人追认，交易效力有问题。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pStyle w:val="ListBullet"/>
        <w:spacing w:after="30"/>
      </w:pPr>
      <w:r>
        <w:t>材料触发：17 岁小刘为限制民事行为能力人，大额打赏与其年龄智力不相适应，且监护人未追认 → 民事法律行为效力有问题 → 返还请求有基础；平台审核措施不完善，未尽合理审查义务 → 平台有过错 → 不能把责任全推给未成年人家庭；父母疏于监管，小刘本人通过欺骗方式规避监管 → 监护人和本人也有过错 → 根据公平原则合理分担责任</w:t>
      </w:r>
    </w:p>
    <w:p>
      <w:pPr>
        <w:pStyle w:val="ListBullet"/>
        <w:spacing w:after="30"/>
      </w:pPr>
      <w:r>
        <w:t>答案骨架：先写小刘是限制民事行为能力人，大额打赏未经监护人追认，交易效力有问题。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pStyle w:val="ListBullet"/>
        <w:spacing w:after="30"/>
      </w:pPr>
      <w:r>
        <w:t>学生预警：合同/格式条款；平台用工；知识产权；消费者欺诈；裸写意义价值；Round05 guardrail：本题A9是直播平台交易场景，得分脊柱在A1限制民事行为能力、追认和责任分担；不得写成单纯消费者保护。</w:t>
      </w:r>
    </w:p>
    <w:p>
      <w:pPr>
        <w:pStyle w:val="ListBullet"/>
        <w:spacing w:after="30"/>
      </w:pPr>
      <w:r>
        <w:t>源检边界：Round05 guardrail：本题A9是直播平台交易场景，得分脊柱在A1限制民事行为能力、追认和责任分担；不得写成单纯消费者保护。</w:t>
      </w:r>
    </w:p>
    <w:p>
      <w:pPr>
        <w:pStyle w:val="ListBullet"/>
        <w:spacing w:after="30"/>
      </w:pPr>
      <w:r>
        <w:t>证据状态：PASS；source_check_state=not_in_round03_source_check；source_check_decision=covered_by_prior_locked_core</w:t>
      </w:r>
    </w:p>
    <w:p>
      <w:pPr>
        <w:pStyle w:val="Heading3"/>
      </w:pPr>
      <w:r>
        <w:t>2. CC0143_2025_朝阳_一模_19</w:t>
      </w:r>
    </w:p>
    <w:p>
      <w:pPr>
        <w:pStyle w:val="ListBullet"/>
        <w:spacing w:after="30"/>
      </w:pPr>
      <w:r>
        <w:t>区年卷题：2025年 朝阳 一模 第19题</w:t>
      </w:r>
    </w:p>
    <w:p>
      <w:pPr>
        <w:pStyle w:val="ListBullet"/>
        <w:spacing w:after="30"/>
      </w:pPr>
      <w:r>
        <w:t>设问动作：结合材料，运用《法律与生活》知识，说明人民法院支持王某的诉讼请求的理由。</w:t>
      </w:r>
    </w:p>
    <w:p>
      <w:pPr>
        <w:pStyle w:val="ListBullet"/>
        <w:spacing w:after="30"/>
      </w:pPr>
      <w:r>
        <w:t>A轴主入口：A9_消费者权益与经营者义务</w:t>
      </w:r>
    </w:p>
    <w:p>
      <w:pPr>
        <w:pStyle w:val="ListBullet"/>
        <w:spacing w:after="30"/>
      </w:pPr>
      <w:r>
        <w:t>v13.7入口后工具提示：消费者场景优先写知情、公平交易、安全保障、格式条款、退赔和欺诈；未成年人直播打赏用 A9 主场景加 A1 脊柱。</w:t>
      </w:r>
    </w:p>
    <w:p>
      <w:pPr>
        <w:pStyle w:val="ListBullet"/>
        <w:spacing w:after="30"/>
      </w:pPr>
      <w:r>
        <w:t>A轴副入口/边界：有：A4_合同</w:t>
      </w:r>
    </w:p>
    <w:p>
      <w:pPr>
        <w:pStyle w:val="ListBullet"/>
        <w:spacing w:after="30"/>
      </w:pPr>
      <w:r>
        <w:t>B轴设问动作：B3_诉求/请求能否支持；v12.2旧入口：E3_诉求请求能否支持</w:t>
      </w:r>
    </w:p>
    <w:p>
      <w:pPr>
        <w:pStyle w:val="ListBullet"/>
        <w:spacing w:after="30"/>
      </w:pPr>
      <w:r>
        <w:t>v13.7设问动作提示：诉求能否支持题先给支持/不支持/部分支持，再逐项写权利基础、构成要件、责任方式和惩罚性赔偿边界。</w:t>
      </w:r>
    </w:p>
    <w:p>
      <w:pPr>
        <w:pStyle w:val="ListBullet"/>
        <w:spacing w:after="30"/>
      </w:pPr>
      <w:r>
        <w:t>双轴裁决说明：平台捆绑购票和诱导购买以消费者知情选择为主轴，合同撤销/格式安排为副轴。</w:t>
      </w:r>
    </w:p>
    <w:p>
      <w:pPr>
        <w:pStyle w:val="ListBullet"/>
        <w:spacing w:after="30"/>
      </w:pPr>
      <w:r>
        <w:t>命题路径：先定A9_消费者权益与经营者义务，再按B3_诉求/请求能否支持作答；v12.2路径：诉求对象 -&gt; 权利基础 -&gt; 法律要件 -&gt; 支持/不支持及理由。</w:t>
      </w:r>
    </w:p>
    <w:p>
      <w:pPr>
        <w:pStyle w:val="ListBullet"/>
        <w:spacing w:after="30"/>
      </w:pPr>
      <w:r>
        <w:t>材料核心：机票代销平台在交易中隐蔽搭售/诱导消费者购买增值服务，消费者无法清楚知悉或有效拒绝；争点是合同成立后是否可撤销及三倍赔偿。</w:t>
      </w:r>
    </w:p>
    <w:p>
      <w:pPr>
        <w:pStyle w:val="ListBullet"/>
        <w:spacing w:after="30"/>
      </w:pPr>
      <w:r>
        <w:t>评分锚点：先写平台作为经营者应真实、全面告知服务信息，保障消费者知情权和自主选择权。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pStyle w:val="ListBullet"/>
        <w:spacing w:after="30"/>
      </w:pPr>
      <w:r>
        <w:t>材料触发：机票代销平台隐蔽搭售 → 经营者未真实充分告知 → 损害知情权和自主选择权；消费者无法清楚知悉或有效拒绝 → 合同成立不等于消费者意思表示真实充分 → 可撤销或退赔；平台行为构成欺诈 → 符合惩罚性赔偿条件 → 法院支持相应诉求</w:t>
      </w:r>
    </w:p>
    <w:p>
      <w:pPr>
        <w:pStyle w:val="ListBullet"/>
        <w:spacing w:after="30"/>
      </w:pPr>
      <w:r>
        <w:t>答案骨架：先写平台作为经营者应真实、全面告知服务信息，保障消费者知情权和自主选择权。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pStyle w:val="ListBullet"/>
        <w:spacing w:after="30"/>
      </w:pPr>
      <w:r>
        <w:t>学生预警：平台用工；三从属性；普通劳动关系</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CC0063_2024_西城_二模_16</w:t>
      </w:r>
    </w:p>
    <w:p>
      <w:pPr>
        <w:pStyle w:val="ListBullet"/>
        <w:spacing w:after="30"/>
      </w:pPr>
      <w:r>
        <w:t>区年卷题：2024年 西城 二模 第16题</w:t>
      </w:r>
    </w:p>
    <w:p>
      <w:pPr>
        <w:pStyle w:val="ListBullet"/>
        <w:spacing w:after="30"/>
      </w:pPr>
      <w:r>
        <w:t>设问动作：结合材料，运用《法律与生活》的知识，分析人民法院判决的意义。</w:t>
      </w:r>
    </w:p>
    <w:p>
      <w:pPr>
        <w:pStyle w:val="ListBullet"/>
        <w:spacing w:after="30"/>
      </w:pPr>
      <w:r>
        <w:t>A轴主入口：A9_消费者权益与经营者义务</w:t>
      </w:r>
    </w:p>
    <w:p>
      <w:pPr>
        <w:pStyle w:val="ListBullet"/>
        <w:spacing w:after="30"/>
      </w:pPr>
      <w:r>
        <w:t>v13.7入口后工具提示：消费者场景优先写知情、公平交易、安全保障、格式条款、退赔和欺诈；未成年人直播打赏用 A9 主场景加 A1 脊柱。</w:t>
      </w:r>
    </w:p>
    <w:p>
      <w:pPr>
        <w:pStyle w:val="ListBullet"/>
        <w:spacing w:after="30"/>
      </w:pPr>
      <w:r>
        <w:t>A轴副入口/边界：有：A1_民事法律关系总论</w:t>
      </w:r>
    </w:p>
    <w:p>
      <w:pPr>
        <w:pStyle w:val="ListBullet"/>
        <w:spacing w:after="30"/>
      </w:pPr>
      <w:r>
        <w:t>B轴设问动作：B5_意义/价值/保护/推动；v12.2旧入口：E5_意义价值作用保护推动</w:t>
      </w:r>
    </w:p>
    <w:p>
      <w:pPr>
        <w:pStyle w:val="ListBullet"/>
        <w:spacing w:after="30"/>
      </w:pPr>
      <w:r>
        <w:t>v13.7设问动作提示：意义/价值题要先抓法律规则和治理对象，再写如何保护权利、规范行为、维护秩序；价值必须由材料规则推出。</w:t>
      </w:r>
    </w:p>
    <w:p>
      <w:pPr>
        <w:pStyle w:val="ListBullet"/>
        <w:spacing w:after="30"/>
      </w:pPr>
      <w:r>
        <w:t>双轴裁决说明：食品安全、惩罚性赔偿和消费者身份边界。</w:t>
      </w:r>
    </w:p>
    <w:p>
      <w:pPr>
        <w:pStyle w:val="ListBullet"/>
        <w:spacing w:after="30"/>
      </w:pPr>
      <w:r>
        <w:t>命题路径：先定A9_消费者权益与经营者义务，再按B5_意义/价值/保护/推动作答；v12.2路径：法律规则/制度 -&gt; 保护对象或治理对象 -&gt; 行为方式 -&gt; 秩序与权益效果。</w:t>
      </w:r>
    </w:p>
    <w:p>
      <w:pPr>
        <w:pStyle w:val="ListBullet"/>
        <w:spacing w:after="30"/>
      </w:pPr>
      <w:r>
        <w:t>材料核心：16．（8分） 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 审理法院认为，某食品科技有限公司违反我国关于食品安全的相关规定，属于生产经营不符合食品安全标准食品的行为，应依法承担责任。市民甲首单购买的30盒…</w:t>
      </w:r>
    </w:p>
    <w:p>
      <w:pPr>
        <w:pStyle w:val="ListBullet"/>
        <w:spacing w:after="30"/>
      </w:pPr>
      <w:r>
        <w:t>评分锚点：先写经营者销售不合格食品损害消费者权益，首单维权应获支持。 / 再写后续知假大量购买带有牟利性，不能机械支持全部惩罚性赔偿。 / 最后写判决兼顾食品安全保护与诚信行使权利。</w:t>
      </w:r>
    </w:p>
    <w:p>
      <w:pPr>
        <w:pStyle w:val="ListBullet"/>
        <w:spacing w:after="30"/>
      </w:pPr>
      <w:r>
        <w:t>材料触发：首单购买不合格食品 → 消费者合法权益受损 → 可依法支持赔偿请求；后续明知问题仍扩大购买 → 权利行使超出生活消费需要 → 法院可不支持牟利性扩大赔偿；判决区分首单和后续 → 保护消费者也防止滥用权利 → 维护食品安全和诚信秩序</w:t>
      </w:r>
    </w:p>
    <w:p>
      <w:pPr>
        <w:pStyle w:val="ListBullet"/>
        <w:spacing w:after="30"/>
      </w:pPr>
      <w:r>
        <w:t>答案骨架：先写经营者销售不合格食品损害消费者权益，首单维权应获支持。 / 再写后续知假大量购买带有牟利性，不能机械支持全部惩罚性赔偿。 / 最后写判决兼顾食品安全保护与诚信行使权利。</w:t>
      </w:r>
    </w:p>
    <w:p>
      <w:pPr>
        <w:pStyle w:val="ListBullet"/>
        <w:spacing w:after="30"/>
      </w:pPr>
      <w:r>
        <w:t>学生预警：普通合同成立；平台用工；知识产权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4. CC0125_2025_延庆_一模_19</w:t>
      </w:r>
    </w:p>
    <w:p>
      <w:pPr>
        <w:pStyle w:val="ListBullet"/>
        <w:spacing w:after="30"/>
      </w:pPr>
      <w:r>
        <w:t>区年卷题：2025年 延庆 一模 第19题</w:t>
      </w:r>
    </w:p>
    <w:p>
      <w:pPr>
        <w:pStyle w:val="ListBullet"/>
        <w:spacing w:after="30"/>
      </w:pPr>
      <w:r>
        <w:t>设问动作：运用《法律与生活》知识，说明你会如何进行调解并说 明理由。</w:t>
      </w:r>
    </w:p>
    <w:p>
      <w:pPr>
        <w:pStyle w:val="ListBullet"/>
        <w:spacing w:after="30"/>
      </w:pPr>
      <w:r>
        <w:t>A轴主入口：A9_消费者权益与经营者义务</w:t>
      </w:r>
    </w:p>
    <w:p>
      <w:pPr>
        <w:pStyle w:val="ListBullet"/>
        <w:spacing w:after="30"/>
      </w:pPr>
      <w:r>
        <w:t>v13.7入口后工具提示：消费者场景优先写知情、公平交易、安全保障、格式条款、退赔和欺诈；未成年人直播打赏用 A9 主场景加 A1 脊柱。</w:t>
      </w:r>
    </w:p>
    <w:p>
      <w:pPr>
        <w:pStyle w:val="ListBullet"/>
        <w:spacing w:after="30"/>
      </w:pPr>
      <w:r>
        <w:t>A轴副入口/边界：有：A4_合同;A10_多元纠纷解决与诉讼程序</w:t>
      </w:r>
    </w:p>
    <w:p>
      <w:pPr>
        <w:pStyle w:val="ListBullet"/>
        <w:spacing w:after="30"/>
      </w:pPr>
      <w:r>
        <w:t>B轴设问动作：B6_调解/维权/纠纷解决路径；v12.2旧入口：E6_调解维权纠纷解决证据路径</w:t>
      </w:r>
    </w:p>
    <w:p>
      <w:pPr>
        <w:pStyle w:val="ListBullet"/>
        <w:spacing w:after="30"/>
      </w:pPr>
      <w:r>
        <w:t>v13.7设问动作提示：维权路径题写清主体、证据、协商/调解/仲裁/诉讼路径、请求内容和程序边界。</w:t>
      </w:r>
    </w:p>
    <w:p>
      <w:pPr>
        <w:pStyle w:val="ListBullet"/>
        <w:spacing w:after="30"/>
      </w:pPr>
      <w:r>
        <w:t>双轴裁决说明：网购退款不退货以消费者/经营者公平交易为主，买卖合同和调解为副轴。</w:t>
      </w:r>
    </w:p>
    <w:p>
      <w:pPr>
        <w:pStyle w:val="ListBullet"/>
        <w:spacing w:after="30"/>
      </w:pPr>
      <w:r>
        <w:t>命题路径：先定A9_消费者权益与经营者义务，再按B6_调解/维权/纠纷解决路径作答；v12.2路径：纠纷事实 -&gt; 权利受损或争议焦点 -&gt; 路径/主体/证据 -&gt; 救济方案。</w:t>
      </w:r>
    </w:p>
    <w:p>
      <w:pPr>
        <w:pStyle w:val="ListBullet"/>
        <w:spacing w:after="30"/>
      </w:pPr>
      <w:r>
        <w:t>材料核心：19. 网络经济持续健康发展，需要法治护航。 案情：杨某在贾某经营的网店下单DIY 模具类商品4 件，售价78 元，杨某签收后对商品不满意，在 未与贾某协商一致的情况下，直接点击了“仅退款”并退款成功。贾某要求杨某退回商品，杨某表示已经 将商品扔掉，无法退回。 贾某认为双方应当先确定货物是否存在质量问题，是否符合“仅退款”标准。杨某退款后应当退还货 物，虽然商品实际售价仅78 元，但杨某恶意“仅退款”的做法让自己遭受了商品损失和邮费损失。杨某 则认为商品质量不合格，达不到预期…</w:t>
      </w:r>
    </w:p>
    <w:p>
      <w:pPr>
        <w:pStyle w:val="ListBullet"/>
        <w:spacing w:after="30"/>
      </w:pPr>
      <w:r>
        <w:t>评分锚点：先表明调解应围绕诚信原则和公平原则。 / 再说明消费者不能退款后占有商品，商家也要举证商品质量和损失。 / 最后提出退货、补偿或协商方案，兼顾双方利益。</w:t>
      </w:r>
    </w:p>
    <w:p>
      <w:pPr>
        <w:pStyle w:val="ListBullet"/>
        <w:spacing w:after="30"/>
      </w:pPr>
      <w:r>
        <w:t>材料触发：消费者退款后未退货 → 合同解除或退款后应返还相应利益 → 诚信原则约束双方；商品质量争议证据不足 → 调解不能直接偏向一方 → 要提示证据意识；商家损失较小且纠纷适合协商 → 调解方案应兼顾公平和效率 → 促成退货/合理补偿</w:t>
      </w:r>
    </w:p>
    <w:p>
      <w:pPr>
        <w:pStyle w:val="ListBullet"/>
        <w:spacing w:after="30"/>
      </w:pPr>
      <w:r>
        <w:t>答案骨架：先表明调解应围绕诚信原则和公平原则。 / 再说明消费者不能退款后占有商品，商家也要举证商品质量和损失。 / 最后提出退货、补偿或协商方案，兼顾双方利益。</w:t>
      </w:r>
    </w:p>
    <w:p>
      <w:pPr>
        <w:pStyle w:val="ListBullet"/>
        <w:spacing w:after="30"/>
      </w:pPr>
      <w:r>
        <w:t>学生预警：惩罚性赔偿；平台用工；知识产权</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2"/>
      </w:pPr>
      <w:r>
        <w:t>A10_多元纠纷解决与诉讼程序（3题）</w:t>
      </w:r>
    </w:p>
    <w:p>
      <w:pPr>
        <w:pStyle w:val="Heading3"/>
      </w:pPr>
      <w:r>
        <w:t>1. CC0077_2025_东城_一模_19</w:t>
      </w:r>
    </w:p>
    <w:p>
      <w:pPr>
        <w:pStyle w:val="ListBullet"/>
        <w:spacing w:after="30"/>
      </w:pPr>
      <w:r>
        <w:t>区年卷题：2025年 东城 一模 第19题</w:t>
      </w:r>
    </w:p>
    <w:p>
      <w:pPr>
        <w:pStyle w:val="ListBullet"/>
        <w:spacing w:after="30"/>
      </w:pPr>
      <w:r>
        <w:t>设问动作：阅读材料，完成下表。</w:t>
      </w:r>
    </w:p>
    <w:p>
      <w:pPr>
        <w:pStyle w:val="ListBullet"/>
        <w:spacing w:after="30"/>
      </w:pPr>
      <w:r>
        <w:t>A轴主入口：A10_多元纠纷解决与诉讼程序</w:t>
      </w:r>
    </w:p>
    <w:p>
      <w:pPr>
        <w:pStyle w:val="ListBullet"/>
        <w:spacing w:after="30"/>
      </w:pPr>
      <w:r>
        <w:t>v13.7入口后工具提示：只有纠纷解决机制、证据、举证、仲裁、调解、诉讼类型本身成为评分对象时，A10 才做主入口。</w:t>
      </w:r>
    </w:p>
    <w:p>
      <w:pPr>
        <w:pStyle w:val="ListBullet"/>
        <w:spacing w:after="30"/>
      </w:pPr>
      <w:r>
        <w:t>A轴副入口/边界：有：A4_合同;A8_劳动关系;A7_婚姻家庭与继承</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双轴裁决说明：三案同表，程序/调解是形式主线，合同、劳动、继承作为内容副轴。</w:t>
      </w:r>
    </w:p>
    <w:p>
      <w:pPr>
        <w:pStyle w:val="ListBullet"/>
        <w:spacing w:after="30"/>
      </w:pPr>
      <w:r>
        <w:t>命题路径：先定A10_多元纠纷解决与诉讼程序，再按B1_表格/裁判要点/补链作答；v12.2路径：形式触发 -&gt; 一格一链 -&gt; 法律关系/法律要件 -&gt; 格内结论。</w:t>
      </w:r>
    </w:p>
    <w:p>
      <w:pPr>
        <w:pStyle w:val="ListBullet"/>
        <w:spacing w:after="30"/>
      </w:pPr>
      <w:r>
        <w:t>材料核心：三个案例：家装合同逾期后诉讼调解解决；医院与柳某培训协议、服务期未满辞职后申请返还违约金被仲裁驳回；顾氏三兄弟照顾孤寡老人并申请指定遗产管理人，最终获得部分遗产分配。</w:t>
      </w:r>
    </w:p>
    <w:p>
      <w:pPr>
        <w:pStyle w:val="ListBullet"/>
        <w:spacing w:after="30"/>
      </w:pPr>
      <w:r>
        <w:t>评分锚点：案件一填诉讼调解，写低标的争议通过调解化解。 / 案件二写培训协议有效，劳动者应守约，权利义务要统一。 / 案件三写遗产管理制度和事实扶养，落到财产保护与友善孝老。</w:t>
      </w:r>
    </w:p>
    <w:p>
      <w:pPr>
        <w:pStyle w:val="ListBullet"/>
        <w:spacing w:after="30"/>
      </w:pPr>
      <w:r>
        <w:t>材料触发：家装合同逾期进入诉讼程序后法官释法促赔 → 诉讼调解 → 既解法结又解心结，避免损失扩大；医院出资培训、柳某服务期未满辞职又申请返还违约金 → 劳动者权利义务统一、协议有效应守信 → 规范劳动者行为并维护用人单位权益；顾氏三兄弟长期照顾孤寡老人并申请指定遗产管理人 → 事实扶养与遗产管理制度 → 保护财产继承秩序，弘扬友善孝老</w:t>
      </w:r>
    </w:p>
    <w:p>
      <w:pPr>
        <w:pStyle w:val="ListBullet"/>
        <w:spacing w:after="30"/>
      </w:pPr>
      <w:r>
        <w:t>答案骨架：案件一填诉讼调解，写低标的争议通过调解化解。 / 案件二写培训协议有效，劳动者应守约，权利义务要统一。 / 案件三写遗产管理制度和事实扶养，落到财产保护与友善孝老。</w:t>
      </w:r>
    </w:p>
    <w:p>
      <w:pPr>
        <w:pStyle w:val="ListBullet"/>
        <w:spacing w:after="30"/>
      </w:pPr>
      <w:r>
        <w:t>学生预警：把三案都写成法院公正司法；把案件一只写合同违约；把遗产管理写成普通继承口号</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2. CC0325_2026_石景山_一模_18</w:t>
      </w:r>
    </w:p>
    <w:p>
      <w:pPr>
        <w:pStyle w:val="ListBullet"/>
        <w:spacing w:after="30"/>
      </w:pPr>
      <w:r>
        <w:t>区年卷题：2026年 石景山 一模 第18题</w:t>
      </w:r>
    </w:p>
    <w:p>
      <w:pPr>
        <w:pStyle w:val="ListBullet"/>
        <w:spacing w:after="30"/>
      </w:pPr>
      <w:r>
        <w:t>设问动作：阅读材料，参考示例，分析案件中举证责任的分配方式及理由，完成下表。</w:t>
      </w:r>
    </w:p>
    <w:p>
      <w:pPr>
        <w:pStyle w:val="ListBullet"/>
        <w:spacing w:after="30"/>
      </w:pPr>
      <w:r>
        <w:t>A轴主入口：A10_多元纠纷解决与诉讼程序</w:t>
      </w:r>
    </w:p>
    <w:p>
      <w:pPr>
        <w:pStyle w:val="ListBullet"/>
        <w:spacing w:after="30"/>
      </w:pPr>
      <w:r>
        <w:t>v13.7入口后工具提示：只有纠纷解决机制、证据、举证、仲裁、调解、诉讼类型本身成为评分对象时，A10 才做主入口。</w:t>
      </w:r>
    </w:p>
    <w:p>
      <w:pPr>
        <w:pStyle w:val="ListBullet"/>
        <w:spacing w:after="30"/>
      </w:pPr>
      <w:r>
        <w:t>A轴副入口/边界：有：A5_知识产权与竞争秩序;A8_劳动关系;A6_侵权责任</w:t>
      </w:r>
    </w:p>
    <w:p>
      <w:pPr>
        <w:pStyle w:val="ListBullet"/>
        <w:spacing w:after="30"/>
      </w:pPr>
      <w:r>
        <w:t>B轴设问动作：B1_表格/裁判要点/补链；v12.2旧入口：E1_表格裁判要点补链</w:t>
      </w:r>
    </w:p>
    <w:p>
      <w:pPr>
        <w:pStyle w:val="ListBullet"/>
        <w:spacing w:after="30"/>
      </w:pPr>
      <w:r>
        <w:t>v13.7设问动作提示：表格题先读原列名；看不清时默认“材料事实|法律关系和要件|裁判要点/责任”。一行只写一条法律链，多案例分行，先总入口后行内入口。</w:t>
      </w:r>
    </w:p>
    <w:p>
      <w:pPr>
        <w:pStyle w:val="ListBullet"/>
        <w:spacing w:after="30"/>
      </w:pPr>
      <w:r>
        <w:t>双轴裁决说明：举证责任表以程序为主轴，三案分别牵出知识产权、劳动、侵权。</w:t>
      </w:r>
    </w:p>
    <w:p>
      <w:pPr>
        <w:pStyle w:val="ListBullet"/>
        <w:spacing w:after="30"/>
      </w:pPr>
      <w:r>
        <w:t>命题路径：先定A10_多元纠纷解决与诉讼程序，再按B1_表格/裁判要点/补链作答；v12.2路径：形式触发 -&gt; 一格一链 -&gt; 法律关系/法律要件 -&gt; 格内结论。</w:t>
      </w:r>
    </w:p>
    <w:p>
      <w:pPr>
        <w:pStyle w:val="ListBullet"/>
        <w:spacing w:after="30"/>
      </w:pPr>
      <w:r>
        <w:t>材料核心：案例一：公安机关移送后，人民检察院以侵犯著作权罪、销售侵权复制品罪提起公诉。案例二：某公司不服区人社局工伤认定及区政府行政复议决定，提起行政诉讼。案例三：业主卢某开窗时窗户脱落砸坏张某车辆，张某诉请赔偿。</w:t>
      </w:r>
    </w:p>
    <w:p>
      <w:pPr>
        <w:pStyle w:val="ListBullet"/>
        <w:spacing w:after="30"/>
      </w:pPr>
      <w:r>
        <w:t>评分锚点：案例一写公诉案件由检察院举证。 / 案例二写行政诉讼由行政机关举证行政行为合法。 / 案例三写民事诉讼中原告证明损害和因果，建筑物使用人证明无过错。</w:t>
      </w:r>
    </w:p>
    <w:p>
      <w:pPr>
        <w:pStyle w:val="ListBullet"/>
        <w:spacing w:after="30"/>
      </w:pPr>
      <w:r>
        <w:t>材料触发：侵犯著作权罪等公诉案件 → 人民检察院承担被告人有罪举证责任 → 保障控辩平等和无罪推定；公司不服工伤认定和行政复议决定提起行政诉讼 → 行政机关对行政行为合法性承担举证责任 → 督促依法行政，保护行政相对人；窗户脱落砸车引发民事侵权诉讼 → 原告证明损害事实和因果关系，建筑物使用人证明自己无过错 → 谁主张谁举证与过错推定结合</w:t>
      </w:r>
    </w:p>
    <w:p>
      <w:pPr>
        <w:pStyle w:val="ListBullet"/>
        <w:spacing w:after="30"/>
      </w:pPr>
      <w:r>
        <w:t>答案骨架：案例一写公诉案件由检察院举证。 / 案例二写行政诉讼由行政机关举证行政行为合法。 / 案例三写民事诉讼中原告证明损害和因果，建筑物使用人证明无过错。</w:t>
      </w:r>
    </w:p>
    <w:p>
      <w:pPr>
        <w:pStyle w:val="ListBullet"/>
        <w:spacing w:after="30"/>
      </w:pPr>
      <w:r>
        <w:t>学生预警：把三案都写成谁主张谁举证；把行政诉讼写成民事诉讼；只背程序不结合案件</w:t>
      </w:r>
    </w:p>
    <w:p>
      <w:pPr>
        <w:pStyle w:val="ListBullet"/>
        <w:spacing w:after="30"/>
      </w:pPr>
      <w:r>
        <w:t>源检边界：none</w:t>
      </w:r>
    </w:p>
    <w:p>
      <w:pPr>
        <w:pStyle w:val="ListBullet"/>
        <w:spacing w:after="30"/>
      </w:pPr>
      <w:r>
        <w:t>证据状态：PASS；source_check_state=not_in_round03_source_check；source_check_decision=covered_by_prior_locked_core</w:t>
      </w:r>
    </w:p>
    <w:p>
      <w:pPr>
        <w:pStyle w:val="Heading3"/>
      </w:pPr>
      <w:r>
        <w:t>3. CC0223_2025_顺义_一模_19</w:t>
      </w:r>
    </w:p>
    <w:p>
      <w:pPr>
        <w:pStyle w:val="ListBullet"/>
        <w:spacing w:after="30"/>
      </w:pPr>
      <w:r>
        <w:t>区年卷题：2025年 顺义 一模 第19题</w:t>
      </w:r>
    </w:p>
    <w:p>
      <w:pPr>
        <w:pStyle w:val="ListBullet"/>
        <w:spacing w:after="30"/>
      </w:pPr>
      <w:r>
        <w:t>设问动作：（1）运用《法律与生活》知识，分析上述案例是如何解决纠纷的。</w:t>
      </w:r>
    </w:p>
    <w:p>
      <w:pPr>
        <w:pStyle w:val="ListBullet"/>
        <w:spacing w:after="30"/>
      </w:pPr>
      <w:r>
        <w:t>A轴主入口：A10_多元纠纷解决与诉讼程序</w:t>
      </w:r>
    </w:p>
    <w:p>
      <w:pPr>
        <w:pStyle w:val="ListBullet"/>
        <w:spacing w:after="30"/>
      </w:pPr>
      <w:r>
        <w:t>v13.7入口后工具提示：只有纠纷解决机制、证据、举证、仲裁、调解、诉讼类型本身成为评分对象时，A10 才做主入口。</w:t>
      </w:r>
    </w:p>
    <w:p>
      <w:pPr>
        <w:pStyle w:val="ListBullet"/>
        <w:spacing w:after="30"/>
      </w:pPr>
      <w:r>
        <w:t>A轴副入口/边界：有：A3_物权与相邻关系;A5_知识产权与竞争秩序;A9_消费者权益与经营者义务</w:t>
      </w:r>
    </w:p>
    <w:p>
      <w:pPr>
        <w:pStyle w:val="ListBullet"/>
        <w:spacing w:after="30"/>
      </w:pPr>
      <w:r>
        <w:t>B轴设问动作：B6_调解/维权/纠纷解决路径；v12.2旧入口：E6_调解维权纠纷解决证据路径</w:t>
      </w:r>
    </w:p>
    <w:p>
      <w:pPr>
        <w:pStyle w:val="ListBullet"/>
        <w:spacing w:after="30"/>
      </w:pPr>
      <w:r>
        <w:t>v13.7设问动作提示：维权路径题写清主体、证据、协商/调解/仲裁/诉讼路径、请求内容和程序边界。</w:t>
      </w:r>
    </w:p>
    <w:p>
      <w:pPr>
        <w:pStyle w:val="ListBullet"/>
        <w:spacing w:after="30"/>
      </w:pPr>
      <w:r>
        <w:t>双轴裁决说明：两案都问纠纷如何解决，程序路径为主，分别牵出相邻和竞争秩序。</w:t>
      </w:r>
    </w:p>
    <w:p>
      <w:pPr>
        <w:pStyle w:val="ListBullet"/>
        <w:spacing w:after="30"/>
      </w:pPr>
      <w:r>
        <w:t>命题路径：先定A10_多元纠纷解决与诉讼程序，再按B6_调解/维权/纠纷解决路径作答；v12.2路径：纠纷事实 -&gt; 权利受损或争议焦点 -&gt; 路径/主体/证据 -&gt; 救济方案。</w:t>
      </w:r>
    </w:p>
    <w:p>
      <w:pPr>
        <w:pStyle w:val="ListBullet"/>
        <w:spacing w:after="30"/>
      </w:pPr>
      <w:r>
        <w:t>材料核心：案例1：邻居刘某长期在门口堆放杂物垃圾，高某多次沟通、找物业、微信群反映无效，刘某还辱骂高某；高某诉至法院，经法院调解双方握手言和。案例2：乙公司将企业名称登记为与甲公司相似名称，甲公司申请企业名称争议裁决，市监局确认侵权应纠正，乙公司不服起诉，法院驳回。</w:t>
      </w:r>
    </w:p>
    <w:p>
      <w:pPr>
        <w:pStyle w:val="ListBullet"/>
        <w:spacing w:after="30"/>
      </w:pPr>
      <w:r>
        <w:t>评分锚点：案例1写诉讼调解+相邻关系。 / 案例2写市监裁决+行政诉讼维持，核心是不正当竞争和名称混淆。 / 最后可以落到合法权益、市场秩序和社会和谐，但必须由两个案例推出。</w:t>
      </w:r>
    </w:p>
    <w:p>
      <w:pPr>
        <w:pStyle w:val="ListBullet"/>
        <w:spacing w:after="30"/>
      </w:pPr>
      <w:r>
        <w:t>材料触发：邻居门口堆杂物垃圾、辱骂，法院调解后道歉和解 → 诉讼调解解决相邻纠纷 → 化解矛盾、修复邻里关系；通道属于共有部分，堆放杂物影响通行并有安全隐患 → 相邻各方应按方便生活、团结互助、公平合理处理关系 → 排除妨碍、合理使用共有空间；乙公司使用与甲公司相似企业名称并被市监局裁决纠正 → 企业名称混淆、损害商业信誉，属不正当竞争 → 行政裁决和诉讼共同定分止争</w:t>
      </w:r>
    </w:p>
    <w:p>
      <w:pPr>
        <w:pStyle w:val="ListBullet"/>
        <w:spacing w:after="30"/>
      </w:pPr>
      <w:r>
        <w:t>答案骨架：案例1写诉讼调解+相邻关系。 / 案例2写市监裁决+行政诉讼维持，核心是不正当竞争和名称混淆。 / 最后可以落到合法权益、市场秩序和社会和谐，但必须由两个案例推出。</w:t>
      </w:r>
    </w:p>
    <w:p>
      <w:pPr>
        <w:pStyle w:val="ListBullet"/>
        <w:spacing w:after="30"/>
      </w:pPr>
      <w:r>
        <w:t>学生预警：只写法院公正司法；把案例2写成商标抢注；空写社会和谐不讲纠纷方式</w:t>
      </w:r>
    </w:p>
    <w:p>
      <w:pPr>
        <w:pStyle w:val="ListBullet"/>
        <w:spacing w:after="30"/>
      </w:pPr>
      <w:r>
        <w:t>源检边界：Rewarded action is how disputes are solved: case 1 litigation mediation + common-area reasonable use + neighboring relation; case 2 market-regulator adjudication / administrative lawsuit / unfair competition. Value language must be derived from the two cases, not written as free-standing meaning extraction.</w:t>
      </w:r>
    </w:p>
    <w:p>
      <w:pPr>
        <w:pStyle w:val="ListBullet"/>
        <w:spacing w:after="30"/>
      </w:pPr>
      <w:r>
        <w:t>证据状态：PASS；source_check_state=formal_locked；source_check_decision=KEEP_CORE</w:t>
      </w:r>
    </w:p>
    <w:p>
      <w:pPr>
        <w:pStyle w:val="Heading1"/>
        <w:pageBreakBefore/>
      </w:pPr>
      <w:r>
        <w:t>03 A x B 交叉矩阵与支持度 v13.7</w:t>
      </w:r>
    </w:p>
    <w:p>
      <w:pPr>
        <w:spacing w:after="80"/>
      </w:pPr>
      <w:r>
        <w:t>生成时间：2026-05-23 23:10 +08:00</w:t>
      </w:r>
    </w:p>
    <w:p>
      <w:pPr>
        <w:pStyle w:val="Heading2"/>
      </w:pPr>
      <w:r>
        <w:t>A轴支持度</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A轴</w:t>
            </w:r>
          </w:p>
        </w:tc>
        <w:tc>
          <w:tcPr>
            <w:tcW w:type="dxa" w:w="3326"/>
            <w:vAlign w:val="center"/>
            <w:shd w:fill="E8EEF5"/>
          </w:tcPr>
          <w:p>
            <w:r/>
            <w:r>
              <w:rPr>
                <w:rFonts w:ascii="Microsoft YaHei" w:hAnsi="Microsoft YaHei"/>
                <w:b/>
                <w:sz w:val="16"/>
              </w:rPr>
              <w:t>primary题数</w:t>
            </w:r>
          </w:p>
        </w:tc>
        <w:tc>
          <w:tcPr>
            <w:tcW w:type="dxa" w:w="3326"/>
            <w:vAlign w:val="center"/>
            <w:shd w:fill="E8EEF5"/>
          </w:tcPr>
          <w:p>
            <w:r/>
            <w:r>
              <w:rPr>
                <w:rFonts w:ascii="Microsoft YaHei" w:hAnsi="Microsoft YaHei"/>
                <w:b/>
                <w:sz w:val="16"/>
              </w:rPr>
              <w:t>结论</w:t>
            </w:r>
          </w:p>
        </w:tc>
      </w:tr>
      <w:tr>
        <w:tc>
          <w:tcPr>
            <w:tcW w:type="dxa" w:w="3326"/>
            <w:vAlign w:val="center"/>
          </w:tcPr>
          <w:p>
            <w:r/>
            <w:r>
              <w:rPr>
                <w:rFonts w:ascii="Microsoft YaHei" w:hAnsi="Microsoft YaHei"/>
                <w:b w:val="0"/>
                <w:sz w:val="16"/>
              </w:rPr>
              <w:t>A1_民事法律关系总论</w:t>
            </w:r>
          </w:p>
        </w:tc>
        <w:tc>
          <w:tcPr>
            <w:tcW w:type="dxa" w:w="3326"/>
            <w:vAlign w:val="center"/>
          </w:tcPr>
          <w:p>
            <w:r/>
            <w:r>
              <w:rPr>
                <w:rFonts w:ascii="Microsoft YaHei" w:hAnsi="Microsoft YaHei"/>
                <w:b w:val="0"/>
                <w:sz w:val="16"/>
              </w:rPr>
              <w:t>0</w:t>
            </w:r>
          </w:p>
        </w:tc>
        <w:tc>
          <w:tcPr>
            <w:tcW w:type="dxa" w:w="3326"/>
            <w:vAlign w:val="center"/>
          </w:tcPr>
          <w:p>
            <w:r/>
            <w:r>
              <w:rPr>
                <w:rFonts w:ascii="Microsoft YaHei" w:hAnsi="Microsoft YaHei"/>
                <w:b w:val="0"/>
                <w:sz w:val="16"/>
              </w:rPr>
              <w:t>基础层；不按primary计数</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4</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5</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8</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5</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A7_婚姻家庭与继承</w:t>
            </w:r>
          </w:p>
        </w:tc>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7</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4</w:t>
            </w:r>
          </w:p>
        </w:tc>
        <w:tc>
          <w:tcPr>
            <w:tcW w:type="dxa" w:w="3326"/>
            <w:vAlign w:val="center"/>
          </w:tcPr>
          <w:p>
            <w:r/>
            <w:r>
              <w:rPr>
                <w:rFonts w:ascii="Microsoft YaHei" w:hAnsi="Microsoft YaHei"/>
                <w:b w:val="0"/>
                <w:sz w:val="16"/>
              </w:rPr>
              <w:t>通过</w:t>
            </w:r>
          </w:p>
        </w:tc>
      </w:tr>
      <w:tr>
        <w:tc>
          <w:tcPr>
            <w:tcW w:type="dxa" w:w="3326"/>
            <w:vAlign w:val="center"/>
          </w:tcPr>
          <w:p>
            <w:r/>
            <w:r>
              <w:rPr>
                <w:rFonts w:ascii="Microsoft YaHei" w:hAnsi="Microsoft YaHei"/>
                <w:b w:val="0"/>
                <w:sz w:val="16"/>
              </w:rPr>
              <w:t>A10_多元纠纷解决与诉讼程序</w:t>
            </w:r>
          </w:p>
        </w:tc>
        <w:tc>
          <w:tcPr>
            <w:tcW w:type="dxa" w:w="3326"/>
            <w:vAlign w:val="center"/>
          </w:tcPr>
          <w:p>
            <w:r/>
            <w:r>
              <w:rPr>
                <w:rFonts w:ascii="Microsoft YaHei" w:hAnsi="Microsoft YaHei"/>
                <w:b w:val="0"/>
                <w:sz w:val="16"/>
              </w:rPr>
              <w:t>3</w:t>
            </w:r>
          </w:p>
        </w:tc>
        <w:tc>
          <w:tcPr>
            <w:tcW w:type="dxa" w:w="3326"/>
            <w:vAlign w:val="center"/>
          </w:tcPr>
          <w:p>
            <w:r/>
            <w:r>
              <w:rPr>
                <w:rFonts w:ascii="Microsoft YaHei" w:hAnsi="Microsoft YaHei"/>
                <w:b w:val="0"/>
                <w:sz w:val="16"/>
              </w:rPr>
              <w:t>通过</w:t>
            </w:r>
          </w:p>
        </w:tc>
      </w:tr>
    </w:tbl>
    <w:p/>
    <w:p>
      <w:pPr>
        <w:pStyle w:val="Heading2"/>
      </w:pPr>
      <w:r>
        <w:t>B轴支持度</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B轴</w:t>
            </w:r>
          </w:p>
        </w:tc>
        <w:tc>
          <w:tcPr>
            <w:tcW w:type="dxa" w:w="3326"/>
            <w:vAlign w:val="center"/>
            <w:shd w:fill="E8EEF5"/>
          </w:tcPr>
          <w:p>
            <w:r/>
            <w:r>
              <w:rPr>
                <w:rFonts w:ascii="Microsoft YaHei" w:hAnsi="Microsoft YaHei"/>
                <w:b/>
                <w:sz w:val="16"/>
              </w:rPr>
              <w:t>v12.2入口</w:t>
            </w:r>
          </w:p>
        </w:tc>
        <w:tc>
          <w:tcPr>
            <w:tcW w:type="dxa" w:w="3326"/>
            <w:vAlign w:val="center"/>
            <w:shd w:fill="E8EEF5"/>
          </w:tcPr>
          <w:p>
            <w:r/>
            <w:r>
              <w:rPr>
                <w:rFonts w:ascii="Microsoft YaHei" w:hAnsi="Microsoft YaHei"/>
                <w:b/>
                <w:sz w:val="16"/>
              </w:rPr>
              <w:t>题数</w:t>
            </w:r>
          </w:p>
        </w:tc>
      </w:tr>
      <w:tr>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E1</w:t>
            </w:r>
          </w:p>
        </w:tc>
        <w:tc>
          <w:tcPr>
            <w:tcW w:type="dxa" w:w="3326"/>
            <w:vAlign w:val="center"/>
          </w:tcPr>
          <w:p>
            <w:r/>
            <w:r>
              <w:rPr>
                <w:rFonts w:ascii="Microsoft YaHei" w:hAnsi="Microsoft YaHei"/>
                <w:b w:val="0"/>
                <w:sz w:val="16"/>
              </w:rPr>
              <w:t>10</w:t>
            </w:r>
          </w:p>
        </w:tc>
      </w:tr>
      <w:tr>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E2</w:t>
            </w:r>
          </w:p>
        </w:tc>
        <w:tc>
          <w:tcPr>
            <w:tcW w:type="dxa" w:w="3326"/>
            <w:vAlign w:val="center"/>
          </w:tcPr>
          <w:p>
            <w:r/>
            <w:r>
              <w:rPr>
                <w:rFonts w:ascii="Microsoft YaHei" w:hAnsi="Microsoft YaHei"/>
                <w:b w:val="0"/>
                <w:sz w:val="16"/>
              </w:rPr>
              <w:t>8</w:t>
            </w:r>
          </w:p>
        </w:tc>
      </w:tr>
      <w:tr>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E3</w:t>
            </w:r>
          </w:p>
        </w:tc>
        <w:tc>
          <w:tcPr>
            <w:tcW w:type="dxa" w:w="3326"/>
            <w:vAlign w:val="center"/>
          </w:tcPr>
          <w:p>
            <w:r/>
            <w:r>
              <w:rPr>
                <w:rFonts w:ascii="Microsoft YaHei" w:hAnsi="Microsoft YaHei"/>
                <w:b w:val="0"/>
                <w:sz w:val="16"/>
              </w:rPr>
              <w:t>3</w:t>
            </w:r>
          </w:p>
        </w:tc>
      </w:tr>
      <w:tr>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E4</w:t>
            </w:r>
          </w:p>
        </w:tc>
        <w:tc>
          <w:tcPr>
            <w:tcW w:type="dxa" w:w="3326"/>
            <w:vAlign w:val="center"/>
          </w:tcPr>
          <w:p>
            <w:r/>
            <w:r>
              <w:rPr>
                <w:rFonts w:ascii="Microsoft YaHei" w:hAnsi="Microsoft YaHei"/>
                <w:b w:val="0"/>
                <w:sz w:val="16"/>
              </w:rPr>
              <w:t>6</w:t>
            </w:r>
          </w:p>
        </w:tc>
      </w:tr>
      <w:tr>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E5</w:t>
            </w:r>
          </w:p>
        </w:tc>
        <w:tc>
          <w:tcPr>
            <w:tcW w:type="dxa" w:w="3326"/>
            <w:vAlign w:val="center"/>
          </w:tcPr>
          <w:p>
            <w:r/>
            <w:r>
              <w:rPr>
                <w:rFonts w:ascii="Microsoft YaHei" w:hAnsi="Microsoft YaHei"/>
                <w:b w:val="0"/>
                <w:sz w:val="16"/>
              </w:rPr>
              <w:t>11</w:t>
            </w:r>
          </w:p>
        </w:tc>
      </w:tr>
      <w:tr>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E6</w:t>
            </w:r>
          </w:p>
        </w:tc>
        <w:tc>
          <w:tcPr>
            <w:tcW w:type="dxa" w:w="3326"/>
            <w:vAlign w:val="center"/>
          </w:tcPr>
          <w:p>
            <w:r/>
            <w:r>
              <w:rPr>
                <w:rFonts w:ascii="Microsoft YaHei" w:hAnsi="Microsoft YaHei"/>
                <w:b w:val="0"/>
                <w:sz w:val="16"/>
              </w:rPr>
              <w:t>4</w:t>
            </w:r>
          </w:p>
        </w:tc>
      </w:tr>
    </w:tbl>
    <w:p/>
    <w:p>
      <w:pPr>
        <w:pStyle w:val="Heading2"/>
      </w:pPr>
      <w:r>
        <w:t>A x B 非零格</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A轴</w:t>
            </w:r>
          </w:p>
        </w:tc>
        <w:tc>
          <w:tcPr>
            <w:tcW w:type="dxa" w:w="3326"/>
            <w:vAlign w:val="center"/>
            <w:shd w:fill="E8EEF5"/>
          </w:tcPr>
          <w:p>
            <w:r/>
            <w:r>
              <w:rPr>
                <w:rFonts w:ascii="Microsoft YaHei" w:hAnsi="Microsoft YaHei"/>
                <w:b/>
                <w:sz w:val="16"/>
              </w:rPr>
              <w:t>B轴</w:t>
            </w:r>
          </w:p>
        </w:tc>
        <w:tc>
          <w:tcPr>
            <w:tcW w:type="dxa" w:w="3326"/>
            <w:vAlign w:val="center"/>
            <w:shd w:fill="E8EEF5"/>
          </w:tcPr>
          <w:p>
            <w:r/>
            <w:r>
              <w:rPr>
                <w:rFonts w:ascii="Microsoft YaHei" w:hAnsi="Microsoft YaHei"/>
                <w:b/>
                <w:sz w:val="16"/>
              </w:rPr>
              <w:t>题数</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A2_人身权与人格权</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A3_物权与相邻关系</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A4_合同</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A5_知识产权与竞争秩序</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4</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A6_侵权责任</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A7_婚姻家庭与继承</w:t>
            </w:r>
          </w:p>
        </w:tc>
        <w:tc>
          <w:tcPr>
            <w:tcW w:type="dxa" w:w="3326"/>
            <w:vAlign w:val="center"/>
          </w:tcPr>
          <w:p>
            <w:r/>
            <w:r>
              <w:rPr>
                <w:rFonts w:ascii="Microsoft YaHei" w:hAnsi="Microsoft YaHei"/>
                <w:b w:val="0"/>
                <w:sz w:val="16"/>
              </w:rPr>
              <w:t>B4_评析/认识/观点</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A7_婚姻家庭与继承</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A8_劳动关系</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B2_判决/裁判/责任理由</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B3_诉求/请求能否支持</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B5_意义/价值/保护/推动</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A9_消费者权益与经营者义务</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r>
        <w:tc>
          <w:tcPr>
            <w:tcW w:type="dxa" w:w="3326"/>
            <w:vAlign w:val="center"/>
          </w:tcPr>
          <w:p>
            <w:r/>
            <w:r>
              <w:rPr>
                <w:rFonts w:ascii="Microsoft YaHei" w:hAnsi="Microsoft YaHei"/>
                <w:b w:val="0"/>
                <w:sz w:val="16"/>
              </w:rPr>
              <w:t>A10_多元纠纷解决与诉讼程序</w:t>
            </w:r>
          </w:p>
        </w:tc>
        <w:tc>
          <w:tcPr>
            <w:tcW w:type="dxa" w:w="3326"/>
            <w:vAlign w:val="center"/>
          </w:tcPr>
          <w:p>
            <w:r/>
            <w:r>
              <w:rPr>
                <w:rFonts w:ascii="Microsoft YaHei" w:hAnsi="Microsoft YaHei"/>
                <w:b w:val="0"/>
                <w:sz w:val="16"/>
              </w:rPr>
              <w:t>B1_表格/裁判要点/补链</w:t>
            </w:r>
          </w:p>
        </w:tc>
        <w:tc>
          <w:tcPr>
            <w:tcW w:type="dxa" w:w="3326"/>
            <w:vAlign w:val="center"/>
          </w:tcPr>
          <w:p>
            <w:r/>
            <w:r>
              <w:rPr>
                <w:rFonts w:ascii="Microsoft YaHei" w:hAnsi="Microsoft YaHei"/>
                <w:b w:val="0"/>
                <w:sz w:val="16"/>
              </w:rPr>
              <w:t>2</w:t>
            </w:r>
          </w:p>
        </w:tc>
      </w:tr>
      <w:tr>
        <w:tc>
          <w:tcPr>
            <w:tcW w:type="dxa" w:w="3326"/>
            <w:vAlign w:val="center"/>
          </w:tcPr>
          <w:p>
            <w:r/>
            <w:r>
              <w:rPr>
                <w:rFonts w:ascii="Microsoft YaHei" w:hAnsi="Microsoft YaHei"/>
                <w:b w:val="0"/>
                <w:sz w:val="16"/>
              </w:rPr>
              <w:t>A10_多元纠纷解决与诉讼程序</w:t>
            </w:r>
          </w:p>
        </w:tc>
        <w:tc>
          <w:tcPr>
            <w:tcW w:type="dxa" w:w="3326"/>
            <w:vAlign w:val="center"/>
          </w:tcPr>
          <w:p>
            <w:r/>
            <w:r>
              <w:rPr>
                <w:rFonts w:ascii="Microsoft YaHei" w:hAnsi="Microsoft YaHei"/>
                <w:b w:val="0"/>
                <w:sz w:val="16"/>
              </w:rPr>
              <w:t>B6_调解/维权/纠纷解决路径</w:t>
            </w:r>
          </w:p>
        </w:tc>
        <w:tc>
          <w:tcPr>
            <w:tcW w:type="dxa" w:w="3326"/>
            <w:vAlign w:val="center"/>
          </w:tcPr>
          <w:p>
            <w:r/>
            <w:r>
              <w:rPr>
                <w:rFonts w:ascii="Microsoft YaHei" w:hAnsi="Microsoft YaHei"/>
                <w:b w:val="0"/>
                <w:sz w:val="16"/>
              </w:rPr>
              <w:t>1</w:t>
            </w:r>
          </w:p>
        </w:tc>
      </w:tr>
    </w:tbl>
    <w:p/>
    <w:p>
      <w:pPr>
        <w:pStyle w:val="Heading2"/>
      </w:pPr>
      <w:r>
        <w:t>v13.7 解释</w:t>
      </w:r>
    </w:p>
    <w:p>
      <w:pPr>
        <w:spacing w:after="80"/>
      </w:pPr>
      <w:r>
        <w:t>支持度计数不因零基础补丁而改变：v13.7 调整的是学生迁移工具和 B1/B3 精度，不新增或删除 42 道 locked core 题，也不把开放容器题晋升为核心。</w:t>
      </w:r>
    </w:p>
    <w:p>
      <w:pPr>
        <w:pStyle w:val="Heading1"/>
        <w:pageBreakBefore/>
      </w:pPr>
      <w:r>
        <w:t>04 开放容器与不晋升题附录 v13.7</w:t>
      </w:r>
    </w:p>
    <w:p>
      <w:pPr>
        <w:spacing w:after="80"/>
      </w:pPr>
      <w:r>
        <w:t>生成时间：2026-05-23 23:10 +08:00</w:t>
      </w:r>
    </w:p>
    <w:p>
      <w:pPr>
        <w:spacing w:after="80"/>
      </w:pPr>
      <w:r>
        <w:t>本附录继承 v13.0 的边界规则，并按 Round05 后的 v13.7 状态重新确认：参考运行题和下一版回填候选不进入 42 道 locked core 正文，不支撑 A 轴/B 轴主干支持数，也不得反向改写本版框架。</w:t>
      </w:r>
    </w:p>
    <w:p>
      <w:pPr>
        <w:pStyle w:val="Heading2"/>
      </w:pPr>
      <w:r>
        <w:t>参考运行题：不支撑核心</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题号</w:t>
            </w:r>
          </w:p>
        </w:tc>
        <w:tc>
          <w:tcPr>
            <w:tcW w:type="dxa" w:w="2494"/>
            <w:vAlign w:val="center"/>
            <w:shd w:fill="E8EEF5"/>
          </w:tcPr>
          <w:p>
            <w:r/>
            <w:r>
              <w:rPr>
                <w:rFonts w:ascii="Microsoft YaHei" w:hAnsi="Microsoft YaHei"/>
                <w:b/>
                <w:sz w:val="16"/>
              </w:rPr>
              <w:t>框架点</w:t>
            </w:r>
          </w:p>
        </w:tc>
        <w:tc>
          <w:tcPr>
            <w:tcW w:type="dxa" w:w="2494"/>
            <w:vAlign w:val="center"/>
            <w:shd w:fill="E8EEF5"/>
          </w:tcPr>
          <w:p>
            <w:r/>
            <w:r>
              <w:rPr>
                <w:rFonts w:ascii="Microsoft YaHei" w:hAnsi="Microsoft YaHei"/>
                <w:b/>
                <w:sz w:val="16"/>
              </w:rPr>
              <w:t>角色</w:t>
            </w:r>
          </w:p>
        </w:tc>
        <w:tc>
          <w:tcPr>
            <w:tcW w:type="dxa" w:w="2494"/>
            <w:vAlign w:val="center"/>
            <w:shd w:fill="E8EEF5"/>
          </w:tcPr>
          <w:p>
            <w:r/>
            <w:r>
              <w:rPr>
                <w:rFonts w:ascii="Microsoft YaHei" w:hAnsi="Microsoft YaHei"/>
                <w:b/>
                <w:sz w:val="16"/>
              </w:rPr>
              <w:t>禁止误用说明</w:t>
            </w:r>
          </w:p>
        </w:tc>
      </w:tr>
      <w:tr>
        <w:tc>
          <w:tcPr>
            <w:tcW w:type="dxa" w:w="2494"/>
            <w:vAlign w:val="center"/>
          </w:tcPr>
          <w:p>
            <w:r/>
            <w:r>
              <w:rPr>
                <w:rFonts w:ascii="Microsoft YaHei" w:hAnsi="Microsoft YaHei"/>
                <w:b w:val="0"/>
                <w:sz w:val="16"/>
              </w:rPr>
              <w:t>CC0040_2024_海淀_一模_19</w:t>
            </w:r>
          </w:p>
        </w:tc>
        <w:tc>
          <w:tcPr>
            <w:tcW w:type="dxa" w:w="2494"/>
            <w:vAlign w:val="center"/>
          </w:tcPr>
          <w:p>
            <w:r/>
            <w:r>
              <w:rPr>
                <w:rFonts w:ascii="Microsoft YaHei" w:hAnsi="Microsoft YaHei"/>
                <w:b w:val="0"/>
                <w:sz w:val="16"/>
              </w:rPr>
              <w:t>问对判决的认识</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CC0162_2025_海淀_一模_18</w:t>
            </w:r>
          </w:p>
        </w:tc>
        <w:tc>
          <w:tcPr>
            <w:tcW w:type="dxa" w:w="2494"/>
            <w:vAlign w:val="center"/>
          </w:tcPr>
          <w:p>
            <w:r/>
            <w:r>
              <w:rPr>
                <w:rFonts w:ascii="Microsoft YaHei" w:hAnsi="Microsoft YaHei"/>
                <w:b w:val="0"/>
                <w:sz w:val="16"/>
              </w:rPr>
              <w:t>问对判决的认识</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CC0311_2026_海淀_二模_18</w:t>
            </w:r>
          </w:p>
        </w:tc>
        <w:tc>
          <w:tcPr>
            <w:tcW w:type="dxa" w:w="2494"/>
            <w:vAlign w:val="center"/>
          </w:tcPr>
          <w:p>
            <w:r/>
            <w:r>
              <w:rPr>
                <w:rFonts w:ascii="Microsoft YaHei" w:hAnsi="Microsoft YaHei"/>
                <w:b w:val="0"/>
                <w:sz w:val="16"/>
              </w:rPr>
              <w:t>问制度作用</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CC0353_2026_西城_期中_17</w:t>
            </w:r>
          </w:p>
        </w:tc>
        <w:tc>
          <w:tcPr>
            <w:tcW w:type="dxa" w:w="2494"/>
            <w:vAlign w:val="center"/>
          </w:tcPr>
          <w:p>
            <w:r/>
            <w:r>
              <w:rPr>
                <w:rFonts w:ascii="Microsoft YaHei" w:hAnsi="Microsoft YaHei"/>
                <w:b w:val="0"/>
                <w:sz w:val="16"/>
              </w:rPr>
              <w:t>问判决是否正确</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CC0380_2026_顺义_二模_18_2</w:t>
            </w:r>
          </w:p>
        </w:tc>
        <w:tc>
          <w:tcPr>
            <w:tcW w:type="dxa" w:w="2494"/>
            <w:vAlign w:val="center"/>
          </w:tcPr>
          <w:p>
            <w:r/>
            <w:r>
              <w:rPr>
                <w:rFonts w:ascii="Microsoft YaHei" w:hAnsi="Microsoft YaHei"/>
                <w:b w:val="0"/>
                <w:sz w:val="16"/>
              </w:rPr>
              <w:t>问法律风险与治理</w:t>
            </w:r>
          </w:p>
        </w:tc>
        <w:tc>
          <w:tcPr>
            <w:tcW w:type="dxa" w:w="2494"/>
            <w:vAlign w:val="center"/>
          </w:tcPr>
          <w:p>
            <w:r/>
            <w:r>
              <w:rPr>
                <w:rFonts w:ascii="Microsoft YaHei" w:hAnsi="Microsoft YaHei"/>
                <w:b w:val="0"/>
                <w:sz w:val="16"/>
              </w:rPr>
              <w:t>参考运行</w:t>
            </w:r>
          </w:p>
        </w:tc>
        <w:tc>
          <w:tcPr>
            <w:tcW w:type="dxa" w:w="2494"/>
            <w:vAlign w:val="center"/>
          </w:tcPr>
          <w:p>
            <w:r/>
            <w:r>
              <w:rPr>
                <w:rFonts w:ascii="Microsoft YaHei" w:hAnsi="Microsoft YaHei"/>
                <w:b w:val="0"/>
                <w:sz w:val="16"/>
              </w:rPr>
              <w:t>仅参考，不支撑核心</w:t>
            </w:r>
          </w:p>
        </w:tc>
      </w:tr>
      <w:tr>
        <w:tc>
          <w:tcPr>
            <w:tcW w:type="dxa" w:w="2494"/>
            <w:vAlign w:val="center"/>
          </w:tcPr>
          <w:p>
            <w:r/>
            <w:r>
              <w:rPr>
                <w:rFonts w:ascii="Microsoft YaHei" w:hAnsi="Microsoft YaHei"/>
                <w:b w:val="0"/>
                <w:sz w:val="16"/>
              </w:rPr>
              <w:t>CC0276_2026_房山_二模_17</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已找到教师版原卷第6页第17题及评标/答案页，可作为下一版回填候选；模块边界仍需下一版裁决。</w:t>
            </w:r>
          </w:p>
        </w:tc>
      </w:tr>
      <w:tr>
        <w:tc>
          <w:tcPr>
            <w:tcW w:type="dxa" w:w="2494"/>
            <w:vAlign w:val="center"/>
          </w:tcPr>
          <w:p>
            <w:r/>
            <w:r>
              <w:rPr>
                <w:rFonts w:ascii="Microsoft YaHei" w:hAnsi="Microsoft YaHei"/>
                <w:b w:val="0"/>
                <w:sz w:val="16"/>
              </w:rPr>
              <w:t>CC0277_2026_房山_二模_18</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已找到教师版原卷第7页第18题及评标/答案页，可作为下一版回填候选。</w:t>
            </w:r>
          </w:p>
        </w:tc>
      </w:tr>
      <w:tr>
        <w:tc>
          <w:tcPr>
            <w:tcW w:type="dxa" w:w="2494"/>
            <w:vAlign w:val="center"/>
          </w:tcPr>
          <w:p>
            <w:r/>
            <w:r>
              <w:rPr>
                <w:rFonts w:ascii="Microsoft YaHei" w:hAnsi="Microsoft YaHei"/>
                <w:b w:val="0"/>
                <w:sz w:val="16"/>
              </w:rPr>
              <w:t>CC0317_2026_海淀_期中_18</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已在海淀期末PDF第6页锁到住房租赁第18题第(1)问原卷和答案页；question_id阶段标签需下一版核对。</w:t>
            </w:r>
          </w:p>
        </w:tc>
      </w:tr>
      <w:tr>
        <w:tc>
          <w:tcPr>
            <w:tcW w:type="dxa" w:w="2494"/>
            <w:vAlign w:val="center"/>
          </w:tcPr>
          <w:p>
            <w:r/>
            <w:r>
              <w:rPr>
                <w:rFonts w:ascii="Microsoft YaHei" w:hAnsi="Microsoft YaHei"/>
                <w:b w:val="0"/>
                <w:sz w:val="16"/>
              </w:rPr>
              <w:t>CC0318_2026_海淀_期中_18_2</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已在海淀期末PDF第6页锁到住房租赁第18题第(2)问原卷和答案页；question_id阶段标签需下一版核对。</w:t>
            </w:r>
          </w:p>
        </w:tc>
      </w:tr>
      <w:tr>
        <w:tc>
          <w:tcPr>
            <w:tcW w:type="dxa" w:w="2494"/>
            <w:vAlign w:val="center"/>
          </w:tcPr>
          <w:p>
            <w:r/>
            <w:r>
              <w:rPr>
                <w:rFonts w:ascii="Microsoft YaHei" w:hAnsi="Microsoft YaHei"/>
                <w:b w:val="0"/>
                <w:sz w:val="16"/>
              </w:rPr>
              <w:t>CC0319_2026_海淀_期中_19</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已在海淀期末PDF第7页锁到抢票软件不正当竞争第19题原卷和答案页；question_id阶段标签需下一版核对。</w:t>
            </w:r>
          </w:p>
        </w:tc>
      </w:tr>
      <w:tr>
        <w:tc>
          <w:tcPr>
            <w:tcW w:type="dxa" w:w="2494"/>
            <w:vAlign w:val="center"/>
          </w:tcPr>
          <w:p>
            <w:r/>
            <w:r>
              <w:rPr>
                <w:rFonts w:ascii="Microsoft YaHei" w:hAnsi="Microsoft YaHei"/>
                <w:b w:val="0"/>
                <w:sz w:val="16"/>
              </w:rPr>
              <w:t>CC0251_2026_丰台_一模_20</w:t>
            </w:r>
          </w:p>
        </w:tc>
        <w:tc>
          <w:tcPr>
            <w:tcW w:type="dxa" w:w="2494"/>
            <w:vAlign w:val="center"/>
          </w:tcPr>
          <w:p>
            <w:r/>
            <w:r>
              <w:rPr>
                <w:rFonts w:ascii="Microsoft YaHei" w:hAnsi="Microsoft YaHei"/>
                <w:b w:val="0"/>
                <w:sz w:val="16"/>
              </w:rPr>
              <w:t>未纳入正文</w:t>
            </w:r>
          </w:p>
        </w:tc>
        <w:tc>
          <w:tcPr>
            <w:tcW w:type="dxa" w:w="2494"/>
            <w:vAlign w:val="center"/>
          </w:tcPr>
          <w:p>
            <w:r/>
            <w:r>
              <w:rPr>
                <w:rFonts w:ascii="Microsoft YaHei" w:hAnsi="Microsoft YaHei"/>
                <w:b w:val="0"/>
                <w:sz w:val="16"/>
              </w:rPr>
              <w:t>待下一版回填/继续核源</w:t>
            </w:r>
          </w:p>
        </w:tc>
        <w:tc>
          <w:tcPr>
            <w:tcW w:type="dxa" w:w="2494"/>
            <w:vAlign w:val="center"/>
          </w:tcPr>
          <w:p>
            <w:r/>
            <w:r>
              <w:rPr>
                <w:rFonts w:ascii="Microsoft YaHei" w:hAnsi="Microsoft YaHei"/>
                <w:b w:val="0"/>
                <w:sz w:val="16"/>
              </w:rPr>
              <w:t>已找到原卷图像第9页第20题及细则PPT第51页，可作为下一版回填候选；本阶段仍不纳入正文。</w:t>
            </w:r>
          </w:p>
        </w:tc>
      </w:tr>
    </w:tbl>
    <w:p/>
    <w:p>
      <w:pPr>
        <w:pStyle w:val="Heading2"/>
      </w:pPr>
      <w:r>
        <w:t>下一版回填候选：找到题源但不纳入本版正文</w:t>
      </w:r>
    </w:p>
    <w:tbl>
      <w:tblPr>
        <w:tblStyle w:val="TableGrid"/>
        <w:tblW w:type="auto" w:w="0"/>
        <w:jc w:val="center"/>
        <w:tblLook w:firstColumn="1" w:firstRow="1" w:lastColumn="0" w:lastRow="0" w:noHBand="0" w:noVBand="1" w:val="04A0"/>
      </w:tblPr>
      <w:tblGrid>
        <w:gridCol w:w="1996"/>
        <w:gridCol w:w="1996"/>
        <w:gridCol w:w="1996"/>
        <w:gridCol w:w="1996"/>
        <w:gridCol w:w="1996"/>
      </w:tblGrid>
      <w:tr>
        <w:tc>
          <w:tcPr>
            <w:tcW w:type="dxa" w:w="1996"/>
            <w:vAlign w:val="center"/>
            <w:shd w:fill="E8EEF5"/>
          </w:tcPr>
          <w:p>
            <w:r/>
            <w:r>
              <w:rPr>
                <w:rFonts w:ascii="Microsoft YaHei" w:hAnsi="Microsoft YaHei"/>
                <w:b/>
                <w:sz w:val="16"/>
              </w:rPr>
              <w:t>题号</w:t>
            </w:r>
          </w:p>
        </w:tc>
        <w:tc>
          <w:tcPr>
            <w:tcW w:type="dxa" w:w="1996"/>
            <w:vAlign w:val="center"/>
            <w:shd w:fill="E8EEF5"/>
          </w:tcPr>
          <w:p>
            <w:r/>
            <w:r>
              <w:rPr>
                <w:rFonts w:ascii="Microsoft YaHei" w:hAnsi="Microsoft YaHei"/>
                <w:b/>
                <w:sz w:val="16"/>
              </w:rPr>
              <w:t>题源状态</w:t>
            </w:r>
          </w:p>
        </w:tc>
        <w:tc>
          <w:tcPr>
            <w:tcW w:type="dxa" w:w="1996"/>
            <w:vAlign w:val="center"/>
            <w:shd w:fill="E8EEF5"/>
          </w:tcPr>
          <w:p>
            <w:r/>
            <w:r>
              <w:rPr>
                <w:rFonts w:ascii="Microsoft YaHei" w:hAnsi="Microsoft YaHei"/>
                <w:b/>
                <w:sz w:val="16"/>
              </w:rPr>
              <w:t>下一步</w:t>
            </w:r>
          </w:p>
        </w:tc>
        <w:tc>
          <w:tcPr>
            <w:tcW w:type="dxa" w:w="1996"/>
            <w:vAlign w:val="center"/>
            <w:shd w:fill="E8EEF5"/>
          </w:tcPr>
          <w:p>
            <w:r/>
            <w:r>
              <w:rPr>
                <w:rFonts w:ascii="Microsoft YaHei" w:hAnsi="Microsoft YaHei"/>
                <w:b/>
                <w:sz w:val="16"/>
              </w:rPr>
              <w:t>设问</w:t>
            </w:r>
          </w:p>
        </w:tc>
        <w:tc>
          <w:tcPr>
            <w:tcW w:type="dxa" w:w="1996"/>
            <w:vAlign w:val="center"/>
            <w:shd w:fill="E8EEF5"/>
          </w:tcPr>
          <w:p>
            <w:r/>
            <w:r>
              <w:rPr>
                <w:rFonts w:ascii="Microsoft YaHei" w:hAnsi="Microsoft YaHei"/>
                <w:b/>
                <w:sz w:val="16"/>
              </w:rPr>
              <w:t>细则摘要</w:t>
            </w:r>
          </w:p>
        </w:tc>
      </w:tr>
      <w:tr>
        <w:tc>
          <w:tcPr>
            <w:tcW w:type="dxa" w:w="1996"/>
            <w:vAlign w:val="center"/>
          </w:tcPr>
          <w:p>
            <w:r/>
            <w:r>
              <w:rPr>
                <w:rFonts w:ascii="Microsoft YaHei" w:hAnsi="Microsoft YaHei"/>
                <w:b w:val="0"/>
                <w:sz w:val="16"/>
              </w:rPr>
              <w:t>CC0251_2026_丰台_一模_20</w:t>
            </w:r>
          </w:p>
        </w:tc>
        <w:tc>
          <w:tcPr>
            <w:tcW w:type="dxa" w:w="1996"/>
            <w:vAlign w:val="center"/>
          </w:tcPr>
          <w:p>
            <w:r/>
            <w:r>
              <w:rPr>
                <w:rFonts w:ascii="Microsoft YaHei" w:hAnsi="Microsoft YaHei"/>
                <w:b w:val="0"/>
                <w:sz w:val="16"/>
              </w:rPr>
              <w:t>FOUND_FOR_NEXT_BACKFILL</w:t>
            </w:r>
          </w:p>
        </w:tc>
        <w:tc>
          <w:tcPr>
            <w:tcW w:type="dxa" w:w="1996"/>
            <w:vAlign w:val="center"/>
          </w:tcPr>
          <w:p>
            <w:r/>
            <w:r>
              <w:rPr>
                <w:rFonts w:ascii="Microsoft YaHei" w:hAnsi="Microsoft YaHei"/>
                <w:b w:val="0"/>
                <w:sz w:val="16"/>
              </w:rPr>
              <w:t>进入下一版回填候选，不纳入 v13.7 正文</w:t>
            </w:r>
          </w:p>
        </w:tc>
        <w:tc>
          <w:tcPr>
            <w:tcW w:type="dxa" w:w="1996"/>
            <w:vAlign w:val="center"/>
          </w:tcPr>
          <w:p>
            <w:r/>
            <w:r>
              <w:rPr>
                <w:rFonts w:ascii="Microsoft YaHei" w:hAnsi="Microsoft YaHei"/>
                <w:b w:val="0"/>
                <w:sz w:val="16"/>
              </w:rPr>
              <w:t>结合材料，运用《法律与生活》知识，阐明人民法院作出该判决的法理依据和现实意义。</w:t>
            </w:r>
          </w:p>
        </w:tc>
        <w:tc>
          <w:tcPr>
            <w:tcW w:type="dxa" w:w="1996"/>
            <w:vAlign w:val="center"/>
          </w:tcPr>
          <w:p>
            <w:r/>
            <w:r>
              <w:rPr>
                <w:rFonts w:ascii="Microsoft YaHei" w:hAnsi="Microsoft YaHei"/>
                <w:b w:val="0"/>
                <w:sz w:val="16"/>
              </w:rPr>
              <w:t>细则PPT第51页：经营者安全保障义务应在合理限度内；证据表明事发现场不存在影响通行的客观因素；原告自身未尽安全注意义务；经营者无过错，不承担赔偿；判决平衡权利义务、明确安全保障义务边界。</w:t>
            </w:r>
          </w:p>
        </w:tc>
      </w:tr>
      <w:tr>
        <w:tc>
          <w:tcPr>
            <w:tcW w:type="dxa" w:w="1996"/>
            <w:vAlign w:val="center"/>
          </w:tcPr>
          <w:p>
            <w:r/>
            <w:r>
              <w:rPr>
                <w:rFonts w:ascii="Microsoft YaHei" w:hAnsi="Microsoft YaHei"/>
                <w:b w:val="0"/>
                <w:sz w:val="16"/>
              </w:rPr>
              <w:t>CC0276_2026_房山_二模_17</w:t>
            </w:r>
          </w:p>
        </w:tc>
        <w:tc>
          <w:tcPr>
            <w:tcW w:type="dxa" w:w="1996"/>
            <w:vAlign w:val="center"/>
          </w:tcPr>
          <w:p>
            <w:r/>
            <w:r>
              <w:rPr>
                <w:rFonts w:ascii="Microsoft YaHei" w:hAnsi="Microsoft YaHei"/>
                <w:b w:val="0"/>
                <w:sz w:val="16"/>
              </w:rPr>
              <w:t>FOUND_FOR_NEXT_BACKFILL_WITH_BOUNDARY_REVIEW</w:t>
            </w:r>
          </w:p>
        </w:tc>
        <w:tc>
          <w:tcPr>
            <w:tcW w:type="dxa" w:w="1996"/>
            <w:vAlign w:val="center"/>
          </w:tcPr>
          <w:p>
            <w:r/>
            <w:r>
              <w:rPr>
                <w:rFonts w:ascii="Microsoft YaHei" w:hAnsi="Microsoft YaHei"/>
                <w:b w:val="0"/>
                <w:sz w:val="16"/>
              </w:rPr>
              <w:t>进入下一版回填候选，不纳入 v13.7 正文</w:t>
            </w:r>
          </w:p>
        </w:tc>
        <w:tc>
          <w:tcPr>
            <w:tcW w:type="dxa" w:w="1996"/>
            <w:vAlign w:val="center"/>
          </w:tcPr>
          <w:p>
            <w:r/>
            <w:r>
              <w:rPr>
                <w:rFonts w:ascii="Microsoft YaHei" w:hAnsi="Microsoft YaHei"/>
                <w:b w:val="0"/>
                <w:sz w:val="16"/>
              </w:rPr>
              <w:t>中国走向世界，以负责任大国参与国际事务，必须善于运用法治。结合材料，运用法治知识，谈谈中国是如何加强涉外法治建设的。</w:t>
            </w:r>
          </w:p>
        </w:tc>
        <w:tc>
          <w:tcPr>
            <w:tcW w:type="dxa" w:w="1996"/>
            <w:vAlign w:val="center"/>
          </w:tcPr>
          <w:p>
            <w:r/>
            <w:r>
              <w:rPr>
                <w:rFonts w:ascii="Microsoft YaHei" w:hAnsi="Microsoft YaHei"/>
                <w:b w:val="0"/>
                <w:sz w:val="16"/>
              </w:rPr>
              <w:t>评标/答案页：完善涉外法律法规体系；创新涉外司法实践；多元纠纷解决平台；创新诉讼调解；以法治方式践行大国责任。</w:t>
            </w:r>
          </w:p>
        </w:tc>
      </w:tr>
      <w:tr>
        <w:tc>
          <w:tcPr>
            <w:tcW w:type="dxa" w:w="1996"/>
            <w:vAlign w:val="center"/>
          </w:tcPr>
          <w:p>
            <w:r/>
            <w:r>
              <w:rPr>
                <w:rFonts w:ascii="Microsoft YaHei" w:hAnsi="Microsoft YaHei"/>
                <w:b w:val="0"/>
                <w:sz w:val="16"/>
              </w:rPr>
              <w:t>CC0277_2026_房山_二模_18</w:t>
            </w:r>
          </w:p>
        </w:tc>
        <w:tc>
          <w:tcPr>
            <w:tcW w:type="dxa" w:w="1996"/>
            <w:vAlign w:val="center"/>
          </w:tcPr>
          <w:p>
            <w:r/>
            <w:r>
              <w:rPr>
                <w:rFonts w:ascii="Microsoft YaHei" w:hAnsi="Microsoft YaHei"/>
                <w:b w:val="0"/>
                <w:sz w:val="16"/>
              </w:rPr>
              <w:t>FOUND_FOR_NEXT_BACKFILL</w:t>
            </w:r>
          </w:p>
        </w:tc>
        <w:tc>
          <w:tcPr>
            <w:tcW w:type="dxa" w:w="1996"/>
            <w:vAlign w:val="center"/>
          </w:tcPr>
          <w:p>
            <w:r/>
            <w:r>
              <w:rPr>
                <w:rFonts w:ascii="Microsoft YaHei" w:hAnsi="Microsoft YaHei"/>
                <w:b w:val="0"/>
                <w:sz w:val="16"/>
              </w:rPr>
              <w:t>进入下一版回填候选，不纳入 v13.7 正文</w:t>
            </w:r>
          </w:p>
        </w:tc>
        <w:tc>
          <w:tcPr>
            <w:tcW w:type="dxa" w:w="1996"/>
            <w:vAlign w:val="center"/>
          </w:tcPr>
          <w:p>
            <w:r/>
            <w:r>
              <w:rPr>
                <w:rFonts w:ascii="Microsoft YaHei" w:hAnsi="Microsoft YaHei"/>
                <w:b w:val="0"/>
                <w:sz w:val="16"/>
              </w:rPr>
              <w:t>（1）结合材料一，运用《法律与生活》知识，分析上述场景可能涉及的法律边界，并提出应对措施。</w:t>
            </w:r>
          </w:p>
        </w:tc>
        <w:tc>
          <w:tcPr>
            <w:tcW w:type="dxa" w:w="1996"/>
            <w:vAlign w:val="center"/>
          </w:tcPr>
          <w:p>
            <w:r/>
            <w:r>
              <w:rPr>
                <w:rFonts w:ascii="Microsoft YaHei" w:hAnsi="Microsoft YaHei"/>
                <w:b w:val="0"/>
                <w:sz w:val="16"/>
              </w:rPr>
              <w:t>评标/答案页：商业诋毁/名誉权、商业秘密泄露、著作权或外观设计侵权；应履行审核义务、完善保密措施、签订保密合同。</w:t>
            </w:r>
          </w:p>
        </w:tc>
      </w:tr>
      <w:tr>
        <w:tc>
          <w:tcPr>
            <w:tcW w:type="dxa" w:w="1996"/>
            <w:vAlign w:val="center"/>
          </w:tcPr>
          <w:p>
            <w:r/>
            <w:r>
              <w:rPr>
                <w:rFonts w:ascii="Microsoft YaHei" w:hAnsi="Microsoft YaHei"/>
                <w:b w:val="0"/>
                <w:sz w:val="16"/>
              </w:rPr>
              <w:t>CC0317_2026_海淀_期中_18</w:t>
            </w:r>
          </w:p>
        </w:tc>
        <w:tc>
          <w:tcPr>
            <w:tcW w:type="dxa" w:w="1996"/>
            <w:vAlign w:val="center"/>
          </w:tcPr>
          <w:p>
            <w:r/>
            <w:r>
              <w:rPr>
                <w:rFonts w:ascii="Microsoft YaHei" w:hAnsi="Microsoft YaHei"/>
                <w:b w:val="0"/>
                <w:sz w:val="16"/>
              </w:rPr>
              <w:t>FOUND_FOR_NEXT_BACKFILL_WITH_ID_STAGE_REVIEW</w:t>
            </w:r>
          </w:p>
        </w:tc>
        <w:tc>
          <w:tcPr>
            <w:tcW w:type="dxa" w:w="1996"/>
            <w:vAlign w:val="center"/>
          </w:tcPr>
          <w:p>
            <w:r/>
            <w:r>
              <w:rPr>
                <w:rFonts w:ascii="Microsoft YaHei" w:hAnsi="Microsoft YaHei"/>
                <w:b w:val="0"/>
                <w:sz w:val="16"/>
              </w:rPr>
              <w:t>进入下一版回填候选，不纳入 v13.7 正文</w:t>
            </w:r>
          </w:p>
        </w:tc>
        <w:tc>
          <w:tcPr>
            <w:tcW w:type="dxa" w:w="1996"/>
            <w:vAlign w:val="center"/>
          </w:tcPr>
          <w:p>
            <w:r/>
            <w:r>
              <w:rPr>
                <w:rFonts w:ascii="Microsoft YaHei" w:hAnsi="Microsoft YaHei"/>
                <w:b w:val="0"/>
                <w:sz w:val="16"/>
              </w:rPr>
              <w:t>（1）运用《法律与生活》知识，判断这一条款是否有效，并说明理由。</w:t>
            </w:r>
          </w:p>
        </w:tc>
        <w:tc>
          <w:tcPr>
            <w:tcW w:type="dxa" w:w="1996"/>
            <w:vAlign w:val="center"/>
          </w:tcPr>
          <w:p>
            <w:r/>
            <w:r>
              <w:rPr>
                <w:rFonts w:ascii="Microsoft YaHei" w:hAnsi="Microsoft YaHei"/>
                <w:b w:val="0"/>
                <w:sz w:val="16"/>
              </w:rPr>
              <w:t>答案页：该条款属于格式条款；提供格式条款一方应遵循公平原则；条款限制承租人自由订立合同的权利，应认定无效。</w:t>
            </w:r>
          </w:p>
        </w:tc>
      </w:tr>
      <w:tr>
        <w:tc>
          <w:tcPr>
            <w:tcW w:type="dxa" w:w="1996"/>
            <w:vAlign w:val="center"/>
          </w:tcPr>
          <w:p>
            <w:r/>
            <w:r>
              <w:rPr>
                <w:rFonts w:ascii="Microsoft YaHei" w:hAnsi="Microsoft YaHei"/>
                <w:b w:val="0"/>
                <w:sz w:val="16"/>
              </w:rPr>
              <w:t>CC0318_2026_海淀_期中_18_2</w:t>
            </w:r>
          </w:p>
        </w:tc>
        <w:tc>
          <w:tcPr>
            <w:tcW w:type="dxa" w:w="1996"/>
            <w:vAlign w:val="center"/>
          </w:tcPr>
          <w:p>
            <w:r/>
            <w:r>
              <w:rPr>
                <w:rFonts w:ascii="Microsoft YaHei" w:hAnsi="Microsoft YaHei"/>
                <w:b w:val="0"/>
                <w:sz w:val="16"/>
              </w:rPr>
              <w:t>FOUND_FOR_NEXT_BACKFILL_WITH_ID_STAGE_REVIEW</w:t>
            </w:r>
          </w:p>
        </w:tc>
        <w:tc>
          <w:tcPr>
            <w:tcW w:type="dxa" w:w="1996"/>
            <w:vAlign w:val="center"/>
          </w:tcPr>
          <w:p>
            <w:r/>
            <w:r>
              <w:rPr>
                <w:rFonts w:ascii="Microsoft YaHei" w:hAnsi="Microsoft YaHei"/>
                <w:b w:val="0"/>
                <w:sz w:val="16"/>
              </w:rPr>
              <w:t>进入下一版回填候选，不纳入 v13.7 正文</w:t>
            </w:r>
          </w:p>
        </w:tc>
        <w:tc>
          <w:tcPr>
            <w:tcW w:type="dxa" w:w="1996"/>
            <w:vAlign w:val="center"/>
          </w:tcPr>
          <w:p>
            <w:r/>
            <w:r>
              <w:rPr>
                <w:rFonts w:ascii="Microsoft YaHei" w:hAnsi="Microsoft YaHei"/>
                <w:b w:val="0"/>
                <w:sz w:val="16"/>
              </w:rPr>
              <w:t>（2）运用法治知识，分析《住房租赁条例》上述规定的现实意义。</w:t>
            </w:r>
          </w:p>
        </w:tc>
        <w:tc>
          <w:tcPr>
            <w:tcW w:type="dxa" w:w="1996"/>
            <w:vAlign w:val="center"/>
          </w:tcPr>
          <w:p>
            <w:r/>
            <w:r>
              <w:rPr>
                <w:rFonts w:ascii="Microsoft YaHei" w:hAnsi="Microsoft YaHei"/>
                <w:b w:val="0"/>
                <w:sz w:val="16"/>
              </w:rPr>
              <w:t>答案页：合同示范文本规范合同内容、防止格式条款滥用、保护租赁双方权益、减少纠纷；引导市场主体依法诚信；明确政府职责，推动市场监管和良法善治。</w:t>
            </w:r>
          </w:p>
        </w:tc>
      </w:tr>
      <w:tr>
        <w:tc>
          <w:tcPr>
            <w:tcW w:type="dxa" w:w="1996"/>
            <w:vAlign w:val="center"/>
          </w:tcPr>
          <w:p>
            <w:r/>
            <w:r>
              <w:rPr>
                <w:rFonts w:ascii="Microsoft YaHei" w:hAnsi="Microsoft YaHei"/>
                <w:b w:val="0"/>
                <w:sz w:val="16"/>
              </w:rPr>
              <w:t>CC0319_2026_海淀_期中_19</w:t>
            </w:r>
          </w:p>
        </w:tc>
        <w:tc>
          <w:tcPr>
            <w:tcW w:type="dxa" w:w="1996"/>
            <w:vAlign w:val="center"/>
          </w:tcPr>
          <w:p>
            <w:r/>
            <w:r>
              <w:rPr>
                <w:rFonts w:ascii="Microsoft YaHei" w:hAnsi="Microsoft YaHei"/>
                <w:b w:val="0"/>
                <w:sz w:val="16"/>
              </w:rPr>
              <w:t>FOUND_FOR_NEXT_BACKFILL_WITH_ID_STAGE_REVIEW</w:t>
            </w:r>
          </w:p>
        </w:tc>
        <w:tc>
          <w:tcPr>
            <w:tcW w:type="dxa" w:w="1996"/>
            <w:vAlign w:val="center"/>
          </w:tcPr>
          <w:p>
            <w:r/>
            <w:r>
              <w:rPr>
                <w:rFonts w:ascii="Microsoft YaHei" w:hAnsi="Microsoft YaHei"/>
                <w:b w:val="0"/>
                <w:sz w:val="16"/>
              </w:rPr>
              <w:t>进入下一版回填候选，不纳入 v13.7 正文</w:t>
            </w:r>
          </w:p>
        </w:tc>
        <w:tc>
          <w:tcPr>
            <w:tcW w:type="dxa" w:w="1996"/>
            <w:vAlign w:val="center"/>
          </w:tcPr>
          <w:p>
            <w:r/>
            <w:r>
              <w:rPr>
                <w:rFonts w:ascii="Microsoft YaHei" w:hAnsi="Microsoft YaHei"/>
                <w:b w:val="0"/>
                <w:sz w:val="16"/>
              </w:rPr>
              <w:t>运用《法律与生活》知识，谈谈对本案判决的认识。</w:t>
            </w:r>
          </w:p>
        </w:tc>
        <w:tc>
          <w:tcPr>
            <w:tcW w:type="dxa" w:w="1996"/>
            <w:vAlign w:val="center"/>
          </w:tcPr>
          <w:p>
            <w:r/>
            <w:r>
              <w:rPr>
                <w:rFonts w:ascii="Microsoft YaHei" w:hAnsi="Microsoft YaHei"/>
                <w:b w:val="0"/>
                <w:sz w:val="16"/>
              </w:rPr>
              <w:t>答案页：郑某利用技术手段提供不正当抢票优势，破坏平台购票规则，干扰售票业务，损害甲公司信誉和合法权益，构成不正当竞争并承担侵权责任。</w:t>
            </w:r>
          </w:p>
        </w:tc>
      </w:tr>
    </w:tbl>
    <w:p/>
    <w:p>
      <w:pPr>
        <w:pStyle w:val="Heading2"/>
      </w:pPr>
      <w:r>
        <w:t>Round05 后的边界结论</w:t>
      </w:r>
    </w:p>
    <w:p>
      <w:pPr>
        <w:pStyle w:val="ListBullet"/>
        <w:spacing w:after="30"/>
      </w:pPr>
      <w:r>
        <w:t>v13.7 的主干仍只由 42 道 locked core 正文题支撑。</w:t>
      </w:r>
    </w:p>
    <w:p>
      <w:pPr>
        <w:pStyle w:val="ListBullet"/>
        <w:spacing w:after="30"/>
      </w:pPr>
      <w:r>
        <w:t>Round05 补丁只调整正文 42 题中的若干 A/B 标签与边界规则，不把开放容器题晋升为核心题。</w:t>
      </w:r>
    </w:p>
    <w:p>
      <w:pPr>
        <w:pStyle w:val="ListBullet"/>
        <w:spacing w:after="30"/>
      </w:pPr>
      <w:r>
        <w:t>A5/A9、A6、A10 的新增守门规则只用于提高现有 42 题定位精度，不构成开放题回填。</w:t>
      </w:r>
    </w:p>
    <w:p>
      <w:pPr>
        <w:pStyle w:val="ListBullet"/>
        <w:spacing w:after="30"/>
      </w:pPr>
      <w:r>
        <w:t>后续若要把本附录中的题晋升，必须重新做题源核验、真实 GPT/Claude 复审、Codex 裁决和 traceability delta。</w:t>
      </w:r>
    </w:p>
    <w:p>
      <w:pPr>
        <w:pStyle w:val="Heading2"/>
      </w:pPr>
      <w:r>
        <w:t>v13.7 守门补充</w:t>
      </w:r>
    </w:p>
    <w:p>
      <w:pPr>
        <w:spacing w:after="80"/>
      </w:pPr>
      <w:r>
        <w:t>真实 Claude 零基础测试只暴露学生迁移工具不足，没有提供把开放容器题晋升为正文的题源证据。因此本附录仍单列，不计入 A/B 主干支持数。</w:t>
      </w:r>
    </w:p>
    <w:p>
      <w:pPr>
        <w:pStyle w:val="Heading1"/>
        <w:pageBreakBefore/>
      </w:pPr>
      <w:r>
        <w:t>05 GPT/Claude 治理附录 v13.7</w:t>
      </w:r>
    </w:p>
    <w:p>
      <w:pPr>
        <w:spacing w:after="80"/>
      </w:pPr>
      <w:r>
        <w:t>Status: `real_model_governance_captured_for_v13_7`</w:t>
      </w:r>
    </w:p>
    <w:p>
      <w:pPr>
        <w:pStyle w:val="Heading2"/>
      </w:pPr>
      <w:r>
        <w:t>真实模型链</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vAlign w:val="center"/>
            <w:shd w:fill="E8EEF5"/>
          </w:tcPr>
          <w:p>
            <w:r/>
            <w:r>
              <w:rPr>
                <w:rFonts w:ascii="Microsoft YaHei" w:hAnsi="Microsoft YaHei"/>
                <w:b/>
                <w:sz w:val="16"/>
              </w:rPr>
              <w:t>阶段</w:t>
            </w:r>
          </w:p>
        </w:tc>
        <w:tc>
          <w:tcPr>
            <w:tcW w:type="dxa" w:w="2494"/>
            <w:vAlign w:val="center"/>
            <w:shd w:fill="E8EEF5"/>
          </w:tcPr>
          <w:p>
            <w:r/>
            <w:r>
              <w:rPr>
                <w:rFonts w:ascii="Microsoft YaHei" w:hAnsi="Microsoft YaHei"/>
                <w:b/>
                <w:sz w:val="16"/>
              </w:rPr>
              <w:t>模型/角色</w:t>
            </w:r>
          </w:p>
        </w:tc>
        <w:tc>
          <w:tcPr>
            <w:tcW w:type="dxa" w:w="2494"/>
            <w:vAlign w:val="center"/>
            <w:shd w:fill="E8EEF5"/>
          </w:tcPr>
          <w:p>
            <w:r/>
            <w:r>
              <w:rPr>
                <w:rFonts w:ascii="Microsoft YaHei" w:hAnsi="Microsoft YaHei"/>
                <w:b/>
                <w:sz w:val="16"/>
              </w:rPr>
              <w:t>真实输出</w:t>
            </w:r>
          </w:p>
        </w:tc>
        <w:tc>
          <w:tcPr>
            <w:tcW w:type="dxa" w:w="2494"/>
            <w:vAlign w:val="center"/>
            <w:shd w:fill="E8EEF5"/>
          </w:tcPr>
          <w:p>
            <w:r/>
            <w:r>
              <w:rPr>
                <w:rFonts w:ascii="Microsoft YaHei" w:hAnsi="Microsoft YaHei"/>
                <w:b/>
                <w:sz w:val="16"/>
              </w:rPr>
              <w:t>结论</w:t>
            </w:r>
          </w:p>
        </w:tc>
      </w:tr>
      <w:tr>
        <w:tc>
          <w:tcPr>
            <w:tcW w:type="dxa" w:w="2494"/>
            <w:vAlign w:val="center"/>
          </w:tcPr>
          <w:p>
            <w:r/>
            <w:r>
              <w:rPr>
                <w:rFonts w:ascii="Microsoft YaHei" w:hAnsi="Microsoft YaHei"/>
                <w:b w:val="0"/>
                <w:sz w:val="16"/>
              </w:rPr>
              <w:t>Round03</w:t>
            </w:r>
          </w:p>
        </w:tc>
        <w:tc>
          <w:tcPr>
            <w:tcW w:type="dxa" w:w="2494"/>
            <w:vAlign w:val="center"/>
          </w:tcPr>
          <w:p>
            <w:r/>
            <w:r>
              <w:rPr>
                <w:rFonts w:ascii="Microsoft YaHei" w:hAnsi="Microsoft YaHei"/>
                <w:b w:val="0"/>
                <w:sz w:val="16"/>
              </w:rPr>
              <w:t>GPT source-check review</w:t>
            </w:r>
          </w:p>
        </w:tc>
        <w:tc>
          <w:tcPr>
            <w:tcW w:type="dxa" w:w="2494"/>
            <w:vAlign w:val="center"/>
          </w:tcPr>
          <w:p>
            <w:r/>
            <w:r>
              <w:rPr>
                <w:rFonts w:ascii="Microsoft YaHei" w:hAnsi="Microsoft YaHei"/>
                <w:b w:val="0"/>
                <w:sz w:val="16"/>
              </w:rPr>
              <w:t>`model_outputs/gpt_round03_source_check_review.md`</w:t>
            </w:r>
          </w:p>
        </w:tc>
        <w:tc>
          <w:tcPr>
            <w:tcW w:type="dxa" w:w="2494"/>
            <w:vAlign w:val="center"/>
          </w:tcPr>
          <w:p>
            <w:r/>
            <w:r>
              <w:rPr>
                <w:rFonts w:ascii="Microsoft YaHei" w:hAnsi="Microsoft YaHei"/>
                <w:b w:val="0"/>
                <w:sz w:val="16"/>
              </w:rPr>
              <w:t>source-check 后 v12.2 baseline 可作为框架底座</w:t>
            </w:r>
          </w:p>
        </w:tc>
      </w:tr>
      <w:tr>
        <w:tc>
          <w:tcPr>
            <w:tcW w:type="dxa" w:w="2494"/>
            <w:vAlign w:val="center"/>
          </w:tcPr>
          <w:p>
            <w:r/>
            <w:r>
              <w:rPr>
                <w:rFonts w:ascii="Microsoft YaHei" w:hAnsi="Microsoft YaHei"/>
                <w:b w:val="0"/>
                <w:sz w:val="16"/>
              </w:rPr>
              <w:t>Round03</w:t>
            </w:r>
          </w:p>
        </w:tc>
        <w:tc>
          <w:tcPr>
            <w:tcW w:type="dxa" w:w="2494"/>
            <w:vAlign w:val="center"/>
          </w:tcPr>
          <w:p>
            <w:r/>
            <w:r>
              <w:rPr>
                <w:rFonts w:ascii="Microsoft YaHei" w:hAnsi="Microsoft YaHei"/>
                <w:b w:val="0"/>
                <w:sz w:val="16"/>
              </w:rPr>
              <w:t>Claude source-check key capture</w:t>
            </w:r>
          </w:p>
        </w:tc>
        <w:tc>
          <w:tcPr>
            <w:tcW w:type="dxa" w:w="2494"/>
            <w:vAlign w:val="center"/>
          </w:tcPr>
          <w:p>
            <w:r/>
            <w:r>
              <w:rPr>
                <w:rFonts w:ascii="Microsoft YaHei" w:hAnsi="Microsoft YaHei"/>
                <w:b w:val="0"/>
                <w:sz w:val="16"/>
              </w:rPr>
              <w:t>`model_outputs/claude_round03_source_check_review_key_capture.md`</w:t>
            </w:r>
          </w:p>
        </w:tc>
        <w:tc>
          <w:tcPr>
            <w:tcW w:type="dxa" w:w="2494"/>
            <w:vAlign w:val="center"/>
          </w:tcPr>
          <w:p>
            <w:r/>
            <w:r>
              <w:rPr>
                <w:rFonts w:ascii="Microsoft YaHei" w:hAnsi="Microsoft YaHei"/>
                <w:b w:val="0"/>
                <w:sz w:val="16"/>
              </w:rPr>
              <w:t>赞成保留 source-checked baseline，并强调学生迁移语言</w:t>
            </w:r>
          </w:p>
        </w:tc>
      </w:tr>
      <w:tr>
        <w:tc>
          <w:tcPr>
            <w:tcW w:type="dxa" w:w="2494"/>
            <w:vAlign w:val="center"/>
          </w:tcPr>
          <w:p>
            <w:r/>
            <w:r>
              <w:rPr>
                <w:rFonts w:ascii="Microsoft YaHei" w:hAnsi="Microsoft YaHei"/>
                <w:b w:val="0"/>
                <w:sz w:val="16"/>
              </w:rPr>
              <w:t>Round05</w:t>
            </w:r>
          </w:p>
        </w:tc>
        <w:tc>
          <w:tcPr>
            <w:tcW w:type="dxa" w:w="2494"/>
            <w:vAlign w:val="center"/>
          </w:tcPr>
          <w:p>
            <w:r/>
            <w:r>
              <w:rPr>
                <w:rFonts w:ascii="Microsoft YaHei" w:hAnsi="Microsoft YaHei"/>
                <w:b w:val="0"/>
                <w:sz w:val="16"/>
              </w:rPr>
              <w:t>GPT Pro final review</w:t>
            </w:r>
          </w:p>
        </w:tc>
        <w:tc>
          <w:tcPr>
            <w:tcW w:type="dxa" w:w="2494"/>
            <w:vAlign w:val="center"/>
          </w:tcPr>
          <w:p>
            <w:r/>
            <w:r>
              <w:rPr>
                <w:rFonts w:ascii="Microsoft YaHei" w:hAnsi="Microsoft YaHei"/>
                <w:b w:val="0"/>
                <w:sz w:val="16"/>
              </w:rPr>
              <w:t>`round05_v13_final_advisor_review/model_outputs/gpt_round05_v13_final_review_pro_web_raw.md`</w:t>
            </w:r>
          </w:p>
        </w:tc>
        <w:tc>
          <w:tcPr>
            <w:tcW w:type="dxa" w:w="2494"/>
            <w:vAlign w:val="center"/>
          </w:tcPr>
          <w:p>
            <w:r/>
            <w:r>
              <w:rPr>
                <w:rFonts w:ascii="Microsoft YaHei" w:hAnsi="Microsoft YaHei"/>
                <w:b w:val="0"/>
                <w:sz w:val="16"/>
              </w:rPr>
              <w:t>`ACCEPT_AFTER_MINOR_PATCHES`</w:t>
            </w:r>
          </w:p>
        </w:tc>
      </w:tr>
      <w:tr>
        <w:tc>
          <w:tcPr>
            <w:tcW w:type="dxa" w:w="2494"/>
            <w:vAlign w:val="center"/>
          </w:tcPr>
          <w:p>
            <w:r/>
            <w:r>
              <w:rPr>
                <w:rFonts w:ascii="Microsoft YaHei" w:hAnsi="Microsoft YaHei"/>
                <w:b w:val="0"/>
                <w:sz w:val="16"/>
              </w:rPr>
              <w:t>Round05</w:t>
            </w:r>
          </w:p>
        </w:tc>
        <w:tc>
          <w:tcPr>
            <w:tcW w:type="dxa" w:w="2494"/>
            <w:vAlign w:val="center"/>
          </w:tcPr>
          <w:p>
            <w:r/>
            <w:r>
              <w:rPr>
                <w:rFonts w:ascii="Microsoft YaHei" w:hAnsi="Microsoft YaHei"/>
                <w:b w:val="0"/>
                <w:sz w:val="16"/>
              </w:rPr>
              <w:t>Claude Opus 4.7 Adaptive final review</w:t>
            </w:r>
          </w:p>
        </w:tc>
        <w:tc>
          <w:tcPr>
            <w:tcW w:type="dxa" w:w="2494"/>
            <w:vAlign w:val="center"/>
          </w:tcPr>
          <w:p>
            <w:r/>
            <w:r>
              <w:rPr>
                <w:rFonts w:ascii="Microsoft YaHei" w:hAnsi="Microsoft YaHei"/>
                <w:b w:val="0"/>
                <w:sz w:val="16"/>
              </w:rPr>
              <w:t>`round05_v13_final_advisor_review/model_outputs/claude_round05_v13_final_review_opus47_web_raw.md`</w:t>
            </w:r>
          </w:p>
        </w:tc>
        <w:tc>
          <w:tcPr>
            <w:tcW w:type="dxa" w:w="2494"/>
            <w:vAlign w:val="center"/>
          </w:tcPr>
          <w:p>
            <w:r/>
            <w:r>
              <w:rPr>
                <w:rFonts w:ascii="Microsoft YaHei" w:hAnsi="Microsoft YaHei"/>
                <w:b w:val="0"/>
                <w:sz w:val="16"/>
              </w:rPr>
              <w:t>`ACCEPT_AFTER_MINOR_PATCHES`</w:t>
            </w:r>
          </w:p>
        </w:tc>
      </w:tr>
      <w:tr>
        <w:tc>
          <w:tcPr>
            <w:tcW w:type="dxa" w:w="2494"/>
            <w:vAlign w:val="center"/>
          </w:tcPr>
          <w:p>
            <w:r/>
            <w:r>
              <w:rPr>
                <w:rFonts w:ascii="Microsoft YaHei" w:hAnsi="Microsoft YaHei"/>
                <w:b w:val="0"/>
                <w:sz w:val="16"/>
              </w:rPr>
              <w:t>Round06</w:t>
            </w:r>
          </w:p>
        </w:tc>
        <w:tc>
          <w:tcPr>
            <w:tcW w:type="dxa" w:w="2494"/>
            <w:vAlign w:val="center"/>
          </w:tcPr>
          <w:p>
            <w:r/>
            <w:r>
              <w:rPr>
                <w:rFonts w:ascii="Microsoft YaHei" w:hAnsi="Microsoft YaHei"/>
                <w:b w:val="0"/>
                <w:sz w:val="16"/>
              </w:rPr>
              <w:t>GPT Pro with prior framework</w:t>
            </w:r>
          </w:p>
        </w:tc>
        <w:tc>
          <w:tcPr>
            <w:tcW w:type="dxa" w:w="2494"/>
            <w:vAlign w:val="center"/>
          </w:tcPr>
          <w:p>
            <w:r/>
            <w:r>
              <w:rPr>
                <w:rFonts w:ascii="Microsoft YaHei" w:hAnsi="Microsoft YaHei"/>
                <w:b w:val="0"/>
                <w:sz w:val="16"/>
              </w:rPr>
              <w:t>`round06_gpt_v13_1_final_eval_with_prior_framework/model_outputs/gpt_round06_v13_1_final_eval_with_prior_framework_raw.md`</w:t>
            </w:r>
          </w:p>
        </w:tc>
        <w:tc>
          <w:tcPr>
            <w:tcW w:type="dxa" w:w="2494"/>
            <w:vAlign w:val="center"/>
          </w:tcPr>
          <w:p>
            <w:r/>
            <w:r>
              <w:rPr>
                <w:rFonts w:ascii="Microsoft YaHei" w:hAnsi="Microsoft YaHei"/>
                <w:b w:val="0"/>
                <w:sz w:val="16"/>
              </w:rPr>
              <w:t>`ACCEPT_WITH_MINOR_PATCHES`；确认 A/B 双轴为最终主框架</w:t>
            </w:r>
          </w:p>
        </w:tc>
      </w:tr>
      <w:tr>
        <w:tc>
          <w:tcPr>
            <w:tcW w:type="dxa" w:w="2494"/>
            <w:vAlign w:val="center"/>
          </w:tcPr>
          <w:p>
            <w:r/>
            <w:r>
              <w:rPr>
                <w:rFonts w:ascii="Microsoft YaHei" w:hAnsi="Microsoft YaHei"/>
                <w:b w:val="0"/>
                <w:sz w:val="16"/>
              </w:rPr>
              <w:t>Round07</w:t>
            </w:r>
          </w:p>
        </w:tc>
        <w:tc>
          <w:tcPr>
            <w:tcW w:type="dxa" w:w="2494"/>
            <w:vAlign w:val="center"/>
          </w:tcPr>
          <w:p>
            <w:r/>
            <w:r>
              <w:rPr>
                <w:rFonts w:ascii="Microsoft YaHei" w:hAnsi="Microsoft YaHei"/>
                <w:b w:val="0"/>
                <w:sz w:val="16"/>
              </w:rPr>
              <w:t>Claude zero-baseline student retest</w:t>
            </w:r>
          </w:p>
        </w:tc>
        <w:tc>
          <w:tcPr>
            <w:tcW w:type="dxa" w:w="2494"/>
            <w:vAlign w:val="center"/>
          </w:tcPr>
          <w:p>
            <w:r/>
            <w:r>
              <w:rPr>
                <w:rFonts w:ascii="Microsoft YaHei" w:hAnsi="Microsoft YaHei"/>
                <w:b w:val="0"/>
                <w:sz w:val="16"/>
              </w:rPr>
              <w:t>`claude_zero_baseline_iterative_test_20260523_round07/model_outputs/claude_zero_baseline_iterative_test_round07_opus47_raw.md`</w:t>
            </w:r>
          </w:p>
        </w:tc>
        <w:tc>
          <w:tcPr>
            <w:tcW w:type="dxa" w:w="2494"/>
            <w:vAlign w:val="center"/>
          </w:tcPr>
          <w:p>
            <w:r/>
            <w:r>
              <w:rPr>
                <w:rFonts w:ascii="Microsoft YaHei" w:hAnsi="Microsoft YaHei"/>
                <w:b w:val="0"/>
                <w:sz w:val="16"/>
              </w:rPr>
              <w:t>可以进入最终宝典写作</w:t>
            </w:r>
          </w:p>
        </w:tc>
      </w:tr>
    </w:tbl>
    <w:p/>
    <w:p>
      <w:pPr>
        <w:pStyle w:val="Heading2"/>
      </w:pPr>
      <w:r>
        <w:t>Codex 证据裁决</w:t>
      </w:r>
    </w:p>
    <w:p>
      <w:pPr>
        <w:pStyle w:val="ListBullet"/>
        <w:spacing w:after="30"/>
      </w:pPr>
      <w:r>
        <w:t>Round03 负责 source-check baseline，不能替代最终学生可迁移性测试。</w:t>
      </w:r>
    </w:p>
    <w:p>
      <w:pPr>
        <w:pStyle w:val="ListBullet"/>
        <w:spacing w:after="30"/>
      </w:pPr>
      <w:r>
        <w:t>Round05/Round06 负责判断 v13.1 双轴主框架是否成立。</w:t>
      </w:r>
    </w:p>
    <w:p>
      <w:pPr>
        <w:pStyle w:val="ListBullet"/>
        <w:spacing w:after="30"/>
      </w:pPr>
      <w:r>
        <w:t>Round07 不是让 Claude 评审答案，而是让 Claude 扮演“聪明但零基础高三学生”，只看框架和压缩题面现场作答；本地答案键、评分锚点、材料触发链、答案骨架和学生预警均未发送。</w:t>
      </w:r>
    </w:p>
    <w:p>
      <w:pPr>
        <w:pStyle w:val="ListBullet"/>
        <w:spacing w:after="30"/>
      </w:pPr>
      <w:r>
        <w:t>v13.2-v13.7 的每一轮修改都来自 Claude 真实盲测暴露的问题，再由 Codex 本地按题源和框架目标裁决。</w:t>
      </w:r>
    </w:p>
    <w:p>
      <w:pPr>
        <w:pStyle w:val="Heading2"/>
      </w:pPr>
      <w:r>
        <w:t>保留边界</w:t>
      </w:r>
    </w:p>
    <w:p>
      <w:pPr>
        <w:pStyle w:val="ListBullet"/>
        <w:spacing w:after="30"/>
      </w:pPr>
      <w:r>
        <w:t>本版可以宣称 v13.7 框架已完成零基础迁移闭环。</w:t>
      </w:r>
    </w:p>
    <w:p>
      <w:pPr>
        <w:pStyle w:val="ListBullet"/>
        <w:spacing w:after="30"/>
      </w:pPr>
      <w:r>
        <w:t>本版只有在 DOCX/HTML/PDF、42题题卡、开放容器附录、追溯矩阵、Governor、Confucius 和 PDF渲染 QA 都存在后，才可宣称 v13.7 宝典交付闭环。</w:t>
      </w:r>
    </w:p>
    <w:p>
      <w:pPr>
        <w:pStyle w:val="ListBullet"/>
        <w:spacing w:after="30"/>
      </w:pPr>
      <w:r>
        <w:t>DOCX direct render QA 仍受本机 LibreOffice/soffice 缺失限制；可声明 Word COM 打开检查，不可声明 DOCX 直渲染通过。</w:t>
      </w:r>
    </w:p>
    <w:p>
      <w:pPr>
        <w:pStyle w:val="Heading1"/>
        <w:pageBreakBefore/>
      </w:pPr>
      <w:r>
        <w:t>06 Governor v13.7 Final Check</w:t>
      </w:r>
    </w:p>
    <w:p>
      <w:pPr>
        <w:spacing w:after="80"/>
      </w:pPr>
      <w:r>
        <w:t>生成时间：2026-05-23 23:10 +08:00</w:t>
      </w:r>
    </w:p>
    <w:p>
      <w:pPr>
        <w:spacing w:after="80"/>
      </w:pPr>
      <w:r>
        <w:t>状态：`v13_7_final_baodian_integrated_pdf_rendered_docx_generated_with_docx_render_caveat`</w:t>
      </w:r>
    </w:p>
    <w:p>
      <w:pPr>
        <w:pStyle w:val="Heading2"/>
      </w:pPr>
      <w:r>
        <w:t>Gate 表</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gate</w:t>
            </w:r>
          </w:p>
        </w:tc>
        <w:tc>
          <w:tcPr>
            <w:tcW w:type="dxa" w:w="3326"/>
            <w:vAlign w:val="center"/>
            <w:shd w:fill="E8EEF5"/>
          </w:tcPr>
          <w:p>
            <w:r/>
            <w:r>
              <w:rPr>
                <w:rFonts w:ascii="Microsoft YaHei" w:hAnsi="Microsoft YaHei"/>
                <w:b/>
                <w:sz w:val="16"/>
              </w:rPr>
              <w:t>result</w:t>
            </w:r>
          </w:p>
        </w:tc>
        <w:tc>
          <w:tcPr>
            <w:tcW w:type="dxa" w:w="3326"/>
            <w:vAlign w:val="center"/>
            <w:shd w:fill="E8EEF5"/>
          </w:tcPr>
          <w:p>
            <w:r/>
            <w:r>
              <w:rPr>
                <w:rFonts w:ascii="Microsoft YaHei" w:hAnsi="Microsoft YaHei"/>
                <w:b/>
                <w:sz w:val="16"/>
              </w:rPr>
              <w:t>evidence</w:t>
            </w:r>
          </w:p>
        </w:tc>
      </w:tr>
      <w:tr>
        <w:tc>
          <w:tcPr>
            <w:tcW w:type="dxa" w:w="3326"/>
            <w:vAlign w:val="center"/>
          </w:tcPr>
          <w:p>
            <w:r/>
            <w:r>
              <w:rPr>
                <w:rFonts w:ascii="Microsoft YaHei" w:hAnsi="Microsoft YaHei"/>
                <w:b w:val="0"/>
                <w:sz w:val="16"/>
              </w:rPr>
              <w:t>v13.7 框架章</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`01_双轴法律主观题框架章_v13_7最终宝典版.md`</w:t>
            </w:r>
          </w:p>
        </w:tc>
      </w:tr>
      <w:tr>
        <w:tc>
          <w:tcPr>
            <w:tcW w:type="dxa" w:w="3326"/>
            <w:vAlign w:val="center"/>
          </w:tcPr>
          <w:p>
            <w:r/>
            <w:r>
              <w:rPr>
                <w:rFonts w:ascii="Microsoft YaHei" w:hAnsi="Microsoft YaHei"/>
                <w:b w:val="0"/>
                <w:sz w:val="16"/>
              </w:rPr>
              <w:t>42题题卡</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`02_42题双轴重标与解析宝典_v13_7.md` 有 42 道 locked core 正文题</w:t>
            </w:r>
          </w:p>
        </w:tc>
      </w:tr>
      <w:tr>
        <w:tc>
          <w:tcPr>
            <w:tcW w:type="dxa" w:w="3326"/>
            <w:vAlign w:val="center"/>
          </w:tcPr>
          <w:p>
            <w:r/>
            <w:r>
              <w:rPr>
                <w:rFonts w:ascii="Microsoft YaHei" w:hAnsi="Microsoft YaHei"/>
                <w:b w:val="0"/>
                <w:sz w:val="16"/>
              </w:rPr>
              <w:t>每题字段</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question id、区年卷题、设问动作、A/B入口、命题路径、评分锚点、材料触发、答案骨架、学生预警、副入口状态均保留</w:t>
            </w:r>
          </w:p>
        </w:tc>
      </w:tr>
      <w:tr>
        <w:tc>
          <w:tcPr>
            <w:tcW w:type="dxa" w:w="3326"/>
            <w:vAlign w:val="center"/>
          </w:tcPr>
          <w:p>
            <w:r/>
            <w:r>
              <w:rPr>
                <w:rFonts w:ascii="Microsoft YaHei" w:hAnsi="Microsoft YaHei"/>
                <w:b w:val="0"/>
                <w:sz w:val="16"/>
              </w:rPr>
              <w:t>v13.7 迁移提示</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每题按 A轴/B轴补入入口后工具提示和设问动作提示</w:t>
            </w:r>
          </w:p>
        </w:tc>
      </w:tr>
      <w:tr>
        <w:tc>
          <w:tcPr>
            <w:tcW w:type="dxa" w:w="3326"/>
            <w:vAlign w:val="center"/>
          </w:tcPr>
          <w:p>
            <w:r/>
            <w:r>
              <w:rPr>
                <w:rFonts w:ascii="Microsoft YaHei" w:hAnsi="Microsoft YaHei"/>
                <w:b w:val="0"/>
                <w:sz w:val="16"/>
              </w:rPr>
              <w:t>开放容器分离</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`04_开放容器与不晋升题附录_v13_7.md` 单列，不进入 42 题正文</w:t>
            </w:r>
          </w:p>
        </w:tc>
      </w:tr>
      <w:tr>
        <w:tc>
          <w:tcPr>
            <w:tcW w:type="dxa" w:w="3326"/>
            <w:vAlign w:val="center"/>
          </w:tcPr>
          <w:p>
            <w:r/>
            <w:r>
              <w:rPr>
                <w:rFonts w:ascii="Microsoft YaHei" w:hAnsi="Microsoft YaHei"/>
                <w:b w:val="0"/>
                <w:sz w:val="16"/>
              </w:rPr>
              <w:t>真实模型治理</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Round03 GPT/Claude、Round05 GPT/Claude、Round06 GPT、Round07 Claude 均有捕获输出</w:t>
            </w:r>
          </w:p>
        </w:tc>
      </w:tr>
      <w:tr>
        <w:tc>
          <w:tcPr>
            <w:tcW w:type="dxa" w:w="3326"/>
            <w:vAlign w:val="center"/>
          </w:tcPr>
          <w:p>
            <w:r/>
            <w:r>
              <w:rPr>
                <w:rFonts w:ascii="Microsoft YaHei" w:hAnsi="Microsoft YaHei"/>
                <w:b w:val="0"/>
                <w:sz w:val="16"/>
              </w:rPr>
              <w:t>Claude 零基础闭环</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Round07 真实 Claude 只收到框架和压缩题面，未收到隐藏答案键；结论为可进入最终宝典写作</w:t>
            </w:r>
          </w:p>
        </w:tc>
      </w:tr>
      <w:tr>
        <w:tc>
          <w:tcPr>
            <w:tcW w:type="dxa" w:w="3326"/>
            <w:vAlign w:val="center"/>
          </w:tcPr>
          <w:p>
            <w:r/>
            <w:r>
              <w:rPr>
                <w:rFonts w:ascii="Microsoft YaHei" w:hAnsi="Microsoft YaHei"/>
                <w:b w:val="0"/>
                <w:sz w:val="16"/>
              </w:rPr>
              <w:t>traceability</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`traceability/TRACEABILITY_MATRIX_v13_7_final.csv`</w:t>
            </w:r>
          </w:p>
        </w:tc>
      </w:tr>
      <w:tr>
        <w:tc>
          <w:tcPr>
            <w:tcW w:type="dxa" w:w="3326"/>
            <w:vAlign w:val="center"/>
          </w:tcPr>
          <w:p>
            <w:r/>
            <w:r>
              <w:rPr>
                <w:rFonts w:ascii="Microsoft YaHei" w:hAnsi="Microsoft YaHei"/>
                <w:b w:val="0"/>
                <w:sz w:val="16"/>
              </w:rPr>
              <w:t>DOCX/HTML/PDF</w:t>
            </w:r>
          </w:p>
        </w:tc>
        <w:tc>
          <w:tcPr>
            <w:tcW w:type="dxa" w:w="3326"/>
            <w:vAlign w:val="center"/>
          </w:tcPr>
          <w:p>
            <w:r/>
            <w:r>
              <w:rPr>
                <w:rFonts w:ascii="Microsoft YaHei" w:hAnsi="Microsoft YaHei"/>
                <w:b w:val="0"/>
                <w:sz w:val="16"/>
              </w:rPr>
              <w:t>pass with caveat</w:t>
            </w:r>
          </w:p>
        </w:tc>
        <w:tc>
          <w:tcPr>
            <w:tcW w:type="dxa" w:w="3326"/>
            <w:vAlign w:val="center"/>
          </w:tcPr>
          <w:p>
            <w:r/>
            <w:r>
              <w:rPr>
                <w:rFonts w:ascii="Microsoft YaHei" w:hAnsi="Microsoft YaHei"/>
                <w:b w:val="0"/>
                <w:sz w:val="16"/>
              </w:rPr>
              <w:t>DOCX 已生成并可由 Word 打开；HTML/PDF 已生成；PDF 渲染 QA 见 `07_RENDER_QA_REPORT.md`；DOCX direct render QA 不声明通过</w:t>
            </w:r>
          </w:p>
        </w:tc>
      </w:tr>
    </w:tbl>
    <w:p/>
    <w:p>
      <w:pPr>
        <w:pStyle w:val="Heading2"/>
      </w:pPr>
      <w:r>
        <w:t>Governor Verdict</w:t>
      </w:r>
    </w:p>
    <w:p>
      <w:pPr>
        <w:spacing w:after="80"/>
      </w:pPr>
      <w:r>
        <w:t>当前状态已完成 DOCX生成、HTML打印源、PDF生成、PDF页面渲染、空白页检查、PDF文本覆盖和 Confucius artifact-only 检查。允许标签为：</w:t>
      </w:r>
    </w:p>
    <w:p>
      <w:pPr>
        <w:spacing w:after="80"/>
      </w:pPr>
      <w:r>
        <w:t>`v13_7_final_baodian_integrated_pdf_rendered_docx_generated_with_docx_render_caveat`</w:t>
      </w:r>
    </w:p>
    <w:p>
      <w:pPr>
        <w:pStyle w:val="Heading1"/>
        <w:pageBreakBefore/>
      </w:pPr>
      <w:r>
        <w:t>07 Render QA Report v13.7</w:t>
      </w:r>
    </w:p>
    <w:p>
      <w:pPr>
        <w:spacing w:after="80"/>
      </w:pPr>
      <w:r>
        <w:t>Status: `v13_7_final_baodian_integrated_pdf_rendered_docx_generated_with_docx_render_caveat`</w:t>
      </w:r>
    </w:p>
    <w:p>
      <w:pPr>
        <w:spacing w:after="80"/>
      </w:pPr>
      <w:r>
        <w:t>Date: 2026-05-23</w:t>
      </w:r>
    </w:p>
    <w:p>
      <w:pPr>
        <w:pStyle w:val="Heading2"/>
      </w:pPr>
      <w:r>
        <w:t>Produced Files</w:t>
      </w:r>
    </w:p>
    <w:p>
      <w:pPr>
        <w:pStyle w:val="ListBullet"/>
        <w:spacing w:after="30"/>
      </w:pPr>
      <w:r>
        <w:t>Markdown framework and 42-card handbook: `01_双轴法律主观题框架章_v13_7最终宝典版.md` through `06_GOVERNOR_V13_7_FINAL_CHECK.md`</w:t>
      </w:r>
    </w:p>
    <w:p>
      <w:pPr>
        <w:pStyle w:val="ListBullet"/>
        <w:spacing w:after="30"/>
      </w:pPr>
      <w:r>
        <w:t>DOCX candidate: `选必二法律与生活_法律宝典_v13_7_集成终版.docx`</w:t>
      </w:r>
    </w:p>
    <w:p>
      <w:pPr>
        <w:pStyle w:val="ListBullet"/>
        <w:spacing w:after="30"/>
      </w:pPr>
      <w:r>
        <w:t>HTML print source: `选必二法律与生活_法律宝典_v13_7_集成终版.html`</w:t>
      </w:r>
    </w:p>
    <w:p>
      <w:pPr>
        <w:pStyle w:val="ListBullet"/>
        <w:spacing w:after="30"/>
      </w:pPr>
      <w:r>
        <w:t>PDF delivery: `选必二法律与生活_法律宝典_v13_7_集成终版.pdf`</w:t>
      </w:r>
    </w:p>
    <w:p>
      <w:pPr>
        <w:pStyle w:val="ListBullet"/>
        <w:spacing w:after="30"/>
      </w:pPr>
      <w:r>
        <w:t>PDF page renders: `rendered_pdf_pages/page-001.png` through final page</w:t>
      </w:r>
    </w:p>
    <w:p>
      <w:pPr>
        <w:pStyle w:val="ListBullet"/>
        <w:spacing w:after="30"/>
      </w:pPr>
      <w:r>
        <w:t>Confucius artifact-only check: `governor_confucius/CONFUCIUS_ARTIFACT_ONLY_CHECK_v13_7.md`</w:t>
      </w:r>
    </w:p>
    <w:p>
      <w:pPr>
        <w:pStyle w:val="Heading2"/>
      </w:pPr>
      <w:r>
        <w:t>Verification</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check</w:t>
            </w:r>
          </w:p>
        </w:tc>
        <w:tc>
          <w:tcPr>
            <w:tcW w:type="dxa" w:w="3326"/>
            <w:vAlign w:val="center"/>
            <w:shd w:fill="E8EEF5"/>
          </w:tcPr>
          <w:p>
            <w:r/>
            <w:r>
              <w:rPr>
                <w:rFonts w:ascii="Microsoft YaHei" w:hAnsi="Microsoft YaHei"/>
                <w:b/>
                <w:sz w:val="16"/>
              </w:rPr>
              <w:t>result</w:t>
            </w:r>
          </w:p>
        </w:tc>
        <w:tc>
          <w:tcPr>
            <w:tcW w:type="dxa" w:w="3326"/>
            <w:vAlign w:val="center"/>
            <w:shd w:fill="E8EEF5"/>
          </w:tcPr>
          <w:p>
            <w:r/>
            <w:r>
              <w:rPr>
                <w:rFonts w:ascii="Microsoft YaHei" w:hAnsi="Microsoft YaHei"/>
                <w:b/>
                <w:sz w:val="16"/>
              </w:rPr>
              <w:t>evidence</w:t>
            </w:r>
          </w:p>
        </w:tc>
      </w:tr>
      <w:tr>
        <w:tc>
          <w:tcPr>
            <w:tcW w:type="dxa" w:w="3326"/>
            <w:vAlign w:val="center"/>
          </w:tcPr>
          <w:p>
            <w:r/>
            <w:r>
              <w:rPr>
                <w:rFonts w:ascii="Microsoft YaHei" w:hAnsi="Microsoft YaHei"/>
                <w:b w:val="0"/>
                <w:sz w:val="16"/>
              </w:rPr>
              <w:t>traceability row count</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`TRACEABILITY_MATRIX_v13_7_final.csv` has 42 rows</w:t>
            </w:r>
          </w:p>
        </w:tc>
      </w:tr>
      <w:tr>
        <w:tc>
          <w:tcPr>
            <w:tcW w:type="dxa" w:w="3326"/>
            <w:vAlign w:val="center"/>
          </w:tcPr>
          <w:p>
            <w:r/>
            <w:r>
              <w:rPr>
                <w:rFonts w:ascii="Microsoft YaHei" w:hAnsi="Microsoft YaHei"/>
                <w:b w:val="0"/>
                <w:sz w:val="16"/>
              </w:rPr>
              <w:t>Markdown card count</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`02_42题双轴重标与解析宝典_v13_7.md` has 42 `###` cards</w:t>
            </w:r>
          </w:p>
        </w:tc>
      </w:tr>
      <w:tr>
        <w:tc>
          <w:tcPr>
            <w:tcW w:type="dxa" w:w="3326"/>
            <w:vAlign w:val="center"/>
          </w:tcPr>
          <w:p>
            <w:r/>
            <w:r>
              <w:rPr>
                <w:rFonts w:ascii="Microsoft YaHei" w:hAnsi="Microsoft YaHei"/>
                <w:b w:val="0"/>
                <w:sz w:val="16"/>
              </w:rPr>
              <w:t>v13.7 transfer notes</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each card has A-axis and B-axis v13.7 notes, 84 notes total</w:t>
            </w:r>
          </w:p>
        </w:tc>
      </w:tr>
      <w:tr>
        <w:tc>
          <w:tcPr>
            <w:tcW w:type="dxa" w:w="3326"/>
            <w:vAlign w:val="center"/>
          </w:tcPr>
          <w:p>
            <w:r/>
            <w:r>
              <w:rPr>
                <w:rFonts w:ascii="Microsoft YaHei" w:hAnsi="Microsoft YaHei"/>
                <w:b w:val="0"/>
                <w:sz w:val="16"/>
              </w:rPr>
              <w:t>open-container separation</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`04_开放容器与不晋升题附录_v13_7.md` exists and remains outside the 42-card body</w:t>
            </w:r>
          </w:p>
        </w:tc>
      </w:tr>
      <w:tr>
        <w:tc>
          <w:tcPr>
            <w:tcW w:type="dxa" w:w="3326"/>
            <w:vAlign w:val="center"/>
          </w:tcPr>
          <w:p>
            <w:r/>
            <w:r>
              <w:rPr>
                <w:rFonts w:ascii="Microsoft YaHei" w:hAnsi="Microsoft YaHei"/>
                <w:b w:val="0"/>
                <w:sz w:val="16"/>
              </w:rPr>
              <w:t>real Claude zero-baseline closure</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Round07 raw output says framework can enter final baodian writing</w:t>
            </w:r>
          </w:p>
        </w:tc>
      </w:tr>
      <w:tr>
        <w:tc>
          <w:tcPr>
            <w:tcW w:type="dxa" w:w="3326"/>
            <w:vAlign w:val="center"/>
          </w:tcPr>
          <w:p>
            <w:r/>
            <w:r>
              <w:rPr>
                <w:rFonts w:ascii="Microsoft YaHei" w:hAnsi="Microsoft YaHei"/>
                <w:b w:val="0"/>
                <w:sz w:val="16"/>
              </w:rPr>
              <w:t>PDF generated</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`选必二法律与生活_法律宝典_v13_7_集成终版.pdf` exists, 1,716,823 bytes</w:t>
            </w:r>
          </w:p>
        </w:tc>
      </w:tr>
      <w:tr>
        <w:tc>
          <w:tcPr>
            <w:tcW w:type="dxa" w:w="3326"/>
            <w:vAlign w:val="center"/>
          </w:tcPr>
          <w:p>
            <w:r/>
            <w:r>
              <w:rPr>
                <w:rFonts w:ascii="Microsoft YaHei" w:hAnsi="Microsoft YaHei"/>
                <w:b w:val="0"/>
                <w:sz w:val="16"/>
              </w:rPr>
              <w:t>PDF text coverage</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PDF text includes `v13.7`, `Round07`, `CC0251`, `Confucius`, and `locked core`</w:t>
            </w:r>
          </w:p>
        </w:tc>
      </w:tr>
      <w:tr>
        <w:tc>
          <w:tcPr>
            <w:tcW w:type="dxa" w:w="3326"/>
            <w:vAlign w:val="center"/>
          </w:tcPr>
          <w:p>
            <w:r/>
            <w:r>
              <w:rPr>
                <w:rFonts w:ascii="Microsoft YaHei" w:hAnsi="Microsoft YaHei"/>
                <w:b w:val="0"/>
                <w:sz w:val="16"/>
              </w:rPr>
              <w:t>PDF pages rendered</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36 PDF pages -&gt; 36 PNG pages</w:t>
            </w:r>
          </w:p>
        </w:tc>
      </w:tr>
      <w:tr>
        <w:tc>
          <w:tcPr>
            <w:tcW w:type="dxa" w:w="3326"/>
            <w:vAlign w:val="center"/>
          </w:tcPr>
          <w:p>
            <w:r/>
            <w:r>
              <w:rPr>
                <w:rFonts w:ascii="Microsoft YaHei" w:hAnsi="Microsoft YaHei"/>
                <w:b w:val="0"/>
                <w:sz w:val="16"/>
              </w:rPr>
              <w:t>blank-page check</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rendered PNG signal check found no blank-like pages</w:t>
            </w:r>
          </w:p>
        </w:tc>
      </w:tr>
      <w:tr>
        <w:tc>
          <w:tcPr>
            <w:tcW w:type="dxa" w:w="3326"/>
            <w:vAlign w:val="center"/>
          </w:tcPr>
          <w:p>
            <w:r/>
            <w:r>
              <w:rPr>
                <w:rFonts w:ascii="Microsoft YaHei" w:hAnsi="Microsoft YaHei"/>
                <w:b w:val="0"/>
                <w:sz w:val="16"/>
              </w:rPr>
              <w:t>visual sample</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inspected page 001 cover, page 018 dense question cards, page 030 open-container appendix, and final Confucius appendix page</w:t>
            </w:r>
          </w:p>
        </w:tc>
      </w:tr>
      <w:tr>
        <w:tc>
          <w:tcPr>
            <w:tcW w:type="dxa" w:w="3326"/>
            <w:vAlign w:val="center"/>
          </w:tcPr>
          <w:p>
            <w:r/>
            <w:r>
              <w:rPr>
                <w:rFonts w:ascii="Microsoft YaHei" w:hAnsi="Microsoft YaHei"/>
                <w:b w:val="0"/>
                <w:sz w:val="16"/>
              </w:rPr>
              <w:t>DOCX generated</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DOCX exists</w:t>
            </w:r>
          </w:p>
        </w:tc>
      </w:tr>
      <w:tr>
        <w:tc>
          <w:tcPr>
            <w:tcW w:type="dxa" w:w="3326"/>
            <w:vAlign w:val="center"/>
          </w:tcPr>
          <w:p>
            <w:r/>
            <w:r>
              <w:rPr>
                <w:rFonts w:ascii="Microsoft YaHei" w:hAnsi="Microsoft YaHei"/>
                <w:b w:val="0"/>
                <w:sz w:val="16"/>
              </w:rPr>
              <w:t>DOCX Word open check</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Word COM opened the DOCX read-only and computed 62 pages / 1698 paragraphs</w:t>
            </w:r>
          </w:p>
        </w:tc>
      </w:tr>
      <w:tr>
        <w:tc>
          <w:tcPr>
            <w:tcW w:type="dxa" w:w="3326"/>
            <w:vAlign w:val="center"/>
          </w:tcPr>
          <w:p>
            <w:r/>
            <w:r>
              <w:rPr>
                <w:rFonts w:ascii="Microsoft YaHei" w:hAnsi="Microsoft YaHei"/>
                <w:b w:val="0"/>
                <w:sz w:val="16"/>
              </w:rPr>
              <w:t>DOCX direct render via `render_docx.py`</w:t>
            </w:r>
          </w:p>
        </w:tc>
        <w:tc>
          <w:tcPr>
            <w:tcW w:type="dxa" w:w="3326"/>
            <w:vAlign w:val="center"/>
          </w:tcPr>
          <w:p>
            <w:r/>
            <w:r>
              <w:rPr>
                <w:rFonts w:ascii="Microsoft YaHei" w:hAnsi="Microsoft YaHei"/>
                <w:b w:val="0"/>
                <w:sz w:val="16"/>
              </w:rPr>
              <w:t>not passed / not claimed</w:t>
            </w:r>
          </w:p>
        </w:tc>
        <w:tc>
          <w:tcPr>
            <w:tcW w:type="dxa" w:w="3326"/>
            <w:vAlign w:val="center"/>
          </w:tcPr>
          <w:p>
            <w:r/>
            <w:r>
              <w:rPr>
                <w:rFonts w:ascii="Microsoft YaHei" w:hAnsi="Microsoft YaHei"/>
                <w:b w:val="0"/>
                <w:sz w:val="16"/>
              </w:rPr>
              <w:t>local LibreOffice/`soffice` executable is unavailable, so DOCX visual render QA is not claimed</w:t>
            </w:r>
          </w:p>
        </w:tc>
      </w:tr>
    </w:tbl>
    <w:p/>
    <w:p>
      <w:pPr>
        <w:pStyle w:val="Heading2"/>
      </w:pPr>
      <w:r>
        <w:t>Governor Note</w:t>
      </w:r>
    </w:p>
    <w:p>
      <w:pPr>
        <w:spacing w:after="80"/>
      </w:pPr>
      <w:r>
        <w:t>The PDF delivery is rendered from the rebuilt HTML print source, which includes the full v13.7 framework chapter, all 42 locked-core question cards, the open-container appendix, real GPT/Claude governance, GPT Round06 appendix, and the local Confucius artifact-only check. The DOCX exists, but it must not be described as DOCX-render-QA-passed unless a future LibreOffice or Word export render path completes.</w:t>
      </w:r>
    </w:p>
    <w:p>
      <w:pPr>
        <w:pStyle w:val="Heading1"/>
        <w:pageBreakBefore/>
      </w:pPr>
      <w:r>
        <w:t>09 GPT Round06 终评与补丁落实</w:t>
      </w:r>
    </w:p>
    <w:p>
      <w:pPr>
        <w:spacing w:after="80"/>
      </w:pPr>
      <w:r>
        <w:t>Status: `round06_gpt_minor_patches_accepted_applied`</w:t>
      </w:r>
    </w:p>
    <w:p>
      <w:pPr>
        <w:pStyle w:val="Heading2"/>
      </w:pPr>
      <w:r>
        <w:t>Real GPT Output</w:t>
      </w:r>
    </w:p>
    <w:p>
      <w:pPr>
        <w:pStyle w:val="ListBullet"/>
        <w:spacing w:after="30"/>
      </w:pPr>
      <w:r>
        <w:t>GPT Pro web raw: `../round06_gpt_v13_1_final_eval_with_prior_framework/model_outputs/gpt_round06_v13_1_final_eval_with_prior_framework_raw.md`</w:t>
      </w:r>
    </w:p>
    <w:p>
      <w:pPr>
        <w:pStyle w:val="ListBullet"/>
        <w:spacing w:after="30"/>
      </w:pPr>
      <w:r>
        <w:t>Payload: `../round06_gpt_v13_1_final_eval_with_prior_framework/web_payloads/GPT_ROUND06_V13_1_FINAL_EVAL_WITH_PRIOR_FRAMEWORK_PAYLOAD.md`</w:t>
      </w:r>
    </w:p>
    <w:p>
      <w:pPr>
        <w:pStyle w:val="ListBullet"/>
        <w:spacing w:after="30"/>
      </w:pPr>
      <w:r>
        <w:t>Codex adjudication: `../round06_gpt_v13_1_final_eval_with_prior_framework/codex_adjudication/CODEX_ROUND06_GPT_FINAL_EVAL_ADJUDICATION.md`</w:t>
      </w:r>
    </w:p>
    <w:p>
      <w:pPr>
        <w:pStyle w:val="Heading2"/>
      </w:pPr>
      <w:r>
        <w:t>GPT Verdict</w:t>
      </w:r>
    </w:p>
    <w:p>
      <w:pPr>
        <w:spacing w:after="80"/>
      </w:pPr>
      <w:r>
        <w:t>`ACCEPT_WITH_MINOR_PATCHES`</w:t>
      </w:r>
    </w:p>
    <w:p>
      <w:pPr>
        <w:spacing w:after="80"/>
      </w:pPr>
      <w:r>
        <w:t>GPT 认为：</w:t>
      </w:r>
    </w:p>
    <w:p>
      <w:pPr>
        <w:pStyle w:val="ListBullet"/>
        <w:spacing w:after="30"/>
      </w:pPr>
      <w:r>
        <w:t>A轴/B轴就是最终框架，不需要第三轴。</w:t>
      </w:r>
    </w:p>
    <w:p>
      <w:pPr>
        <w:pStyle w:val="ListBullet"/>
        <w:spacing w:after="30"/>
      </w:pPr>
      <w:r>
        <w:t>v13.1 保住了旧框架的法条基础 + 法治意义、民事法律关系三要素、材料触发意识、程序工具、疑难点预警。</w:t>
      </w:r>
    </w:p>
    <w:p>
      <w:pPr>
        <w:pStyle w:val="ListBullet"/>
        <w:spacing w:after="30"/>
      </w:pPr>
      <w:r>
        <w:t>v13.1 基本修掉了旧框架的混合层级、意义口号化、学生操作顺序弱、来源支持弱等问题。</w:t>
      </w:r>
    </w:p>
    <w:p>
      <w:pPr>
        <w:pStyle w:val="ListBullet"/>
        <w:spacing w:after="30"/>
      </w:pPr>
      <w:r>
        <w:t>开放容器/reference-only 行被正确排除在 42 题支持数之外。</w:t>
      </w:r>
    </w:p>
    <w:p>
      <w:pPr>
        <w:pStyle w:val="Heading2"/>
      </w:pPr>
      <w:r>
        <w:t>已落实补丁</w:t>
      </w:r>
    </w:p>
    <w:tbl>
      <w:tblPr>
        <w:tblStyle w:val="TableGrid"/>
        <w:tblW w:type="auto" w:w="0"/>
        <w:jc w:val="center"/>
        <w:tblLook w:firstColumn="1" w:firstRow="1" w:lastColumn="0" w:lastRow="0" w:noHBand="0" w:noVBand="1" w:val="04A0"/>
      </w:tblPr>
      <w:tblGrid>
        <w:gridCol w:w="4989"/>
        <w:gridCol w:w="4989"/>
      </w:tblGrid>
      <w:tr>
        <w:tc>
          <w:tcPr>
            <w:tcW w:type="dxa" w:w="4989"/>
            <w:vAlign w:val="center"/>
            <w:shd w:fill="E8EEF5"/>
          </w:tcPr>
          <w:p>
            <w:r/>
            <w:r>
              <w:rPr>
                <w:rFonts w:ascii="Microsoft YaHei" w:hAnsi="Microsoft YaHei"/>
                <w:b/>
                <w:sz w:val="16"/>
              </w:rPr>
              <w:t>question_id</w:t>
            </w:r>
          </w:p>
        </w:tc>
        <w:tc>
          <w:tcPr>
            <w:tcW w:type="dxa" w:w="4989"/>
            <w:vAlign w:val="center"/>
            <w:shd w:fill="E8EEF5"/>
          </w:tcPr>
          <w:p>
            <w:r/>
            <w:r>
              <w:rPr>
                <w:rFonts w:ascii="Microsoft YaHei" w:hAnsi="Microsoft YaHei"/>
                <w:b/>
                <w:sz w:val="16"/>
              </w:rPr>
              <w:t>patch</w:t>
            </w:r>
          </w:p>
        </w:tc>
      </w:tr>
      <w:tr>
        <w:tc>
          <w:tcPr>
            <w:tcW w:type="dxa" w:w="4989"/>
            <w:vAlign w:val="center"/>
          </w:tcPr>
          <w:p>
            <w:r/>
            <w:r>
              <w:rPr>
                <w:rFonts w:ascii="Microsoft YaHei" w:hAnsi="Microsoft YaHei"/>
                <w:b w:val="0"/>
                <w:sz w:val="16"/>
              </w:rPr>
              <w:t>CC0213_2025_门头沟_一模_20</w:t>
            </w:r>
          </w:p>
        </w:tc>
        <w:tc>
          <w:tcPr>
            <w:tcW w:type="dxa" w:w="4989"/>
            <w:vAlign w:val="center"/>
          </w:tcPr>
          <w:p>
            <w:r/>
            <w:r>
              <w:rPr>
                <w:rFonts w:ascii="Microsoft YaHei" w:hAnsi="Microsoft YaHei"/>
                <w:b w:val="0"/>
                <w:sz w:val="16"/>
              </w:rPr>
              <w:t>命题路径改为先定 A8_劳动关系；案例一著作权只作参照格式和副轴说明，不作主答主轴，也不支撑 A5 计数。</w:t>
            </w:r>
          </w:p>
        </w:tc>
      </w:tr>
      <w:tr>
        <w:tc>
          <w:tcPr>
            <w:tcW w:type="dxa" w:w="4989"/>
            <w:vAlign w:val="center"/>
          </w:tcPr>
          <w:p>
            <w:r/>
            <w:r>
              <w:rPr>
                <w:rFonts w:ascii="Microsoft YaHei" w:hAnsi="Microsoft YaHei"/>
                <w:b w:val="0"/>
                <w:sz w:val="16"/>
              </w:rPr>
              <w:t>CC0238_2026_东城_二模_19</w:t>
            </w:r>
          </w:p>
        </w:tc>
        <w:tc>
          <w:tcPr>
            <w:tcW w:type="dxa" w:w="4989"/>
            <w:vAlign w:val="center"/>
          </w:tcPr>
          <w:p>
            <w:r/>
            <w:r>
              <w:rPr>
                <w:rFonts w:ascii="Microsoft YaHei" w:hAnsi="Microsoft YaHei"/>
                <w:b w:val="0"/>
                <w:sz w:val="16"/>
              </w:rPr>
              <w:t>命题路径改为先定 A5_知识产权与竞争秩序；A9 只保留经营者义务边界，A8 只承接张某劳动纪律副链。</w:t>
            </w:r>
          </w:p>
        </w:tc>
      </w:tr>
    </w:tbl>
    <w:p/>
    <w:p>
      <w:pPr>
        <w:pStyle w:val="Heading2"/>
      </w:pPr>
      <w:r>
        <w:t>新增守门规则</w:t>
      </w:r>
    </w:p>
    <w:p>
      <w:pPr>
        <w:spacing w:after="80"/>
      </w:pPr>
      <w:r>
        <w:t>题卡内部必须保持三项一致：A轴主入口、双轴裁决说明、命题路径。若出现残留冲突，以 A轴主入口和最近一轮真实模型裁决说明为准，并修正命题路径。</w:t>
      </w:r>
    </w:p>
    <w:p>
      <w:pPr>
        <w:pStyle w:val="Heading1"/>
        <w:pageBreakBefore/>
      </w:pPr>
      <w:r>
        <w:t>10 Confucius 零基础成品闭环检查 v13.7</w:t>
      </w:r>
    </w:p>
    <w:p>
      <w:pPr>
        <w:spacing w:after="80"/>
      </w:pPr>
      <w:r>
        <w:t>检查时间：2026-05-23</w:t>
      </w:r>
    </w:p>
    <w:p>
      <w:pPr>
        <w:spacing w:after="80"/>
      </w:pPr>
      <w:r>
        <w:t>状态：`confucius_artifact_only_pass_with_docx_render_caveat`</w:t>
      </w:r>
    </w:p>
    <w:p>
      <w:pPr>
        <w:pStyle w:val="Heading2"/>
      </w:pPr>
      <w:r>
        <w:t>检查口径</w:t>
      </w:r>
    </w:p>
    <w:p>
      <w:pPr>
        <w:spacing w:after="80"/>
      </w:pPr>
      <w:r>
        <w:t>本检查只看学生成品本身，不借助工作日志替学生补理解。合格标准是：零基础学生拿到成品后，能按“材料信号 -&gt; A轴法律入口 -&gt; 入口后工具句 -&gt; B轴设问动作 -&gt; 命题路径 -&gt; 答案骨架 -&gt; 学生预警”的顺序迁移。</w:t>
      </w:r>
    </w:p>
    <w:p>
      <w:pPr>
        <w:pStyle w:val="Heading2"/>
      </w:pPr>
      <w:r>
        <w:t>成品内置路径</w:t>
      </w:r>
    </w:p>
    <w:tbl>
      <w:tblPr>
        <w:tblStyle w:val="TableGrid"/>
        <w:tblW w:type="auto" w:w="0"/>
        <w:jc w:val="center"/>
        <w:tblLook w:firstColumn="1" w:firstRow="1" w:lastColumn="0" w:lastRow="0" w:noHBand="0" w:noVBand="1" w:val="04A0"/>
      </w:tblPr>
      <w:tblGrid>
        <w:gridCol w:w="3326"/>
        <w:gridCol w:w="3326"/>
        <w:gridCol w:w="3326"/>
      </w:tblGrid>
      <w:tr>
        <w:tc>
          <w:tcPr>
            <w:tcW w:type="dxa" w:w="3326"/>
            <w:vAlign w:val="center"/>
            <w:shd w:fill="E8EEF5"/>
          </w:tcPr>
          <w:p>
            <w:r/>
            <w:r>
              <w:rPr>
                <w:rFonts w:ascii="Microsoft YaHei" w:hAnsi="Microsoft YaHei"/>
                <w:b/>
                <w:sz w:val="16"/>
              </w:rPr>
              <w:t>项目</w:t>
            </w:r>
          </w:p>
        </w:tc>
        <w:tc>
          <w:tcPr>
            <w:tcW w:type="dxa" w:w="3326"/>
            <w:vAlign w:val="center"/>
            <w:shd w:fill="E8EEF5"/>
          </w:tcPr>
          <w:p>
            <w:r/>
            <w:r>
              <w:rPr>
                <w:rFonts w:ascii="Microsoft YaHei" w:hAnsi="Microsoft YaHei"/>
                <w:b/>
                <w:sz w:val="16"/>
              </w:rPr>
              <w:t>结果</w:t>
            </w:r>
          </w:p>
        </w:tc>
        <w:tc>
          <w:tcPr>
            <w:tcW w:type="dxa" w:w="3326"/>
            <w:vAlign w:val="center"/>
            <w:shd w:fill="E8EEF5"/>
          </w:tcPr>
          <w:p>
            <w:r/>
            <w:r>
              <w:rPr>
                <w:rFonts w:ascii="Microsoft YaHei" w:hAnsi="Microsoft YaHei"/>
                <w:b/>
                <w:sz w:val="16"/>
              </w:rPr>
              <w:t>证据</w:t>
            </w:r>
          </w:p>
        </w:tc>
      </w:tr>
      <w:tr>
        <w:tc>
          <w:tcPr>
            <w:tcW w:type="dxa" w:w="3326"/>
            <w:vAlign w:val="center"/>
          </w:tcPr>
          <w:p>
            <w:r/>
            <w:r>
              <w:rPr>
                <w:rFonts w:ascii="Microsoft YaHei" w:hAnsi="Microsoft YaHei"/>
                <w:b w:val="0"/>
                <w:sz w:val="16"/>
              </w:rPr>
              <w:t>正文题卡</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`02_42题双轴重标与解析宝典_v13_7.md` 有 42 个题卡标题</w:t>
            </w:r>
          </w:p>
        </w:tc>
      </w:tr>
      <w:tr>
        <w:tc>
          <w:tcPr>
            <w:tcW w:type="dxa" w:w="3326"/>
            <w:vAlign w:val="center"/>
          </w:tcPr>
          <w:p>
            <w:r/>
            <w:r>
              <w:rPr>
                <w:rFonts w:ascii="Microsoft YaHei" w:hAnsi="Microsoft YaHei"/>
                <w:b w:val="0"/>
                <w:sz w:val="16"/>
              </w:rPr>
              <w:t>追溯矩阵</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`TRACEABILITY_MATRIX_v13_7_final.csv` 有 42 行、42 个唯一 question_id</w:t>
            </w:r>
          </w:p>
        </w:tc>
      </w:tr>
      <w:tr>
        <w:tc>
          <w:tcPr>
            <w:tcW w:type="dxa" w:w="3326"/>
            <w:vAlign w:val="center"/>
          </w:tcPr>
          <w:p>
            <w:r/>
            <w:r>
              <w:rPr>
                <w:rFonts w:ascii="Microsoft YaHei" w:hAnsi="Microsoft YaHei"/>
                <w:b w:val="0"/>
                <w:sz w:val="16"/>
              </w:rPr>
              <w:t>题卡字段</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每题保留材料核心、评分锚点、材料触发、答案骨架、学生预警、A/B入口和命题路径</w:t>
            </w:r>
          </w:p>
        </w:tc>
      </w:tr>
      <w:tr>
        <w:tc>
          <w:tcPr>
            <w:tcW w:type="dxa" w:w="3326"/>
            <w:vAlign w:val="center"/>
          </w:tcPr>
          <w:p>
            <w:r/>
            <w:r>
              <w:rPr>
                <w:rFonts w:ascii="Microsoft YaHei" w:hAnsi="Microsoft YaHei"/>
                <w:b w:val="0"/>
                <w:sz w:val="16"/>
              </w:rPr>
              <w:t>v13.7迁移工具</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每题新增 A入口工具提示和 B动作提示；框架章含 B1/B3 精度规则和双链比例</w:t>
            </w:r>
          </w:p>
        </w:tc>
      </w:tr>
      <w:tr>
        <w:tc>
          <w:tcPr>
            <w:tcW w:type="dxa" w:w="3326"/>
            <w:vAlign w:val="center"/>
          </w:tcPr>
          <w:p>
            <w:r/>
            <w:r>
              <w:rPr>
                <w:rFonts w:ascii="Microsoft YaHei" w:hAnsi="Microsoft YaHei"/>
                <w:b w:val="0"/>
                <w:sz w:val="16"/>
              </w:rPr>
              <w:t>开放容器</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单列附录，不进入 42 道 locked core 正文</w:t>
            </w:r>
          </w:p>
        </w:tc>
      </w:tr>
      <w:tr>
        <w:tc>
          <w:tcPr>
            <w:tcW w:type="dxa" w:w="3326"/>
            <w:vAlign w:val="center"/>
          </w:tcPr>
          <w:p>
            <w:r/>
            <w:r>
              <w:rPr>
                <w:rFonts w:ascii="Microsoft YaHei" w:hAnsi="Microsoft YaHei"/>
                <w:b w:val="0"/>
                <w:sz w:val="16"/>
              </w:rPr>
              <w:t>模型真实性</w:t>
            </w:r>
          </w:p>
        </w:tc>
        <w:tc>
          <w:tcPr>
            <w:tcW w:type="dxa" w:w="3326"/>
            <w:vAlign w:val="center"/>
          </w:tcPr>
          <w:p>
            <w:r/>
            <w:r>
              <w:rPr>
                <w:rFonts w:ascii="Microsoft YaHei" w:hAnsi="Microsoft YaHei"/>
                <w:b w:val="0"/>
                <w:sz w:val="16"/>
              </w:rPr>
              <w:t>pass</w:t>
            </w:r>
          </w:p>
        </w:tc>
        <w:tc>
          <w:tcPr>
            <w:tcW w:type="dxa" w:w="3326"/>
            <w:vAlign w:val="center"/>
          </w:tcPr>
          <w:p>
            <w:r/>
            <w:r>
              <w:rPr>
                <w:rFonts w:ascii="Microsoft YaHei" w:hAnsi="Microsoft YaHei"/>
                <w:b w:val="0"/>
                <w:sz w:val="16"/>
              </w:rPr>
              <w:t>Round07 Claude 为真实 web 捕获，隐藏答案键未发送</w:t>
            </w:r>
          </w:p>
        </w:tc>
      </w:tr>
      <w:tr>
        <w:tc>
          <w:tcPr>
            <w:tcW w:type="dxa" w:w="3326"/>
            <w:vAlign w:val="center"/>
          </w:tcPr>
          <w:p>
            <w:r/>
            <w:r>
              <w:rPr>
                <w:rFonts w:ascii="Microsoft YaHei" w:hAnsi="Microsoft YaHei"/>
                <w:b w:val="0"/>
                <w:sz w:val="16"/>
              </w:rPr>
              <w:t>PDF/DOCX</w:t>
            </w:r>
          </w:p>
        </w:tc>
        <w:tc>
          <w:tcPr>
            <w:tcW w:type="dxa" w:w="3326"/>
            <w:vAlign w:val="center"/>
          </w:tcPr>
          <w:p>
            <w:r/>
            <w:r>
              <w:rPr>
                <w:rFonts w:ascii="Microsoft YaHei" w:hAnsi="Microsoft YaHei"/>
                <w:b w:val="0"/>
                <w:sz w:val="16"/>
              </w:rPr>
              <w:t>pass with caveat</w:t>
            </w:r>
          </w:p>
        </w:tc>
        <w:tc>
          <w:tcPr>
            <w:tcW w:type="dxa" w:w="3326"/>
            <w:vAlign w:val="center"/>
          </w:tcPr>
          <w:p>
            <w:r/>
            <w:r>
              <w:rPr>
                <w:rFonts w:ascii="Microsoft YaHei" w:hAnsi="Microsoft YaHei"/>
                <w:b w:val="0"/>
                <w:sz w:val="16"/>
              </w:rPr>
              <w:t>PDF 已渲染检查；DOCX 已生成并可由 Word 打开；DOCX direct render QA 不声明通过</w:t>
            </w:r>
          </w:p>
        </w:tc>
      </w:tr>
    </w:tbl>
    <w:p/>
    <w:p>
      <w:pPr>
        <w:pStyle w:val="Heading2"/>
      </w:pPr>
      <w:r>
        <w:t>Confucius Verdict</w:t>
      </w:r>
    </w:p>
    <w:p>
      <w:pPr>
        <w:spacing w:after="80"/>
      </w:pPr>
      <w:r>
        <w:t>从学习路径看，v13.7 已经比 v13.1 更适合零基础学生迁移：它不仅告诉学生题目属于哪类法律关系，还告诉学生进门以后调用哪些要件句、责任句、表格列和诉求层次。PDF 渲染 QA 已完成；DOCX 生成并可由 Word 打开，但本机缺 LibreOffice/soffice，不能声明 DOCX direct render QA passed。</w:t>
      </w:r>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选必二《法律与生活》法律宝典 v13.7 集成终版</dc:title>
  <dc:subject>v13.7 integrated legal baodian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