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1.设置交换机名称；</w:t>
      </w:r>
    </w:p>
    <w:p>
      <w:r>
        <w:drawing>
          <wp:inline distT="0" distB="0" distL="114300" distR="114300">
            <wp:extent cx="3909060" cy="807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设置特权模式的密码；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58640" cy="518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设置系统时间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23360" cy="274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网络拓扑图如下：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76700" cy="3627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拓扑图中各个机器IP地址以及其他设置如下：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PC0：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87240" cy="3596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336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Server0: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63440" cy="3825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Server0配置FTP服务：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38700" cy="2903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结果如图，可以从PC0登录服务器：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96540" cy="1882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EB2F"/>
    <w:multiLevelType w:val="singleLevel"/>
    <w:tmpl w:val="F73FEB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9B27615"/>
    <w:multiLevelType w:val="singleLevel"/>
    <w:tmpl w:val="F9B276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78A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2020-12-30T13:11:47Z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