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程序说明: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该程序主要分为两个部分服务端程序和客户端程序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服务端程序示例如下：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服务端程序步骤主要如下：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初始化WSA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创建套接字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绑定IP和端口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创建监听事件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循环监听，接受客户端的文本,并且向客户端发送文本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客户端程序主要如下：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客户端程序的主要步骤如下: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初始化WSA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创建套接字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绑定IP和端口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设置服务器地址和端口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连接服务器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循环向服务器发送文本</w:t>
      </w:r>
      <w:bookmarkStart w:id="0" w:name="_GoBack"/>
      <w:bookmarkEnd w:id="0"/>
      <w:r>
        <w:rPr>
          <w:rFonts w:hint="eastAsia"/>
          <w:lang w:val="en-US" w:eastAsia="zh-CN"/>
        </w:rPr>
        <w:t>，并且接收服务器发送来的文本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0948D"/>
    <w:multiLevelType w:val="singleLevel"/>
    <w:tmpl w:val="5B1094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109611"/>
    <w:multiLevelType w:val="singleLevel"/>
    <w:tmpl w:val="5B1096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91C35"/>
    <w:rsid w:val="7C39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2018-06-01T00:24:00Z</dcterms:created>
  <dc:creator>WPS_1515216374</dc:creator>
  <cp:lastModifiedBy>WPS_1515216374</cp:lastModifiedBy>
  <dcterms:modified xsi:type="dcterms:W3CDTF">2018-06-01T00:43:51Z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