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智能科研助理 · 用户使用手册</w:t>
      </w:r>
    </w:p>
    <w:p>
      <w:pPr>
        <w:jc w:val="center"/>
      </w:pPr>
      <w:r>
        <w:rPr>
          <w:b w:val="0"/>
          <w:i w:val="0"/>
        </w:rPr>
        <w:t>版本：2026-10-11　｜　适用对象：演示者、普通使用者、本机/Docker 部署人员</w:t>
      </w:r>
    </w:p>
    <w:p>
      <w:r>
        <w:rPr>
          <w:b w:val="0"/>
          <w:i w:val="0"/>
        </w:rPr>
        <w:t>本系统把已上传的论文建立为本地知识库，提供直接 RAG 问答与 Agent 多步问答两种通道；回答中的引用卡片只列出最终答案实际标注的来源，重要结论仍应点击原文页码核对。当前系统面向本机/内网演示，未经加固不宜直接暴露到公网。</w:t>
      </w:r>
    </w:p>
    <w:p>
      <w:pPr>
        <w:pStyle w:val="Heading1"/>
      </w:pPr>
      <w:r>
        <w:t>1 安装前准备</w:t>
      </w:r>
    </w:p>
    <w:p>
      <w:pPr>
        <w:pStyle w:val="ListBullet"/>
      </w:pPr>
      <w:r>
        <w:t>操作系统：Windows 10/11（本手册验证环境）或 macOS / Linux；Python 3.10 及以上（代码使用了 3.10 语法）。</w:t>
      </w:r>
    </w:p>
    <w:p>
      <w:pPr>
        <w:pStyle w:val="ListBullet"/>
      </w:pPr>
      <w:r>
        <w:t>磁盘：预留约 4 GB 用于本地模型缓存（bge-large-zh 约 1.2 GB + Reranker）。</w:t>
      </w:r>
    </w:p>
    <w:p>
      <w:pPr>
        <w:pStyle w:val="ListBullet"/>
      </w:pPr>
      <w:r>
        <w:t>已解压完整项目，保留 src/、requirements.txt、.env.example、uploads/、index/ 等。</w:t>
      </w:r>
    </w:p>
    <w:p>
      <w:pPr>
        <w:pStyle w:val="ListBullet"/>
      </w:pPr>
      <w:r>
        <w:t>已获得可用的 OpenAI 兼容模型 API Key（硅基流动 / DeepSeek 等）并有余额。字段名为历史命名 SILICONFLOW_API_KEY，实际服务由 SILICONFLOW_BASE_URL 与 CHAT_MODEL 决定。</w:t>
      </w:r>
    </w:p>
    <w:p>
      <w:pPr>
        <w:pStyle w:val="ListBullet"/>
      </w:pPr>
      <w:r>
        <w:t>已确认允许将问题及检索到的论文片段发送至所配置的外部模型服务；不要上传含敏感信息或无外发许可的材料。</w:t>
      </w:r>
    </w:p>
    <w:p>
      <w:pPr>
        <w:pStyle w:val="Heading1"/>
      </w:pPr>
      <w:r>
        <w:t>2 安装与配置</w:t>
      </w:r>
    </w:p>
    <w:p>
      <w:pPr>
        <w:pStyle w:val="Heading2"/>
      </w:pPr>
      <w:r>
        <w:t>2.1 方式一：本地运行（conda，推荐）</w:t>
      </w:r>
    </w:p>
    <w:p>
      <w:r>
        <w:rPr>
          <w:rFonts w:ascii="Consolas" w:hAnsi="Consolas"/>
          <w:sz w:val="18"/>
        </w:rPr>
        <w:t>conda create -n rag_agent python=3.10 -y</w:t>
      </w:r>
    </w:p>
    <w:p>
      <w:r>
        <w:rPr>
          <w:rFonts w:ascii="Consolas" w:hAnsi="Consolas"/>
          <w:sz w:val="18"/>
        </w:rPr>
        <w:t>conda activate rag_agent</w:t>
      </w:r>
    </w:p>
    <w:p>
      <w:r>
        <w:rPr>
          <w:rFonts w:ascii="Consolas" w:hAnsi="Consolas"/>
          <w:sz w:val="18"/>
        </w:rPr>
        <w:t>pip install -r requirements.txt -i https://pypi.tuna.tsinghua.edu.cn/simple</w:t>
      </w:r>
    </w:p>
    <w:p>
      <w:r>
        <w:rPr>
          <w:rFonts w:ascii="Consolas" w:hAnsi="Consolas"/>
          <w:sz w:val="18"/>
        </w:rPr>
        <w:t>copy .env.example .env          :: Windows；macOS/Linux 用 cp</w:t>
      </w:r>
    </w:p>
    <w:p>
      <w:r>
        <w:rPr>
          <w:b w:val="0"/>
          <w:i w:val="0"/>
        </w:rPr>
        <w:t>然后用文本编辑器打开 .env，填写 SILICONFLOW_API_KEY。DeepSeek 示例：</w:t>
      </w:r>
    </w:p>
    <w:p>
      <w:r>
        <w:rPr>
          <w:rFonts w:ascii="Consolas" w:hAnsi="Consolas"/>
          <w:sz w:val="18"/>
        </w:rPr>
        <w:t>SILICONFLOW_API_KEY=此处填写自己的密钥</w:t>
      </w:r>
    </w:p>
    <w:p>
      <w:r>
        <w:rPr>
          <w:rFonts w:ascii="Consolas" w:hAnsi="Consolas"/>
          <w:sz w:val="18"/>
        </w:rPr>
        <w:t>SILICONFLOW_BASE_URL=https://api.deepseek.com</w:t>
      </w:r>
    </w:p>
    <w:p>
      <w:r>
        <w:rPr>
          <w:rFonts w:ascii="Consolas" w:hAnsi="Consolas"/>
          <w:sz w:val="18"/>
        </w:rPr>
        <w:t>CHAT_MODEL=deepseek-flash</w:t>
      </w:r>
    </w:p>
    <w:p>
      <w:r>
        <w:rPr>
          <w:rFonts w:ascii="Consolas" w:hAnsi="Consolas"/>
          <w:sz w:val="18"/>
        </w:rPr>
        <w:t>USE_AGENT=true</w:t>
      </w:r>
    </w:p>
    <w:p>
      <w:pPr>
        <w:pStyle w:val="ListBullet"/>
      </w:pPr>
      <w:r>
        <w:t>不要将真实密钥写入报告、截图或提交记录；.env 已被 .gitignore 忽略，不会进仓库。</w:t>
      </w:r>
    </w:p>
    <w:p>
      <w:pPr>
        <w:pStyle w:val="ListBullet"/>
      </w:pPr>
      <w:r>
        <w:t>首次使用本地 Embedding / Reranker 模型需要联网下载（走 HF 镜像）；网络受限可提前准备 Hugging Face 缓存。</w:t>
      </w:r>
    </w:p>
    <w:p>
      <w:pPr>
        <w:pStyle w:val="Heading2"/>
      </w:pPr>
      <w:r>
        <w:t>2.2 方式二：Docker 一键部署（免配环境）</w:t>
      </w:r>
    </w:p>
    <w:p>
      <w:r>
        <w:rPr>
          <w:b w:val="0"/>
          <w:i w:val="0"/>
        </w:rPr>
        <w:t>前置：安装 Docker Desktop（Windows 建议启用 WSL2 后端）。国内网络需先配镜像加速，在 daemon.json 中加入 registry-mirrors（如 https://docker.m.daocloud.io），否则拉不动基础镜像。</w:t>
      </w:r>
    </w:p>
    <w:p>
      <w:r>
        <w:rPr>
          <w:rFonts w:ascii="Consolas" w:hAnsi="Consolas"/>
          <w:sz w:val="18"/>
        </w:rPr>
        <w:t>copy .env.example .env          :: 填好 SILICONFLOW_API_KEY / CHAT_MODEL / USE_AGENT</w:t>
      </w:r>
    </w:p>
    <w:p>
      <w:r>
        <w:rPr>
          <w:rFonts w:ascii="Consolas" w:hAnsi="Consolas"/>
          <w:sz w:val="18"/>
        </w:rPr>
        <w:t>docker compose up -d --build</w:t>
      </w:r>
    </w:p>
    <w:p>
      <w:r>
        <w:rPr>
          <w:b w:val="0"/>
          <w:i w:val="0"/>
        </w:rPr>
        <w:t>首次构建会安装依赖并下载约 1.3 GB 模型，耗时较长；之后启动很快。前端 http://localhost:8501，后端文档 http://localhost:8000/docs。数据（uploads/、index/、logs/、会话）挂载在宿主机，容器重建不丢。</w:t>
      </w:r>
    </w:p>
    <w:p>
      <w:pPr>
        <w:pStyle w:val="Heading2"/>
      </w:pPr>
      <w:r>
        <w:t>2.3 常用环境变量</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变量</w:t>
            </w:r>
          </w:p>
        </w:tc>
        <w:tc>
          <w:tcPr>
            <w:tcW w:type="dxa" w:w="2880"/>
          </w:tcPr>
          <w:p>
            <w:r>
              <w:t>默认</w:t>
            </w:r>
          </w:p>
        </w:tc>
        <w:tc>
          <w:tcPr>
            <w:tcW w:type="dxa" w:w="2880"/>
          </w:tcPr>
          <w:p>
            <w:r>
              <w:t>作用</w:t>
            </w:r>
          </w:p>
        </w:tc>
      </w:tr>
      <w:tr>
        <w:tc>
          <w:tcPr>
            <w:tcW w:type="dxa" w:w="2880"/>
          </w:tcPr>
          <w:p>
            <w:r>
              <w:t>SILICONFLOW_API_KEY</w:t>
            </w:r>
          </w:p>
        </w:tc>
        <w:tc>
          <w:tcPr>
            <w:tcW w:type="dxa" w:w="2880"/>
          </w:tcPr>
          <w:p>
            <w:r>
              <w:t>无（必填）</w:t>
            </w:r>
          </w:p>
        </w:tc>
        <w:tc>
          <w:tcPr>
            <w:tcW w:type="dxa" w:w="2880"/>
          </w:tcPr>
          <w:p>
            <w:r>
              <w:t>外部模型 API 密钥</w:t>
            </w:r>
          </w:p>
        </w:tc>
      </w:tr>
      <w:tr>
        <w:tc>
          <w:tcPr>
            <w:tcW w:type="dxa" w:w="2880"/>
          </w:tcPr>
          <w:p>
            <w:r>
              <w:t>SILICONFLOW_BASE_URL</w:t>
            </w:r>
          </w:p>
        </w:tc>
        <w:tc>
          <w:tcPr>
            <w:tcW w:type="dxa" w:w="2880"/>
          </w:tcPr>
          <w:p>
            <w:r>
              <w:t>siliconflow 官方</w:t>
            </w:r>
          </w:p>
        </w:tc>
        <w:tc>
          <w:tcPr>
            <w:tcW w:type="dxa" w:w="2880"/>
          </w:tcPr>
          <w:p>
            <w:r>
              <w:t>OpenAI 兼容服务地址</w:t>
            </w:r>
          </w:p>
        </w:tc>
      </w:tr>
      <w:tr>
        <w:tc>
          <w:tcPr>
            <w:tcW w:type="dxa" w:w="2880"/>
          </w:tcPr>
          <w:p>
            <w:r>
              <w:t>CHAT_MODEL</w:t>
            </w:r>
          </w:p>
        </w:tc>
        <w:tc>
          <w:tcPr>
            <w:tcW w:type="dxa" w:w="2880"/>
          </w:tcPr>
          <w:p>
            <w:r>
              <w:t>Qwen2.5-7B-Instruct</w:t>
            </w:r>
          </w:p>
        </w:tc>
        <w:tc>
          <w:tcPr>
            <w:tcW w:type="dxa" w:w="2880"/>
          </w:tcPr>
          <w:p>
            <w:r>
              <w:t>对话模型名（以服务商文档原文为准）</w:t>
            </w:r>
          </w:p>
        </w:tc>
      </w:tr>
      <w:tr>
        <w:tc>
          <w:tcPr>
            <w:tcW w:type="dxa" w:w="2880"/>
          </w:tcPr>
          <w:p>
            <w:r>
              <w:t>USE_AGENT</w:t>
            </w:r>
          </w:p>
        </w:tc>
        <w:tc>
          <w:tcPr>
            <w:tcW w:type="dxa" w:w="2880"/>
          </w:tcPr>
          <w:p>
            <w:r>
              <w:t>false</w:t>
            </w:r>
          </w:p>
        </w:tc>
        <w:tc>
          <w:tcPr>
            <w:tcW w:type="dxa" w:w="2880"/>
          </w:tcPr>
          <w:p>
            <w:r>
              <w:t>true 走 Agent ReAct，false 走 RAG 直连</w:t>
            </w:r>
          </w:p>
        </w:tc>
      </w:tr>
      <w:tr>
        <w:tc>
          <w:tcPr>
            <w:tcW w:type="dxa" w:w="2880"/>
          </w:tcPr>
          <w:p>
            <w:r>
              <w:t>AGENT_MAX_ROUNDS</w:t>
            </w:r>
          </w:p>
        </w:tc>
        <w:tc>
          <w:tcPr>
            <w:tcW w:type="dxa" w:w="2880"/>
          </w:tcPr>
          <w:p>
            <w:r>
              <w:t>5</w:t>
            </w:r>
          </w:p>
        </w:tc>
        <w:tc>
          <w:tcPr>
            <w:tcW w:type="dxa" w:w="2880"/>
          </w:tcPr>
          <w:p>
            <w:r>
              <w:t>Agent 最大推理轮次（1~10）</w:t>
            </w:r>
          </w:p>
        </w:tc>
      </w:tr>
      <w:tr>
        <w:tc>
          <w:tcPr>
            <w:tcW w:type="dxa" w:w="2880"/>
          </w:tcPr>
          <w:p>
            <w:r>
              <w:t>RAG_API_BASE_URL</w:t>
            </w:r>
          </w:p>
        </w:tc>
        <w:tc>
          <w:tcPr>
            <w:tcW w:type="dxa" w:w="2880"/>
          </w:tcPr>
          <w:p>
            <w:r>
              <w:t>http://127.0.0.1:8000</w:t>
            </w:r>
          </w:p>
        </w:tc>
        <w:tc>
          <w:tcPr>
            <w:tcW w:type="dxa" w:w="2880"/>
          </w:tcPr>
          <w:p>
            <w:r>
              <w:t>前端请求的后端地址（Docker 下为 http://backend:8000）</w:t>
            </w:r>
          </w:p>
        </w:tc>
      </w:tr>
      <w:tr>
        <w:tc>
          <w:tcPr>
            <w:tcW w:type="dxa" w:w="2880"/>
          </w:tcPr>
          <w:p>
            <w:r>
              <w:t>RAG_TIMEOUT_READ</w:t>
            </w:r>
          </w:p>
        </w:tc>
        <w:tc>
          <w:tcPr>
            <w:tcW w:type="dxa" w:w="2880"/>
          </w:tcPr>
          <w:p>
            <w:r>
              <w:t>120</w:t>
            </w:r>
          </w:p>
        </w:tc>
        <w:tc>
          <w:tcPr>
            <w:tcW w:type="dxa" w:w="2880"/>
          </w:tcPr>
          <w:p>
            <w:r>
              <w:t>前端读取超时（秒），慢模型可调大</w:t>
            </w:r>
          </w:p>
        </w:tc>
      </w:tr>
      <w:tr>
        <w:tc>
          <w:tcPr>
            <w:tcW w:type="dxa" w:w="2880"/>
          </w:tcPr>
          <w:p>
            <w:r>
              <w:t>RAG_PANEL_HEIGHT</w:t>
            </w:r>
          </w:p>
        </w:tc>
        <w:tc>
          <w:tcPr>
            <w:tcW w:type="dxa" w:w="2880"/>
          </w:tcPr>
          <w:p>
            <w:r>
              <w:t>760</w:t>
            </w:r>
          </w:p>
        </w:tc>
        <w:tc>
          <w:tcPr>
            <w:tcW w:type="dxa" w:w="2880"/>
          </w:tcPr>
          <w:p>
            <w:r>
              <w:t>前端左右两栏滚动容器高度（px）</w:t>
            </w:r>
          </w:p>
        </w:tc>
      </w:tr>
    </w:tbl>
    <w:p>
      <w:r>
        <w:rPr>
          <w:b w:val="0"/>
          <w:i/>
        </w:rPr>
        <w:t>更完整的环境变量与排查清单见随仓库交付的《环境配置说明.md》。</w:t>
      </w:r>
    </w:p>
    <w:p>
      <w:pPr>
        <w:pStyle w:val="Heading1"/>
      </w:pPr>
      <w:r>
        <w:t>3 启动与验收</w:t>
      </w:r>
    </w:p>
    <w:p>
      <w:pPr>
        <w:pStyle w:val="Heading2"/>
      </w:pPr>
      <w:r>
        <w:t>3.1 本地启动（两个终端，均在项目根目录）</w:t>
      </w:r>
    </w:p>
    <w:p>
      <w:r>
        <w:rPr>
          <w:rFonts w:ascii="Consolas" w:hAnsi="Consolas"/>
          <w:sz w:val="18"/>
        </w:rPr>
        <w:t># 终端一：后端（关闭热重载，避免模型重复加载）</w:t>
      </w:r>
    </w:p>
    <w:p>
      <w:r>
        <w:rPr>
          <w:rFonts w:ascii="Consolas" w:hAnsi="Consolas"/>
          <w:sz w:val="18"/>
        </w:rPr>
        <w:t>python -m uvicorn src.api.app:create_app --factory --host 127.0.0.1 --port 8000</w:t>
      </w:r>
    </w:p>
    <w:p>
      <w:r>
        <w:rPr>
          <w:rFonts w:ascii="Consolas" w:hAnsi="Consolas"/>
          <w:sz w:val="18"/>
        </w:rPr>
        <w:t># 终端二：前端</w:t>
      </w:r>
    </w:p>
    <w:p>
      <w:r>
        <w:rPr>
          <w:rFonts w:ascii="Consolas" w:hAnsi="Consolas"/>
          <w:sz w:val="18"/>
        </w:rPr>
        <w:t>python -m streamlit run src/frontend/app.py --server.address 127.0.0.1 --server.port 8501</w:t>
      </w:r>
    </w:p>
    <w:p>
      <w:pPr>
        <w:pStyle w:val="Heading2"/>
      </w:pPr>
      <w:r>
        <w:t>3.2 Docker 启动</w:t>
      </w:r>
    </w:p>
    <w:p>
      <w:r>
        <w:rPr>
          <w:rFonts w:ascii="Consolas" w:hAnsi="Consolas"/>
          <w:sz w:val="18"/>
        </w:rPr>
        <w:t>docker compose up -d       　　　 # 启动</w:t>
      </w:r>
    </w:p>
    <w:p>
      <w:r>
        <w:rPr>
          <w:rFonts w:ascii="Consolas" w:hAnsi="Consolas"/>
          <w:sz w:val="18"/>
        </w:rPr>
        <w:t>docker compose ps          　　　 # 查看容器状态</w:t>
      </w:r>
    </w:p>
    <w:p>
      <w:r>
        <w:rPr>
          <w:rFonts w:ascii="Consolas" w:hAnsi="Consolas"/>
          <w:sz w:val="18"/>
        </w:rPr>
        <w:t>docker compose down        　　　 # 停止（保留数据）</w:t>
      </w:r>
    </w:p>
    <w:p>
      <w:pPr>
        <w:pStyle w:val="Heading2"/>
      </w:pPr>
      <w:r>
        <w:t>3.3 验收</w:t>
      </w:r>
    </w:p>
    <w:p>
      <w:pPr>
        <w:pStyle w:val="ListBullet"/>
      </w:pPr>
      <w:r>
        <w:t>浏览器打开前端 http://127.0.0.1:8501（Docker 同样端口）。</w:t>
      </w:r>
    </w:p>
    <w:p>
      <w:pPr>
        <w:pStyle w:val="ListBullet"/>
      </w:pPr>
      <w:r>
        <w:t>后端自检：http://127.0.0.1:8000/health 应返回 status=ok；交互式接口文档在 /docs。</w:t>
      </w:r>
    </w:p>
    <w:p>
      <w:pPr>
        <w:pStyle w:val="ListBullet"/>
      </w:pPr>
      <w:r>
        <w:t>切换通道：顶栏“问答通道”可选 Agent 编排 / RAG 直连，切换即时生效。</w:t>
      </w:r>
    </w:p>
    <w:p>
      <w:pPr>
        <w:pStyle w:val="Heading1"/>
      </w:pPr>
      <w:r>
        <w:t>4 界面使用</w:t>
      </w:r>
    </w:p>
    <w:p>
      <w:pPr>
        <w:pStyle w:val="Heading2"/>
      </w:pPr>
      <w:r>
        <w:t>4.1 整体布局</w:t>
      </w:r>
    </w:p>
    <w:p>
      <w:r>
        <w:rPr>
          <w:b w:val="0"/>
          <w:i w:val="0"/>
        </w:rPr>
        <w:t>界面分三栏：左栏文档与会话管理、中央对话区、右侧可观测性面板；左右两栏各自独立滚动。</w:t>
      </w:r>
    </w:p>
    <w:p>
      <w:pPr>
        <w:jc w:val="center"/>
      </w:pPr>
      <w:r>
        <w:drawing>
          <wp:inline xmlns:a="http://schemas.openxmlformats.org/drawingml/2006/main" xmlns:pic="http://schemas.openxmlformats.org/drawingml/2006/picture">
            <wp:extent cx="5760000" cy="3388235"/>
            <wp:docPr id="1" name="Picture 1"/>
            <wp:cNvGraphicFramePr>
              <a:graphicFrameLocks noChangeAspect="1"/>
            </wp:cNvGraphicFramePr>
            <a:graphic>
              <a:graphicData uri="http://schemas.openxmlformats.org/drawingml/2006/picture">
                <pic:pic>
                  <pic:nvPicPr>
                    <pic:cNvPr id="0" name="图1_整体界面.png"/>
                    <pic:cNvPicPr/>
                  </pic:nvPicPr>
                  <pic:blipFill>
                    <a:blip r:embed="rId9"/>
                    <a:stretch>
                      <a:fillRect/>
                    </a:stretch>
                  </pic:blipFill>
                  <pic:spPr>
                    <a:xfrm>
                      <a:off x="0" y="0"/>
                      <a:ext cx="5760000" cy="3388235"/>
                    </a:xfrm>
                    <a:prstGeom prst="rect"/>
                  </pic:spPr>
                </pic:pic>
              </a:graphicData>
            </a:graphic>
          </wp:inline>
        </w:drawing>
      </w:r>
    </w:p>
    <w:p>
      <w:pPr>
        <w:jc w:val="center"/>
      </w:pPr>
      <w:r>
        <w:rPr>
          <w:b w:val="0"/>
          <w:i/>
        </w:rPr>
        <w:t>图 1　整体界面（左：文档/会话；中：对话；右：可观测性）</w:t>
      </w:r>
    </w:p>
    <w:p>
      <w:pPr>
        <w:pStyle w:val="Heading2"/>
      </w:pPr>
      <w:r>
        <w:t>4.2 左栏：文档上传与管理</w:t>
      </w:r>
    </w:p>
    <w:p>
      <w:pPr>
        <w:pStyle w:val="ListNumber"/>
      </w:pPr>
      <w:r>
        <w:t>上传 PDF、DOCX、DOC、TXT、MD、CSV 文献，等待解析与索引完成（大论文首次向量化可能需数分钟）。</w:t>
      </w:r>
    </w:p>
    <w:p>
      <w:pPr>
        <w:pStyle w:val="ListNumber"/>
      </w:pPr>
      <w:r>
        <w:t>确认文档列表中显示“已索引”后，再返回中央提问。</w:t>
      </w:r>
    </w:p>
    <w:p>
      <w:pPr>
        <w:pStyle w:val="ListNumber"/>
      </w:pPr>
      <w:r>
        <w:t>左栏下方可新建、切换、删除会话；删除会移除本机对应历史，操作前请自行留存。</w:t>
      </w:r>
    </w:p>
    <w:p>
      <w:pPr>
        <w:jc w:val="center"/>
      </w:pPr>
      <w:r>
        <w:drawing>
          <wp:inline xmlns:a="http://schemas.openxmlformats.org/drawingml/2006/main" xmlns:pic="http://schemas.openxmlformats.org/drawingml/2006/picture">
            <wp:extent cx="2700000" cy="9000000"/>
            <wp:docPr id="2" name="Picture 2"/>
            <wp:cNvGraphicFramePr>
              <a:graphicFrameLocks noChangeAspect="1"/>
            </wp:cNvGraphicFramePr>
            <a:graphic>
              <a:graphicData uri="http://schemas.openxmlformats.org/drawingml/2006/picture">
                <pic:pic>
                  <pic:nvPicPr>
                    <pic:cNvPr id="0" name="图2_左栏文档管理.png"/>
                    <pic:cNvPicPr/>
                  </pic:nvPicPr>
                  <pic:blipFill>
                    <a:blip r:embed="rId10"/>
                    <a:stretch>
                      <a:fillRect/>
                    </a:stretch>
                  </pic:blipFill>
                  <pic:spPr>
                    <a:xfrm>
                      <a:off x="0" y="0"/>
                      <a:ext cx="2700000" cy="9000000"/>
                    </a:xfrm>
                    <a:prstGeom prst="rect"/>
                  </pic:spPr>
                </pic:pic>
              </a:graphicData>
            </a:graphic>
          </wp:inline>
        </w:drawing>
      </w:r>
    </w:p>
    <w:p>
      <w:pPr>
        <w:jc w:val="center"/>
      </w:pPr>
      <w:r>
        <w:rPr>
          <w:b w:val="0"/>
          <w:i/>
        </w:rPr>
        <w:t>图 2　左栏：知识库文档与会话管理</w:t>
      </w:r>
    </w:p>
    <w:p>
      <w:pPr>
        <w:pStyle w:val="Heading2"/>
      </w:pPr>
      <w:r>
        <w:t>4.3 顶栏：问答通道与检索条数</w:t>
      </w:r>
    </w:p>
    <w:p>
      <w:pPr>
        <w:pStyle w:val="ListBullet"/>
      </w:pPr>
      <w:r>
        <w:t>问答通道：Agent 编排（多步推理、更全面但更慢、更耗 Token）或 RAG 直连（一次检索生成，快而省）。</w:t>
      </w:r>
    </w:p>
    <w:p>
      <w:pPr>
        <w:pStyle w:val="ListBullet"/>
      </w:pPr>
      <w:r>
        <w:t>检索条数 top_k：仅对 RAG 直连生效，表示最终送入模型的参考段落数。</w:t>
      </w:r>
    </w:p>
    <w:p>
      <w:pPr>
        <w:pStyle w:val="ListBullet"/>
      </w:pPr>
      <w:r>
        <w:t>注意：Agent 通道下该滑杆不生效——每次检索的条数由模型在工具调用时自行决定（knowledge_search 默认 3/上限 10，knowledge_qa 默认 5）。</w:t>
      </w:r>
    </w:p>
    <w:p>
      <w:pPr>
        <w:pStyle w:val="Heading2"/>
      </w:pPr>
      <w:r>
        <w:t>4.4 中央：提问与流式回答</w:t>
      </w:r>
    </w:p>
    <w:p>
      <w:pPr>
        <w:pStyle w:val="ListNumber"/>
      </w:pPr>
      <w:r>
        <w:t>尽量写明论文名、数据集名、所需指标和比较对象；例如“P08 鲑鱼计数论文中，历史帧确认阈值从 4 降到 1 的计数变化及风险是什么”。</w:t>
      </w:r>
    </w:p>
    <w:p>
      <w:pPr>
        <w:pStyle w:val="ListNumber"/>
      </w:pPr>
      <w:r>
        <w:t>回答以打字机效果流式输出，引用以 [来源: 文档名, 第X页] 标注并在正文上方动态出现。</w:t>
      </w:r>
    </w:p>
    <w:p>
      <w:pPr>
        <w:pStyle w:val="ListNumber"/>
      </w:pPr>
      <w:r>
        <w:t>无引用不代表没有检索，可能是本轮回答未使用任何可验证来源。</w:t>
      </w:r>
    </w:p>
    <w:p>
      <w:pPr>
        <w:jc w:val="center"/>
      </w:pPr>
      <w:r>
        <w:drawing>
          <wp:inline xmlns:a="http://schemas.openxmlformats.org/drawingml/2006/main" xmlns:pic="http://schemas.openxmlformats.org/drawingml/2006/picture">
            <wp:extent cx="4680000" cy="6554622"/>
            <wp:docPr id="3" name="Picture 3"/>
            <wp:cNvGraphicFramePr>
              <a:graphicFrameLocks noChangeAspect="1"/>
            </wp:cNvGraphicFramePr>
            <a:graphic>
              <a:graphicData uri="http://schemas.openxmlformats.org/drawingml/2006/picture">
                <pic:pic>
                  <pic:nvPicPr>
                    <pic:cNvPr id="0" name="图3_中央对话与引用.png"/>
                    <pic:cNvPicPr/>
                  </pic:nvPicPr>
                  <pic:blipFill>
                    <a:blip r:embed="rId11"/>
                    <a:stretch>
                      <a:fillRect/>
                    </a:stretch>
                  </pic:blipFill>
                  <pic:spPr>
                    <a:xfrm>
                      <a:off x="0" y="0"/>
                      <a:ext cx="4680000" cy="6554622"/>
                    </a:xfrm>
                    <a:prstGeom prst="rect"/>
                  </pic:spPr>
                </pic:pic>
              </a:graphicData>
            </a:graphic>
          </wp:inline>
        </w:drawing>
      </w:r>
    </w:p>
    <w:p>
      <w:pPr>
        <w:jc w:val="center"/>
      </w:pPr>
      <w:r>
        <w:rPr>
          <w:b w:val="0"/>
          <w:i/>
        </w:rPr>
        <w:t>图 3　中央对话区（流式回答 + 引用标注）</w:t>
      </w:r>
    </w:p>
    <w:p>
      <w:pPr>
        <w:pStyle w:val="Heading2"/>
      </w:pPr>
      <w:r>
        <w:t>4.5 右栏：可观测性面板</w:t>
      </w:r>
    </w:p>
    <w:p>
      <w:pPr>
        <w:pStyle w:val="ListNumber"/>
      </w:pPr>
      <w:r>
        <w:t>本轮引用来源：列出本轮实际标注的来源（文件名、页码、相关度与摘要片段）。</w:t>
      </w:r>
    </w:p>
    <w:p>
      <w:pPr>
        <w:pStyle w:val="ListNumber"/>
      </w:pPr>
      <w:r>
        <w:t>本轮指标：耗时、Token 合计、引用数。</w:t>
      </w:r>
    </w:p>
    <w:p>
      <w:pPr>
        <w:pStyle w:val="ListNumber"/>
      </w:pPr>
      <w:r>
        <w:t>Agent 推理轨迹：Thought → Action → Observation 随事件流实时出现（Agent 通道）。</w:t>
      </w:r>
    </w:p>
    <w:p>
      <w:pPr>
        <w:pStyle w:val="ListNumber"/>
      </w:pPr>
      <w:r>
        <w:t>系统监控与 Agent 指标：向量总数、文档数、缓存命中率、工具成功率等。</w:t>
      </w:r>
    </w:p>
    <w:p>
      <w:pPr>
        <w:pStyle w:val="ListNumber"/>
      </w:pPr>
      <w:r>
        <w:t>Token 消耗（按工具分别统计）：按工具列出 本轮 / 累计 Token，生成轮单独对账，各行合计与总量一致。</w:t>
      </w:r>
    </w:p>
    <w:p>
      <w:pPr>
        <w:jc w:val="center"/>
      </w:pPr>
      <w:r>
        <w:drawing>
          <wp:inline xmlns:a="http://schemas.openxmlformats.org/drawingml/2006/main" xmlns:pic="http://schemas.openxmlformats.org/drawingml/2006/picture">
            <wp:extent cx="3060000" cy="5806452"/>
            <wp:docPr id="4" name="Picture 4"/>
            <wp:cNvGraphicFramePr>
              <a:graphicFrameLocks noChangeAspect="1"/>
            </wp:cNvGraphicFramePr>
            <a:graphic>
              <a:graphicData uri="http://schemas.openxmlformats.org/drawingml/2006/picture">
                <pic:pic>
                  <pic:nvPicPr>
                    <pic:cNvPr id="0" name="图4_右侧引用卡片.png"/>
                    <pic:cNvPicPr/>
                  </pic:nvPicPr>
                  <pic:blipFill>
                    <a:blip r:embed="rId12"/>
                    <a:stretch>
                      <a:fillRect/>
                    </a:stretch>
                  </pic:blipFill>
                  <pic:spPr>
                    <a:xfrm>
                      <a:off x="0" y="0"/>
                      <a:ext cx="3060000" cy="5806452"/>
                    </a:xfrm>
                    <a:prstGeom prst="rect"/>
                  </pic:spPr>
                </pic:pic>
              </a:graphicData>
            </a:graphic>
          </wp:inline>
        </w:drawing>
      </w:r>
    </w:p>
    <w:p>
      <w:pPr>
        <w:jc w:val="center"/>
      </w:pPr>
      <w:r>
        <w:rPr>
          <w:b w:val="0"/>
          <w:i/>
        </w:rPr>
        <w:t>图 4　右栏：本轮引用来源</w:t>
      </w:r>
    </w:p>
    <w:p>
      <w:pPr>
        <w:jc w:val="center"/>
      </w:pPr>
      <w:r>
        <w:drawing>
          <wp:inline xmlns:a="http://schemas.openxmlformats.org/drawingml/2006/main" xmlns:pic="http://schemas.openxmlformats.org/drawingml/2006/picture">
            <wp:extent cx="3420000" cy="6489564"/>
            <wp:docPr id="5" name="Picture 5"/>
            <wp:cNvGraphicFramePr>
              <a:graphicFrameLocks noChangeAspect="1"/>
            </wp:cNvGraphicFramePr>
            <a:graphic>
              <a:graphicData uri="http://schemas.openxmlformats.org/drawingml/2006/picture">
                <pic:pic>
                  <pic:nvPicPr>
                    <pic:cNvPr id="0" name="图5_右侧Token分工具统计.png"/>
                    <pic:cNvPicPr/>
                  </pic:nvPicPr>
                  <pic:blipFill>
                    <a:blip r:embed="rId13"/>
                    <a:stretch>
                      <a:fillRect/>
                    </a:stretch>
                  </pic:blipFill>
                  <pic:spPr>
                    <a:xfrm>
                      <a:off x="0" y="0"/>
                      <a:ext cx="3420000" cy="6489564"/>
                    </a:xfrm>
                    <a:prstGeom prst="rect"/>
                  </pic:spPr>
                </pic:pic>
              </a:graphicData>
            </a:graphic>
          </wp:inline>
        </w:drawing>
      </w:r>
    </w:p>
    <w:p>
      <w:pPr>
        <w:jc w:val="center"/>
      </w:pPr>
      <w:r>
        <w:rPr>
          <w:b w:val="0"/>
          <w:i/>
        </w:rPr>
        <w:t>图 5　右栏：分工具 Token 统计（本轮 + 累计）</w:t>
      </w:r>
    </w:p>
    <w:p>
      <w:pPr>
        <w:pStyle w:val="Heading2"/>
      </w:pPr>
      <w:r>
        <w:t>4.6 通道切换说明</w:t>
      </w:r>
    </w:p>
    <w:p>
      <w:pPr>
        <w:pStyle w:val="ListBullet"/>
      </w:pPr>
      <w:r>
        <w:t>USE_AGENT=true 启用 Agent 通道，false 使用 RAG 直连；修改 .env 后需重启前后端。</w:t>
      </w:r>
    </w:p>
    <w:p>
      <w:pPr>
        <w:pStyle w:val="ListBullet"/>
      </w:pPr>
      <w:r>
        <w:t>Agent 服务不可用时，前端会自动降级到 RAG 直连并在界面明确提示，请留意通道标识。</w:t>
      </w:r>
    </w:p>
    <w:p>
      <w:pPr>
        <w:pStyle w:val="Heading1"/>
      </w:pPr>
      <w:r>
        <w:t>5 文档管理</w:t>
      </w:r>
    </w:p>
    <w:p>
      <w:pPr>
        <w:pStyle w:val="ListBullet"/>
      </w:pPr>
      <w:r>
        <w:t>支持格式：PDF / DOCX / DOC / TXT / MD / CSV。</w:t>
      </w:r>
    </w:p>
    <w:p>
      <w:pPr>
        <w:pStyle w:val="ListBullet"/>
      </w:pPr>
      <w:r>
        <w:t>上传成功后先确认“已索引”再提问；大文档首次向量化较慢属正常。</w:t>
      </w:r>
    </w:p>
    <w:p>
      <w:pPr>
        <w:pStyle w:val="ListBullet"/>
      </w:pPr>
      <w:r>
        <w:t>删除文档会同时移除物理文件与对应向量/BM25/缓存记录（当前实现为秒级，不再整库重编码）。</w:t>
      </w:r>
    </w:p>
    <w:p>
      <w:pPr>
        <w:pStyle w:val="ListBullet"/>
      </w:pPr>
      <w:r>
        <w:t>不要手工改写 index/ 内的文件；如需重建索引，删除 index/ 后重新上传即可。</w:t>
      </w:r>
    </w:p>
    <w:p>
      <w:pPr>
        <w:pStyle w:val="Heading1"/>
      </w:pPr>
      <w:r>
        <w:t>6 常见问题</w:t>
      </w:r>
    </w:p>
    <w:tbl>
      <w:tblPr>
        <w:tblStyle w:val="LightGrid-Accent1"/>
        <w:tblW w:type="auto" w:w="0"/>
        <w:tblLook w:firstColumn="1" w:firstRow="1" w:lastColumn="0" w:lastRow="0" w:noHBand="0" w:noVBand="1" w:val="04A0"/>
      </w:tblPr>
      <w:tblGrid>
        <w:gridCol w:w="4320"/>
        <w:gridCol w:w="4320"/>
      </w:tblGrid>
      <w:tr>
        <w:tc>
          <w:tcPr>
            <w:tcW w:type="dxa" w:w="4320"/>
          </w:tcPr>
          <w:p>
            <w:r>
              <w:t>现象</w:t>
            </w:r>
          </w:p>
        </w:tc>
        <w:tc>
          <w:tcPr>
            <w:tcW w:type="dxa" w:w="4320"/>
          </w:tcPr>
          <w:p>
            <w:r>
              <w:t>检查和处理</w:t>
            </w:r>
          </w:p>
        </w:tc>
      </w:tr>
      <w:tr>
        <w:tc>
          <w:tcPr>
            <w:tcW w:type="dxa" w:w="4320"/>
          </w:tcPr>
          <w:p>
            <w:r>
              <w:t>页面提示后端不可用</w:t>
            </w:r>
          </w:p>
        </w:tc>
        <w:tc>
          <w:tcPr>
            <w:tcW w:type="dxa" w:w="4320"/>
          </w:tcPr>
          <w:p>
            <w:r>
              <w:t>确认后端进程/容器仍在运行；检查 /health、端口 8000，以及前端 RAG_API_BASE_URL。</w:t>
            </w:r>
          </w:p>
        </w:tc>
      </w:tr>
      <w:tr>
        <w:tc>
          <w:tcPr>
            <w:tcW w:type="dxa" w:w="4320"/>
          </w:tcPr>
          <w:p>
            <w:r>
              <w:t>后端健康但前端显示 502</w:t>
            </w:r>
          </w:p>
        </w:tc>
        <w:tc>
          <w:tcPr>
            <w:tcW w:type="dxa" w:w="4320"/>
          </w:tcPr>
          <w:p>
            <w:r>
              <w:t>检查系统代理是否错误代理本机地址；将 127.0.0.1、localhost 加入 NO_PROXY 后重启前端。</w:t>
            </w:r>
          </w:p>
        </w:tc>
      </w:tr>
      <w:tr>
        <w:tc>
          <w:tcPr>
            <w:tcW w:type="dxa" w:w="4320"/>
          </w:tcPr>
          <w:p>
            <w:r>
              <w:t>首次提问很慢</w:t>
            </w:r>
          </w:p>
        </w:tc>
        <w:tc>
          <w:tcPr>
            <w:tcW w:type="dxa" w:w="4320"/>
          </w:tcPr>
          <w:p>
            <w:r>
              <w:t>本地模型首次加载 + 外部 API 首次请求会增加耗时；预热后再判断稳态性能。</w:t>
            </w:r>
          </w:p>
        </w:tc>
      </w:tr>
      <w:tr>
        <w:tc>
          <w:tcPr>
            <w:tcW w:type="dxa" w:w="4320"/>
          </w:tcPr>
          <w:p>
            <w:r>
              <w:t>回答提示模型调用失败</w:t>
            </w:r>
          </w:p>
        </w:tc>
        <w:tc>
          <w:tcPr>
            <w:tcW w:type="dxa" w:w="4320"/>
          </w:tcPr>
          <w:p>
            <w:r>
              <w:t>检查 API Key、余额、SILICONFLOW_BASE_URL 与 CHAT_MODEL 是否匹配；勿把密钥复制给他人排错。</w:t>
            </w:r>
          </w:p>
        </w:tc>
      </w:tr>
      <w:tr>
        <w:tc>
          <w:tcPr>
            <w:tcW w:type="dxa" w:w="4320"/>
          </w:tcPr>
          <w:p>
            <w:r>
              <w:t>上传后找不到相关文献</w:t>
            </w:r>
          </w:p>
        </w:tc>
        <w:tc>
          <w:tcPr>
            <w:tcW w:type="dxa" w:w="4320"/>
          </w:tcPr>
          <w:p>
            <w:r>
              <w:t>核对文档是否“已索引”、问题是否明确、页码是否被解析；可提高 top_k 或改用 Agent。</w:t>
            </w:r>
          </w:p>
        </w:tc>
      </w:tr>
      <w:tr>
        <w:tc>
          <w:tcPr>
            <w:tcW w:type="dxa" w:w="4320"/>
          </w:tcPr>
          <w:p>
            <w:r>
              <w:t>数字/表格与原文不符</w:t>
            </w:r>
          </w:p>
        </w:tc>
        <w:tc>
          <w:tcPr>
            <w:tcW w:type="dxa" w:w="4320"/>
          </w:tcPr>
          <w:p>
            <w:r>
              <w:t>打开引用页逐项核对；系统仍可能遗漏表格或错排分块，不得当作权威数据。</w:t>
            </w:r>
          </w:p>
        </w:tc>
      </w:tr>
      <w:tr>
        <w:tc>
          <w:tcPr>
            <w:tcW w:type="dxa" w:w="4320"/>
          </w:tcPr>
          <w:p>
            <w:r>
              <w:t>Agent 报错且无答案</w:t>
            </w:r>
          </w:p>
        </w:tc>
        <w:tc>
          <w:tcPr>
            <w:tcW w:type="dxa" w:w="4320"/>
          </w:tcPr>
          <w:p>
            <w:r>
              <w:t>可能是模型未生成有效最终回答或达到最大轮次；重试、提问更具体，或切换 RAG。</w:t>
            </w:r>
          </w:p>
        </w:tc>
      </w:tr>
      <w:tr>
        <w:tc>
          <w:tcPr>
            <w:tcW w:type="dxa" w:w="4320"/>
          </w:tcPr>
          <w:p>
            <w:r>
              <w:t>修改配置后没生效</w:t>
            </w:r>
          </w:p>
        </w:tc>
        <w:tc>
          <w:tcPr>
            <w:tcW w:type="dxa" w:w="4320"/>
          </w:tcPr>
          <w:p>
            <w:r>
              <w:t>完全停止并重启前后端；确认改的是项目根目录的 .env。</w:t>
            </w:r>
          </w:p>
        </w:tc>
      </w:tr>
      <w:tr>
        <w:tc>
          <w:tcPr>
            <w:tcW w:type="dxa" w:w="4320"/>
          </w:tcPr>
          <w:p>
            <w:r>
              <w:t>端口被占用</w:t>
            </w:r>
          </w:p>
        </w:tc>
        <w:tc>
          <w:tcPr>
            <w:tcW w:type="dxa" w:w="4320"/>
          </w:tcPr>
          <w:p>
            <w:r>
              <w:t>关闭旧进程或更换端口，同时更新前端 RAG_API_BASE_URL。</w:t>
            </w:r>
          </w:p>
        </w:tc>
      </w:tr>
      <w:tr>
        <w:tc>
          <w:tcPr>
            <w:tcW w:type="dxa" w:w="4320"/>
          </w:tcPr>
          <w:p>
            <w:r>
              <w:t>Docker 拉镜像超时/失败</w:t>
            </w:r>
          </w:p>
        </w:tc>
        <w:tc>
          <w:tcPr>
            <w:tcW w:type="dxa" w:w="4320"/>
          </w:tcPr>
          <w:p>
            <w:r>
              <w:t>国内需在 daemon.json 配 registry-mirrors 镜像加速；配好后 docker compose up -d --build。</w:t>
            </w:r>
          </w:p>
        </w:tc>
      </w:tr>
      <w:tr>
        <w:tc>
          <w:tcPr>
            <w:tcW w:type="dxa" w:w="4320"/>
          </w:tcPr>
          <w:p>
            <w:r>
              <w:t>Docker 后端启动即退出</w:t>
            </w:r>
          </w:p>
        </w:tc>
        <w:tc>
          <w:tcPr>
            <w:tcW w:type="dxa" w:w="4320"/>
          </w:tcPr>
          <w:p>
            <w:r>
              <w:t>多为 .env 的 API Key 为空导致；填好 Key 后 docker compose up -d --force-recreate backend。</w:t>
            </w:r>
          </w:p>
        </w:tc>
      </w:tr>
    </w:tbl>
    <w:p>
      <w:pPr>
        <w:pStyle w:val="Heading1"/>
      </w:pPr>
      <w:r>
        <w:t>7 数据与使用边界</w:t>
      </w:r>
    </w:p>
    <w:p>
      <w:r>
        <w:rPr>
          <w:b w:val="0"/>
          <w:i w:val="0"/>
        </w:rPr>
        <w:t>文献原文与向量索引保存在本机（或本机 Docker 数据卷）；模型问答会向配置的外部 API 发送问题及相关检索片段。回答是辅助阅读，不替代原文核查。当前系统未提供公网部署所需的用户鉴权、细粒度权限与生产级速率限制，请勿直接暴露到公网。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