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智能科研助理用户使用手册</w:t>
      </w:r>
    </w:p>
    <w:p>
      <w:r>
        <w:rPr>
          <w:rFonts w:ascii="Heiti TC" w:hAnsi="Heiti TC" w:eastAsia="Heiti TC"/>
          <w:b w:val="0"/>
          <w:color w:val="000000"/>
          <w:sz w:val="22"/>
        </w:rPr>
        <w:t>版本：2026-10-11。适用对象：课程项目演示者、普通使用者和本机部署人员。</w:t>
      </w:r>
    </w:p>
    <w:p>
      <w:r>
        <w:rPr>
          <w:rFonts w:ascii="Heiti TC" w:hAnsi="Heiti TC" w:eastAsia="Heiti TC"/>
          <w:b w:val="0"/>
          <w:color w:val="000000"/>
          <w:sz w:val="22"/>
        </w:rPr>
        <w:t>本系统将已上传论文建立为本地知识库，提供直接 RAG 问答与 Agent 多步问答。回答中的文献卡片只列出最终答案实际标注的来源；仍应点击原文页码核对重要结论。项目当前面向本机演示，不应直接暴露到公网。</w:t>
      </w:r>
    </w:p>
    <w:p>
      <w:pPr>
        <w:pStyle w:val="Heading1"/>
      </w:pPr>
      <w:r>
        <w:t>1 安装前准备</w:t>
      </w:r>
    </w:p>
    <w:p>
      <w:pPr>
        <w:pStyle w:val="ListBullet"/>
      </w:pPr>
      <w:r>
        <w:rPr>
          <w:rFonts w:ascii="Heiti TC" w:hAnsi="Heiti TC" w:eastAsia="Heiti TC"/>
          <w:b w:val="0"/>
          <w:color w:val="000000"/>
          <w:sz w:val="22"/>
        </w:rPr>
        <w:t>Windows 10/11、macOS 或 Linux，安装了 Python 3.10 及以上版本的电脑；预留约 4 GB 模型缓存空间。</w:t>
      </w:r>
    </w:p>
    <w:p>
      <w:pPr>
        <w:pStyle w:val="ListBullet"/>
      </w:pPr>
      <w:r>
        <w:rPr>
          <w:rFonts w:ascii="Heiti TC" w:hAnsi="Heiti TC" w:eastAsia="Heiti TC"/>
          <w:b w:val="0"/>
          <w:color w:val="000000"/>
          <w:sz w:val="22"/>
        </w:rPr>
        <w:t xml:space="preserve">已解压完整项目，保留 </w:t>
      </w:r>
      <w:r>
        <w:rPr>
          <w:rFonts w:ascii="Menlo" w:hAnsi="Menlo" w:eastAsia="Menlo"/>
          <w:b w:val="0"/>
          <w:color w:val="000000"/>
          <w:sz w:val="19"/>
        </w:rPr>
        <w:t>src/</w:t>
      </w:r>
      <w:r>
        <w:rPr>
          <w:rFonts w:ascii="Heiti TC" w:hAnsi="Heiti TC" w:eastAsia="Heiti TC"/>
          <w:b w:val="0"/>
          <w:color w:val="000000"/>
          <w:sz w:val="22"/>
        </w:rPr>
        <w:t>、</w:t>
      </w:r>
      <w:r>
        <w:rPr>
          <w:rFonts w:ascii="Menlo" w:hAnsi="Menlo" w:eastAsia="Menlo"/>
          <w:b w:val="0"/>
          <w:color w:val="000000"/>
          <w:sz w:val="19"/>
        </w:rPr>
        <w:t>requirements.txt</w:t>
      </w:r>
      <w:r>
        <w:rPr>
          <w:rFonts w:ascii="Heiti TC" w:hAnsi="Heiti TC" w:eastAsia="Heiti TC"/>
          <w:b w:val="0"/>
          <w:color w:val="000000"/>
          <w:sz w:val="22"/>
        </w:rPr>
        <w:t>、</w:t>
      </w:r>
      <w:r>
        <w:rPr>
          <w:rFonts w:ascii="Menlo" w:hAnsi="Menlo" w:eastAsia="Menlo"/>
          <w:b w:val="0"/>
          <w:color w:val="000000"/>
          <w:sz w:val="19"/>
        </w:rPr>
        <w:t>uploads/</w:t>
      </w:r>
      <w:r>
        <w:rPr>
          <w:rFonts w:ascii="Heiti TC" w:hAnsi="Heiti TC" w:eastAsia="Heiti TC"/>
          <w:b w:val="0"/>
          <w:color w:val="000000"/>
          <w:sz w:val="22"/>
        </w:rPr>
        <w:t>、</w:t>
      </w:r>
      <w:r>
        <w:rPr>
          <w:rFonts w:ascii="Menlo" w:hAnsi="Menlo" w:eastAsia="Menlo"/>
          <w:b w:val="0"/>
          <w:color w:val="000000"/>
          <w:sz w:val="19"/>
        </w:rPr>
        <w:t>index/</w:t>
      </w:r>
      <w:r>
        <w:rPr>
          <w:rFonts w:ascii="Heiti TC" w:hAnsi="Heiti TC" w:eastAsia="Heiti TC"/>
          <w:b w:val="0"/>
          <w:color w:val="000000"/>
          <w:sz w:val="22"/>
        </w:rPr>
        <w:t>。</w:t>
      </w:r>
    </w:p>
    <w:p>
      <w:pPr>
        <w:pStyle w:val="ListBullet"/>
      </w:pPr>
      <w:r>
        <w:rPr>
          <w:rFonts w:ascii="Heiti TC" w:hAnsi="Heiti TC" w:eastAsia="Heiti TC"/>
          <w:b w:val="0"/>
          <w:color w:val="000000"/>
          <w:sz w:val="22"/>
        </w:rPr>
        <w:t xml:space="preserve">已获得可用的 OpenAI 兼容模型 API Key 和余额。当前示例配置为 DeepSeek </w:t>
      </w:r>
      <w:r>
        <w:rPr>
          <w:rFonts w:ascii="Menlo" w:hAnsi="Menlo" w:eastAsia="Menlo"/>
          <w:b w:val="0"/>
          <w:color w:val="000000"/>
          <w:sz w:val="19"/>
        </w:rPr>
        <w:t>deepseek-flash</w:t>
      </w:r>
      <w:r>
        <w:rPr>
          <w:rFonts w:ascii="Heiti TC" w:hAnsi="Heiti TC" w:eastAsia="Heiti TC"/>
          <w:b w:val="0"/>
          <w:color w:val="000000"/>
          <w:sz w:val="22"/>
        </w:rPr>
        <w:t>；换服务商时必须同时核对服务地址、模型名和密钥。</w:t>
      </w:r>
    </w:p>
    <w:p>
      <w:pPr>
        <w:pStyle w:val="ListBullet"/>
      </w:pPr>
      <w:r>
        <w:rPr>
          <w:rFonts w:ascii="Heiti TC" w:hAnsi="Heiti TC" w:eastAsia="Heiti TC"/>
          <w:b w:val="0"/>
          <w:color w:val="000000"/>
          <w:sz w:val="22"/>
        </w:rPr>
        <w:t>用户已确认允许将问题及检索到的论文片段发送给所配置的外部模型服务。不要上传含敏感信息或无外发许可的材料。</w:t>
      </w:r>
    </w:p>
    <w:p>
      <w:pPr>
        <w:pStyle w:val="Heading1"/>
      </w:pPr>
      <w:r>
        <w:t>2 安装与配置</w:t>
      </w:r>
    </w:p>
    <w:p>
      <w:r>
        <w:rPr>
          <w:rFonts w:ascii="Heiti TC" w:hAnsi="Heiti TC" w:eastAsia="Heiti TC"/>
          <w:b w:val="0"/>
          <w:color w:val="000000"/>
          <w:sz w:val="22"/>
        </w:rPr>
        <w:t>在项目根目录建立虚拟环境并安装依赖：</w:t>
      </w:r>
    </w:p>
    <w:p>
      <w:pPr>
        <w:spacing w:after="20"/>
        <w:ind w:left="317"/>
      </w:pPr>
      <w:r>
        <w:rPr>
          <w:rFonts w:ascii="Menlo" w:hAnsi="Menlo" w:eastAsia="Menlo"/>
          <w:b w:val="0"/>
          <w:color w:val="000000"/>
          <w:sz w:val="17"/>
        </w:rPr>
        <w:t>python3 -m venv .venv</w:t>
      </w:r>
    </w:p>
    <w:p>
      <w:pPr>
        <w:spacing w:after="20"/>
        <w:ind w:left="317"/>
      </w:pPr>
      <w:r>
        <w:rPr>
          <w:rFonts w:ascii="Menlo" w:hAnsi="Menlo" w:eastAsia="Menlo"/>
          <w:b w:val="0"/>
          <w:color w:val="000000"/>
          <w:sz w:val="17"/>
        </w:rPr>
        <w:t>source .venv/bin/activate</w:t>
      </w:r>
    </w:p>
    <w:p>
      <w:pPr>
        <w:spacing w:after="20"/>
        <w:ind w:left="317"/>
      </w:pPr>
      <w:r>
        <w:rPr>
          <w:rFonts w:ascii="Menlo" w:hAnsi="Menlo" w:eastAsia="Menlo"/>
          <w:b w:val="0"/>
          <w:color w:val="000000"/>
          <w:sz w:val="17"/>
        </w:rPr>
        <w:t>python -m pip install -r requirements.txt</w:t>
      </w:r>
    </w:p>
    <w:p>
      <w:pPr>
        <w:spacing w:after="20"/>
        <w:ind w:left="317"/>
      </w:pPr>
      <w:r>
        <w:rPr>
          <w:rFonts w:ascii="Menlo" w:hAnsi="Menlo" w:eastAsia="Menlo"/>
          <w:b w:val="0"/>
          <w:color w:val="000000"/>
          <w:sz w:val="17"/>
        </w:rPr>
        <w:t>cp .env.example .env  # 仅首次安装且尚无 .env 时执行</w:t>
      </w:r>
    </w:p>
    <w:p>
      <w:r>
        <w:rPr>
          <w:rFonts w:ascii="Heiti TC" w:hAnsi="Heiti TC" w:eastAsia="Heiti TC"/>
          <w:b w:val="0"/>
          <w:color w:val="000000"/>
          <w:sz w:val="22"/>
        </w:rPr>
        <w:t xml:space="preserve">Windows 用 </w:t>
      </w:r>
      <w:r>
        <w:rPr>
          <w:rFonts w:ascii="Menlo" w:hAnsi="Menlo" w:eastAsia="Menlo"/>
          <w:b w:val="0"/>
          <w:color w:val="000000"/>
          <w:sz w:val="19"/>
        </w:rPr>
        <w:t>.venv\Scripts\activate</w:t>
      </w:r>
      <w:r>
        <w:rPr>
          <w:rFonts w:ascii="Heiti TC" w:hAnsi="Heiti TC" w:eastAsia="Heiti TC"/>
          <w:b w:val="0"/>
          <w:color w:val="000000"/>
          <w:sz w:val="22"/>
        </w:rPr>
        <w:t xml:space="preserve"> 激活环境，复制配置文件时可用资源管理器或 </w:t>
      </w:r>
      <w:r>
        <w:rPr>
          <w:rFonts w:ascii="Menlo" w:hAnsi="Menlo" w:eastAsia="Menlo"/>
          <w:b w:val="0"/>
          <w:color w:val="000000"/>
          <w:sz w:val="19"/>
        </w:rPr>
        <w:t>copy .env.example .env</w:t>
      </w:r>
      <w:r>
        <w:rPr>
          <w:rFonts w:ascii="Heiti TC" w:hAnsi="Heiti TC" w:eastAsia="Heiti TC"/>
          <w:b w:val="0"/>
          <w:color w:val="000000"/>
          <w:sz w:val="22"/>
        </w:rPr>
        <w:t>。</w:t>
      </w:r>
    </w:p>
    <w:p>
      <w:r>
        <w:rPr>
          <w:rFonts w:ascii="Heiti TC" w:hAnsi="Heiti TC" w:eastAsia="Heiti TC"/>
          <w:b w:val="0"/>
          <w:color w:val="000000"/>
          <w:sz w:val="22"/>
        </w:rPr>
        <w:t xml:space="preserve">用文本编辑器打开 </w:t>
      </w:r>
      <w:r>
        <w:rPr>
          <w:rFonts w:ascii="Menlo" w:hAnsi="Menlo" w:eastAsia="Menlo"/>
          <w:b w:val="0"/>
          <w:color w:val="000000"/>
          <w:sz w:val="19"/>
        </w:rPr>
        <w:t>.env</w:t>
      </w:r>
      <w:r>
        <w:rPr>
          <w:rFonts w:ascii="Heiti TC" w:hAnsi="Heiti TC" w:eastAsia="Heiti TC"/>
          <w:b w:val="0"/>
          <w:color w:val="000000"/>
          <w:sz w:val="22"/>
        </w:rPr>
        <w:t xml:space="preserve">，填写现有字段 </w:t>
      </w:r>
      <w:r>
        <w:rPr>
          <w:rFonts w:ascii="Menlo" w:hAnsi="Menlo" w:eastAsia="Menlo"/>
          <w:b w:val="0"/>
          <w:color w:val="000000"/>
          <w:sz w:val="19"/>
        </w:rPr>
        <w:t>SILICONFLOW_API_KEY</w:t>
      </w:r>
      <w:r>
        <w:rPr>
          <w:rFonts w:ascii="Heiti TC" w:hAnsi="Heiti TC" w:eastAsia="Heiti TC"/>
          <w:b w:val="0"/>
          <w:color w:val="000000"/>
          <w:sz w:val="22"/>
        </w:rPr>
        <w:t xml:space="preserve">。字段名是项目的历史命名，并不限定只能使用硅基流动；它会被发送到 </w:t>
      </w:r>
      <w:r>
        <w:rPr>
          <w:rFonts w:ascii="Menlo" w:hAnsi="Menlo" w:eastAsia="Menlo"/>
          <w:b w:val="0"/>
          <w:color w:val="000000"/>
          <w:sz w:val="19"/>
        </w:rPr>
        <w:t>SILICONFLOW_BASE_URL</w:t>
      </w:r>
      <w:r>
        <w:rPr>
          <w:rFonts w:ascii="Heiti TC" w:hAnsi="Heiti TC" w:eastAsia="Heiti TC"/>
          <w:b w:val="0"/>
          <w:color w:val="000000"/>
          <w:sz w:val="22"/>
        </w:rPr>
        <w:t xml:space="preserve"> 指定的服务。DeepSeek 示例：</w:t>
      </w:r>
    </w:p>
    <w:p>
      <w:pPr>
        <w:spacing w:after="20"/>
        <w:ind w:left="317"/>
      </w:pPr>
      <w:r>
        <w:rPr>
          <w:rFonts w:ascii="Menlo" w:hAnsi="Menlo" w:eastAsia="Menlo"/>
          <w:b w:val="0"/>
          <w:color w:val="000000"/>
          <w:sz w:val="17"/>
        </w:rPr>
        <w:t>SILICONFLOW_API_KEY=此处填写自己的密钥</w:t>
      </w:r>
    </w:p>
    <w:p>
      <w:pPr>
        <w:spacing w:after="20"/>
        <w:ind w:left="317"/>
      </w:pPr>
      <w:r>
        <w:rPr>
          <w:rFonts w:ascii="Menlo" w:hAnsi="Menlo" w:eastAsia="Menlo"/>
          <w:b w:val="0"/>
          <w:color w:val="000000"/>
          <w:sz w:val="17"/>
        </w:rPr>
        <w:t>SILICONFLOW_BASE_URL=https://api.deepseek.com</w:t>
      </w:r>
    </w:p>
    <w:p>
      <w:pPr>
        <w:spacing w:after="20"/>
        <w:ind w:left="317"/>
      </w:pPr>
      <w:r>
        <w:rPr>
          <w:rFonts w:ascii="Menlo" w:hAnsi="Menlo" w:eastAsia="Menlo"/>
          <w:b w:val="0"/>
          <w:color w:val="000000"/>
          <w:sz w:val="17"/>
        </w:rPr>
        <w:t>CHAT_MODEL=deepseek-flash</w:t>
      </w:r>
    </w:p>
    <w:p>
      <w:pPr>
        <w:spacing w:after="20"/>
        <w:ind w:left="317"/>
      </w:pPr>
      <w:r>
        <w:rPr>
          <w:rFonts w:ascii="Menlo" w:hAnsi="Menlo" w:eastAsia="Menlo"/>
          <w:b w:val="0"/>
          <w:color w:val="000000"/>
          <w:sz w:val="17"/>
        </w:rPr>
        <w:t>USE_AGENT=true</w:t>
      </w:r>
    </w:p>
    <w:p>
      <w:r>
        <w:rPr>
          <w:rFonts w:ascii="Heiti TC" w:hAnsi="Heiti TC" w:eastAsia="Heiti TC"/>
          <w:b w:val="0"/>
          <w:color w:val="000000"/>
          <w:sz w:val="22"/>
        </w:rPr>
        <w:t>不要将真实密钥写入报告、截图、提交记录或聊天消息。首次使用本地 Embedding 和 Reranker 模型时需要联网下载；网络受限可提前准备 Hugging Face 缓存。</w:t>
      </w:r>
    </w:p>
    <w:p>
      <w:pPr>
        <w:pStyle w:val="Heading1"/>
      </w:pPr>
      <w:r>
        <w:t>3 启动与验收</w:t>
      </w:r>
    </w:p>
    <w:p>
      <w:r>
        <w:rPr>
          <w:rFonts w:ascii="Heiti TC" w:hAnsi="Heiti TC" w:eastAsia="Heiti TC"/>
          <w:b w:val="0"/>
          <w:color w:val="000000"/>
          <w:sz w:val="22"/>
        </w:rPr>
        <w:t>先启动后端，再启动前端，使用两个终端且都位于项目根目录：</w:t>
      </w:r>
    </w:p>
    <w:p>
      <w:pPr>
        <w:spacing w:after="20"/>
        <w:ind w:left="317"/>
      </w:pPr>
      <w:r>
        <w:rPr>
          <w:rFonts w:ascii="Menlo" w:hAnsi="Menlo" w:eastAsia="Menlo"/>
          <w:b w:val="0"/>
          <w:color w:val="000000"/>
          <w:sz w:val="17"/>
        </w:rPr>
        <w:t># 终端一：后端，关闭热重载以避免模型重复加载</w:t>
      </w:r>
    </w:p>
    <w:p>
      <w:pPr>
        <w:spacing w:after="20"/>
        <w:ind w:left="317"/>
      </w:pPr>
      <w:r>
        <w:rPr>
          <w:rFonts w:ascii="Menlo" w:hAnsi="Menlo" w:eastAsia="Menlo"/>
          <w:b w:val="0"/>
          <w:color w:val="000000"/>
          <w:sz w:val="17"/>
        </w:rPr>
        <w:t>python -m uvicorn src.api.app:create_app --factory --host 127.0.0.1 --port 8000</w:t>
      </w:r>
    </w:p>
    <w:p>
      <w:pPr>
        <w:spacing w:after="20"/>
        <w:ind w:left="317"/>
      </w:pPr>
      <w:r>
        <w:rPr>
          <w:rFonts w:ascii="Menlo" w:hAnsi="Menlo" w:eastAsia="Menlo"/>
          <w:b w:val="0"/>
          <w:color w:val="000000"/>
          <w:sz w:val="17"/>
        </w:rPr>
        <w:t># 终端二：前端</w:t>
      </w:r>
    </w:p>
    <w:p>
      <w:pPr>
        <w:spacing w:after="20"/>
        <w:ind w:left="317"/>
      </w:pPr>
      <w:r>
        <w:rPr>
          <w:rFonts w:ascii="Menlo" w:hAnsi="Menlo" w:eastAsia="Menlo"/>
          <w:b w:val="0"/>
          <w:color w:val="000000"/>
          <w:sz w:val="17"/>
        </w:rPr>
        <w:t>python -m streamlit run src/frontend/app.py --server.address 127.0.0.1 --server.port 8501 --server.fileWatcherType none</w:t>
      </w:r>
    </w:p>
    <w:p>
      <w:r>
        <w:rPr>
          <w:rFonts w:ascii="Heiti TC" w:hAnsi="Heiti TC" w:eastAsia="Heiti TC"/>
          <w:b w:val="0"/>
          <w:color w:val="000000"/>
          <w:sz w:val="22"/>
        </w:rPr>
        <w:t xml:space="preserve">macOS 上如果本地模型推理异常退出，可在启动命令前添加 </w:t>
      </w:r>
      <w:r>
        <w:rPr>
          <w:rFonts w:ascii="Menlo" w:hAnsi="Menlo" w:eastAsia="Menlo"/>
          <w:b w:val="0"/>
          <w:color w:val="000000"/>
          <w:sz w:val="19"/>
        </w:rPr>
        <w:t>OMP_NUM_THREADS=1 EMBEDDING_DEVICE=cpu RERANKER_DEVICE=cpu TOKENIZERS_PARALLELISM=false</w:t>
      </w:r>
      <w:r>
        <w:rPr>
          <w:rFonts w:ascii="Heiti TC" w:hAnsi="Heiti TC" w:eastAsia="Heiti TC"/>
          <w:b w:val="0"/>
          <w:color w:val="000000"/>
          <w:sz w:val="22"/>
        </w:rPr>
        <w:t xml:space="preserve">。如需指定已有模型缓存，再添加 </w:t>
      </w:r>
      <w:r>
        <w:rPr>
          <w:rFonts w:ascii="Menlo" w:hAnsi="Menlo" w:eastAsia="Menlo"/>
          <w:b w:val="0"/>
          <w:color w:val="000000"/>
          <w:sz w:val="19"/>
        </w:rPr>
        <w:t>HF_HOME=缓存目录绝对路径</w:t>
      </w:r>
      <w:r>
        <w:rPr>
          <w:rFonts w:ascii="Heiti TC" w:hAnsi="Heiti TC" w:eastAsia="Heiti TC"/>
          <w:b w:val="0"/>
          <w:color w:val="000000"/>
          <w:sz w:val="22"/>
        </w:rPr>
        <w:t>。</w:t>
      </w:r>
    </w:p>
    <w:p>
      <w:r>
        <w:rPr>
          <w:rFonts w:ascii="Heiti TC" w:hAnsi="Heiti TC" w:eastAsia="Heiti TC"/>
          <w:b w:val="0"/>
          <w:color w:val="000000"/>
          <w:sz w:val="22"/>
        </w:rPr>
        <w:t xml:space="preserve">浏览器打开 </w:t>
      </w:r>
      <w:r>
        <w:rPr>
          <w:rFonts w:ascii="Menlo" w:hAnsi="Menlo" w:eastAsia="Menlo"/>
          <w:b w:val="0"/>
          <w:color w:val="000000"/>
          <w:sz w:val="19"/>
        </w:rPr>
        <w:t>http://127.0.0.1:8501</w:t>
      </w:r>
      <w:r>
        <w:rPr>
          <w:rFonts w:ascii="Heiti TC" w:hAnsi="Heiti TC" w:eastAsia="Heiti TC"/>
          <w:b w:val="0"/>
          <w:color w:val="000000"/>
          <w:sz w:val="22"/>
        </w:rPr>
        <w:t xml:space="preserve">。后端自检地址为 </w:t>
      </w:r>
      <w:r>
        <w:rPr>
          <w:rFonts w:ascii="Menlo" w:hAnsi="Menlo" w:eastAsia="Menlo"/>
          <w:b w:val="0"/>
          <w:color w:val="000000"/>
          <w:sz w:val="19"/>
        </w:rPr>
        <w:t>http://127.0.0.1:8000/health</w:t>
      </w:r>
      <w:r>
        <w:rPr>
          <w:rFonts w:ascii="Heiti TC" w:hAnsi="Heiti TC" w:eastAsia="Heiti TC"/>
          <w:b w:val="0"/>
          <w:color w:val="000000"/>
          <w:sz w:val="22"/>
        </w:rPr>
        <w:t xml:space="preserve">，应返回 </w:t>
      </w:r>
      <w:r>
        <w:rPr>
          <w:rFonts w:ascii="Menlo" w:hAnsi="Menlo" w:eastAsia="Menlo"/>
          <w:b w:val="0"/>
          <w:color w:val="000000"/>
          <w:sz w:val="19"/>
        </w:rPr>
        <w:t>status=ok</w:t>
      </w:r>
      <w:r>
        <w:rPr>
          <w:rFonts w:ascii="Heiti TC" w:hAnsi="Heiti TC" w:eastAsia="Heiti TC"/>
          <w:b w:val="0"/>
          <w:color w:val="000000"/>
          <w:sz w:val="22"/>
        </w:rPr>
        <w:t xml:space="preserve">；交互式接口说明在 </w:t>
      </w:r>
      <w:r>
        <w:rPr>
          <w:rFonts w:ascii="Menlo" w:hAnsi="Menlo" w:eastAsia="Menlo"/>
          <w:b w:val="0"/>
          <w:color w:val="000000"/>
          <w:sz w:val="19"/>
        </w:rPr>
        <w:t>http://127.0.0.1:8000/docs</w:t>
      </w:r>
      <w:r>
        <w:rPr>
          <w:rFonts w:ascii="Heiti TC" w:hAnsi="Heiti TC" w:eastAsia="Heiti TC"/>
          <w:b w:val="0"/>
          <w:color w:val="000000"/>
          <w:sz w:val="22"/>
        </w:rPr>
        <w:t>。两个终端关闭后服务停止。</w:t>
      </w:r>
    </w:p>
    <w:p>
      <w:pPr>
        <w:pStyle w:val="Heading2"/>
      </w:pPr>
      <w:r>
        <w:t>3.1 Docker 一键部署（可选，免配环境）</w:t>
      </w:r>
    </w:p>
    <w:p>
      <w:r>
        <w:t>已装 Docker Desktop（Windows 建议启用 WSL2 后端）时，可跳过上文手动安装，用容器一键起服务。国内网络需先给 Docker 配置镜像加速，否则拉不动基础镜像。</w:t>
      </w:r>
    </w:p>
    <w:p>
      <w:r>
        <w:t>copy .env.example .env        # 填好 SILICONFLOW_API_KEY / CHAT_MODEL / USE_AGENT</w:t>
      </w:r>
    </w:p>
    <w:p>
      <w:r>
        <w:t>docker compose up -d --build</w:t>
      </w:r>
    </w:p>
    <w:p>
      <w:r>
        <w:t>首次构建会安装依赖并下载约 1.3 GB 模型，耗时较长；之后启动很快。前端 http://localhost:8501，后端文档 http://localhost:8000/docs。数据（uploads/、index/、会话）挂载在宿主机，容器重建不丢。</w:t>
      </w:r>
    </w:p>
    <w:p>
      <w:pPr>
        <w:pStyle w:val="Heading1"/>
      </w:pPr>
      <w:r>
        <w:t>4 界面使用</w:t>
      </w:r>
    </w:p>
    <w:p>
      <w:pPr>
        <w:jc w:val="center"/>
      </w:pPr>
      <w:r>
        <w:drawing>
          <wp:inline xmlns:a="http://schemas.openxmlformats.org/drawingml/2006/main" xmlns:pic="http://schemas.openxmlformats.org/drawingml/2006/picture">
            <wp:extent cx="5760000" cy="3388235"/>
            <wp:docPr id="1" name="Picture 1"/>
            <wp:cNvGraphicFramePr>
              <a:graphicFrameLocks noChangeAspect="1"/>
            </wp:cNvGraphicFramePr>
            <a:graphic>
              <a:graphicData uri="http://schemas.openxmlformats.org/drawingml/2006/picture">
                <pic:pic>
                  <pic:nvPicPr>
                    <pic:cNvPr id="0" name="图1_整体界面.png"/>
                    <pic:cNvPicPr/>
                  </pic:nvPicPr>
                  <pic:blipFill>
                    <a:blip r:embed="rId10"/>
                    <a:stretch>
                      <a:fillRect/>
                    </a:stretch>
                  </pic:blipFill>
                  <pic:spPr>
                    <a:xfrm>
                      <a:off x="0" y="0"/>
                      <a:ext cx="5760000" cy="3388235"/>
                    </a:xfrm>
                    <a:prstGeom prst="rect"/>
                  </pic:spPr>
                </pic:pic>
              </a:graphicData>
            </a:graphic>
          </wp:inline>
        </w:drawing>
      </w:r>
    </w:p>
    <w:p>
      <w:pPr>
        <w:jc w:val="center"/>
      </w:pPr>
      <w:r>
        <w:rPr>
          <w:i/>
        </w:rPr>
        <w:t>图 1　系统整体界面（左：文档/会话；中：对话；右：可观测性）</w:t>
      </w:r>
    </w:p>
    <w:p>
      <w:pPr>
        <w:pStyle w:val="ListNumber"/>
      </w:pPr>
      <w:r>
        <w:rPr>
          <w:rFonts w:ascii="Heiti TC" w:hAnsi="Heiti TC" w:eastAsia="Heiti TC"/>
          <w:b w:val="0"/>
          <w:color w:val="000000"/>
          <w:sz w:val="22"/>
        </w:rPr>
        <w:t>左栏上传 PDF、DOCX、DOC、TXT、MD、CSV 文献，等待文档处理和索引完成。大论文首次向量化可能需要数分钟。</w:t>
      </w:r>
    </w:p>
    <w:p>
      <w:pPr>
        <w:jc w:val="center"/>
      </w:pPr>
      <w:r>
        <w:drawing>
          <wp:inline xmlns:a="http://schemas.openxmlformats.org/drawingml/2006/main" xmlns:pic="http://schemas.openxmlformats.org/drawingml/2006/picture">
            <wp:extent cx="2700000" cy="9000000"/>
            <wp:docPr id="2" name="Picture 2"/>
            <wp:cNvGraphicFramePr>
              <a:graphicFrameLocks noChangeAspect="1"/>
            </wp:cNvGraphicFramePr>
            <a:graphic>
              <a:graphicData uri="http://schemas.openxmlformats.org/drawingml/2006/picture">
                <pic:pic>
                  <pic:nvPicPr>
                    <pic:cNvPr id="0" name="图2_左栏文档管理.png"/>
                    <pic:cNvPicPr/>
                  </pic:nvPicPr>
                  <pic:blipFill>
                    <a:blip r:embed="rId11"/>
                    <a:stretch>
                      <a:fillRect/>
                    </a:stretch>
                  </pic:blipFill>
                  <pic:spPr>
                    <a:xfrm>
                      <a:off x="0" y="0"/>
                      <a:ext cx="2700000" cy="9000000"/>
                    </a:xfrm>
                    <a:prstGeom prst="rect"/>
                  </pic:spPr>
                </pic:pic>
              </a:graphicData>
            </a:graphic>
          </wp:inline>
        </w:drawing>
      </w:r>
    </w:p>
    <w:p>
      <w:pPr>
        <w:jc w:val="center"/>
      </w:pPr>
      <w:r>
        <w:rPr>
          <w:i/>
        </w:rPr>
        <w:t>图 2　左栏：知识库文档与会话管理</w:t>
      </w:r>
    </w:p>
    <w:p>
      <w:pPr>
        <w:pStyle w:val="ListNumber"/>
      </w:pPr>
      <w:r>
        <w:rPr>
          <w:rFonts w:ascii="Heiti TC" w:hAnsi="Heiti TC" w:eastAsia="Heiti TC"/>
          <w:b w:val="0"/>
          <w:color w:val="000000"/>
          <w:sz w:val="22"/>
        </w:rPr>
        <w:t xml:space="preserve">在顶栏选择 </w:t>
      </w:r>
      <w:r>
        <w:rPr>
          <w:rFonts w:ascii="Menlo" w:hAnsi="Menlo" w:eastAsia="Menlo"/>
          <w:b w:val="0"/>
          <w:color w:val="000000"/>
          <w:sz w:val="19"/>
        </w:rPr>
        <w:t>top_k</w:t>
      </w:r>
      <w:r>
        <w:rPr>
          <w:rFonts w:ascii="Heiti TC" w:hAnsi="Heiti TC" w:eastAsia="Heiti TC"/>
          <w:b w:val="0"/>
          <w:color w:val="000000"/>
          <w:sz w:val="22"/>
        </w:rPr>
        <w:t>。建议先用默认值 5；对比多篇论文或精确数字题可适当提高，但更多分块也会增加耗时和干扰。</w:t>
      </w:r>
      <w:r>
        <w:t xml:space="preserve"> 注意：该滑杆仅对 RAG 直连生效；Agent 通道下不生效，实际每次检索条数由模型在工具调用时自行决定。</w:t>
      </w:r>
    </w:p>
    <w:p>
      <w:pPr>
        <w:pStyle w:val="ListNumber"/>
      </w:pPr>
      <w:r>
        <w:rPr>
          <w:rFonts w:ascii="Heiti TC" w:hAnsi="Heiti TC" w:eastAsia="Heiti TC"/>
          <w:b w:val="0"/>
          <w:color w:val="000000"/>
          <w:sz w:val="22"/>
        </w:rPr>
        <w:t>在中央提问。尽量写明论文名、数据集名、所需指标和比较对象；例如“P08 鲑鱼计数论文中，历史帧确认阈值从 4 降到 1 的计数变化及风险是什么”。</w:t>
      </w:r>
    </w:p>
    <w:p>
      <w:pPr>
        <w:pStyle w:val="ListNumber"/>
      </w:pPr>
      <w:r>
        <w:rPr>
          <w:rFonts w:ascii="Heiti TC" w:hAnsi="Heiti TC" w:eastAsia="Heiti TC"/>
          <w:b w:val="0"/>
          <w:color w:val="000000"/>
          <w:sz w:val="22"/>
        </w:rPr>
        <w:t>查看回答和右侧引用卡片。引用卡片显示文件名、页码及摘要；重要数字、方法或参数含义以原文为准。无引用不代表没有检索，可能是回答没有使用任何可验证来源。</w:t>
      </w:r>
    </w:p>
    <w:p>
      <w:pPr>
        <w:jc w:val="center"/>
      </w:pPr>
      <w:r>
        <w:drawing>
          <wp:inline xmlns:a="http://schemas.openxmlformats.org/drawingml/2006/main" xmlns:pic="http://schemas.openxmlformats.org/drawingml/2006/picture">
            <wp:extent cx="4680000" cy="6554622"/>
            <wp:docPr id="3" name="Picture 3"/>
            <wp:cNvGraphicFramePr>
              <a:graphicFrameLocks noChangeAspect="1"/>
            </wp:cNvGraphicFramePr>
            <a:graphic>
              <a:graphicData uri="http://schemas.openxmlformats.org/drawingml/2006/picture">
                <pic:pic>
                  <pic:nvPicPr>
                    <pic:cNvPr id="0" name="图3_中央对话与引用.png"/>
                    <pic:cNvPicPr/>
                  </pic:nvPicPr>
                  <pic:blipFill>
                    <a:blip r:embed="rId12"/>
                    <a:stretch>
                      <a:fillRect/>
                    </a:stretch>
                  </pic:blipFill>
                  <pic:spPr>
                    <a:xfrm>
                      <a:off x="0" y="0"/>
                      <a:ext cx="4680000" cy="6554622"/>
                    </a:xfrm>
                    <a:prstGeom prst="rect"/>
                  </pic:spPr>
                </pic:pic>
              </a:graphicData>
            </a:graphic>
          </wp:inline>
        </w:drawing>
      </w:r>
    </w:p>
    <w:p>
      <w:pPr>
        <w:jc w:val="center"/>
      </w:pPr>
      <w:r>
        <w:rPr>
          <w:i/>
        </w:rPr>
        <w:t>图 3　中央对话区（流式回答 + 引用标注）</w:t>
      </w:r>
    </w:p>
    <w:p>
      <w:pPr>
        <w:pStyle w:val="ListNumber"/>
      </w:pPr>
      <w:r>
        <w:rPr>
          <w:rFonts w:ascii="Heiti TC" w:hAnsi="Heiti TC" w:eastAsia="Heiti TC"/>
          <w:b w:val="0"/>
          <w:color w:val="000000"/>
          <w:sz w:val="22"/>
        </w:rPr>
        <w:t>右侧还可查看本轮耗时、Token、Agent 思考与工具轨迹及系统状态。Agent 可能比 RAG 更慢且消耗更多 Token。</w:t>
      </w:r>
      <w:r>
        <w:t xml:space="preserve"> 右栏还提供“按工具分别统计的 Token 消耗（本轮+累计）”与实时更新的推理轨迹，左右两栏各自独立滚动。</w:t>
      </w:r>
    </w:p>
    <w:p>
      <w:pPr>
        <w:jc w:val="center"/>
      </w:pPr>
      <w:r>
        <w:drawing>
          <wp:inline xmlns:a="http://schemas.openxmlformats.org/drawingml/2006/main" xmlns:pic="http://schemas.openxmlformats.org/drawingml/2006/picture">
            <wp:extent cx="3060000" cy="5806452"/>
            <wp:docPr id="4" name="Picture 4"/>
            <wp:cNvGraphicFramePr>
              <a:graphicFrameLocks noChangeAspect="1"/>
            </wp:cNvGraphicFramePr>
            <a:graphic>
              <a:graphicData uri="http://schemas.openxmlformats.org/drawingml/2006/picture">
                <pic:pic>
                  <pic:nvPicPr>
                    <pic:cNvPr id="0" name="图4_右侧引用卡片.png"/>
                    <pic:cNvPicPr/>
                  </pic:nvPicPr>
                  <pic:blipFill>
                    <a:blip r:embed="rId13"/>
                    <a:stretch>
                      <a:fillRect/>
                    </a:stretch>
                  </pic:blipFill>
                  <pic:spPr>
                    <a:xfrm>
                      <a:off x="0" y="0"/>
                      <a:ext cx="3060000" cy="5806452"/>
                    </a:xfrm>
                    <a:prstGeom prst="rect"/>
                  </pic:spPr>
                </pic:pic>
              </a:graphicData>
            </a:graphic>
          </wp:inline>
        </w:drawing>
      </w:r>
    </w:p>
    <w:p>
      <w:pPr>
        <w:jc w:val="center"/>
      </w:pPr>
      <w:r>
        <w:rPr>
          <w:i/>
        </w:rPr>
        <w:t>图 4　右栏：本轮引用来源</w:t>
      </w:r>
    </w:p>
    <w:p>
      <w:pPr>
        <w:jc w:val="center"/>
      </w:pPr>
      <w:r>
        <w:drawing>
          <wp:inline xmlns:a="http://schemas.openxmlformats.org/drawingml/2006/main" xmlns:pic="http://schemas.openxmlformats.org/drawingml/2006/picture">
            <wp:extent cx="3420000" cy="6489564"/>
            <wp:docPr id="5" name="Picture 5"/>
            <wp:cNvGraphicFramePr>
              <a:graphicFrameLocks noChangeAspect="1"/>
            </wp:cNvGraphicFramePr>
            <a:graphic>
              <a:graphicData uri="http://schemas.openxmlformats.org/drawingml/2006/picture">
                <pic:pic>
                  <pic:nvPicPr>
                    <pic:cNvPr id="0" name="图5_右侧Token分工具统计.png"/>
                    <pic:cNvPicPr/>
                  </pic:nvPicPr>
                  <pic:blipFill>
                    <a:blip r:embed="rId14"/>
                    <a:stretch>
                      <a:fillRect/>
                    </a:stretch>
                  </pic:blipFill>
                  <pic:spPr>
                    <a:xfrm>
                      <a:off x="0" y="0"/>
                      <a:ext cx="3420000" cy="6489564"/>
                    </a:xfrm>
                    <a:prstGeom prst="rect"/>
                  </pic:spPr>
                </pic:pic>
              </a:graphicData>
            </a:graphic>
          </wp:inline>
        </w:drawing>
      </w:r>
    </w:p>
    <w:p>
      <w:pPr>
        <w:jc w:val="center"/>
      </w:pPr>
      <w:r>
        <w:rPr>
          <w:i/>
        </w:rPr>
        <w:t>图 5　右栏：分工具 Token 统计（本轮 + 累计）</w:t>
      </w:r>
    </w:p>
    <w:p>
      <w:pPr>
        <w:pStyle w:val="ListNumber"/>
      </w:pPr>
      <w:r>
        <w:rPr>
          <w:rFonts w:ascii="Heiti TC" w:hAnsi="Heiti TC" w:eastAsia="Heiti TC"/>
          <w:b w:val="0"/>
          <w:color w:val="000000"/>
          <w:sz w:val="22"/>
        </w:rPr>
        <w:t>左栏可新建、切换和删除会话。删除会话会移除本机对应的历史记录，操作前请自行留存需要的内容。</w:t>
      </w:r>
    </w:p>
    <w:p>
      <w:r>
        <w:rPr>
          <w:rFonts w:ascii="Menlo" w:hAnsi="Menlo" w:eastAsia="Menlo"/>
          <w:b w:val="0"/>
          <w:color w:val="000000"/>
          <w:sz w:val="19"/>
        </w:rPr>
        <w:t>USE_AGENT=true</w:t>
      </w:r>
      <w:r>
        <w:rPr>
          <w:rFonts w:ascii="Heiti TC" w:hAnsi="Heiti TC" w:eastAsia="Heiti TC"/>
          <w:b w:val="0"/>
          <w:color w:val="000000"/>
          <w:sz w:val="22"/>
        </w:rPr>
        <w:t xml:space="preserve"> 启用 Agent 通道；改为 </w:t>
      </w:r>
      <w:r>
        <w:rPr>
          <w:rFonts w:ascii="Menlo" w:hAnsi="Menlo" w:eastAsia="Menlo"/>
          <w:b w:val="0"/>
          <w:color w:val="000000"/>
          <w:sz w:val="19"/>
        </w:rPr>
        <w:t>false</w:t>
      </w:r>
      <w:r>
        <w:rPr>
          <w:rFonts w:ascii="Heiti TC" w:hAnsi="Heiti TC" w:eastAsia="Heiti TC"/>
          <w:b w:val="0"/>
          <w:color w:val="000000"/>
          <w:sz w:val="22"/>
        </w:rPr>
        <w:t xml:space="preserve"> 使用 RAG 直连。修改 </w:t>
      </w:r>
      <w:r>
        <w:rPr>
          <w:rFonts w:ascii="Menlo" w:hAnsi="Menlo" w:eastAsia="Menlo"/>
          <w:b w:val="0"/>
          <w:color w:val="000000"/>
          <w:sz w:val="19"/>
        </w:rPr>
        <w:t>.env</w:t>
      </w:r>
      <w:r>
        <w:rPr>
          <w:rFonts w:ascii="Heiti TC" w:hAnsi="Heiti TC" w:eastAsia="Heiti TC"/>
          <w:b w:val="0"/>
          <w:color w:val="000000"/>
          <w:sz w:val="22"/>
        </w:rPr>
        <w:t xml:space="preserve"> 后重启前后端。Agent 服务不可用时，前端可能提示降级到 RAG；请留意界面上的通道标识。</w:t>
      </w:r>
    </w:p>
    <w:p>
      <w:pPr>
        <w:pStyle w:val="Heading1"/>
      </w:pPr>
      <w:r>
        <w:t>5 文档管理</w:t>
      </w:r>
    </w:p>
    <w:p>
      <w:r>
        <w:rPr>
          <w:rFonts w:ascii="Heiti TC" w:hAnsi="Heiti TC" w:eastAsia="Heiti TC"/>
          <w:b w:val="0"/>
          <w:color w:val="000000"/>
          <w:sz w:val="22"/>
        </w:rPr>
        <w:t xml:space="preserve">上传成功后，先确认列表中显示已索引，再提问。文档删除会同时移除文件和对应检索索引；删除前备份需要保留的原文。不要手工改写 </w:t>
      </w:r>
      <w:r>
        <w:rPr>
          <w:rFonts w:ascii="Menlo" w:hAnsi="Menlo" w:eastAsia="Menlo"/>
          <w:b w:val="0"/>
          <w:color w:val="000000"/>
          <w:sz w:val="19"/>
        </w:rPr>
        <w:t>index/</w:t>
      </w:r>
      <w:r>
        <w:rPr>
          <w:rFonts w:ascii="Heiti TC" w:hAnsi="Heiti TC" w:eastAsia="Heiti TC"/>
          <w:b w:val="0"/>
          <w:color w:val="000000"/>
          <w:sz w:val="22"/>
        </w:rPr>
        <w:t xml:space="preserve"> 内的文件。若已有索引来源与现存 </w:t>
      </w:r>
      <w:r>
        <w:rPr>
          <w:rFonts w:ascii="Menlo" w:hAnsi="Menlo" w:eastAsia="Menlo"/>
          <w:b w:val="0"/>
          <w:color w:val="000000"/>
          <w:sz w:val="19"/>
        </w:rPr>
        <w:t>uploads/</w:t>
      </w:r>
      <w:r>
        <w:rPr>
          <w:rFonts w:ascii="Heiti TC" w:hAnsi="Heiti TC" w:eastAsia="Heiti TC"/>
          <w:b w:val="0"/>
          <w:color w:val="000000"/>
          <w:sz w:val="22"/>
        </w:rPr>
        <w:t xml:space="preserve"> 不一致，应先备份索引，再按管理员流程重建。</w:t>
      </w:r>
      <w:r>
        <w:t xml:space="preserve"> 当前删除为秒级，不再整库重新编码。</w:t>
      </w:r>
    </w:p>
    <w:p>
      <w:pPr>
        <w:pStyle w:val="Heading1"/>
      </w:pPr>
      <w:r>
        <w:t>6 常见问题</w:t>
      </w:r>
    </w:p>
    <w:tbl>
      <w:tblPr>
        <w:tblW w:type="auto" w:w="0"/>
        <w:tblLayout w:type="fixed"/>
        <w:tblLook w:firstColumn="1" w:firstRow="1" w:lastColumn="0" w:lastRow="0" w:noHBand="0" w:noVBand="1" w:val="04A0"/>
      </w:tblPr>
      <w:tblGrid>
        <w:gridCol w:w="4536"/>
        <w:gridCol w:w="4536"/>
      </w:tblGrid>
      <w:tr>
        <w:trPr>
          <w:tblHeader/>
        </w:trP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EAF2F8"/>
          </w:tcPr>
          <w:p>
            <w:pPr>
              <w:spacing w:after="0"/>
            </w:pPr>
            <w:r>
              <w:rPr>
                <w:rFonts w:ascii="Heiti TC" w:hAnsi="Heiti TC" w:eastAsia="Heiti TC"/>
                <w:b w:val="0"/>
                <w:color w:val="000000"/>
                <w:sz w:val="22"/>
              </w:rPr>
              <w:t>现象</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EAF2F8"/>
          </w:tcPr>
          <w:p>
            <w:pPr>
              <w:spacing w:after="0"/>
            </w:pPr>
            <w:r>
              <w:rPr>
                <w:rFonts w:ascii="Heiti TC" w:hAnsi="Heiti TC" w:eastAsia="Heiti TC"/>
                <w:b w:val="0"/>
                <w:color w:val="000000"/>
                <w:sz w:val="22"/>
              </w:rPr>
              <w:t>检查和处理</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页面提示后端不可用</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 xml:space="preserve">确认终端一仍在运行；检查 </w:t>
            </w:r>
            <w:r>
              <w:rPr>
                <w:rFonts w:ascii="Menlo" w:hAnsi="Menlo" w:eastAsia="Menlo"/>
                <w:b w:val="0"/>
                <w:color w:val="000000"/>
                <w:sz w:val="19"/>
              </w:rPr>
              <w:t>/health</w:t>
            </w:r>
            <w:r>
              <w:rPr>
                <w:rFonts w:ascii="Heiti TC" w:hAnsi="Heiti TC" w:eastAsia="Heiti TC"/>
                <w:b w:val="0"/>
                <w:color w:val="000000"/>
                <w:sz w:val="22"/>
              </w:rPr>
              <w:t xml:space="preserve">、端口 8000，以及前端 </w:t>
            </w:r>
            <w:r>
              <w:rPr>
                <w:rFonts w:ascii="Menlo" w:hAnsi="Menlo" w:eastAsia="Menlo"/>
                <w:b w:val="0"/>
                <w:color w:val="000000"/>
                <w:sz w:val="19"/>
              </w:rPr>
              <w:t>RAG_API_BASE_URL</w:t>
            </w:r>
            <w:r>
              <w:rPr>
                <w:rFonts w:ascii="Heiti TC" w:hAnsi="Heiti TC" w:eastAsia="Heiti TC"/>
                <w:b w:val="0"/>
                <w:color w:val="000000"/>
                <w:sz w:val="22"/>
              </w:rPr>
              <w:t>。</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后端健康但前端显示 502</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 xml:space="preserve">检查系统代理是否错误代理本机地址；将 </w:t>
            </w:r>
            <w:r>
              <w:rPr>
                <w:rFonts w:ascii="Menlo" w:hAnsi="Menlo" w:eastAsia="Menlo"/>
                <w:b w:val="0"/>
                <w:color w:val="000000"/>
                <w:sz w:val="19"/>
              </w:rPr>
              <w:t>127.0.0.1,localhost</w:t>
            </w:r>
            <w:r>
              <w:rPr>
                <w:rFonts w:ascii="Heiti TC" w:hAnsi="Heiti TC" w:eastAsia="Heiti TC"/>
                <w:b w:val="0"/>
                <w:color w:val="000000"/>
                <w:sz w:val="22"/>
              </w:rPr>
              <w:t xml:space="preserve"> 加入 </w:t>
            </w:r>
            <w:r>
              <w:rPr>
                <w:rFonts w:ascii="Menlo" w:hAnsi="Menlo" w:eastAsia="Menlo"/>
                <w:b w:val="0"/>
                <w:color w:val="000000"/>
                <w:sz w:val="19"/>
              </w:rPr>
              <w:t>NO_PROXY</w:t>
            </w:r>
            <w:r>
              <w:rPr>
                <w:rFonts w:ascii="Heiti TC" w:hAnsi="Heiti TC" w:eastAsia="Heiti TC"/>
                <w:b w:val="0"/>
                <w:color w:val="000000"/>
                <w:sz w:val="22"/>
              </w:rPr>
              <w:t xml:space="preserve"> 和 </w:t>
            </w:r>
            <w:r>
              <w:rPr>
                <w:rFonts w:ascii="Menlo" w:hAnsi="Menlo" w:eastAsia="Menlo"/>
                <w:b w:val="0"/>
                <w:color w:val="000000"/>
                <w:sz w:val="19"/>
              </w:rPr>
              <w:t>no_proxy</w:t>
            </w:r>
            <w:r>
              <w:rPr>
                <w:rFonts w:ascii="Heiti TC" w:hAnsi="Heiti TC" w:eastAsia="Heiti TC"/>
                <w:b w:val="0"/>
                <w:color w:val="000000"/>
                <w:sz w:val="22"/>
              </w:rPr>
              <w:t xml:space="preserve"> 后重启前端。</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首次提问很慢</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本地模型首次加载和外部 API 首次请求会增加耗时；待预热后再判断稳态性能。</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回答提示模型调用失败</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检查 API Key、余额、</w:t>
            </w:r>
            <w:r>
              <w:rPr>
                <w:rFonts w:ascii="Menlo" w:hAnsi="Menlo" w:eastAsia="Menlo"/>
                <w:b w:val="0"/>
                <w:color w:val="000000"/>
                <w:sz w:val="19"/>
              </w:rPr>
              <w:t>SILICONFLOW_BASE_URL</w:t>
            </w:r>
            <w:r>
              <w:rPr>
                <w:rFonts w:ascii="Heiti TC" w:hAnsi="Heiti TC" w:eastAsia="Heiti TC"/>
                <w:b w:val="0"/>
                <w:color w:val="000000"/>
                <w:sz w:val="22"/>
              </w:rPr>
              <w:t xml:space="preserve"> 与 </w:t>
            </w:r>
            <w:r>
              <w:rPr>
                <w:rFonts w:ascii="Menlo" w:hAnsi="Menlo" w:eastAsia="Menlo"/>
                <w:b w:val="0"/>
                <w:color w:val="000000"/>
                <w:sz w:val="19"/>
              </w:rPr>
              <w:t>CHAT_MODEL</w:t>
            </w:r>
            <w:r>
              <w:rPr>
                <w:rFonts w:ascii="Heiti TC" w:hAnsi="Heiti TC" w:eastAsia="Heiti TC"/>
                <w:b w:val="0"/>
                <w:color w:val="000000"/>
                <w:sz w:val="22"/>
              </w:rPr>
              <w:t xml:space="preserve"> 是否匹配；勿把密钥复制给他人排错。</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上传后找不到相关文献</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 xml:space="preserve">核对文档是否已索引、问题是否明确、页码是否被解析；可提高 </w:t>
            </w:r>
            <w:r>
              <w:rPr>
                <w:rFonts w:ascii="Menlo" w:hAnsi="Menlo" w:eastAsia="Menlo"/>
                <w:b w:val="0"/>
                <w:color w:val="000000"/>
                <w:sz w:val="19"/>
              </w:rPr>
              <w:t>top_k</w:t>
            </w:r>
            <w:r>
              <w:rPr>
                <w:rFonts w:ascii="Heiti TC" w:hAnsi="Heiti TC" w:eastAsia="Heiti TC"/>
                <w:b w:val="0"/>
                <w:color w:val="000000"/>
                <w:sz w:val="22"/>
              </w:rPr>
              <w:t xml:space="preserve"> 或改用 Agent。</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数字或表格答案与原文不符</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打开引用页逐项核对。系统仍可能遗漏表格、错排分块或误解参数；不得将回答直接当作权威数据。</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Agent 显示错误而没有答案</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可能是模型未生成有效的最终回答或达到最大轮次。重试、更具体地提问，或切换 RAG。</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修改配置后没生效</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 xml:space="preserve">完全停止并重启前后端；确认修改的是项目根目录下的 </w:t>
            </w:r>
            <w:r>
              <w:rPr>
                <w:rFonts w:ascii="Menlo" w:hAnsi="Menlo" w:eastAsia="Menlo"/>
                <w:b w:val="0"/>
                <w:color w:val="000000"/>
                <w:sz w:val="19"/>
              </w:rPr>
              <w:t>.env</w:t>
            </w:r>
            <w:r>
              <w:rPr>
                <w:rFonts w:ascii="Heiti TC" w:hAnsi="Heiti TC" w:eastAsia="Heiti TC"/>
                <w:b w:val="0"/>
                <w:color w:val="000000"/>
                <w:sz w:val="22"/>
              </w:rPr>
              <w:t>。</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端口被占用</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 xml:space="preserve">关闭旧进程或更换端口，同时更新前端 </w:t>
            </w:r>
            <w:r>
              <w:rPr>
                <w:rFonts w:ascii="Menlo" w:hAnsi="Menlo" w:eastAsia="Menlo"/>
                <w:b w:val="0"/>
                <w:color w:val="000000"/>
                <w:sz w:val="19"/>
              </w:rPr>
              <w:t>RAG_API_BASE_URL</w:t>
            </w:r>
            <w:r>
              <w:rPr>
                <w:rFonts w:ascii="Heiti TC" w:hAnsi="Heiti TC" w:eastAsia="Heiti TC"/>
                <w:b w:val="0"/>
                <w:color w:val="000000"/>
                <w:sz w:val="22"/>
              </w:rPr>
              <w:t>。</w:t>
            </w:r>
          </w:p>
        </w:tc>
      </w:tr>
      <w:tr>
        <w:tc>
          <w:tcPr>
            <w:tcW w:type="dxa" w:w="4536"/>
          </w:tcPr>
          <w:p>
            <w:r>
              <w:t>Docker 拉镜像超时/失败</w:t>
            </w:r>
          </w:p>
        </w:tc>
        <w:tc>
          <w:tcPr>
            <w:tcW w:type="dxa" w:w="4536"/>
          </w:tcPr>
          <w:p>
            <w:r>
              <w:t>国内需给 Docker 配 registry-mirrors 镜像加速；配好后执行 docker compose up -d --build。</w:t>
            </w:r>
          </w:p>
        </w:tc>
      </w:tr>
      <w:tr>
        <w:tc>
          <w:tcPr>
            <w:tcW w:type="dxa" w:w="4536"/>
          </w:tcPr>
          <w:p>
            <w:r>
              <w:t>Docker 后端启动后立即退出</w:t>
            </w:r>
          </w:p>
        </w:tc>
        <w:tc>
          <w:tcPr>
            <w:tcW w:type="dxa" w:w="4536"/>
          </w:tcPr>
          <w:p>
            <w:r>
              <w:t>多为 .env 中 SILICONFLOW_API_KEY 为空；填好后 docker compose up -d --force-recreate backend。</w:t>
            </w:r>
          </w:p>
        </w:tc>
      </w:tr>
    </w:tbl>
    <w:p/>
    <w:p>
      <w:pPr>
        <w:pStyle w:val="Heading1"/>
      </w:pPr>
      <w:r>
        <w:t>7 数据与使用边界</w:t>
      </w:r>
    </w:p>
    <w:p>
      <w:r>
        <w:rPr>
          <w:rFonts w:ascii="Heiti TC" w:hAnsi="Heiti TC" w:eastAsia="Heiti TC"/>
          <w:b w:val="0"/>
          <w:color w:val="000000"/>
          <w:sz w:val="22"/>
        </w:rPr>
        <w:t>文献原文和向量索引保存在本机；模型问答会向配置的外部 API 发送问题及相关检索片段。回答是辅助阅读，不替代原文核查。当前系统未提供公网部署所需的用户鉴权、细粒度权限和生产级速率限制。</w:t>
      </w:r>
    </w:p>
    <w:sectPr w:rsidR="00FC693F" w:rsidRPr="0006063C" w:rsidSect="00034616">
      <w:footerReference w:type="default" r:id="rId9"/>
      <w:pgSz w:w="12240" w:h="15840"/>
      <w:pgMar w:top="1152" w:right="1584" w:bottom="108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Heiti TC" w:hAnsi="Heiti TC" w:eastAsia="Heiti TC"/>
        <w:b w:val="0"/>
        <w:color w:val="000000"/>
        <w:sz w:val="16"/>
      </w:rPr>
      <w:t>智能科研助理用户使用手册</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3" w:lineRule="auto"/>
    </w:pPr>
    <w:rPr>
      <w:rFonts w:ascii="Heiti TC" w:hAnsi="Heiti TC" w:eastAsia="Heiti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Heiti TC" w:hAnsi="Heiti TC" w:eastAsia="Heiti T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Heiti TC" w:hAnsi="Heiti TC" w:eastAsia="Heiti T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Heiti TC" w:hAnsi="Heiti TC" w:eastAsia="Heiti TC"/>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