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Rate–Distortion Theory for FSQ</w:t>
      </w:r>
    </w:p>
    <w:p>
      <w:pPr>
        <w:pStyle w:val="Heading1"/>
      </w:pPr>
      <w:r>
        <w:t>1. Problem Setup</w:t>
      </w:r>
    </w:p>
    <w:p>
      <w:r>
        <w:t>In finite scalar quantization (FSQ), each dimension of a feature vector is quantized with a discrete set of levels. We want to minimize distortion subject to a bit-rate budget, ensuring the representation is efficient yet accurate.</w:t>
      </w:r>
    </w:p>
    <w:p>
      <w:pPr>
        <w:pStyle w:val="Heading1"/>
      </w:pPr>
      <w:r>
        <w:t>2. High-Rate Quantization Theory</w:t>
      </w:r>
    </w:p>
    <w:p>
      <w:r>
        <w:t>For scalar uniform quantization, distortion per axis with step size Δ is approximately D ≈ Δ²/12. If variance of dimension d is σ_d² and we allocate b_d bits, optimal allocation gives:</w:t>
        <w:br/>
        <w:t>D_d ≈ c σ_d² 2^(−2 b_d).</w:t>
        <w:br/>
        <w:t>The total distortion is minimized by allocating more bits to higher-variance axes.</w:t>
      </w:r>
    </w:p>
    <w:p>
      <w:pPr>
        <w:pStyle w:val="Heading1"/>
      </w:pPr>
      <w:r>
        <w:t>3. Bit Allocation Law</w:t>
      </w:r>
    </w:p>
    <w:p>
      <w:r>
        <w:t>The classical water-filling solution gives:</w:t>
        <w:br/>
        <w:t>b_d* = (1/2) log₂( λ σ_d² / c ),</w:t>
        <w:br/>
        <w:t>with λ chosen so that the sum of b_d* matches the target rate. This implies per-axis levels L_d = 2^(b_d*), though FSQ allows non-powers of two.</w:t>
      </w:r>
    </w:p>
    <w:p>
      <w:pPr>
        <w:pStyle w:val="Heading1"/>
      </w:pPr>
      <w:r>
        <w:t>4. Interpretation of [8, 6, 5, 5, 4]</w:t>
      </w:r>
    </w:p>
    <w:p>
      <w:r>
        <w:t>For example, levels [8, 6, 5, 5, 4] correspond to bit allocations [3.0, 2.6, 2.3, 2.3, 2.0]. This distribution is justified if per-axis variances follow a decreasing pattern such as [2.3, 1.8, 1.2, 1.2, 0.9], naturally producing the observed allocation under the rate–distortion water-filling principle.</w:t>
      </w:r>
    </w:p>
    <w:p>
      <w:pPr>
        <w:pStyle w:val="Heading1"/>
      </w:pPr>
      <w:r>
        <w:t>5. Practical Considerations</w:t>
      </w:r>
    </w:p>
    <w:p>
      <w:r>
        <w:t>- Whitening or PCA ensures independence between axes so allocation theory applies cleanly.</w:t>
        <w:br/>
        <w:t>- Non-power-of-two levels are valid in FSQ; entropy coding compresses further.</w:t>
        <w:br/>
        <w:t>- Effective rate may be significantly lower than nominal rate if code usage is skewed.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