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LockNote Premium Plans Proposal 2</w:t>
      </w:r>
    </w:p>
    <w:p>
      <w:pPr>
        <w:spacing w:after="200"/>
      </w:pPr>
      <w:r>
        <w:rPr>
          <w:rFonts w:ascii="Aptos" w:hAnsi="Aptos"/>
          <w:b/>
          <w:color w:val="5B6374"/>
          <w:sz w:val="23"/>
        </w:rPr>
        <w:t>Recommended feature packaging and monthly pricing</w:t>
      </w:r>
    </w:p>
    <w:p>
      <w:pPr>
        <w:spacing w:after="140" w:line="274" w:lineRule="auto"/>
      </w:pPr>
      <w:r>
        <w:rPr>
          <w:rFonts w:ascii="Aptos" w:hAnsi="Aptos"/>
          <w:b/>
          <w:color w:val="1A1D29"/>
          <w:sz w:val="21"/>
        </w:rPr>
        <w:t>Recommendation:</w:t>
      </w:r>
      <w:r>
        <w:rPr>
          <w:rFonts w:ascii="Aptos" w:hAnsi="Aptos"/>
          <w:color w:val="1A1D29"/>
          <w:sz w:val="21"/>
        </w:rPr>
        <w:t xml:space="preserve"> keep core local note access and portable backup free. Place cloud productivity in LockNote Plus and advanced media and organization in LockNote Pro. This gives each paid tier a clear purpose without preventing users from accessing existing notes.</w:t>
      </w:r>
    </w:p>
    <w:p>
      <w:pPr>
        <w:pStyle w:val="Heading1"/>
        <w:keepNext/>
        <w:spacing w:before="240" w:after="120"/>
      </w:pPr>
      <w:r>
        <w:t>Plan Comparison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9"/>
        <w:gridCol w:w="2509"/>
        <w:gridCol w:w="2509"/>
        <w:gridCol w:w="2509"/>
      </w:tblGrid>
      <w:tr>
        <w:trPr>
          <w:tblHeader w:val="true"/>
          <w:cantSplit/>
        </w:trPr>
        <w:tc>
          <w:tcPr>
            <w:tcW w:type="dxa" w:w="5112"/>
            <w:shd w:fill="243B64"/>
            <w:vAlign w:val="center"/>
            <w:tcMar>
              <w:top w:w="90" w:type="dxa"/>
              <w:start w:w="110" w:type="dxa"/>
              <w:bottom w:w="90" w:type="dxa"/>
              <w:end w:w="110" w:type="dxa"/>
            </w:tcMar>
          </w:tcPr>
          <w:p>
            <w:pPr>
              <w:spacing w:before="0" w:after="0" w:line="259" w:lineRule="auto"/>
              <w:jc w:val="left"/>
            </w:pPr>
            <w:r>
              <w:rPr>
                <w:rFonts w:ascii="Aptos" w:hAnsi="Aptos"/>
                <w:b/>
                <w:color w:val="FFFFFF"/>
                <w:sz w:val="19"/>
              </w:rPr>
              <w:t>Feature</w:t>
            </w:r>
          </w:p>
        </w:tc>
        <w:tc>
          <w:tcPr>
            <w:tcW w:type="dxa" w:w="1468"/>
            <w:shd w:fill="243B64"/>
            <w:vAlign w:val="center"/>
            <w:tcMar>
              <w:top w:w="90" w:type="dxa"/>
              <w:start w:w="110" w:type="dxa"/>
              <w:bottom w:w="90" w:type="dxa"/>
              <w:end w:w="110" w:type="dxa"/>
            </w:tcMar>
          </w:tcPr>
          <w:p>
            <w:pPr>
              <w:spacing w:before="0" w:after="0" w:line="259" w:lineRule="auto"/>
              <w:jc w:val="center"/>
            </w:pPr>
            <w:r>
              <w:rPr>
                <w:rFonts w:ascii="Aptos" w:hAnsi="Aptos"/>
                <w:b/>
                <w:color w:val="FFFFFF"/>
                <w:sz w:val="19"/>
              </w:rPr>
              <w:t>Free</w:t>
            </w:r>
          </w:p>
        </w:tc>
        <w:tc>
          <w:tcPr>
            <w:tcW w:type="dxa" w:w="1584"/>
            <w:shd w:fill="243B64"/>
            <w:vAlign w:val="center"/>
            <w:tcMar>
              <w:top w:w="90" w:type="dxa"/>
              <w:start w:w="110" w:type="dxa"/>
              <w:bottom w:w="90" w:type="dxa"/>
              <w:end w:w="110" w:type="dxa"/>
            </w:tcMar>
          </w:tcPr>
          <w:p>
            <w:pPr>
              <w:spacing w:before="0" w:after="0" w:line="259" w:lineRule="auto"/>
              <w:jc w:val="center"/>
            </w:pPr>
            <w:r>
              <w:rPr>
                <w:rFonts w:ascii="Aptos" w:hAnsi="Aptos"/>
                <w:b/>
                <w:color w:val="FFFFFF"/>
                <w:sz w:val="19"/>
              </w:rPr>
              <w:t>Plus</w:t>
            </w:r>
          </w:p>
        </w:tc>
        <w:tc>
          <w:tcPr>
            <w:tcW w:type="dxa" w:w="1728"/>
            <w:shd w:fill="243B64"/>
            <w:vAlign w:val="center"/>
            <w:tcMar>
              <w:top w:w="90" w:type="dxa"/>
              <w:start w:w="110" w:type="dxa"/>
              <w:bottom w:w="90" w:type="dxa"/>
              <w:end w:w="110" w:type="dxa"/>
            </w:tcMar>
          </w:tcPr>
          <w:p>
            <w:pPr>
              <w:spacing w:before="0" w:after="0" w:line="259" w:lineRule="auto"/>
              <w:jc w:val="center"/>
            </w:pPr>
            <w:r>
              <w:rPr>
                <w:rFonts w:ascii="Aptos" w:hAnsi="Aptos"/>
                <w:b/>
                <w:color w:val="FFFFFF"/>
                <w:sz w:val="19"/>
              </w:rPr>
              <w:t>Pro</w:t>
            </w:r>
          </w:p>
        </w:tc>
      </w:tr>
      <w:tr>
        <w:trPr>
          <w:cantSplit/>
        </w:trPr>
        <w:tc>
          <w:tcPr>
            <w:tcW w:type="dxa" w:w="5112"/>
            <w:shd w:fill="FFFFFF"/>
            <w:vAlign w:val="center"/>
            <w:tcMar>
              <w:top w:w="90" w:type="dxa"/>
              <w:start w:w="110" w:type="dxa"/>
              <w:bottom w:w="90" w:type="dxa"/>
              <w:end w:w="110" w:type="dxa"/>
            </w:tcMar>
          </w:tcPr>
          <w:p>
            <w:pPr>
              <w:spacing w:before="0" w:after="0" w:line="259" w:lineRule="auto"/>
              <w:jc w:val="left"/>
            </w:pPr>
            <w:r>
              <w:rPr>
                <w:rFonts w:ascii="Aptos" w:hAnsi="Aptos"/>
                <w:b/>
                <w:color w:val="1A1D29"/>
                <w:sz w:val="18"/>
              </w:rPr>
              <w:t>Monthly price</w:t>
            </w:r>
          </w:p>
        </w:tc>
        <w:tc>
          <w:tcPr>
            <w:tcW w:type="dxa" w:w="1468"/>
            <w:shd w:fill="FFFFFF"/>
            <w:vAlign w:val="center"/>
            <w:tcMar>
              <w:top w:w="90" w:type="dxa"/>
              <w:start w:w="110" w:type="dxa"/>
              <w:bottom w:w="90" w:type="dxa"/>
              <w:end w:w="110" w:type="dxa"/>
            </w:tcMar>
          </w:tcPr>
          <w:p>
            <w:pPr>
              <w:spacing w:before="0" w:after="0" w:line="259" w:lineRule="auto"/>
              <w:jc w:val="center"/>
            </w:pPr>
            <w:r>
              <w:rPr>
                <w:rFonts w:ascii="Aptos" w:hAnsi="Aptos"/>
                <w:b/>
                <w:color w:val="1A1D29"/>
                <w:sz w:val="18"/>
              </w:rPr>
              <w:t>RM 0</w:t>
            </w:r>
          </w:p>
        </w:tc>
        <w:tc>
          <w:tcPr>
            <w:tcW w:type="dxa" w:w="1584"/>
            <w:shd w:fill="FFFFFF"/>
            <w:vAlign w:val="center"/>
            <w:tcMar>
              <w:top w:w="90" w:type="dxa"/>
              <w:start w:w="110" w:type="dxa"/>
              <w:bottom w:w="90" w:type="dxa"/>
              <w:end w:w="110" w:type="dxa"/>
            </w:tcMar>
          </w:tcPr>
          <w:p>
            <w:pPr>
              <w:spacing w:before="0" w:after="0" w:line="259" w:lineRule="auto"/>
              <w:jc w:val="center"/>
            </w:pPr>
            <w:r>
              <w:rPr>
                <w:rFonts w:ascii="Aptos" w:hAnsi="Aptos"/>
                <w:b/>
                <w:color w:val="1A1D29"/>
                <w:sz w:val="18"/>
              </w:rPr>
              <w:t>RM 4.90</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ptos" w:hAnsi="Aptos"/>
                <w:b/>
                <w:color w:val="1A1D29"/>
                <w:sz w:val="18"/>
              </w:rPr>
              <w:t>RM 9.99</w:t>
            </w:r>
          </w:p>
        </w:tc>
      </w:tr>
      <w:tr>
        <w:trPr>
          <w:cantSplit/>
        </w:trPr>
        <w:tc>
          <w:tcPr>
            <w:tcW w:type="dxa" w:w="10036"/>
            <w:gridSpan w:val="4"/>
            <w:shd w:fill="4F46E5"/>
            <w:vAlign w:val="center"/>
            <w:tcMar>
              <w:top w:w="90" w:type="dxa"/>
              <w:start w:w="110" w:type="dxa"/>
              <w:bottom w:w="90" w:type="dxa"/>
              <w:end w:w="110" w:type="dxa"/>
            </w:tcMar>
          </w:tcPr>
          <w:p>
            <w:pPr>
              <w:spacing w:before="0" w:after="0" w:line="259" w:lineRule="auto"/>
              <w:jc w:val="left"/>
            </w:pPr>
            <w:r>
              <w:rPr>
                <w:rFonts w:ascii="Aptos" w:hAnsi="Aptos"/>
                <w:b/>
                <w:color w:val="FFFFFF"/>
                <w:sz w:val="18"/>
              </w:rPr>
              <w:t>CORE LOCAL FEATURES</w:t>
            </w:r>
          </w:p>
        </w:tc>
      </w:tr>
      <w:tr>
        <w:trPr>
          <w:cantSplit/>
        </w:trPr>
        <w:tc>
          <w:tcPr>
            <w:tcW w:type="dxa" w:w="5112"/>
            <w:shd w:fill="F7F8FF"/>
            <w:vAlign w:val="center"/>
            <w:tcMar>
              <w:top w:w="90" w:type="dxa"/>
              <w:start w:w="110" w:type="dxa"/>
              <w:bottom w:w="90" w:type="dxa"/>
              <w:end w:w="110" w:type="dxa"/>
            </w:tcMar>
          </w:tcPr>
          <w:p>
            <w:pPr>
              <w:spacing w:before="0" w:after="0" w:line="259" w:lineRule="auto"/>
              <w:jc w:val="left"/>
            </w:pPr>
            <w:r>
              <w:rPr>
                <w:rFonts w:ascii="Aptos" w:hAnsi="Aptos"/>
                <w:b/>
                <w:color w:val="1A1D29"/>
                <w:sz w:val="18"/>
              </w:rPr>
              <w:t>Plain Note, Checklist, Expense Record and Reminder</w:t>
            </w:r>
          </w:p>
        </w:tc>
        <w:tc>
          <w:tcPr>
            <w:tcW w:type="dxa" w:w="146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FFFFF"/>
            <w:vAlign w:val="center"/>
            <w:tcMar>
              <w:top w:w="90" w:type="dxa"/>
              <w:start w:w="110" w:type="dxa"/>
              <w:bottom w:w="90" w:type="dxa"/>
              <w:end w:w="110" w:type="dxa"/>
            </w:tcMar>
          </w:tcPr>
          <w:p>
            <w:pPr>
              <w:spacing w:before="0" w:after="0" w:line="259" w:lineRule="auto"/>
              <w:jc w:val="left"/>
            </w:pPr>
            <w:r>
              <w:rPr>
                <w:rFonts w:ascii="Aptos" w:hAnsi="Aptos"/>
                <w:b/>
                <w:color w:val="1A1D29"/>
                <w:sz w:val="18"/>
              </w:rPr>
              <w:t>Local notes and normal folders</w:t>
            </w:r>
          </w:p>
        </w:tc>
        <w:tc>
          <w:tcPr>
            <w:tcW w:type="dxa" w:w="146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7F8FF"/>
            <w:vAlign w:val="center"/>
            <w:tcMar>
              <w:top w:w="90" w:type="dxa"/>
              <w:start w:w="110" w:type="dxa"/>
              <w:bottom w:w="90" w:type="dxa"/>
              <w:end w:w="110" w:type="dxa"/>
            </w:tcMar>
          </w:tcPr>
          <w:p>
            <w:pPr>
              <w:spacing w:before="0" w:after="0" w:line="259" w:lineRule="auto"/>
              <w:jc w:val="left"/>
            </w:pPr>
            <w:r>
              <w:rPr>
                <w:rFonts w:ascii="Aptos" w:hAnsi="Aptos"/>
                <w:b/>
                <w:color w:val="1A1D29"/>
                <w:sz w:val="18"/>
              </w:rPr>
              <w:t>Search, pinning, colors, Archive and Trash</w:t>
            </w:r>
          </w:p>
        </w:tc>
        <w:tc>
          <w:tcPr>
            <w:tcW w:type="dxa" w:w="146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FFFFF"/>
            <w:vAlign w:val="center"/>
            <w:tcMar>
              <w:top w:w="90" w:type="dxa"/>
              <w:start w:w="110" w:type="dxa"/>
              <w:bottom w:w="90" w:type="dxa"/>
              <w:end w:w="110" w:type="dxa"/>
            </w:tcMar>
          </w:tcPr>
          <w:p>
            <w:pPr>
              <w:spacing w:before="0" w:after="0" w:line="259" w:lineRule="auto"/>
              <w:jc w:val="left"/>
            </w:pPr>
            <w:r>
              <w:rPr>
                <w:rFonts w:ascii="Aptos" w:hAnsi="Aptos"/>
                <w:b/>
                <w:color w:val="1A1D29"/>
                <w:sz w:val="18"/>
              </w:rPr>
              <w:t>Local password locks and reminder notifications</w:t>
            </w:r>
          </w:p>
        </w:tc>
        <w:tc>
          <w:tcPr>
            <w:tcW w:type="dxa" w:w="146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7F8FF"/>
            <w:vAlign w:val="center"/>
            <w:tcMar>
              <w:top w:w="90" w:type="dxa"/>
              <w:start w:w="110" w:type="dxa"/>
              <w:bottom w:w="90" w:type="dxa"/>
              <w:end w:w="110" w:type="dxa"/>
            </w:tcMar>
          </w:tcPr>
          <w:p>
            <w:pPr>
              <w:spacing w:before="0" w:after="0" w:line="259" w:lineRule="auto"/>
              <w:jc w:val="left"/>
            </w:pPr>
            <w:r>
              <w:rPr>
                <w:rFonts w:ascii="Aptos" w:hAnsi="Aptos"/>
                <w:b/>
                <w:color w:val="1A1D29"/>
                <w:sz w:val="18"/>
              </w:rPr>
              <w:t>Portable JSON backup and import</w:t>
            </w:r>
          </w:p>
        </w:tc>
        <w:tc>
          <w:tcPr>
            <w:tcW w:type="dxa" w:w="146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FFFFF"/>
            <w:vAlign w:val="center"/>
            <w:tcMar>
              <w:top w:w="90" w:type="dxa"/>
              <w:start w:w="110" w:type="dxa"/>
              <w:bottom w:w="90" w:type="dxa"/>
              <w:end w:w="110" w:type="dxa"/>
            </w:tcMar>
          </w:tcPr>
          <w:p>
            <w:pPr>
              <w:spacing w:before="0" w:after="0" w:line="259" w:lineRule="auto"/>
              <w:jc w:val="left"/>
            </w:pPr>
            <w:r>
              <w:rPr>
                <w:rFonts w:ascii="Aptos" w:hAnsi="Aptos"/>
                <w:b/>
                <w:color w:val="1A1D29"/>
                <w:sz w:val="18"/>
              </w:rPr>
              <w:t>PDF and image export</w:t>
            </w:r>
          </w:p>
        </w:tc>
        <w:tc>
          <w:tcPr>
            <w:tcW w:type="dxa" w:w="146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10036"/>
            <w:gridSpan w:val="4"/>
            <w:shd w:fill="4F46E5"/>
            <w:vAlign w:val="center"/>
            <w:tcMar>
              <w:top w:w="90" w:type="dxa"/>
              <w:start w:w="110" w:type="dxa"/>
              <w:bottom w:w="90" w:type="dxa"/>
              <w:end w:w="110" w:type="dxa"/>
            </w:tcMar>
          </w:tcPr>
          <w:p>
            <w:pPr>
              <w:spacing w:before="0" w:after="0" w:line="259" w:lineRule="auto"/>
              <w:jc w:val="left"/>
            </w:pPr>
            <w:r>
              <w:rPr>
                <w:rFonts w:ascii="Aptos" w:hAnsi="Aptos"/>
                <w:b/>
                <w:color w:val="FFFFFF"/>
                <w:sz w:val="18"/>
              </w:rPr>
              <w:t>CLOUD AND COLLABORATION</w:t>
            </w:r>
          </w:p>
        </w:tc>
      </w:tr>
      <w:tr>
        <w:trPr>
          <w:cantSplit/>
        </w:trPr>
        <w:tc>
          <w:tcPr>
            <w:tcW w:type="dxa" w:w="5112"/>
            <w:shd w:fill="F7F8FF"/>
            <w:vAlign w:val="center"/>
            <w:tcMar>
              <w:top w:w="90" w:type="dxa"/>
              <w:start w:w="110" w:type="dxa"/>
              <w:bottom w:w="90" w:type="dxa"/>
              <w:end w:w="110" w:type="dxa"/>
            </w:tcMar>
          </w:tcPr>
          <w:p>
            <w:pPr>
              <w:spacing w:before="0" w:after="0" w:line="259" w:lineRule="auto"/>
              <w:jc w:val="left"/>
            </w:pPr>
            <w:r>
              <w:rPr>
                <w:rFonts w:ascii="Aptos" w:hAnsi="Aptos"/>
                <w:b/>
                <w:color w:val="1A1D29"/>
                <w:sz w:val="18"/>
              </w:rPr>
              <w:t>Free LockNote account and subscription recovery</w:t>
            </w:r>
          </w:p>
        </w:tc>
        <w:tc>
          <w:tcPr>
            <w:tcW w:type="dxa" w:w="146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FFFFF"/>
            <w:vAlign w:val="center"/>
            <w:tcMar>
              <w:top w:w="90" w:type="dxa"/>
              <w:start w:w="110" w:type="dxa"/>
              <w:bottom w:w="90" w:type="dxa"/>
              <w:end w:w="110" w:type="dxa"/>
            </w:tcMar>
          </w:tcPr>
          <w:p>
            <w:pPr>
              <w:spacing w:before="0" w:after="0" w:line="259" w:lineRule="auto"/>
              <w:jc w:val="left"/>
            </w:pPr>
            <w:r>
              <w:rPr>
                <w:rFonts w:ascii="Aptos" w:hAnsi="Aptos"/>
                <w:b/>
                <w:color w:val="1A1D29"/>
                <w:sz w:val="18"/>
              </w:rPr>
              <w:t>Manual cloud sync and multi-device access</w:t>
            </w:r>
          </w:p>
        </w:tc>
        <w:tc>
          <w:tcPr>
            <w:tcW w:type="dxa" w:w="1468"/>
            <w:shd w:fill="FFFFFF"/>
            <w:vAlign w:val="center"/>
            <w:tcMar>
              <w:top w:w="90" w:type="dxa"/>
              <w:start w:w="110" w:type="dxa"/>
              <w:bottom w:w="90" w:type="dxa"/>
              <w:end w:w="110" w:type="dxa"/>
            </w:tcMar>
          </w:tcPr>
          <w:p>
            <w:pPr>
              <w:spacing w:before="0" w:after="0" w:line="252" w:lineRule="auto"/>
              <w:jc w:val="center"/>
            </w:pPr>
            <w:r/>
            <w:r>
              <w:rPr>
                <w:rFonts w:ascii="Aptos" w:hAnsi="Aptos"/>
                <w:b w:val="0"/>
                <w:color w:val="1A1D29"/>
                <w:sz w:val="18"/>
              </w:rPr>
              <w:t>✓</w:t>
            </w:r>
          </w:p>
        </w:tc>
        <w:tc>
          <w:tcPr>
            <w:tcW w:type="dxa" w:w="1584"/>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7F8FF"/>
            <w:vAlign w:val="center"/>
            <w:tcMar>
              <w:top w:w="90" w:type="dxa"/>
              <w:start w:w="110" w:type="dxa"/>
              <w:bottom w:w="90" w:type="dxa"/>
              <w:end w:w="110" w:type="dxa"/>
            </w:tcMar>
          </w:tcPr>
          <w:p>
            <w:pPr>
              <w:spacing w:before="0" w:after="0" w:line="259" w:lineRule="auto"/>
              <w:jc w:val="left"/>
            </w:pPr>
            <w:r>
              <w:rPr>
                <w:rFonts w:ascii="Aptos" w:hAnsi="Aptos"/>
                <w:b/>
                <w:color w:val="1A1D29"/>
                <w:sz w:val="18"/>
              </w:rPr>
              <w:t>Share by email with View or Edit access</w:t>
            </w:r>
          </w:p>
        </w:tc>
        <w:tc>
          <w:tcPr>
            <w:tcW w:type="dxa" w:w="146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FFFFF"/>
            <w:vAlign w:val="center"/>
            <w:tcMar>
              <w:top w:w="90" w:type="dxa"/>
              <w:start w:w="110" w:type="dxa"/>
              <w:bottom w:w="90" w:type="dxa"/>
              <w:end w:w="110" w:type="dxa"/>
            </w:tcMar>
          </w:tcPr>
          <w:p>
            <w:pPr>
              <w:spacing w:before="0" w:after="0" w:line="252" w:lineRule="auto"/>
              <w:jc w:val="left"/>
            </w:pPr>
            <w:r/>
            <w:r>
              <w:rPr>
                <w:rFonts w:ascii="Aptos" w:hAnsi="Aptos"/>
                <w:b/>
                <w:color w:val="1A1D29"/>
                <w:sz w:val="18"/>
              </w:rPr>
              <w:t>Cloud storage allowance and estimate</w:t>
            </w:r>
          </w:p>
        </w:tc>
        <w:tc>
          <w:tcPr>
            <w:tcW w:type="dxa" w:w="1468"/>
            <w:shd w:fill="FFFFFF"/>
            <w:vAlign w:val="center"/>
            <w:tcMar>
              <w:top w:w="90" w:type="dxa"/>
              <w:start w:w="110" w:type="dxa"/>
              <w:bottom w:w="90" w:type="dxa"/>
              <w:end w:w="110" w:type="dxa"/>
            </w:tcMar>
          </w:tcPr>
          <w:p>
            <w:pPr>
              <w:spacing w:before="0" w:after="0" w:line="252" w:lineRule="auto"/>
              <w:jc w:val="center"/>
            </w:pPr>
            <w:r/>
            <w:r>
              <w:rPr>
                <w:rFonts w:ascii="Aptos" w:hAnsi="Aptos"/>
                <w:b w:val="0"/>
                <w:color w:val="1A1D29"/>
                <w:sz w:val="17"/>
              </w:rPr>
              <w:t>25 MB</w:t>
            </w:r>
            <w:r>
              <w:br/>
            </w:r>
            <w:r>
              <w:rPr>
                <w:rFonts w:ascii="Aptos" w:hAnsi="Aptos"/>
                <w:b w:val="0"/>
                <w:color w:val="1A1D29"/>
                <w:sz w:val="17"/>
              </w:rPr>
              <w:t>~300 long notes</w:t>
            </w:r>
          </w:p>
        </w:tc>
        <w:tc>
          <w:tcPr>
            <w:tcW w:type="dxa" w:w="1584"/>
            <w:shd w:fill="FFFFFF"/>
            <w:vAlign w:val="center"/>
            <w:tcMar>
              <w:top w:w="90" w:type="dxa"/>
              <w:start w:w="110" w:type="dxa"/>
              <w:bottom w:w="90" w:type="dxa"/>
              <w:end w:w="110" w:type="dxa"/>
            </w:tcMar>
          </w:tcPr>
          <w:p>
            <w:pPr>
              <w:spacing w:before="0" w:after="0" w:line="252" w:lineRule="auto"/>
              <w:jc w:val="center"/>
            </w:pPr>
            <w:r/>
            <w:r>
              <w:rPr>
                <w:rFonts w:ascii="Aptos" w:hAnsi="Aptos"/>
                <w:b w:val="0"/>
                <w:color w:val="1A1D29"/>
                <w:sz w:val="17"/>
              </w:rPr>
              <w:t>75 MB</w:t>
            </w:r>
            <w:r>
              <w:br/>
            </w:r>
            <w:r>
              <w:rPr>
                <w:rFonts w:ascii="Aptos" w:hAnsi="Aptos"/>
                <w:b w:val="0"/>
                <w:color w:val="1A1D29"/>
                <w:sz w:val="17"/>
              </w:rPr>
              <w:t>~1,000 long notes</w:t>
            </w:r>
          </w:p>
        </w:tc>
        <w:tc>
          <w:tcPr>
            <w:tcW w:type="dxa" w:w="1728"/>
            <w:shd w:fill="FFFFFF"/>
            <w:vAlign w:val="center"/>
            <w:tcMar>
              <w:top w:w="90" w:type="dxa"/>
              <w:start w:w="110" w:type="dxa"/>
              <w:bottom w:w="90" w:type="dxa"/>
              <w:end w:w="110" w:type="dxa"/>
            </w:tcMar>
          </w:tcPr>
          <w:p>
            <w:pPr>
              <w:spacing w:before="0" w:after="0" w:line="252" w:lineRule="auto"/>
              <w:jc w:val="center"/>
            </w:pPr>
            <w:r/>
            <w:r>
              <w:rPr>
                <w:rFonts w:ascii="Aptos" w:hAnsi="Aptos"/>
                <w:b w:val="0"/>
                <w:color w:val="1A1D29"/>
                <w:sz w:val="17"/>
              </w:rPr>
              <w:t>750 MB</w:t>
            </w:r>
            <w:r>
              <w:br/>
            </w:r>
            <w:r>
              <w:rPr>
                <w:rFonts w:ascii="Aptos" w:hAnsi="Aptos"/>
                <w:b w:val="0"/>
                <w:color w:val="1A1D29"/>
                <w:sz w:val="17"/>
              </w:rPr>
              <w:t>~10,000 text notes*</w:t>
            </w:r>
          </w:p>
        </w:tc>
      </w:tr>
      <w:tr>
        <w:trPr>
          <w:cantSplit/>
        </w:trPr>
        <w:tc>
          <w:tcPr>
            <w:tcW w:type="dxa" w:w="10036"/>
            <w:gridSpan w:val="4"/>
            <w:shd w:fill="4F46E5"/>
            <w:vAlign w:val="center"/>
            <w:tcMar>
              <w:top w:w="90" w:type="dxa"/>
              <w:start w:w="110" w:type="dxa"/>
              <w:bottom w:w="90" w:type="dxa"/>
              <w:end w:w="110" w:type="dxa"/>
            </w:tcMar>
          </w:tcPr>
          <w:p>
            <w:pPr>
              <w:spacing w:before="0" w:after="0" w:line="259" w:lineRule="auto"/>
              <w:jc w:val="left"/>
            </w:pPr>
            <w:r>
              <w:rPr>
                <w:rFonts w:ascii="Aptos" w:hAnsi="Aptos"/>
                <w:b/>
                <w:color w:val="FFFFFF"/>
                <w:sz w:val="18"/>
              </w:rPr>
              <w:t>RICH NOTES AND ORGANIZATION</w:t>
            </w:r>
          </w:p>
        </w:tc>
      </w:tr>
      <w:tr>
        <w:trPr>
          <w:cantSplit/>
        </w:trPr>
        <w:tc>
          <w:tcPr>
            <w:tcW w:type="dxa" w:w="5112"/>
            <w:shd w:fill="F7F8FF"/>
            <w:vAlign w:val="center"/>
            <w:tcMar>
              <w:top w:w="90" w:type="dxa"/>
              <w:start w:w="110" w:type="dxa"/>
              <w:bottom w:w="90" w:type="dxa"/>
              <w:end w:w="110" w:type="dxa"/>
            </w:tcMar>
          </w:tcPr>
          <w:p>
            <w:pPr>
              <w:spacing w:before="0" w:after="0" w:line="259" w:lineRule="auto"/>
              <w:jc w:val="left"/>
            </w:pPr>
            <w:r>
              <w:rPr>
                <w:rFonts w:ascii="Aptos" w:hAnsi="Aptos"/>
                <w:b/>
                <w:color w:val="1A1D29"/>
                <w:sz w:val="18"/>
              </w:rPr>
              <w:t>Image attachments</w:t>
            </w:r>
          </w:p>
        </w:tc>
        <w:tc>
          <w:tcPr>
            <w:tcW w:type="dxa" w:w="146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Up to 20 per note</w:t>
            </w:r>
          </w:p>
        </w:tc>
      </w:tr>
      <w:tr>
        <w:trPr>
          <w:cantSplit/>
        </w:trPr>
        <w:tc>
          <w:tcPr>
            <w:tcW w:type="dxa" w:w="5112"/>
            <w:shd w:fill="FFFFFF"/>
            <w:vAlign w:val="center"/>
            <w:tcMar>
              <w:top w:w="90" w:type="dxa"/>
              <w:start w:w="110" w:type="dxa"/>
              <w:bottom w:w="90" w:type="dxa"/>
              <w:end w:w="110" w:type="dxa"/>
            </w:tcMar>
          </w:tcPr>
          <w:p>
            <w:pPr>
              <w:spacing w:before="0" w:after="0" w:line="259" w:lineRule="auto"/>
              <w:jc w:val="left"/>
            </w:pPr>
            <w:r>
              <w:rPr>
                <w:rFonts w:ascii="Aptos" w:hAnsi="Aptos"/>
                <w:b/>
                <w:color w:val="1A1D29"/>
                <w:sz w:val="18"/>
              </w:rPr>
              <w:t>Cloud sync for image attachments</w:t>
            </w:r>
          </w:p>
        </w:tc>
        <w:tc>
          <w:tcPr>
            <w:tcW w:type="dxa" w:w="146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7F8FF"/>
            <w:vAlign w:val="center"/>
            <w:tcMar>
              <w:top w:w="90" w:type="dxa"/>
              <w:start w:w="110" w:type="dxa"/>
              <w:bottom w:w="90" w:type="dxa"/>
              <w:end w:w="110" w:type="dxa"/>
            </w:tcMar>
          </w:tcPr>
          <w:p>
            <w:pPr>
              <w:spacing w:before="0" w:after="0" w:line="259" w:lineRule="auto"/>
              <w:jc w:val="left"/>
            </w:pPr>
            <w:r>
              <w:rPr>
                <w:rFonts w:ascii="Aptos" w:hAnsi="Aptos"/>
                <w:b/>
                <w:color w:val="1A1D29"/>
                <w:sz w:val="18"/>
              </w:rPr>
              <w:t>Custom note background images</w:t>
            </w:r>
          </w:p>
        </w:tc>
        <w:tc>
          <w:tcPr>
            <w:tcW w:type="dxa" w:w="146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7F8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r>
        <w:trPr>
          <w:cantSplit/>
        </w:trPr>
        <w:tc>
          <w:tcPr>
            <w:tcW w:type="dxa" w:w="5112"/>
            <w:shd w:fill="FFFFFF"/>
            <w:vAlign w:val="center"/>
            <w:tcMar>
              <w:top w:w="90" w:type="dxa"/>
              <w:start w:w="110" w:type="dxa"/>
              <w:bottom w:w="90" w:type="dxa"/>
              <w:end w:w="110" w:type="dxa"/>
            </w:tcMar>
          </w:tcPr>
          <w:p>
            <w:pPr>
              <w:spacing w:before="0" w:after="0" w:line="259" w:lineRule="auto"/>
              <w:jc w:val="left"/>
            </w:pPr>
            <w:r>
              <w:rPr>
                <w:rFonts w:ascii="Aptos" w:hAnsi="Aptos"/>
                <w:b/>
                <w:color w:val="1A1D29"/>
                <w:sz w:val="18"/>
              </w:rPr>
              <w:t>Nested folders</w:t>
            </w:r>
          </w:p>
        </w:tc>
        <w:tc>
          <w:tcPr>
            <w:tcW w:type="dxa" w:w="146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584"/>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ptos" w:hAnsi="Aptos"/>
                <w:b w:val="0"/>
                <w:color w:val="1A1D29"/>
                <w:sz w:val="18"/>
              </w:rPr>
              <w:t>✓</w:t>
            </w:r>
          </w:p>
        </w:tc>
      </w:tr>
    </w:tbl>
    <w:p>
      <w:pPr>
        <w:spacing w:before="100" w:after="0"/>
      </w:pPr>
      <w:r>
        <w:rPr>
          <w:rFonts w:ascii="Aptos" w:hAnsi="Aptos"/>
          <w:b w:val="0"/>
          <w:color w:val="5B6374"/>
          <w:sz w:val="17"/>
        </w:rPr>
        <w:t>* Capacity estimates use long text notes. Pro will hold fewer notes when image attachments use part of the same 750 MB quota.</w:t>
      </w:r>
    </w:p>
    <w:p>
      <w:r>
        <w:br w:type="page"/>
      </w:r>
    </w:p>
    <w:p>
      <w:pPr>
        <w:pStyle w:val="Heading1"/>
        <w:keepNext/>
        <w:spacing w:before="240" w:after="120"/>
      </w:pPr>
      <w:r>
        <w:t>Plan Positioning</w:t>
      </w:r>
    </w:p>
    <w:p>
      <w:pPr>
        <w:spacing w:after="140" w:line="274" w:lineRule="auto"/>
      </w:pPr>
      <w:r>
        <w:rPr>
          <w:rFonts w:ascii="Aptos" w:hAnsi="Aptos"/>
          <w:b/>
          <w:color w:val="1A1D29"/>
          <w:sz w:val="21"/>
        </w:rPr>
        <w:t xml:space="preserve">Free </w:t>
      </w:r>
      <w:r>
        <w:rPr>
          <w:rFonts w:ascii="Aptos" w:hAnsi="Aptos"/>
          <w:b w:val="0"/>
          <w:color w:val="1A1D29"/>
          <w:sz w:val="21"/>
        </w:rPr>
        <w:t>is for complete private note-taking with manual multi-device sync and 25 MB of cloud storage, estimated at about 300 long text notes.</w:t>
      </w:r>
    </w:p>
    <w:p>
      <w:pPr>
        <w:spacing w:after="140" w:line="274" w:lineRule="auto"/>
      </w:pPr>
      <w:r>
        <w:rPr>
          <w:rFonts w:ascii="Aptos" w:hAnsi="Aptos"/>
          <w:b/>
          <w:color w:val="1A1D29"/>
          <w:sz w:val="21"/>
        </w:rPr>
        <w:t xml:space="preserve">LockNote Plus </w:t>
      </w:r>
      <w:r>
        <w:rPr>
          <w:rFonts w:ascii="Aptos" w:hAnsi="Aptos"/>
          <w:b w:val="0"/>
          <w:color w:val="1A1D29"/>
          <w:sz w:val="21"/>
        </w:rPr>
        <w:t>is for users who need export, sharing, collaboration, planned automatic sync, and 75 MB of cloud storage, estimated at about 1,000 long text notes.</w:t>
      </w:r>
    </w:p>
    <w:p>
      <w:pPr>
        <w:spacing w:after="140" w:line="274" w:lineRule="auto"/>
      </w:pPr>
      <w:r>
        <w:rPr>
          <w:rFonts w:ascii="Aptos" w:hAnsi="Aptos"/>
          <w:b/>
          <w:color w:val="1A1D29"/>
          <w:sz w:val="21"/>
        </w:rPr>
        <w:t xml:space="preserve">LockNote Pro </w:t>
      </w:r>
      <w:r>
        <w:rPr>
          <w:rFonts w:ascii="Aptos" w:hAnsi="Aptos"/>
          <w:b w:val="0"/>
          <w:color w:val="1A1D29"/>
          <w:sz w:val="21"/>
        </w:rPr>
        <w:t>includes every Plus feature and adds image attachments, note backgrounds, nested folders, and 750 MB of combined note-and-image storage. The 10,000-note estimate applies to text notes and decreases when images use the quota.</w:t>
      </w:r>
    </w:p>
    <w:p>
      <w:pPr>
        <w:pStyle w:val="Heading1"/>
        <w:keepNext/>
        <w:spacing w:before="240" w:after="120"/>
      </w:pPr>
      <w:r>
        <w:t>Rules When a Subscription Ends</w:t>
      </w:r>
    </w:p>
    <w:p>
      <w:pPr>
        <w:pStyle w:val="ListBullet"/>
        <w:spacing w:after="100"/>
        <w:ind w:left="340" w:hanging="142"/>
      </w:pPr>
      <w:r>
        <w:rPr>
          <w:rFonts w:ascii="Aptos" w:hAnsi="Aptos"/>
          <w:color w:val="1A1D29"/>
          <w:sz w:val="20"/>
        </w:rPr>
        <w:t>Never delete, flatten or hide existing notes, images, backgrounds or nested folders.</w:t>
      </w:r>
    </w:p>
    <w:p>
      <w:pPr>
        <w:pStyle w:val="ListBullet"/>
        <w:spacing w:after="100"/>
        <w:ind w:left="340" w:hanging="142"/>
      </w:pPr>
      <w:r>
        <w:rPr>
          <w:rFonts w:ascii="Aptos" w:hAnsi="Aptos"/>
          <w:color w:val="1A1D29"/>
          <w:sz w:val="20"/>
        </w:rPr>
        <w:t>Keep existing premium content readable and available for local export or backup.</w:t>
      </w:r>
    </w:p>
    <w:p>
      <w:pPr>
        <w:pStyle w:val="ListBullet"/>
        <w:spacing w:after="100"/>
        <w:ind w:left="340" w:hanging="142"/>
      </w:pPr>
      <w:r>
        <w:rPr>
          <w:rFonts w:ascii="Aptos" w:hAnsi="Aptos"/>
          <w:color w:val="1A1D29"/>
          <w:sz w:val="20"/>
        </w:rPr>
        <w:t>Block only new premium actions, such as adding images, changing a background, creating nested folders or starting new sharing.</w:t>
      </w:r>
    </w:p>
    <w:p>
      <w:pPr>
        <w:pStyle w:val="ListBullet"/>
        <w:spacing w:after="100"/>
        <w:ind w:left="340" w:hanging="142"/>
      </w:pPr>
      <w:r>
        <w:rPr>
          <w:rFonts w:ascii="Aptos" w:hAnsi="Aptos"/>
          <w:color w:val="1A1D29"/>
          <w:sz w:val="20"/>
        </w:rPr>
        <w:t>Pause premium cloud writes and collaboration. Keep existing cloud data available for recovery according to the subscription policy.</w:t>
      </w:r>
    </w:p>
    <w:p>
      <w:pPr>
        <w:pStyle w:val="ListBullet"/>
        <w:spacing w:after="100"/>
        <w:ind w:left="340" w:hanging="142"/>
      </w:pPr>
      <w:r>
        <w:rPr>
          <w:rFonts w:ascii="Aptos" w:hAnsi="Aptos"/>
          <w:color w:val="1A1D29"/>
          <w:sz w:val="20"/>
        </w:rPr>
        <w:t>Resume premium capabilities after the user subscribes again, without requiring data conversion.</w:t>
      </w:r>
    </w:p>
    <w:p>
      <w:pPr>
        <w:pStyle w:val="Heading1"/>
        <w:keepNext/>
        <w:spacing w:before="240" w:after="120"/>
      </w:pPr>
      <w:r>
        <w:t>Product Rules</w:t>
      </w:r>
    </w:p>
    <w:p>
      <w:pPr>
        <w:pStyle w:val="ListBullet"/>
        <w:spacing w:after="100"/>
        <w:ind w:left="340" w:hanging="142"/>
      </w:pPr>
      <w:r>
        <w:rPr>
          <w:rFonts w:ascii="Aptos" w:hAnsi="Aptos"/>
          <w:color w:val="1A1D29"/>
          <w:sz w:val="20"/>
        </w:rPr>
        <w:t>LockNote Pro always includes every LockNote Plus feature.</w:t>
      </w:r>
    </w:p>
    <w:p>
      <w:pPr>
        <w:pStyle w:val="ListBullet"/>
        <w:spacing w:after="100"/>
        <w:ind w:left="340" w:hanging="142"/>
      </w:pPr>
      <w:r>
        <w:rPr>
          <w:rFonts w:ascii="Aptos" w:hAnsi="Aptos"/>
          <w:color w:val="1A1D29"/>
          <w:sz w:val="20"/>
        </w:rPr>
        <w:t>The note owner pays for sharing. Invited viewers and editors can use a Free account.</w:t>
      </w:r>
    </w:p>
    <w:p>
      <w:pPr>
        <w:pStyle w:val="ListBullet"/>
        <w:spacing w:after="100"/>
        <w:ind w:left="340" w:hanging="142"/>
      </w:pPr>
      <w:r>
        <w:rPr>
          <w:rFonts w:ascii="Aptos" w:hAnsi="Aptos"/>
          <w:color w:val="1A1D29"/>
          <w:sz w:val="20"/>
        </w:rPr>
        <w:t>Portable JSON backup and import remain Free so users can retrieve their data.</w:t>
      </w:r>
    </w:p>
    <w:p>
      <w:pPr>
        <w:pStyle w:val="ListBullet"/>
        <w:spacing w:after="100"/>
        <w:ind w:left="340" w:hanging="142"/>
      </w:pPr>
      <w:r>
        <w:rPr>
          <w:rFonts w:ascii="Aptos" w:hAnsi="Aptos"/>
          <w:color w:val="1A1D29"/>
          <w:sz w:val="20"/>
        </w:rPr>
        <w:t>Normal folders remain Free. Pro controls only the creation and organization of nested folders.</w:t>
      </w:r>
    </w:p>
    <w:p>
      <w:pPr>
        <w:pStyle w:val="ListBullet"/>
        <w:spacing w:after="100"/>
        <w:ind w:left="340" w:hanging="142"/>
      </w:pPr>
      <w:r>
        <w:rPr>
          <w:rFonts w:ascii="Aptos" w:hAnsi="Aptos"/>
          <w:color w:val="1A1D29"/>
          <w:sz w:val="20"/>
        </w:rPr>
        <w:t>Existing premium content remains accessible after downgrade, even when creation controls are disabled.</w:t>
      </w:r>
    </w:p>
    <w:p>
      <w:pPr>
        <w:pStyle w:val="Heading1"/>
        <w:keepNext/>
        <w:spacing w:before="240" w:after="120"/>
      </w:pPr>
      <w:r>
        <w:t>Decision Before Implementation</w:t>
      </w:r>
    </w:p>
    <w:p>
      <w:pPr>
        <w:spacing w:after="140" w:line="274" w:lineRule="auto"/>
      </w:pPr>
      <w:r>
        <w:rPr>
          <w:rFonts w:ascii="Aptos" w:hAnsi="Aptos"/>
          <w:color w:val="1A1D29"/>
          <w:sz w:val="21"/>
        </w:rPr>
        <w:t>Consider allowing a small image trial, such as three local images per note, for Free and Plus users. Pro would retain the full limit of 20 images per note and attachment cloud sync. This lets users experience image notes without removing the main Pro upgrade reason.</w:t>
      </w:r>
    </w:p>
    <w:p>
      <w:pPr>
        <w:spacing w:after="140" w:line="274" w:lineRule="auto"/>
      </w:pPr>
      <w:r>
        <w:rPr>
          <w:rFonts w:ascii="Aptos" w:hAnsi="Aptos"/>
          <w:b w:val="0"/>
          <w:color w:val="1A1D29"/>
          <w:sz w:val="21"/>
        </w:rPr>
        <w:t>Confirm the exact nested-folder limit and enforce the 25 MB Free, 75 MB Plus, and 750 MB Pro quotas on the server before enabling plan restrictions. The user interface alone must not be trusted to enforce storage or collaboration limits.</w:t>
      </w:r>
    </w:p>
    <w:p>
      <w:pPr>
        <w:pStyle w:val="Heading1"/>
        <w:keepNext/>
        <w:spacing w:before="240" w:after="120"/>
      </w:pPr>
      <w:r>
        <w:t>Implementation Principle</w:t>
      </w:r>
    </w:p>
    <w:p>
      <w:pPr>
        <w:spacing w:after="140" w:line="274" w:lineRule="auto"/>
      </w:pPr>
      <w:r>
        <w:rPr>
          <w:rFonts w:ascii="Aptos" w:hAnsi="Aptos"/>
          <w:color w:val="1A1D29"/>
          <w:sz w:val="21"/>
        </w:rPr>
        <w:t>Apply entitlement checks to actions, not stored data. A downgrade should prevent new paid actions while preserving access to everything the user already created.</w:t>
      </w:r>
    </w:p>
    <w:sectPr w:rsidR="00FC693F" w:rsidRPr="0006063C" w:rsidSect="00034616">
      <w:pgSz w:w="11906" w:h="16838"/>
      <w:pgMar w:top="935" w:right="935" w:bottom="93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A1D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LockNote Premium Plans Proposal 2</dc:title>
  <dc:subject>Recommended Free, Plus and Pro feature packaging with revised cloud quotas</dc:subject>
  <dc:creator>LockNote</dc:creator>
  <cp:keywords>LockNote, premium, subscription, pricing, proposal</cp:keywords>
  <dc:description>generated by python-docx</dc:description>
  <cp:lastModifiedBy/>
  <cp:revision>1</cp:revision>
  <dcterms:created xsi:type="dcterms:W3CDTF">2013-12-23T23:15:00Z</dcterms:created>
  <dcterms:modified xsi:type="dcterms:W3CDTF">2013-12-23T23:15:00Z</dcterms:modified>
  <cp:category/>
</cp:coreProperties>
</file>