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LockNote testing guide</w:t>
      </w:r>
    </w:p>
    <w:p>
      <w:pPr>
        <w:pStyle w:val="Subtitle"/>
      </w:pPr>
      <w:r>
        <w:t>Practical instructions for developers testers and the project owner</w:t>
      </w:r>
    </w:p>
    <w:p>
      <w:r>
        <w:t>Baseline 18 September 2026   |   Expo SDK 54   |   Android first</w:t>
      </w:r>
    </w:p>
    <w:p>
      <w:r>
        <w:t>Use this guide with docs/testing/TEST_PLAN.md. The Markdown file defines the required cases; this guide explains how to run them correctly. A test is complete only when its expected result, saved data and recorded evidence agree on the exact candidate build.</w:t>
      </w:r>
    </w:p>
    <w:p>
      <w:r>
        <w:t>Start with developer checks, install the candidate, run the phone smoke tests, then complete the affected or release-wide cases. Do not treat automated test counts, build success or a dialog saying Saved as proof that every user workflow works.</w:t>
      </w:r>
    </w:p>
    <w:p>
      <w:pPr>
        <w:pStyle w:val="Heading2"/>
      </w:pPr>
      <w:r>
        <w:t>Who does what</w:t>
      </w:r>
    </w:p>
    <w:tbl>
      <w:tblPr>
        <w:tblW w:type="auto" w:w="0"/>
        <w:tblLayout w:type="fixed"/>
        <w:tblLook w:firstColumn="1" w:firstRow="1" w:lastColumn="0" w:lastRow="0" w:noHBand="0" w:noVBand="1" w:val="04A0"/>
      </w:tblPr>
      <w:tblGrid>
        <w:gridCol w:w="1656"/>
        <w:gridCol w:w="7920"/>
      </w:tblGrid>
      <w:tr>
        <w:trPr>
          <w:cantSplit/>
          <w:tblHeader/>
        </w:trPr>
        <w:tc>
          <w:tcPr>
            <w:tcW w:type="dxa" w:w="1656"/>
            <w:vAlign w:val="center"/>
            <w:shd w:fill="DCE6E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000000"/>
                <w:sz w:val="20"/>
              </w:rPr>
              <w:t>Role</w:t>
            </w:r>
          </w:p>
        </w:tc>
        <w:tc>
          <w:tcPr>
            <w:tcW w:type="dxa" w:w="7920"/>
            <w:vAlign w:val="center"/>
            <w:shd w:fill="DCE6E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000000"/>
                <w:sz w:val="20"/>
              </w:rPr>
              <w:t>Responsibility</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Developer</w:t>
            </w:r>
          </w:p>
        </w:tc>
        <w:tc>
          <w:tcPr>
            <w:tcW w:type="dxa" w:w="792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Run automation, inspect repository parity and migrations, investigate failures and verify server authorization.</w:t>
            </w:r>
          </w:p>
        </w:tc>
      </w:tr>
      <w:tr>
        <w:trPr>
          <w:cantSplit/>
        </w:trPr>
        <w:tc>
          <w:tcPr>
            <w:tcW w:type="dxa" w:w="1656"/>
            <w:vAlign w:val="center"/>
            <w:shd w:fill="F5F7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Tester</w:t>
            </w:r>
          </w:p>
        </w:tc>
        <w:tc>
          <w:tcPr>
            <w:tcW w:type="dxa" w:w="7920"/>
            <w:vAlign w:val="center"/>
            <w:shd w:fill="F5F7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Follow the written cases independently on installed builds; verify devices, permissions, gestures, files and persistence.</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Project owner</w:t>
            </w:r>
          </w:p>
        </w:tc>
        <w:tc>
          <w:tcPr>
            <w:tcW w:type="dxa" w:w="792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Approve intended behavior, performance budgets, scope exclusions and the final release decision.</w:t>
            </w:r>
          </w:p>
        </w:tc>
      </w:tr>
    </w:tbl>
    <w:p/>
    <w:p>
      <w:r>
        <w:t>For a low-budget project, one person can perform several roles. Keep the evidence and use a separate tester mindset after implementation. Independent review is particularly useful before a public release.</w:t>
      </w:r>
    </w:p>
    <w:p>
      <w:pPr>
        <w:pStyle w:val="Heading2"/>
      </w:pPr>
      <w:r>
        <w:t>How this guide is organized</w:t>
      </w:r>
    </w:p>
    <w:tbl>
      <w:tblPr>
        <w:tblW w:type="auto" w:w="0"/>
        <w:tblLayout w:type="fixed"/>
        <w:tblLook w:firstColumn="1" w:firstRow="1" w:lastColumn="0" w:lastRow="0" w:noHBand="0" w:noVBand="1" w:val="04A0"/>
      </w:tblPr>
      <w:tblGrid>
        <w:gridCol w:w="936"/>
        <w:gridCol w:w="8640"/>
      </w:tblGrid>
      <w:tr>
        <w:trPr>
          <w:cantSplit/>
          <w:tblHeader/>
        </w:trPr>
        <w:tc>
          <w:tcPr>
            <w:tcW w:type="dxa" w:w="936"/>
            <w:vAlign w:val="center"/>
            <w:shd w:fill="DCE6E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000000"/>
                <w:sz w:val="20"/>
              </w:rPr>
              <w:t>Section</w:t>
            </w:r>
          </w:p>
        </w:tc>
        <w:tc>
          <w:tcPr>
            <w:tcW w:type="dxa" w:w="8640"/>
            <w:vAlign w:val="center"/>
            <w:shd w:fill="DCE6E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000000"/>
                <w:sz w:val="20"/>
              </w:rPr>
              <w:t>Work</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2</w:t>
            </w:r>
          </w:p>
        </w:tc>
        <w:tc>
          <w:tcPr>
            <w:tcW w:type="dxa" w:w="864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Prepare builds accounts devices and fixtures</w:t>
            </w:r>
          </w:p>
        </w:tc>
      </w:tr>
      <w:tr>
        <w:trPr>
          <w:cantSplit/>
        </w:trPr>
        <w:tc>
          <w:tcPr>
            <w:tcW w:type="dxa" w:w="936"/>
            <w:vAlign w:val="center"/>
            <w:shd w:fill="F5F7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3</w:t>
            </w:r>
          </w:p>
        </w:tc>
        <w:tc>
          <w:tcPr>
            <w:tcW w:type="dxa" w:w="8640"/>
            <w:vAlign w:val="center"/>
            <w:shd w:fill="F5F7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Run developer checks and choose regression scope</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4</w:t>
            </w:r>
          </w:p>
        </w:tc>
        <w:tc>
          <w:tcPr>
            <w:tcW w:type="dxa" w:w="864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Verify saving plain notes and checklists</w:t>
            </w:r>
          </w:p>
        </w:tc>
      </w:tr>
      <w:tr>
        <w:trPr>
          <w:cantSplit/>
        </w:trPr>
        <w:tc>
          <w:tcPr>
            <w:tcW w:type="dxa" w:w="936"/>
            <w:vAlign w:val="center"/>
            <w:shd w:fill="F5F7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5</w:t>
            </w:r>
          </w:p>
        </w:tc>
        <w:tc>
          <w:tcPr>
            <w:tcW w:type="dxa" w:w="8640"/>
            <w:vAlign w:val="center"/>
            <w:shd w:fill="F5F7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Verify expense calculations currency and drag</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6</w:t>
            </w:r>
          </w:p>
        </w:tc>
        <w:tc>
          <w:tcPr>
            <w:tcW w:type="dxa" w:w="864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Verify reminders media and actual exports</w:t>
            </w:r>
          </w:p>
        </w:tc>
      </w:tr>
      <w:tr>
        <w:trPr>
          <w:cantSplit/>
        </w:trPr>
        <w:tc>
          <w:tcPr>
            <w:tcW w:type="dxa" w:w="936"/>
            <w:vAlign w:val="center"/>
            <w:shd w:fill="F5F7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7</w:t>
            </w:r>
          </w:p>
        </w:tc>
        <w:tc>
          <w:tcPr>
            <w:tcW w:type="dxa" w:w="8640"/>
            <w:vAlign w:val="center"/>
            <w:shd w:fill="F5F7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Verify folders locks dialogs and accessibility</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8</w:t>
            </w:r>
          </w:p>
        </w:tc>
        <w:tc>
          <w:tcPr>
            <w:tcW w:type="dxa" w:w="864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Verify backup restore and manual sync</w:t>
            </w:r>
          </w:p>
        </w:tc>
      </w:tr>
      <w:tr>
        <w:trPr>
          <w:cantSplit/>
        </w:trPr>
        <w:tc>
          <w:tcPr>
            <w:tcW w:type="dxa" w:w="936"/>
            <w:vAlign w:val="center"/>
            <w:shd w:fill="F5F7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9</w:t>
            </w:r>
          </w:p>
        </w:tc>
        <w:tc>
          <w:tcPr>
            <w:tcW w:type="dxa" w:w="8640"/>
            <w:vAlign w:val="center"/>
            <w:shd w:fill="F5F7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Verify shared roles leases and conflicts</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10</w:t>
            </w:r>
          </w:p>
        </w:tc>
        <w:tc>
          <w:tcPr>
            <w:tcW w:type="dxa" w:w="864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Verify purchases expiry and subfolder restrictions</w:t>
            </w:r>
          </w:p>
        </w:tc>
      </w:tr>
      <w:tr>
        <w:trPr>
          <w:cantSplit/>
        </w:trPr>
        <w:tc>
          <w:tcPr>
            <w:tcW w:type="dxa" w:w="936"/>
            <w:vAlign w:val="center"/>
            <w:shd w:fill="F5F7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11</w:t>
            </w:r>
          </w:p>
        </w:tc>
        <w:tc>
          <w:tcPr>
            <w:tcW w:type="dxa" w:w="8640"/>
            <w:vAlign w:val="center"/>
            <w:shd w:fill="F5F7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Verify backend quotas security and update policy</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12</w:t>
            </w:r>
          </w:p>
        </w:tc>
        <w:tc>
          <w:tcPr>
            <w:tcW w:type="dxa" w:w="864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Measure performance report defects and approve a release</w:t>
            </w:r>
          </w:p>
        </w:tc>
      </w:tr>
    </w:tbl>
    <w:p/>
    <w:p>
      <w:r>
        <w:t>No case is marked passed by this document. Record Not run, Pass, Fail, Blocked or Not applicable for each environment and test ID. Automatic/background sync is planned, not currently implemented.</w:t>
      </w:r>
    </w:p>
    <w:p>
      <w:r>
        <w:br w:type="page"/>
      </w:r>
    </w:p>
    <w:p>
      <w:pPr>
        <w:pStyle w:val="Heading1"/>
      </w:pPr>
      <w:r>
        <w:t>Prepare the test environment</w:t>
      </w:r>
    </w:p>
    <w:p>
      <w:pPr>
        <w:pStyle w:val="Heading2"/>
      </w:pPr>
      <w:r>
        <w:t>Protect existing data first</w:t>
      </w:r>
    </w:p>
    <w:p>
      <w:r>
        <w:rPr>
          <w:b/>
        </w:rPr>
        <w:t xml:space="preserve">1. </w:t>
      </w:r>
      <w:r>
        <w:t>Use disposable test data and accounts. Never clear storage, uninstall, Replace a backup or alter production entitlements on a person's only copy of notes. JSON backup does not preserve binary inline images, backgrounds or local preferences.</w:t>
      </w:r>
    </w:p>
    <w:p>
      <w:r>
        <w:rPr>
          <w:b/>
        </w:rPr>
        <w:t xml:space="preserve">2. </w:t>
      </w:r>
      <w:r>
        <w:t>Create a separate sandbox backend and RevenueCat project/environment for payments, quotas, recovery and authorization. Confirm email delivery, redirects, sharing functions, Realtime, Storage and migrations before calling live-service cases runnable.</w:t>
      </w:r>
    </w:p>
    <w:p>
      <w:r>
        <w:rPr>
          <w:b/>
        </w:rPr>
        <w:t xml:space="preserve">3. </w:t>
      </w:r>
      <w:r>
        <w:t>Record commit, dirty changes, app version/build number, build profile, OS/device, backend migration, plan and network state. If these are unknown, results are not reproducible.</w:t>
      </w:r>
    </w:p>
    <w:p>
      <w:pPr>
        <w:pStyle w:val="Heading2"/>
      </w:pPr>
      <w:r>
        <w:t>Install the correct candidate</w:t>
      </w:r>
    </w:p>
    <w:p>
      <w:r>
        <w:t>Use docs/1_MY_DEV_NOTE.md for the existing Android release APK workflow. It builds in a short path and updates the device with adb install -r. Confirm the copied build source is current; old copied files or an old APK invalidate testing. Preserve the existing signing identity for an upgrade test.</w:t>
      </w:r>
    </w:p>
    <w:p>
      <w:r>
        <w:t>Use a clean disposable install to check first-run behavior and an older populated install to check migration behavior. Launch the release APK without Metro. Debug/Expo Go testing is useful for diagnosis but does not certify standalone startup, performance, native payments or notifications.</w:t>
      </w:r>
    </w:p>
    <w:p>
      <w:r>
        <w:t>Android is the first release target. Check a small-screen phone and a second size/OS when available. Test iOS on iOS before shipping there. Keep web as a repository/runtime regression target without claiming that browser checks prove phone behavior.</w:t>
      </w:r>
    </w:p>
    <w:p>
      <w:pPr>
        <w:pStyle w:val="Heading2"/>
      </w:pPr>
      <w:r>
        <w:t>Prepare independent sessions</w:t>
      </w:r>
    </w:p>
    <w:p>
      <w:r>
        <w:t>Private sync: two devices/sessions use account A. Sharing: A owns, B is invited and C is unrelated. Use independent browser profiles or devices so one sign-in does not replace the other session. Obtain Plus/Pro through sandbox verification, not a local premium toggle.</w:t>
      </w:r>
    </w:p>
    <w:p>
      <w:pPr>
        <w:pStyle w:val="Heading2"/>
      </w:pPr>
      <w:r>
        <w:t>Build a reusable fixture pack</w:t>
      </w:r>
    </w:p>
    <w:p>
      <w:r>
        <w:t>Create QA Parent, its child QA Child and QA Move at Home. Put all four note types at Home, in Parent and in Child. Add distinctive search terms, pinned/archived/locked records, a deleted record, Unicode and multiline text. Prepare valid v1/v2 backups and malformed variants on disposable copies.</w:t>
      </w:r>
    </w:p>
    <w:p>
      <w:r>
        <w:t>For boundary testing, start with ASCII. The implementation counts JavaScript string length; an emoji may use more than one UTF-16 code unit. Paste below, at and above each limit. Seed legacy oversized fixtures through an approved developer harness, not by corrupting production data.</w:t>
      </w:r>
    </w:p>
    <w:p>
      <w:pPr>
        <w:pStyle w:val="Heading2"/>
      </w:pPr>
      <w:r>
        <w:t>Set up evidence</w:t>
      </w:r>
    </w:p>
    <w:p>
      <w:r>
        <w:t>Use one evidence folder per candidate. Save screenshots/videos, complete test logs, file comparisons and timestamps. Use account aliases A/B/C. Redact tokens, emails, hashes and secrets before sharing or committing evidence.</w:t>
      </w:r>
    </w:p>
    <w:p>
      <w:r>
        <w:br w:type="page"/>
      </w:r>
    </w:p>
    <w:p>
      <w:pPr>
        <w:pStyle w:val="Heading1"/>
      </w:pPr>
      <w:r>
        <w:t>Run developer checks</w:t>
      </w:r>
    </w:p>
    <w:p>
      <w:pPr>
        <w:pStyle w:val="Heading2"/>
      </w:pPr>
      <w:r>
        <w:t>Run the complete automated suite</w:t>
      </w:r>
    </w:p>
    <w:p>
      <w:r>
        <w:rPr>
          <w:b/>
        </w:rPr>
        <w:t xml:space="preserve">1. </w:t>
      </w:r>
      <w:r>
        <w:t>Open PowerShell in the LockNote repository root. Use the normal project development runtime with dependencies installed from the lockfile. Do not run from the Android build output directory.</w:t>
      </w:r>
    </w:p>
    <w:p>
      <w:pPr>
        <w:pStyle w:val="Command"/>
      </w:pPr>
      <w:r>
        <w:t>npm.cmd test</w:t>
      </w:r>
    </w:p>
    <w:p>
      <w:r>
        <w:rPr>
          <w:b/>
        </w:rPr>
        <w:t xml:space="preserve">2. </w:t>
      </w:r>
      <w:r>
        <w:t>Retain full output and exit code. The command runs scripts/verify.mjs and Node tests. A previous run had 223 tests; a changing count does not replace checking failures and exit status.</w:t>
      </w:r>
    </w:p>
    <w:p>
      <w:r>
        <w:rPr>
          <w:b/>
        </w:rPr>
        <w:t xml:space="preserve">3. </w:t>
      </w:r>
      <w:r>
        <w:t>Fix task-related failures and rerun. If a failure is unrelated, document its exact error and release impact. Do not skip or weaken an assertion just to make the run green.</w:t>
      </w:r>
    </w:p>
    <w:p>
      <w:pPr>
        <w:pStyle w:val="Heading2"/>
      </w:pPr>
      <w:r>
        <w:t>Know what automation proves</w:t>
      </w:r>
    </w:p>
    <w:p>
      <w:r>
        <w:t>The verifier parses source, checks dependency presence and compares repository method names. Many tests isolate logic using mocks, source assertions or extracted callbacks. They do not execute every screen on SQLite, show a phone keyboard, deliver an email or charge a store sandbox transaction.</w:t>
      </w:r>
    </w:p>
    <w:p>
      <w:r>
        <w:t>When repositories change, inspect matching native/web signatures, arguments, return shapes and error behavior. Run actual persistence/migration tests too. Preserve soft-delete filtering and null folder_id for Home notes.</w:t>
      </w:r>
    </w:p>
    <w:p>
      <w:pPr>
        <w:pStyle w:val="Heading2"/>
      </w:pPr>
      <w:r>
        <w:t>Run focused tests for diagnosis</w:t>
      </w:r>
    </w:p>
    <w:p>
      <w:pPr>
        <w:pStyle w:val="Command"/>
      </w:pPr>
      <w:r>
        <w:t>node --test tests/expense-record.test.mjs</w:t>
      </w:r>
    </w:p>
    <w:p>
      <w:pPr>
        <w:pStyle w:val="Command"/>
      </w:pPr>
      <w:r>
        <w:t>node --test tests/subfolder-edit-access.test.mjs</w:t>
      </w:r>
    </w:p>
    <w:p>
      <w:pPr>
        <w:pStyle w:val="Command"/>
      </w:pPr>
      <w:r>
        <w:t>node scripts/verify.mjs</w:t>
      </w:r>
    </w:p>
    <w:p>
      <w:r>
        <w:t>These commands are examples, not a complete release run. Use the automated coverage map in TEST_PLAN.md to find the files for the changed area.</w:t>
      </w:r>
    </w:p>
    <w:p>
      <w:pPr>
        <w:pStyle w:val="Heading2"/>
      </w:pPr>
      <w:r>
        <w:t>Choose manual regression scope</w:t>
      </w:r>
    </w:p>
    <w:tbl>
      <w:tblPr>
        <w:tblW w:type="auto" w:w="0"/>
        <w:tblLayout w:type="fixed"/>
        <w:tblLook w:firstColumn="1" w:firstRow="1" w:lastColumn="0" w:lastRow="0" w:noHBand="0" w:noVBand="1" w:val="04A0"/>
      </w:tblPr>
      <w:tblGrid>
        <w:gridCol w:w="2016"/>
        <w:gridCol w:w="7560"/>
      </w:tblGrid>
      <w:tr>
        <w:trPr>
          <w:cantSplit/>
          <w:tblHeader/>
        </w:trPr>
        <w:tc>
          <w:tcPr>
            <w:tcW w:type="dxa" w:w="2016"/>
            <w:vAlign w:val="center"/>
            <w:shd w:fill="DCE6E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000000"/>
                <w:sz w:val="20"/>
              </w:rPr>
              <w:t>Change</w:t>
            </w:r>
          </w:p>
        </w:tc>
        <w:tc>
          <w:tcPr>
            <w:tcW w:type="dxa" w:w="7560"/>
            <w:vAlign w:val="center"/>
            <w:shd w:fill="DCE6E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000000"/>
                <w:sz w:val="20"/>
              </w:rPr>
              <w:t>Repeat at minimum</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Copy or layout</w:t>
            </w:r>
          </w:p>
        </w:tc>
        <w:tc>
          <w:tcPr>
            <w:tcW w:type="dxa" w:w="756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Changed action plus themes, small width, large text and keyboard backdrop.</w:t>
            </w:r>
          </w:p>
        </w:tc>
      </w:tr>
      <w:tr>
        <w:trPr>
          <w:cantSplit/>
        </w:trPr>
        <w:tc>
          <w:tcPr>
            <w:tcW w:type="dxa" w:w="2016"/>
            <w:vAlign w:val="center"/>
            <w:shd w:fill="F5F7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Editor or drag</w:t>
            </w:r>
          </w:p>
        </w:tc>
        <w:tc>
          <w:tcPr>
            <w:tcW w:type="dxa" w:w="7560"/>
            <w:vAlign w:val="center"/>
            <w:shd w:fill="F5F7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Latest-save exit, limits, legacy data, undo, order persistence and edge scrolling.</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Repository or storage</w:t>
            </w:r>
          </w:p>
        </w:tc>
        <w:tc>
          <w:tcPr>
            <w:tcW w:type="dxa" w:w="756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Native/web behavior, upgrade, root/deletion/archive/nesting, backup and sync.</w:t>
            </w:r>
          </w:p>
        </w:tc>
      </w:tr>
      <w:tr>
        <w:trPr>
          <w:cantSplit/>
        </w:trPr>
        <w:tc>
          <w:tcPr>
            <w:tcW w:type="dxa" w:w="2016"/>
            <w:vAlign w:val="center"/>
            <w:shd w:fill="F5F7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Account or premium</w:t>
            </w:r>
          </w:p>
        </w:tc>
        <w:tc>
          <w:tcPr>
            <w:tcW w:type="dxa" w:w="7560"/>
            <w:vAlign w:val="center"/>
            <w:shd w:fill="F5F7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Wrong identity, roles, callbacks, expiry, owner funding and sandbox backend checks.</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Release candidate</w:t>
            </w:r>
          </w:p>
        </w:tc>
        <w:tc>
          <w:tcPr>
            <w:tcW w:type="dxa" w:w="756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Complete suite, standalone smoke and all applicable P0/P1 cases; document P2 gaps.</w:t>
            </w:r>
          </w:p>
        </w:tc>
      </w:tr>
    </w:tbl>
    <w:p/>
    <w:p>
      <w:r>
        <w:t>This documentation does not re-enable the commented test-after-every-task instruction in AGENTS.md. It defines how to test and what evidence a release needs.</w:t>
      </w:r>
    </w:p>
    <w:p>
      <w:pPr>
        <w:pStyle w:val="Heading2"/>
      </w:pPr>
      <w:r>
        <w:t>Separate readiness from deployment</w:t>
      </w:r>
    </w:p>
    <w:p>
      <w:r>
        <w:t>A passing local fixture does not deploy Supabase functions, configure SMTP or connect store products. Mark service cases Blocked if prerequisites are missing. A feature advertised for release cannot be approved solely with mocked tests.</w:t>
      </w:r>
    </w:p>
    <w:p>
      <w:r>
        <w:br w:type="page"/>
      </w:r>
    </w:p>
    <w:p>
      <w:pPr>
        <w:pStyle w:val="Heading1"/>
      </w:pPr>
      <w:r>
        <w:t>Verify editing and saved data</w:t>
      </w:r>
    </w:p>
    <w:p>
      <w:pPr>
        <w:pStyle w:val="Heading2"/>
      </w:pPr>
      <w:r>
        <w:t>Run the same saving experiment on all four types</w:t>
      </w:r>
    </w:p>
    <w:p>
      <w:r>
        <w:rPr>
          <w:b/>
        </w:rPr>
        <w:t xml:space="preserve">1. </w:t>
      </w:r>
      <w:r>
        <w:t>Create a plain, checklist, expense or reminder note and leave without modifying anything. Return to the list immediately. The untouched draft must disappear without a ghost card. Repeat at Home and inside a top-level folder.</w:t>
      </w:r>
    </w:p>
    <w:p>
      <w:r>
        <w:rPr>
          <w:b/>
        </w:rPr>
        <w:t xml:space="preserve">2. </w:t>
      </w:r>
      <w:r>
        <w:t>Create another note and enter a unique marker such as QA SAVE 001. Press header Back within 800 ms. Reopen and confirm the marker. Repeat with Android Back. The editor exit must flush the latest pending save before the list reloads.</w:t>
      </w:r>
    </w:p>
    <w:p>
      <w:r>
        <w:rPr>
          <w:b/>
        </w:rPr>
        <w:t xml:space="preserve">3. </w:t>
      </w:r>
      <w:r>
        <w:t>Type rapidly, pause, edit again, leave and restart. Check title and type-specific content. Record the actual stored data, not the lack of a Saving label.</w:t>
      </w:r>
    </w:p>
    <w:p>
      <w:r>
        <w:rPr>
          <w:b/>
        </w:rPr>
        <w:t xml:space="preserve">4. </w:t>
      </w:r>
      <w:r>
        <w:t>Edit then delete while a timer is pending. Reopen the list and Trash. The late timer must not resurrect an active note.</w:t>
      </w:r>
    </w:p>
    <w:p>
      <w:r>
        <w:rPr>
          <w:b/>
        </w:rPr>
        <w:t xml:space="preserve">5. </w:t>
      </w:r>
      <w:r>
        <w:t>Undo a grouped typing burst and a structural change, redo, then make a new edit. Verify redo clears and reopened content matches the final snapshot. Session history should not persist after reopening.</w:t>
      </w:r>
    </w:p>
    <w:p>
      <w:r>
        <w:t>Relevant cases: EDIT-01 through EDIT-10. Use a controlled developer save-failure fixture for EDIT-08; normal success-path testing cannot establish error recovery.</w:t>
      </w:r>
    </w:p>
    <w:p>
      <w:pPr>
        <w:pStyle w:val="Heading2"/>
      </w:pPr>
      <w:r>
        <w:t>Distinguish navigation from process termination</w:t>
      </w:r>
    </w:p>
    <w:p>
      <w:r>
        <w:t>Normal Back runs the exit guard. OS force-stop can kill the process before the 800 ms debounce completes and does not guarantee cleanup. Test before and after persistence, document the pre-save window and never promise that an unsaved in-memory draft survives every crash.</w:t>
      </w:r>
    </w:p>
    <w:p>
      <w:pPr>
        <w:pStyle w:val="Heading2"/>
      </w:pPr>
      <w:r>
        <w:t>Plain note preview and cursor</w:t>
      </w:r>
    </w:p>
    <w:p>
      <w:r>
        <w:t>Open an existing long note: no keyboard/cursor forced to the end. Double-tap near the beginning and middle; editing should focus that area rather than jumping to the end. For a new plain note, single-tap editing should work without double-tap. Verify scrolling while still in preview. Run PLAIN-01 through PLAIN-06.</w:t>
      </w:r>
    </w:p>
    <w:p>
      <w:r>
        <w:t>Paste 49,999, 50,000 and 50,001 ASCII characters into the body. The title is separate. Expect the limit dialog and no persisted overflow. Open an oversized legacy note without editing and confirm it is not truncated merely by load or exit.</w:t>
      </w:r>
    </w:p>
    <w:p>
      <w:pPr>
        <w:pStyle w:val="Heading2"/>
      </w:pPr>
      <w:r>
        <w:t>Checklist active item limit</w:t>
      </w:r>
    </w:p>
    <w:p>
      <w:r>
        <w:t>Run CHECK-01 through CHECK-07. Reach 100 present items, including completed items, then attempt another. Complete some items: they still count. Delete one: a new item becomes possible. A removed item is not counted because it is no longer in the active list; this is separate from deleting the entire note to Trash.</w:t>
      </w:r>
    </w:p>
    <w:p>
      <w:r>
        <w:t>Check item text at 499/500/501 characters. Open an old checklist above 100 without editing: all items remain, while additions stay blocked until below the current cap. Reorder/check/delete, undo/redo and reopen to compare order, IDs and progress. Saving/Saved text below the progress bar should remain removed.</w:t>
      </w:r>
    </w:p>
    <w:p>
      <w:r>
        <w:br w:type="page"/>
      </w:r>
    </w:p>
    <w:p>
      <w:pPr>
        <w:pStyle w:val="Heading1"/>
      </w:pPr>
      <w:r>
        <w:t>Verify expense records currency and drag</w:t>
      </w:r>
    </w:p>
    <w:p>
      <w:pPr>
        <w:pStyle w:val="Heading2"/>
      </w:pPr>
      <w:r>
        <w:t>Use a calculation oracle</w:t>
      </w:r>
    </w:p>
    <w:tbl>
      <w:tblPr>
        <w:tblW w:type="auto" w:w="0"/>
        <w:tblLayout w:type="fixed"/>
        <w:tblLook w:firstColumn="1" w:firstRow="1" w:lastColumn="0" w:lastRow="0" w:noHBand="0" w:noVBand="1" w:val="04A0"/>
      </w:tblPr>
      <w:tblGrid>
        <w:gridCol w:w="6480"/>
        <w:gridCol w:w="3096"/>
      </w:tblGrid>
      <w:tr>
        <w:trPr>
          <w:cantSplit/>
          <w:tblHeader/>
        </w:trPr>
        <w:tc>
          <w:tcPr>
            <w:tcW w:type="dxa" w:w="6480"/>
            <w:vAlign w:val="center"/>
            <w:shd w:fill="DCE6E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000000"/>
                <w:sz w:val="20"/>
              </w:rPr>
              <w:t>Fixture</w:t>
            </w:r>
          </w:p>
        </w:tc>
        <w:tc>
          <w:tcPr>
            <w:tcW w:type="dxa" w:w="3096"/>
            <w:vAlign w:val="center"/>
            <w:shd w:fill="DCE6E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000000"/>
                <w:sz w:val="20"/>
              </w:rPr>
              <w:t>Expected amount</w:t>
            </w:r>
          </w:p>
        </w:tc>
      </w:tr>
      <w:tr>
        <w:trPr>
          <w:cantSplit/>
        </w:trPr>
        <w:tc>
          <w:tcPr>
            <w:tcW w:type="dxa" w:w="64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Day 1 egg fish 10.00; day 2 food tea 5.50; day 3 bus 2.00</w:t>
            </w:r>
          </w:p>
        </w:tc>
        <w:tc>
          <w:tcPr>
            <w:tcW w:type="dxa" w:w="30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Daily 17.50</w:t>
            </w:r>
          </w:p>
        </w:tc>
      </w:tr>
      <w:tr>
        <w:trPr>
          <w:cantSplit/>
        </w:trPr>
        <w:tc>
          <w:tcPr>
            <w:tcW w:type="dxa" w:w="6480"/>
            <w:vAlign w:val="center"/>
            <w:shd w:fill="F5F7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Internet 47.79 paid; Insurance 100.00 unpaid</w:t>
            </w:r>
          </w:p>
        </w:tc>
        <w:tc>
          <w:tcPr>
            <w:tcW w:type="dxa" w:w="3096"/>
            <w:vAlign w:val="center"/>
            <w:shd w:fill="F5F7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Grand total 65.29; unpaid remaining 100.00</w:t>
            </w:r>
          </w:p>
        </w:tc>
      </w:tr>
      <w:tr>
        <w:trPr>
          <w:cantSplit/>
        </w:trPr>
        <w:tc>
          <w:tcPr>
            <w:tcW w:type="dxa" w:w="64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Food category keywords egg food fish</w:t>
            </w:r>
          </w:p>
        </w:tc>
        <w:tc>
          <w:tcPr>
            <w:tcW w:type="dxa" w:w="30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15.50; matching the first row twice must not double-count it</w:t>
            </w:r>
          </w:p>
        </w:tc>
      </w:tr>
    </w:tbl>
    <w:p/>
    <w:p>
      <w:r>
        <w:rPr>
          <w:b/>
        </w:rPr>
        <w:t xml:space="preserve">1. </w:t>
      </w:r>
      <w:r>
        <w:t>Enter the fixture. Verify the table, monthly commitments, summary and Home/folder/search cards against the oracle. Reopen after each meaningful change.</w:t>
      </w:r>
    </w:p>
    <w:p>
      <w:r>
        <w:rPr>
          <w:b/>
        </w:rPr>
        <w:t xml:space="preserve">2. </w:t>
      </w:r>
      <w:r>
        <w:t>Change an amount, check/uncheck a bill, reorder and delete a row. Recalculate independently. A row ID must not become another row just because its position changed.</w:t>
      </w:r>
    </w:p>
    <w:p>
      <w:r>
        <w:rPr>
          <w:b/>
        </w:rPr>
        <w:t xml:space="preserve">3. </w:t>
      </w:r>
      <w:r>
        <w:t>Save Food again using a normalized same-name variant and updated keywords. Verify one category updated rather than duplicated. Test no matches, overlapping keywords and case variants.</w:t>
      </w:r>
    </w:p>
    <w:p>
      <w:r>
        <w:rPr>
          <w:b/>
        </w:rPr>
        <w:t xml:space="preserve">4. </w:t>
      </w:r>
      <w:r>
        <w:t>Open category actions and View transactions. Expect category with price in parentheses beside its name. Removed action descriptions, redundant heading and Back to actions control must stay absent.</w:t>
      </w:r>
    </w:p>
    <w:p>
      <w:r>
        <w:t>Run EXP-01 through EXP-15. Limits are remark 200, bill name 120 and summary note 10,000. Paste below/at/above each. Expect limit dialogs instead of the removed persistent helper/counter copy. Invalid amount/day tests must check actual validation, not invent a policy for negative numbers.</w:t>
      </w:r>
    </w:p>
    <w:p>
      <w:pPr>
        <w:pStyle w:val="Heading2"/>
      </w:pPr>
      <w:r>
        <w:t>Currency changes never convert amounts</w:t>
      </w:r>
    </w:p>
    <w:p>
      <w:r>
        <w:rPr>
          <w:b/>
        </w:rPr>
        <w:t xml:space="preserve">1. </w:t>
      </w:r>
      <w:r>
        <w:t>Clean-install default is USD/$ for a new expense note. In Settings, search codes and names in the complete supported Currency &amp; Funds selector.</w:t>
      </w:r>
    </w:p>
    <w:p>
      <w:r>
        <w:rPr>
          <w:b/>
        </w:rPr>
        <w:t xml:space="preserve">2. </w:t>
      </w:r>
      <w:r>
        <w:t>Change default and decline applying to existing records. Create a new expense note. Only the new note should use the new default.</w:t>
      </w:r>
    </w:p>
    <w:p>
      <w:r>
        <w:rPr>
          <w:b/>
        </w:rPr>
        <w:t xml:space="preserve">3. </w:t>
      </w:r>
      <w:r>
        <w:t>Accept applying to existing private/owned records. Verify numeric values unchanged, incoming shared caches excluded and read-only child records reported as skipped.</w:t>
      </w:r>
    </w:p>
    <w:p>
      <w:r>
        <w:rPr>
          <w:b/>
        </w:rPr>
        <w:t xml:space="preserve">4. </w:t>
      </w:r>
      <w:r>
        <w:t>Tap a note amount-column header to change only that note. Check headers, totals, category dialogs, cards and actual exports for one consistent saved currency.</w:t>
      </w:r>
    </w:p>
    <w:p>
      <w:r>
        <w:t>Run CUR-01 through CUR-08. Device default is local; per-note code is portable. Missing/unsupported codes fall back safely to USD.</w:t>
      </w:r>
    </w:p>
    <w:p>
      <w:pPr>
        <w:pStyle w:val="Heading2"/>
      </w:pPr>
      <w:r>
        <w:t>Exercise drag on actual list edges</w:t>
      </w:r>
    </w:p>
    <w:p>
      <w:r>
        <w:t>On checklist, daily rows and bills, drag in the center, hold near viewport bottom, return to center and then hold near top. Scrolling should start after a short edge hold, stop in the center and reverse upward. It must not jump to the last row. Test wrapped rows, first/last row and keyboard-visible bounds. Hover Trash and cancel/drop; verify only the intended item is removed. Run DRAG-01 through DRAG-07, then reopen to verify order.</w:t>
      </w:r>
    </w:p>
    <w:p>
      <w:r>
        <w:br w:type="page"/>
      </w:r>
    </w:p>
    <w:p>
      <w:pPr>
        <w:pStyle w:val="Heading1"/>
      </w:pPr>
      <w:r>
        <w:t>Verify reminders media and exported files</w:t>
      </w:r>
    </w:p>
    <w:p>
      <w:pPr>
        <w:pStyle w:val="Heading2"/>
      </w:pPr>
      <w:r>
        <w:t>Test real native notification delivery</w:t>
      </w:r>
    </w:p>
    <w:p>
      <w:r>
        <w:rPr>
          <w:b/>
        </w:rPr>
        <w:t xml:space="preserve">1. </w:t>
      </w:r>
      <w:r>
        <w:t>Run REM-01 through REM-09. Use a one-time reminder shortly in the future, then daily, weekly and monthly sandbox fixtures. Record schedule, timezone, actual delivery time and app foreground/background state.</w:t>
      </w:r>
    </w:p>
    <w:p>
      <w:r>
        <w:rPr>
          <w:b/>
        </w:rPr>
        <w:t xml:space="preserve">2. </w:t>
      </w:r>
      <w:r>
        <w:t>Deny notification permission, then grant it in OS settings and retry. A failed registration must not be presented as a working enabled schedule.</w:t>
      </w:r>
    </w:p>
    <w:p>
      <w:r>
        <w:rPr>
          <w:b/>
        </w:rPr>
        <w:t xml:space="preserve">3. </w:t>
      </w:r>
      <w:r>
        <w:t>Disable/delete the reminder and delete a containing folder. Confirm the pending registration is cancelled. Tap locked/unlocked notifications and verify the correct destination and password gate.</w:t>
      </w:r>
    </w:p>
    <w:p>
      <w:r>
        <w:t>Description limit is 5,000. Preserve an untouched legacy longer description. Web keeps content/settings but cannot schedule native notifications. Sync/import must not reuse another device's notification ID; imported reminders are disabled.</w:t>
      </w:r>
    </w:p>
    <w:p>
      <w:pPr>
        <w:pStyle w:val="Heading2"/>
      </w:pPr>
      <w:r>
        <w:t>Verify local media ownership and boundaries</w:t>
      </w:r>
    </w:p>
    <w:p>
      <w:r>
        <w:t>Run MEDIA-01 through MEDIA-11 with eligible Pro access. Select/change/remove a background on every note type, restart and compare both themes. It must remain readable. Background source limit is 10 MB; local files or IndexedDB Blobs must survive reopening. Colors and backgrounds must not appear on another device through JSON backup or cloud/private/shared snapshots.</w:t>
      </w:r>
    </w:p>
    <w:p>
      <w:r>
        <w:t>Insert plain-note images at beginning/middle/end, then edit preceding text, drag and resize. Maximum 20 images, source up to 5 MB, optimized JPEG strictly below 1 MB. Check allowed display-width ratio 0.35–1 and unchanged aspect ratio. Verify undo/redo, wrapping and repeated reopen retain image order/anchors.</w:t>
      </w:r>
    </w:p>
    <w:p>
      <w:r>
        <w:t>Test cancelled picker, corrupt file, denied permission, interrupted upload and revoked member. After downgrade existing images/backgrounds remain readable; new paid actions stop. Invited Free editors use the Pro owner's image funding; viewers cannot mutate.</w:t>
      </w:r>
    </w:p>
    <w:p>
      <w:pPr>
        <w:pStyle w:val="Heading2"/>
      </w:pPr>
      <w:r>
        <w:t>Open the actual export</w:t>
      </w:r>
    </w:p>
    <w:p>
      <w:r>
        <w:rPr>
          <w:b/>
        </w:rPr>
        <w:t xml:space="preserve">1. </w:t>
      </w:r>
      <w:r>
        <w:t>Run OUT-01 through OUT-07 on all four types. Save PNG and PDF, then open them from Gallery/Documents or browser downloads. A correct preview or success dialog is insufficient.</w:t>
      </w:r>
    </w:p>
    <w:p>
      <w:r>
        <w:rPr>
          <w:b/>
        </w:rPr>
        <w:t xml:space="preserve">2. </w:t>
      </w:r>
      <w:r>
        <w:t>Check Unicode, final row/item, paid commitments, currency, category totals and inline image order. For long output, inspect the end as well as the beginning for clipping or missing content.</w:t>
      </w:r>
    </w:p>
    <w:p>
      <w:r>
        <w:rPr>
          <w:b/>
        </w:rPr>
        <w:t xml:space="preserve">3. </w:t>
      </w:r>
      <w:r>
        <w:t>Cancel PDF destination and deny gallery permission; ensure no false success, then retry. On web, test popup blocking, isolated print/PDF view and image download.</w:t>
      </w:r>
    </w:p>
    <w:p>
      <w:r>
        <w:rPr>
          <w:b/>
        </w:rPr>
        <w:t xml:space="preserve">4. </w:t>
      </w:r>
      <w:r>
        <w:t>Export Food transactions. Verify only matching rows, total beside category name, automatic current device month/year in preview/file/name, no month/year input and no repeated total below the listing.</w:t>
      </w:r>
    </w:p>
    <w:p>
      <w:r>
        <w:t>Ordinary PDF/image export requires Plus/Pro. Existing premium-content recovery has a Free exception. Test both rather than concluding all Free export is enabled or disabled.</w:t>
      </w:r>
    </w:p>
    <w:p>
      <w:r>
        <w:br w:type="page"/>
      </w:r>
    </w:p>
    <w:p>
      <w:pPr>
        <w:pStyle w:val="Heading1"/>
      </w:pPr>
      <w:r>
        <w:t>Verify folders locks and dialogs</w:t>
      </w:r>
    </w:p>
    <w:p>
      <w:pPr>
        <w:pStyle w:val="Heading2"/>
      </w:pPr>
      <w:r>
        <w:t>Folders navigation and view controls</w:t>
      </w:r>
    </w:p>
    <w:p>
      <w:r>
        <w:t>Run NAV-01 through NAV-12. Home/root notes use null folder_id. Pro nesting permits only Parent → Child beneath Home; cycles and deeper moves must fail without partial mutation. From Child, tap Parent breadcrumb and Home, then use Back. Child has no Folders section.</w:t>
      </w:r>
    </w:p>
    <w:p>
      <w:r>
        <w:t>Change Folder List/Strip and Note List/Grid separately. Check Home, search, folders and subfolders, restart, and check again. On narrow screens, note grid edges should align with content and view-control selection must have rounded corners. Check pin order, soft-delete-aware counts and hidden archived/deleted/incoming caches in search.</w:t>
      </w:r>
    </w:p>
    <w:p>
      <w:pPr>
        <w:pStyle w:val="Heading2"/>
      </w:pPr>
      <w:r>
        <w:t>Shared note password and independent account password</w:t>
      </w:r>
    </w:p>
    <w:p>
      <w:r>
        <w:rPr>
          <w:b/>
        </w:rPr>
        <w:t xml:space="preserve">1. </w:t>
      </w:r>
      <w:r>
        <w:t>Run LOCK-01 through LOCK-12. First Lock establishes the shared local LockNote password. Lock two notes and prove the same credential opens both. Wrong password and cancelled dialog must not unlock/delete.</w:t>
      </w:r>
    </w:p>
    <w:p>
      <w:r>
        <w:rPr>
          <w:b/>
        </w:rPr>
        <w:t xml:space="preserve">2. </w:t>
      </w:r>
      <w:r>
        <w:t>Change Password using wrong Old, mismatched New/Confirm and valid values. Only the valid flow updates all active locked-note hashes. Account password changes must not change LockNote password, even if the original text matched.</w:t>
      </w:r>
    </w:p>
    <w:p>
      <w:r>
        <w:rPr>
          <w:b/>
        </w:rPr>
        <w:t xml:space="preserve">3. </w:t>
      </w:r>
      <w:r>
        <w:t>For recovery, bind while signed in as A, request the one-time email link and verify the correct reset-lock-password intent. Try B, expired/reused link and unrelated callback: none may replace local hashes.</w:t>
      </w:r>
    </w:p>
    <w:p>
      <w:r>
        <w:rPr>
          <w:b/>
        </w:rPr>
        <w:t xml:space="preserve">4. </w:t>
      </w:r>
      <w:r>
        <w:t>Set while signed out and test the unbound recovery explanation. Do not allow arbitrary email or a newly set Recovery PIN to bypass an existing note gate. Test legacy per-note hashes using their proven legacy password.</w:t>
      </w:r>
    </w:p>
    <w:p>
      <w:r>
        <w:t>Folders still have individual passwords. Test available open/delete/move/breadcrumb routes for bypasses. New LockNote passwords have a separate 6-character minimum; account passwords require 8. Content is plaintext: these tests verify gating, not encryption.</w:t>
      </w:r>
    </w:p>
    <w:p>
      <w:pPr>
        <w:pStyle w:val="Heading2"/>
      </w:pPr>
      <w:r>
        <w:t>Reproduce the keyboard backdrop regression</w:t>
      </w:r>
    </w:p>
    <w:p>
      <w:r>
        <w:rPr>
          <w:b/>
        </w:rPr>
        <w:t xml:space="preserve">1. </w:t>
      </w:r>
      <w:r>
        <w:t>Run DLG-01 through DLG-06. Open password input dialog in dark mode. Show keyboard, close keyboard, repeat twice. The dim layer must keep covering the full app surface without a gap or displaced area.</w:t>
      </w:r>
    </w:p>
    <w:p>
      <w:r>
        <w:rPr>
          <w:b/>
        </w:rPr>
        <w:t xml:space="preserve">2. </w:t>
      </w:r>
      <w:r>
        <w:t>Repeat in light mode and across input dialogs, folder actions, delete confirmation, category/transaction, currency, reminder and export dialogs. Common backdrop is black at 0.5 opacity; underlying actions must not receive accidental taps.</w:t>
      </w:r>
    </w:p>
    <w:p>
      <w:r>
        <w:rPr>
          <w:b/>
        </w:rPr>
        <w:t xml:space="preserve">3. </w:t>
      </w:r>
      <w:r>
        <w:t>Try Android Back, Cancel and outside dismissal where supported. No destructive action should occur on cancellation. Check focus restoration and stacked confirmations.</w:t>
      </w:r>
    </w:p>
    <w:p>
      <w:pPr>
        <w:pStyle w:val="Heading2"/>
      </w:pPr>
      <w:r>
        <w:t>Accessibility is a functional test</w:t>
      </w:r>
    </w:p>
    <w:p>
      <w:r>
        <w:t>Enable large text and TalkBack/VoiceOver, then complete a representative create, open, save and cancel workflow. Verify announced labels, reading/focus order and reachable essential controls. On web use keyboard navigation. Check light/dark/system and removed copy without relying on visual similarity alone.</w:t>
      </w:r>
    </w:p>
    <w:p>
      <w:r>
        <w:br w:type="page"/>
      </w:r>
    </w:p>
    <w:p>
      <w:pPr>
        <w:pStyle w:val="Heading1"/>
      </w:pPr>
      <w:r>
        <w:t>Verify backup restore and manual sync</w:t>
      </w:r>
    </w:p>
    <w:p>
      <w:pPr>
        <w:pStyle w:val="Heading2"/>
      </w:pPr>
      <w:r>
        <w:t>Backup export is hidden on purpose</w:t>
      </w:r>
    </w:p>
    <w:p>
      <w:r>
        <w:t>Run BACK-01/02 using the developer service harness or a known generated fixture. Settings deliberately has no Export Backup button. Do not enable a production button just for testing. Import remains visible and Free. JSON has plaintext content and hashes, not encrypted content or complete image backups.</w:t>
      </w:r>
    </w:p>
    <w:p>
      <w:pPr>
        <w:pStyle w:val="Heading2"/>
      </w:pPr>
      <w:r>
        <w:t>Prove restore does not silently lose data</w:t>
      </w:r>
    </w:p>
    <w:p>
      <w:r>
        <w:rPr>
          <w:b/>
        </w:rPr>
        <w:t xml:space="preserve">1. </w:t>
      </w:r>
      <w:r>
        <w:t>Run BACK-03 through BACK-11 on disposable data. Select valid backup, inspect preview counts, then cancel. Original state must be unchanged.</w:t>
      </w:r>
    </w:p>
    <w:p>
      <w:r>
        <w:rPr>
          <w:b/>
        </w:rPr>
        <w:t xml:space="preserve">2. </w:t>
      </w:r>
      <w:r>
        <w:t>Merge a fixture with known same IDs and older/newer timestamps. Compare notes/folders/tombstones and null root links; check no duplicate or stale deleted-row resurrection.</w:t>
      </w:r>
    </w:p>
    <w:p>
      <w:r>
        <w:rPr>
          <w:b/>
        </w:rPr>
        <w:t xml:space="preserve">3. </w:t>
      </w:r>
      <w:r>
        <w:t>Replace only after explicit confirmation. Verify private state matches fixture while Shared-with-me caches remain. Parent folders must exist before their note references are restored.</w:t>
      </w:r>
    </w:p>
    <w:p>
      <w:r>
        <w:rPr>
          <w:b/>
        </w:rPr>
        <w:t xml:space="preserve">4. </w:t>
      </w:r>
      <w:r>
        <w:t>Import v1 and v2. v1 folders restore at Home; v2 preserves one child layer. Try malformed JSON/version, duplicates, bad dates/hashes/references, cycles/deep nesting and above 25 MB. Rejection must precede destructive mutation.</w:t>
      </w:r>
    </w:p>
    <w:p>
      <w:r>
        <w:rPr>
          <w:b/>
        </w:rPr>
        <w:t xml:space="preserve">5. </w:t>
      </w:r>
      <w:r>
        <w:t>Check locked notes still gate, formerly owned shared notes become private and reminders have no reused notification ID/active imported delivery. Media/preferences absent from JSON must not be falsely promised restored.</w:t>
      </w:r>
    </w:p>
    <w:p>
      <w:r>
        <w:t>Use a controlled write-failure fixture to inspect partial-restore consistency and recovery. If the implementation is not atomic under a particular failure, record a defect and recovery procedure; do not assume all-or-nothing because validation succeeded.</w:t>
      </w:r>
    </w:p>
    <w:p>
      <w:pPr>
        <w:pStyle w:val="Heading2"/>
      </w:pPr>
      <w:r>
        <w:t>Private sync uses explicit user action</w:t>
      </w:r>
    </w:p>
    <w:p>
      <w:r>
        <w:rPr>
          <w:b/>
        </w:rPr>
        <w:t xml:space="preserve">1. </w:t>
      </w:r>
      <w:r>
        <w:t>Run SYNC-01 through SYNC-10 with A on two devices. Create/edit all types on device 1, Sync Notes, then Sync Notes on device 2. Compare types, locks, currency, archive/pin and root/child relationships.</w:t>
      </w:r>
    </w:p>
    <w:p>
      <w:r>
        <w:rPr>
          <w:b/>
        </w:rPr>
        <w:t xml:space="preserve">2. </w:t>
      </w:r>
      <w:r>
        <w:t>Create divergent copies with known timestamps, sync in opposite order and record which snapshot wins. Private sync uses client timestamp last-write-wins, not Git merging. Include realistic clock skew as an exploratory case.</w:t>
      </w:r>
    </w:p>
    <w:p>
      <w:r>
        <w:rPr>
          <w:b/>
        </w:rPr>
        <w:t xml:space="preserve">3. </w:t>
      </w:r>
      <w:r>
        <w:t>Delete and sync on one device, then sync the stale second copy. Tombstones must prevent resurrection. Keep a newer unsynced local draft while recovering an older cloud snapshot; the newer draft must survive.</w:t>
      </w:r>
    </w:p>
    <w:p>
      <w:r>
        <w:rPr>
          <w:b/>
        </w:rPr>
        <w:t xml:space="preserve">4. </w:t>
      </w:r>
      <w:r>
        <w:t>Test offline/timeout, repeated taps and retry. Verify last success is account-scoped. Above quota, confirm recovery downloads without falsely claiming local uploads succeeded.</w:t>
      </w:r>
    </w:p>
    <w:p>
      <w:r>
        <w:t>Repeat native↔web. Colors/backgrounds and notification registrations remain local. Automatic/background sync is not implemented; use FUT-SYNC cases only after that future feature is built.</w:t>
      </w:r>
    </w:p>
    <w:p>
      <w:r>
        <w:br w:type="page"/>
      </w:r>
    </w:p>
    <w:p>
      <w:pPr>
        <w:pStyle w:val="Heading1"/>
      </w:pPr>
      <w:r>
        <w:t>Verify collaboration without overwriting drafts</w:t>
      </w:r>
    </w:p>
    <w:p>
      <w:pPr>
        <w:pStyle w:val="Heading2"/>
      </w:pPr>
      <w:r>
        <w:t>Use three accounts</w:t>
      </w:r>
    </w:p>
    <w:p>
      <w:r>
        <w:t>Run SHARE-01 through SHARE-12 with owner A, invited B and unrelated C. A must have Plus/Pro; B can be Free. B's own paid plan is not a prerequisite for a funded shared note. Use Pro A for image mutations.</w:t>
      </w:r>
    </w:p>
    <w:p>
      <w:r>
        <w:rPr>
          <w:b/>
        </w:rPr>
        <w:t xml:space="preserve">1. </w:t>
      </w:r>
      <w:r>
        <w:t>Invite B by registered email as editor. Confirm note appears only in the correct Shared listing. Change B to viewer and try title, body, checkboxes, bills, currency and images. UI must be read-only and direct authenticated save requests must also be rejected.</w:t>
      </w:r>
    </w:p>
    <w:p>
      <w:r>
        <w:rPr>
          <w:b/>
        </w:rPr>
        <w:t xml:space="preserve">2. </w:t>
      </w:r>
      <w:r>
        <w:t>Open editing as A, then B. Only one editor can hold the renewable 90-second lease. Observe B's view-only/holder indication. Let A remain active through a 30-second renewal, then leave/background A and check lease release.</w:t>
      </w:r>
    </w:p>
    <w:p>
      <w:r>
        <w:rPr>
          <w:b/>
        </w:rPr>
        <w:t xml:space="preserve">3. </w:t>
      </w:r>
      <w:r>
        <w:t>Crash or disconnect the lease holder. Wait through expiry using timestamps, not an assumed exact UI refresh time. B should eventually acquire editing without two active holders.</w:t>
      </w:r>
    </w:p>
    <w:p>
      <w:pPr>
        <w:pStyle w:val="Heading2"/>
      </w:pPr>
      <w:r>
        <w:t>Test stale saves deliberately</w:t>
      </w:r>
    </w:p>
    <w:p>
      <w:r>
        <w:t>A tester cannot reliably produce a stale revision by merely typing quickly because the lease normally blocks the second editor. Ask the developer for a controlled authenticated sandbox request using an old expected revision. Do not bypass server rules with service-role writes as proof of client access.</w:t>
      </w:r>
    </w:p>
    <w:p>
      <w:r>
        <w:rPr>
          <w:b/>
        </w:rPr>
        <w:t xml:space="preserve">1. </w:t>
      </w:r>
      <w:r>
        <w:t>Start with a recorded server revision/content. Keep an old expected revision for B. Let authorized A save newer content.</w:t>
      </w:r>
    </w:p>
    <w:p>
      <w:r>
        <w:rPr>
          <w:b/>
        </w:rPr>
        <w:t xml:space="preserve">2. </w:t>
      </w:r>
      <w:r>
        <w:t>Submit B's stale whole-note save through the real RPC. Expect rejection, not silent replacement of A's version. Record revision, timestamps and error.</w:t>
      </w:r>
    </w:p>
    <w:p>
      <w:r>
        <w:rPr>
          <w:b/>
        </w:rPr>
        <w:t xml:space="preserve">3. </w:t>
      </w:r>
      <w:r>
        <w:t>Deliver Realtime while a local snapshot is dirty/pending. Unsaved local draft must not be replaced automatically. Exercise explicit latest/local conflict choices only where current permissions allow them.</w:t>
      </w:r>
    </w:p>
    <w:p>
      <w:r>
        <w:t>Collaboration synchronizes whole saved snapshots. It does not promise character-level merging or Git conflict markers. An explicit local choice can replace the remote version only through a permitted current save path; record the user-visible choice and final content.</w:t>
      </w:r>
    </w:p>
    <w:p>
      <w:pPr>
        <w:pStyle w:val="Heading2"/>
      </w:pPr>
      <w:r>
        <w:t>Revoke permissions and disconnect</w:t>
      </w:r>
    </w:p>
    <w:p>
      <w:r>
        <w:rPr>
          <w:b/>
        </w:rPr>
        <w:t xml:space="preserve">1. </w:t>
      </w:r>
      <w:r>
        <w:t>Revoke B/change role while B has the editor open. Attempt a mutation before and after refresh. Server rules must reject unauthorized writes even if the UI update is delayed.</w:t>
      </w:r>
    </w:p>
    <w:p>
      <w:r>
        <w:rPr>
          <w:b/>
        </w:rPr>
        <w:t xml:space="preserve">2. </w:t>
      </w:r>
      <w:r>
        <w:t>Disable both Wi-Fi and cellular while Shared or incoming editor is open. Incoming cached notes must not remain visible offline through open views, Back, tab changes or resume.</w:t>
      </w:r>
    </w:p>
    <w:p>
      <w:r>
        <w:rPr>
          <w:b/>
        </w:rPr>
        <w:t xml:space="preserve">3. </w:t>
      </w:r>
      <w:r>
        <w:t>Expire owner plan. Existing online reads remain; remote writes, leases and new invitations pause. Owner can keep a pending local draft outside subfolders. Renew and reconcile without silently overwriting either pending or newer remote content.</w:t>
      </w:r>
    </w:p>
    <w:p>
      <w:r>
        <w:t>As C, verify private/shared row, membership/image and email-lookup isolation. Retest Realtime reconnection and repeated open/close for duplicate listeners or stale revoked notes. Backend configuration missing means Blocked, not Pass.</w:t>
      </w:r>
    </w:p>
    <w:p>
      <w:r>
        <w:br w:type="page"/>
      </w:r>
    </w:p>
    <w:p>
      <w:pPr>
        <w:pStyle w:val="Heading1"/>
      </w:pPr>
      <w:r>
        <w:t>Verify purchases expiry and subfolder access</w:t>
      </w:r>
    </w:p>
    <w:p>
      <w:pPr>
        <w:pStyle w:val="Heading2"/>
      </w:pPr>
      <w:r>
        <w:t>Use the store sandbox correctly</w:t>
      </w:r>
    </w:p>
    <w:p>
      <w:r>
        <w:t>Run PAY-01 through PAY-16 on configured native sandbox/store builds. Offerings use plus_monthly/pro_monthly packages and plus/pro entitlements. Supabase user UUID is the RevenueCat identity. Do not place secret API keys in the app or evidence.</w:t>
      </w:r>
    </w:p>
    <w:p>
      <w:r>
        <w:rPr>
          <w:b/>
        </w:rPr>
        <w:t xml:space="preserve">1. </w:t>
      </w:r>
      <w:r>
        <w:t>While signed out, Subscribe/Restore should explain Sign in simply. Sign in and buy Plus and Pro in separate fixtures. Confirm localized price, store result, matching entitlement and canonical backend subscription.</w:t>
      </w:r>
    </w:p>
    <w:p>
      <w:r>
        <w:rPr>
          <w:b/>
        </w:rPr>
        <w:t xml:space="preserve">2. </w:t>
      </w:r>
      <w:r>
        <w:t>Cancel checkout, interrupt it and exercise pending payment; restart. No paid grant without verified active entitlement. Restore on another device with the same account and test account-switch/transfer behavior according to the provider setup.</w:t>
      </w:r>
    </w:p>
    <w:p>
      <w:r>
        <w:rPr>
          <w:b/>
        </w:rPr>
        <w:t xml:space="preserve">3. </w:t>
      </w:r>
      <w:r>
        <w:t>Upgrade Plus to Pro early and late in a billing period. Google Play/Apple determines credit and charge; app must not calculate a pretend proration. Open provider management for downgrade/cancel.</w:t>
      </w:r>
    </w:p>
    <w:p>
      <w:r>
        <w:rPr>
          <w:b/>
        </w:rPr>
        <w:t xml:space="preserve">4. </w:t>
      </w:r>
      <w:r>
        <w:t>Cancel renewal: access remains until paid/grace expiry. Then observe Free. Test renewal failure, verified grace, refund and revocation with accelerated sandbox lifecycle. Cancellation alone is not an expired test fixture.</w:t>
      </w:r>
    </w:p>
    <w:p>
      <w:pPr>
        <w:pStyle w:val="Heading2"/>
      </w:pPr>
      <w:r>
        <w:t>Repeat downgrade tests on all four editors</w:t>
      </w:r>
    </w:p>
    <w:p>
      <w:r>
        <w:t>Run SUB-01 through SUB-11 for plain, checklist, expense and reminder, including Pro→Free, Pro→Plus and offline expiry. Nothing is automatically flattened, moved or deleted.</w:t>
      </w:r>
    </w:p>
    <w:p>
      <w:r>
        <w:rPr>
          <w:b/>
        </w:rPr>
        <w:t xml:space="preserve">1. </w:t>
      </w:r>
      <w:r>
        <w:t>Open each existing note in QA Child without Pro. Body/title/content controls are read-only; explanation and Move note present. Existing content/media remains viewable.</w:t>
      </w:r>
    </w:p>
    <w:p>
      <w:r>
        <w:rPr>
          <w:b/>
        </w:rPr>
        <w:t xml:space="preserve">2. </w:t>
      </w:r>
      <w:r>
        <w:t>Expire Pro while typing/dragging/editing a dialog. Further mutations stop and active input/drag state ends. A snapshot already staged while Pro was active may finish its pending save; a new post-expiry snapshot may not.</w:t>
      </w:r>
    </w:p>
    <w:p>
      <w:r>
        <w:rPr>
          <w:b/>
        </w:rPr>
        <w:t xml:space="preserve">3. </w:t>
      </w:r>
      <w:r>
        <w:t>Leave or use Move immediately after expiry with a pending save. Reopen to confirm final granted text and inline anchors are retained. Try checkbox, row/bill/category/currency, schedule and undo paths for bypasses.</w:t>
      </w:r>
    </w:p>
    <w:p>
      <w:r>
        <w:rPr>
          <w:b/>
        </w:rPr>
        <w:t xml:space="preserve">4. </w:t>
      </w:r>
      <w:r>
        <w:t>Move note to Home/top-level folder. Editing resumes with same content. Move whole QA Child back to Home: it becomes top-level and contents remain. Renew verified Pro: child editing resumes without resets.</w:t>
      </w:r>
    </w:p>
    <w:p>
      <w:r>
        <w:rPr>
          <w:b/>
        </w:rPr>
        <w:t xml:space="preserve">5. </w:t>
      </w:r>
      <w:r>
        <w:t>Without Pro, try creating a note or moving one into Child, including service-level attempts. Gate must reject before mutation. Import, recovery and premium-content export remain allowed, but imported child notes stay read-only.</w:t>
      </w:r>
    </w:p>
    <w:p>
      <w:r>
        <w:t>Bulk currency skips restricted records and reports them. Free invited shared editors still follow paid owner funding and assigned role; their unrelated local subfolder plan must not wrongly block sharing.</w:t>
      </w:r>
    </w:p>
    <w:p>
      <w:r>
        <w:br w:type="page"/>
      </w:r>
    </w:p>
    <w:p>
      <w:pPr>
        <w:pStyle w:val="Heading1"/>
      </w:pPr>
      <w:r>
        <w:t>Verify backend security quotas and update rules</w:t>
      </w:r>
    </w:p>
    <w:p>
      <w:pPr>
        <w:pStyle w:val="Heading2"/>
      </w:pPr>
      <w:r>
        <w:t>Run the disposable database fixture</w:t>
      </w:r>
    </w:p>
    <w:p>
      <w:r>
        <w:t>Developer only. Start Docker; inspect existing names first. Use a fresh disposable container with no port mapping or volume. Never point this fixture at hosted data or reuse an unknown existing container.</w:t>
      </w:r>
    </w:p>
    <w:p>
      <w:pPr>
        <w:pStyle w:val="Command"/>
      </w:pPr>
      <w:r>
        <w:t>docker ps -a --filter name=locknote-premium-plan2-check</w:t>
      </w:r>
    </w:p>
    <w:p>
      <w:pPr>
        <w:pStyle w:val="Command"/>
      </w:pPr>
      <w:r>
        <w:t>docker run --detach --rm --name locknote-premium-plan2-check</w:t>
      </w:r>
    </w:p>
    <w:p>
      <w:pPr>
        <w:pStyle w:val="Command"/>
      </w:pPr>
      <w:r>
        <w:t xml:space="preserve">  -e POSTGRES_PASSWORD=disposable-fixture-only postgres:16</w:t>
      </w:r>
    </w:p>
    <w:p>
      <w:r>
        <w:t>The docker run command is shown wrapped for readability; execute it as one line. If the name already exists, stop and establish ownership instead of overwriting it.</w:t>
      </w:r>
    </w:p>
    <w:p>
      <w:pPr>
        <w:pStyle w:val="Command"/>
      </w:pPr>
      <w:r>
        <w:t>docker exec locknote-premium-plan2-check pg_isready -U postgres</w:t>
      </w:r>
    </w:p>
    <w:p>
      <w:pPr>
        <w:pStyle w:val="Command"/>
      </w:pPr>
      <w:r>
        <w:t>node scripts/verify-premium-db.mjs locknote-premium-plan2-check</w:t>
      </w:r>
    </w:p>
    <w:p>
      <w:r>
        <w:t>Wait for pg_isready success before the script. Retain full output, exit code and final PASS. The fixture is not idempotent. Afterward stop only this newly created disposable container; --rm removes its data:</w:t>
      </w:r>
    </w:p>
    <w:p>
      <w:pPr>
        <w:pStyle w:val="Command"/>
      </w:pPr>
      <w:r>
        <w:t>docker stop locknote-premium-plan2-check</w:t>
      </w:r>
    </w:p>
    <w:p>
      <w:r>
        <w:t>This verifies migrations, premium policies and quota concurrency using simplified auth/Storage fixtures. It is not a hosted Storage or RevenueCat end-to-end test.</w:t>
      </w:r>
    </w:p>
    <w:p>
      <w:pPr>
        <w:pStyle w:val="Heading2"/>
      </w:pPr>
      <w:r>
        <w:t>Verify real sandbox server boundaries too</w:t>
      </w:r>
    </w:p>
    <w:p>
      <w:r>
        <w:t>Use authenticated clients for A/B/C, not a service key, to test RLS. Users may read their own subscription but not write it. Wrong/missing webhook Authorization is rejected; the canonical webhook refetches provider state and ignores stale updates. Test duplicates, transfers and upstream timeout/retry. Production should ignore sandbox grants by default.</w:t>
      </w:r>
    </w:p>
    <w:p>
      <w:r>
        <w:t>Server limits are 25/75/750 MiB, displayed as MB. Count UTF-8 JSON metadata, actual image bytes and outstanding reservations. Two concurrent writes that individually fit but jointly exceed the limit must not both commit. Growth fails atomically; shrinking/deleting and no-upload recovery remain available. Compare displayed usage to authoritative server usage.</w:t>
      </w:r>
    </w:p>
    <w:p>
      <w:r>
        <w:t>Revoke an image member after upload reservation and try uploading. Reservation alone must not grant access after revocation. Existing subscriber backfill and webhook deployment are rollout prerequisites; do not silently enable gates on paid users with missing entitlements.</w:t>
      </w:r>
    </w:p>
    <w:p>
      <w:pPr>
        <w:pStyle w:val="Heading2"/>
      </w:pPr>
      <w:r>
        <w:t>Force-update policy and standalone release</w:t>
      </w:r>
    </w:p>
    <w:p>
      <w:r>
        <w:t>Run REL-01 through REL-06 with a dedicated test backend. Below minimum native build plus enabled force switch blocks; at/above minimum or switch off does not. Test offline valid cache, expiry after 72 hours, invalid/missing policy and separate platform caches. Web/Expo Go stays unblocked. Update destination must be correct and upgraded data intact.</w:t>
      </w:r>
    </w:p>
    <w:p>
      <w:r>
        <w:t>Install the exact signed candidate and launch without Metro. Verify LockNote icon/name, package, version/build, legal/support details and configuration. No service-role or RevenueCat secret key belongs in the app. Do not alter production minimum build merely to perform this test.</w:t>
      </w:r>
    </w:p>
    <w:p>
      <w:r>
        <w:br w:type="page"/>
      </w:r>
    </w:p>
    <w:p>
      <w:pPr>
        <w:pStyle w:val="Heading1"/>
      </w:pPr>
      <w:r>
        <w:t>Record results and decide release readiness</w:t>
      </w:r>
    </w:p>
    <w:p>
      <w:pPr>
        <w:pStyle w:val="Heading2"/>
      </w:pPr>
      <w:r>
        <w:t>Measure instead of guessing</w:t>
      </w:r>
    </w:p>
    <w:p>
      <w:r>
        <w:t>Run QUAL-01 through QUAL-08 on release builds, not remote-debug builds. For launch use at least 5 cold runs; for large notes use 10 openings and record median/worst. Compare against the same device/build baseline. Proposed budgets are Home within 3 seconds and note opening within 1 second warmed or 2 seconds cold; the owner must approve budgets or exceptions. They are not measured guarantees.</w:t>
      </w:r>
    </w:p>
    <w:p>
      <w:r>
        <w:t>Exercise low storage, repeated open/close, small widths, older/current available OS, themes, large text and screen readers. Capture device-specific gaps. A browser performance result does not prove low-end Android speed.</w:t>
      </w:r>
    </w:p>
    <w:p>
      <w:pPr>
        <w:pStyle w:val="Heading2"/>
      </w:pPr>
      <w:r>
        <w:t>Record each result separately</w:t>
      </w:r>
    </w:p>
    <w:tbl>
      <w:tblPr>
        <w:tblW w:type="auto" w:w="0"/>
        <w:tblLayout w:type="fixed"/>
        <w:tblLook w:firstColumn="1" w:firstRow="1" w:lastColumn="0" w:lastRow="0" w:noHBand="0" w:noVBand="1" w:val="04A0"/>
      </w:tblPr>
      <w:tblGrid>
        <w:gridCol w:w="1728"/>
        <w:gridCol w:w="7848"/>
      </w:tblGrid>
      <w:tr>
        <w:trPr>
          <w:cantSplit/>
          <w:tblHeader/>
        </w:trPr>
        <w:tc>
          <w:tcPr>
            <w:tcW w:type="dxa" w:w="1728"/>
            <w:vAlign w:val="center"/>
            <w:shd w:fill="DCE6E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000000"/>
                <w:sz w:val="20"/>
              </w:rPr>
              <w:t>Status</w:t>
            </w:r>
          </w:p>
        </w:tc>
        <w:tc>
          <w:tcPr>
            <w:tcW w:type="dxa" w:w="7848"/>
            <w:vAlign w:val="center"/>
            <w:shd w:fill="DCE6E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000000"/>
                <w:sz w:val="20"/>
              </w:rPr>
              <w:t>Use it when</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Not run</w:t>
            </w:r>
          </w:p>
        </w:tc>
        <w:tc>
          <w:tcPr>
            <w:tcW w:type="dxa" w:w="784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No valid execution/evidence exists yet.</w:t>
            </w:r>
          </w:p>
        </w:tc>
      </w:tr>
      <w:tr>
        <w:trPr>
          <w:cantSplit/>
        </w:trPr>
        <w:tc>
          <w:tcPr>
            <w:tcW w:type="dxa" w:w="1728"/>
            <w:vAlign w:val="center"/>
            <w:shd w:fill="F5F7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Pass</w:t>
            </w:r>
          </w:p>
        </w:tc>
        <w:tc>
          <w:tcPr>
            <w:tcW w:type="dxa" w:w="7848"/>
            <w:vAlign w:val="center"/>
            <w:shd w:fill="F5F7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Expected behavior and persistence observed on recorded build/environment.</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Fail</w:t>
            </w:r>
          </w:p>
        </w:tc>
        <w:tc>
          <w:tcPr>
            <w:tcW w:type="dxa" w:w="784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Actual result differs; attach defect and evidence.</w:t>
            </w:r>
          </w:p>
        </w:tc>
      </w:tr>
      <w:tr>
        <w:trPr>
          <w:cantSplit/>
        </w:trPr>
        <w:tc>
          <w:tcPr>
            <w:tcW w:type="dxa" w:w="1728"/>
            <w:vAlign w:val="center"/>
            <w:shd w:fill="F5F7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Blocked</w:t>
            </w:r>
          </w:p>
        </w:tc>
        <w:tc>
          <w:tcPr>
            <w:tcW w:type="dxa" w:w="7848"/>
            <w:vAlign w:val="center"/>
            <w:shd w:fill="F5F7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A device, account, service or fixture prerequisite is missing.</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Not applicable</w:t>
            </w:r>
          </w:p>
        </w:tc>
        <w:tc>
          <w:tcPr>
            <w:tcW w:type="dxa" w:w="784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Outside approved scope; reason recorded, not a substitute for unavailable testing.</w:t>
            </w:r>
          </w:p>
        </w:tc>
      </w:tr>
    </w:tbl>
    <w:p/>
    <w:p>
      <w:r>
        <w:t>For each case record run/date/tester, commit/build, device/OS, account aliases/plan, backend environment, network/theme, actual result, reopen/restart comparison, evidence and any defect. Use the copyable templates in TEST_PLAN.md.</w:t>
      </w:r>
    </w:p>
    <w:p>
      <w:pPr>
        <w:pStyle w:val="Heading2"/>
      </w:pPr>
      <w:r>
        <w:t>Write a reproducible defect</w:t>
      </w:r>
    </w:p>
    <w:p>
      <w:r>
        <w:t>Use a short title, severity, exact fixture, numbered steps, expected vs actual result and frequency such as 3 of 5. Include redacted video/screenshots/log timestamps and data impact. S0 data/security/payment integrity and S1 unusable/lost core workflows block release. S2/S3 exceptions need owner acceptance. Retest the failing steps on the fixed build, then neighboring cases; old evidence is not proof after a related change.</w:t>
      </w:r>
    </w:p>
    <w:p>
      <w:pPr>
        <w:pStyle w:val="Heading2"/>
      </w:pPr>
      <w:r>
        <w:t>Approve only the tested candidate</w:t>
      </w:r>
    </w:p>
    <w:p>
      <w:r>
        <w:rPr>
          <w:b/>
        </w:rPr>
        <w:t xml:space="preserve">1. </w:t>
      </w:r>
      <w:r>
        <w:t>Retain a complete passing automated run and standalone clean/upgrade smoke. Complete applicable P0/P1 cases and declare unrun P2/device variants. No unresolved S0/S1 issue in release scope.</w:t>
      </w:r>
    </w:p>
    <w:p>
      <w:r>
        <w:rPr>
          <w:b/>
        </w:rPr>
        <w:t xml:space="preserve">2. </w:t>
      </w:r>
      <w:r>
        <w:t>If advertising accounts, sync, sharing or payments, retain live sandbox inbox/link, two-device, two-account, store/webhook/expiry and quota evidence. Missing prerequisites remain Blocked and are not a green result.</w:t>
      </w:r>
    </w:p>
    <w:p>
      <w:r>
        <w:rPr>
          <w:b/>
        </w:rPr>
        <w:t xml:space="preserve">3. </w:t>
      </w:r>
      <w:r>
        <w:t>Check actual exported files, restored data and all four subfolder downgrade editors including pending save and Move. Confirm production migration/backfill, email, RLS, Storage, secrets and legal/operator setup separately.</w:t>
      </w:r>
    </w:p>
    <w:p>
      <w:r>
        <w:rPr>
          <w:b/>
        </w:rPr>
        <w:t xml:space="preserve">4. </w:t>
      </w:r>
      <w:r>
        <w:t>Record build, evidence folder, result totals, open defects, accepted exceptions and developer/tester/owner dates. Do not advertise automatic/background sync as implemented. Run iOS-specific verification before an iOS release.</w:t>
      </w:r>
    </w:p>
    <w:p>
      <w:r>
        <w:t>Maintain TEST_PLAN.md and this guide when approved behavior changes. Keep case IDs stable. References: docs/ARCHITECTURE.md, docs/PROJECT_STATE.md, docs/decisions/SUBSCRIPTION_PLANS.md, docs/decisions/SUBSCRIPTION_SETUP.md and https://docs.expo.dev/versions/v54.0.0/.</w:t>
      </w:r>
    </w:p>
    <w:sectPr w:rsidR="00FC693F" w:rsidRPr="0006063C" w:rsidSect="00034616">
      <w:footerReference w:type="default" r:id="rId9"/>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LockNote testing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
    <w:name w:val="Command"/>
    <w:pPr>
      <w:spacing w:after="100" w:line="240" w:lineRule="auto"/>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LockNote testing guide</dc:title>
  <dc:subject>How to execute and record the project test plan</dc:subject>
  <dc:creator>LockNote</dc:creator>
  <cp:keywords>testing, Android, offline, backup, sync, premium</cp:keywords>
  <dc:description>generated by python-docx</dc:description>
  <cp:lastModifiedBy/>
  <cp:revision>1</cp:revision>
  <dcterms:created xsi:type="dcterms:W3CDTF">2013-12-23T23:15:00Z</dcterms:created>
  <dcterms:modified xsi:type="dcterms:W3CDTF">2013-12-23T23:15:00Z</dcterms:modified>
  <cp:category/>
</cp:coreProperties>
</file>