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</w:pPr>
      <w:r>
        <w:rPr>
          <w:rFonts w:ascii="Calibri" w:hAnsi="Calibri"/>
          <w:b/>
          <w:color w:val="2E74B5"/>
          <w:sz w:val="20"/>
        </w:rPr>
        <w:t>PERSONAL LEARNING GUIDE</w:t>
      </w:r>
    </w:p>
    <w:p>
      <w:pPr>
        <w:keepNext/>
        <w:spacing w:after="140"/>
      </w:pPr>
      <w:r>
        <w:rPr>
          <w:rFonts w:ascii="Calibri" w:hAnsi="Calibri"/>
          <w:b/>
          <w:color w:val="0B2545"/>
          <w:sz w:val="58"/>
        </w:rPr>
        <w:t>Supabase Setup for LockNote</w:t>
      </w:r>
    </w:p>
    <w:p>
      <w:pPr>
        <w:spacing w:after="360"/>
      </w:pPr>
      <w:r>
        <w:rPr>
          <w:rFonts w:ascii="Calibri" w:hAnsi="Calibri"/>
          <w:color w:val="5E6B7A"/>
          <w:sz w:val="26"/>
        </w:rPr>
        <w:t>A beginner-friendly guide to authentication, database setup, sync, and note sharing.</w:t>
      </w:r>
    </w:p>
    <w:p>
      <w:pPr>
        <w:spacing w:before="100" w:after="180" w:line="283" w:lineRule="auto"/>
        <w:ind w:left="202" w:right="115"/>
        <w:shd w:fill="F4F7FB"/>
        <w:pBdr>
          <w:left w:val="single" w:sz="18" w:space="9" w:color="2E74B5"/>
        </w:pBdr>
      </w:pPr>
      <w:r>
        <w:rPr>
          <w:rFonts w:ascii="Calibri" w:hAnsi="Calibri"/>
          <w:b/>
          <w:color w:val="2E74B5"/>
          <w:sz w:val="21"/>
        </w:rPr>
        <w:t xml:space="preserve">Core idea  </w:t>
      </w:r>
      <w:r>
        <w:rPr>
          <w:rFonts w:ascii="Calibri" w:hAnsi="Calibri"/>
          <w:color w:val="0B2545"/>
          <w:sz w:val="21"/>
        </w:rPr>
        <w:t>LockNote stays local-first: notes are edited and stored on the device. Supabase adds optional account login, manual multi-device sync, and collaboration when a note is explicitly shared.</w:t>
      </w:r>
    </w:p>
    <w:p>
      <w:pPr>
        <w:pStyle w:val="Heading1"/>
      </w:pPr>
      <w:r>
        <w:t>What is Supabase?</w:t>
      </w:r>
    </w:p>
    <w:p>
      <w:r>
        <w:t>Supabase is a backend platform built around PostgreSQL. It gives an app a hosted database plus services such as user authentication, automatically generated APIs, Realtime updates, file storage, and server-side Edge Functions. It is useful when an app needs cloud features without building every backend component from scratch.</w:t>
      </w:r>
    </w:p>
    <w:p>
      <w:r>
        <w:t>For LockNote, Supabase is the cloud layer. The app's SQLite database on Android and iOS, and AsyncStorage on web, remain the normal working storage. A signed-in user chooses when to sync private data, while shared notes use Supabase so invited accounts can open and edit the same saved note.</w:t>
      </w:r>
    </w:p>
    <w:p>
      <w:pPr>
        <w:pStyle w:val="Heading2"/>
      </w:pPr>
      <w:r>
        <w:t>The Supabase pieces used by LockNote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Auth: </w:t>
      </w:r>
      <w:r>
        <w:t>Registers users, confirms email addresses, signs users in, restores sessions, and supports password-reset links.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PostgreSQL database: </w:t>
      </w:r>
      <w:r>
        <w:t>Stores account-owned folders and notes, plus shared-note membership and saved revisions.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Row Level Security (RLS): </w:t>
      </w:r>
      <w:r>
        <w:t>Database rules that limit each signed-in user to rows they own or have permission to access.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RPC: </w:t>
      </w:r>
      <w:r>
        <w:t>A PostgreSQL function callable through Supabase. LockNote uses sync_private_data for an atomic two-way merge.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Edge Function: </w:t>
      </w:r>
      <w:r>
        <w:t>Server-side TypeScript code. The share-note function safely looks up a registered account by email without exposing privileged keys to the app.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Realtime: </w:t>
      </w:r>
      <w:r>
        <w:t>Notifies collaborators when shared-note or membership records change so the local cache can refresh.</w:t>
      </w:r>
    </w:p>
    <w:p>
      <w:pPr>
        <w:spacing w:before="100" w:after="180" w:line="283" w:lineRule="auto"/>
        <w:ind w:left="202" w:right="115"/>
        <w:shd w:fill="FFF7E6"/>
        <w:pBdr>
          <w:left w:val="single" w:sz="18" w:space="9" w:color="9A6A00"/>
        </w:pBdr>
      </w:pPr>
      <w:r>
        <w:rPr>
          <w:rFonts w:ascii="Calibri" w:hAnsi="Calibri"/>
          <w:b/>
          <w:color w:val="9A6A00"/>
          <w:sz w:val="21"/>
        </w:rPr>
        <w:t xml:space="preserve">Security boundary  </w:t>
      </w:r>
      <w:r>
        <w:rPr>
          <w:rFonts w:ascii="Calibri" w:hAnsi="Calibri"/>
          <w:color w:val="0B2545"/>
          <w:sz w:val="21"/>
        </w:rPr>
        <w:t>RLS protects cloud rows, but LockNote does not end-to-end encrypt note content before upload. A LockNote password is an access gate, not encryption. Do not store the service-role key, database password, or any other secret in the Expo app.</w:t>
      </w:r>
    </w:p>
    <w:p>
      <w:r>
        <w:br w:type="page"/>
      </w:r>
    </w:p>
    <w:p>
      <w:pPr>
        <w:pStyle w:val="Heading1"/>
      </w:pPr>
      <w:r>
        <w:t>1. Know your project values</w:t>
      </w:r>
    </w:p>
    <w:p>
      <w:r>
        <w:t>Your current Supabase project reference is nhsomigoubtuajiloenc. The app-facing project URL is: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https://nhsomigoubtuajiloenc.supabase.co</w:t>
      </w:r>
    </w:p>
    <w:p>
      <w:pPr>
        <w:pStyle w:val="Heading2"/>
      </w:pPr>
      <w:r>
        <w:t>Publishable key versus secrets</w:t>
      </w:r>
    </w:p>
    <w:p>
      <w:r>
        <w:t>A key beginning with sb_publishable_ is the client-safe publishable key. It fills the same role commonly called the anon key. LockNote keeps the existing environment variable name SUPABASE_ANON_KEY, even when its value uses the newer publishable-key format.</w:t>
      </w:r>
    </w:p>
    <w:p>
      <w:pPr>
        <w:numPr>
          <w:ilvl w:val="0"/>
          <w:numId w:val="43"/>
        </w:numPr>
      </w:pPr>
      <w:r>
        <w:t>Safe in the client bundle: the project URL and publishable key, provided RLS is enabled and correct.</w:t>
      </w:r>
    </w:p>
    <w:p>
      <w:pPr>
        <w:numPr>
          <w:ilvl w:val="0"/>
          <w:numId w:val="43"/>
        </w:numPr>
      </w:pPr>
      <w:r>
        <w:t>Never put in the app: sb_secret_ keys, service_role keys, the database password, access tokens, or refresh tokens.</w:t>
      </w:r>
    </w:p>
    <w:p>
      <w:pPr>
        <w:numPr>
          <w:ilvl w:val="0"/>
          <w:numId w:val="43"/>
        </w:numPr>
      </w:pPr>
      <w:r>
        <w:t>Never paste a real key into screenshots, public repositories, support messages, or learning notes.</w:t>
      </w:r>
    </w:p>
    <w:p>
      <w:pPr>
        <w:pStyle w:val="Heading1"/>
      </w:pPr>
      <w:r>
        <w:t>2. Configure the LockNote environment</w:t>
      </w:r>
    </w:p>
    <w:p>
      <w:r>
        <w:t>At the LockNote project root, create or update .env with these two values: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SUPABASE_URL=https://nhsomigoubtuajiloenc.supabase.co</w:t>
      </w:r>
      <w:r>
        <w:br/>
      </w:r>
      <w:r>
        <w:rPr>
          <w:rFonts w:ascii="Consolas" w:hAnsi="Consolas"/>
          <w:color w:val="0B2545"/>
          <w:sz w:val="18"/>
        </w:rPr>
        <w:t>SUPABASE_ANON_KEY=sb_publishable_your_key_here</w:t>
      </w:r>
    </w:p>
    <w:p>
      <w:pPr>
        <w:spacing w:before="100" w:after="180" w:line="283" w:lineRule="auto"/>
        <w:ind w:left="202" w:right="115"/>
        <w:shd w:fill="F4F7FB"/>
        <w:pBdr>
          <w:left w:val="single" w:sz="18" w:space="9" w:color="2E74B5"/>
        </w:pBdr>
      </w:pPr>
      <w:r>
        <w:rPr>
          <w:rFonts w:ascii="Calibri" w:hAnsi="Calibri"/>
          <w:b/>
          <w:color w:val="2E74B5"/>
          <w:sz w:val="21"/>
        </w:rPr>
        <w:t xml:space="preserve">Why the name says ANON_KEY  </w:t>
      </w:r>
      <w:r>
        <w:rPr>
          <w:rFonts w:ascii="Calibri" w:hAnsi="Calibri"/>
          <w:color w:val="0B2545"/>
          <w:sz w:val="21"/>
        </w:rPr>
        <w:t>The source code already reads SUPABASE_ANON_KEY. Keeping that name avoids unnecessary app changes; the value may still be a modern sb_publishable_ key.</w:t>
      </w:r>
    </w:p>
    <w:p>
      <w:pPr>
        <w:numPr>
          <w:ilvl w:val="0"/>
          <w:numId w:val="44"/>
        </w:numPr>
      </w:pPr>
      <w:r>
        <w:rPr>
          <w:b/>
        </w:rPr>
        <w:t xml:space="preserve">Save the .env file. </w:t>
      </w:r>
      <w:r>
        <w:t>Do not commit it to Git.</w:t>
      </w:r>
    </w:p>
    <w:p>
      <w:pPr>
        <w:numPr>
          <w:ilvl w:val="0"/>
          <w:numId w:val="44"/>
        </w:numPr>
      </w:pPr>
      <w:r>
        <w:rPr>
          <w:b/>
        </w:rPr>
        <w:t xml:space="preserve">Restart Expo. </w:t>
      </w:r>
      <w:r>
        <w:t>Configuration is loaded when Metro starts, so a running development server will not automatically receive the new values.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npm.cmd start -- --clear</w:t>
      </w:r>
    </w:p>
    <w:p>
      <w:pPr>
        <w:pStyle w:val="Heading1"/>
      </w:pPr>
      <w:r>
        <w:t>3. Prepare the Supabase CLI</w:t>
      </w:r>
    </w:p>
    <w:p>
      <w:r>
        <w:t>The LockNote repository already contains SQL migrations and the share-note Edge Function. The safest setup is to deploy those versioned files rather than manually creating tables in the dashboard.</w:t>
      </w:r>
    </w:p>
    <w:p>
      <w:pPr>
        <w:numPr>
          <w:ilvl w:val="0"/>
          <w:numId w:val="44"/>
        </w:numPr>
      </w:pPr>
      <w:r>
        <w:rPr>
          <w:b/>
        </w:rPr>
        <w:t xml:space="preserve">Initialize the local Supabase configuration. </w:t>
      </w:r>
      <w:r>
        <w:t>Run this once if supabase/config.toml does not exist.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npx.cmd supabase@latest init</w:t>
      </w:r>
    </w:p>
    <w:p>
      <w:pPr>
        <w:numPr>
          <w:ilvl w:val="0"/>
          <w:numId w:val="44"/>
        </w:numPr>
      </w:pPr>
      <w:r>
        <w:rPr>
          <w:b/>
        </w:rPr>
        <w:t xml:space="preserve">Sign in to the CLI. </w:t>
      </w:r>
      <w:r>
        <w:t>A browser or access-token flow connects the command line to your Supabase account.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npx.cmd supabase@latest login</w:t>
      </w:r>
    </w:p>
    <w:p>
      <w:pPr>
        <w:numPr>
          <w:ilvl w:val="0"/>
          <w:numId w:val="44"/>
        </w:numPr>
      </w:pPr>
      <w:r>
        <w:rPr>
          <w:b/>
        </w:rPr>
        <w:t xml:space="preserve">Link this repository to the cloud project. </w:t>
      </w:r>
      <w:r>
        <w:t>Use the project reference from the dashboard URL.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npx.cmd supabase@latest link --project-ref nhsomigoubtuajiloenc</w:t>
      </w:r>
    </w:p>
    <w:p>
      <w:pPr>
        <w:spacing w:before="100" w:after="180" w:line="283" w:lineRule="auto"/>
        <w:ind w:left="202" w:right="115"/>
        <w:shd w:fill="FFF7E6"/>
        <w:pBdr>
          <w:left w:val="single" w:sz="18" w:space="9" w:color="9A6A00"/>
        </w:pBdr>
      </w:pPr>
      <w:r>
        <w:rPr>
          <w:rFonts w:ascii="Calibri" w:hAnsi="Calibri"/>
          <w:b/>
          <w:color w:val="9A6A00"/>
          <w:sz w:val="21"/>
        </w:rPr>
        <w:t xml:space="preserve">Password prompt  </w:t>
      </w:r>
      <w:r>
        <w:rPr>
          <w:rFonts w:ascii="Calibri" w:hAnsi="Calibri"/>
          <w:color w:val="0B2545"/>
          <w:sz w:val="21"/>
        </w:rPr>
        <w:t>If the CLI asks for a database password, use the database password from Supabase project settings. The publishable key is not the database password.</w:t>
      </w:r>
    </w:p>
    <w:p>
      <w:r>
        <w:br w:type="page"/>
      </w:r>
    </w:p>
    <w:p>
      <w:pPr>
        <w:pStyle w:val="Heading1"/>
      </w:pPr>
      <w:r>
        <w:t>4. Review and deploy the database</w:t>
      </w:r>
    </w:p>
    <w:p>
      <w:r>
        <w:t>Preview the changes first, then apply them: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npx.cmd supabase@latest db push --dry-run</w:t>
      </w:r>
      <w:r>
        <w:br/>
      </w:r>
      <w:r>
        <w:rPr>
          <w:rFonts w:ascii="Consolas" w:hAnsi="Consolas"/>
          <w:color w:val="0B2545"/>
          <w:sz w:val="18"/>
        </w:rPr>
        <w:t>npx.cmd supabase@latest db push</w:t>
      </w:r>
    </w:p>
    <w:p>
      <w:pPr>
        <w:spacing w:before="100" w:after="180" w:line="283" w:lineRule="auto"/>
        <w:ind w:left="202" w:right="115"/>
        <w:shd w:fill="F4F7FB"/>
        <w:pBdr>
          <w:left w:val="single" w:sz="18" w:space="9" w:color="2E74B5"/>
        </w:pBdr>
      </w:pPr>
      <w:r>
        <w:rPr>
          <w:rFonts w:ascii="Calibri" w:hAnsi="Calibri"/>
          <w:b/>
          <w:color w:val="2E74B5"/>
          <w:sz w:val="21"/>
        </w:rPr>
        <w:t xml:space="preserve">Before confirming  </w:t>
      </w:r>
      <w:r>
        <w:rPr>
          <w:rFonts w:ascii="Calibri" w:hAnsi="Calibri"/>
          <w:color w:val="0B2545"/>
          <w:sz w:val="21"/>
        </w:rPr>
        <w:t>Read the dry-run output. A normal first deployment should create the LockNote tables, functions, triggers, RLS policies, and Realtime publication changes. Stop if it proposes unexpected destructive changes.</w:t>
      </w:r>
    </w:p>
    <w:p>
      <w:pPr>
        <w:pStyle w:val="Heading2"/>
      </w:pPr>
      <w:r>
        <w:t>Migrations currently in LockNote</w:t>
      </w:r>
    </w:p>
    <w:p>
      <w:pPr>
        <w:numPr>
          <w:ilvl w:val="0"/>
          <w:numId w:val="43"/>
        </w:numPr>
      </w:pPr>
      <w:r>
        <w:t>202608230001_collaboration_release_1.sql - shared-note collaboration</w:t>
      </w:r>
    </w:p>
    <w:p>
      <w:pPr>
        <w:numPr>
          <w:ilvl w:val="0"/>
          <w:numId w:val="43"/>
        </w:numPr>
      </w:pPr>
      <w:r>
        <w:t>202608240001_private_note_sync.sql - private folder/note account sync</w:t>
      </w:r>
    </w:p>
    <w:p>
      <w:pPr>
        <w:numPr>
          <w:ilvl w:val="0"/>
          <w:numId w:val="43"/>
        </w:numPr>
      </w:pPr>
      <w:r>
        <w:t>202608250001_note_archive.sql - note archive state</w:t>
      </w:r>
    </w:p>
    <w:p>
      <w:pPr>
        <w:numPr>
          <w:ilvl w:val="0"/>
          <w:numId w:val="43"/>
        </w:numPr>
      </w:pPr>
      <w:r>
        <w:t>202608250002_folder_archive.sql - folder archive state</w:t>
      </w:r>
    </w:p>
    <w:p>
      <w:pPr>
        <w:pStyle w:val="Heading2"/>
      </w:pPr>
      <w:r>
        <w:t>Expected database objects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profiles: </w:t>
      </w:r>
      <w:r>
        <w:t>A safe account profile used for collaboration and registered-email lookup.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shared_notes: </w:t>
      </w:r>
      <w:r>
        <w:t>The latest saved shared-note snapshot, owner, revision, and last-editor metadata.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note_members: </w:t>
      </w:r>
      <w:r>
        <w:t>Which registered accounts may access a shared note.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private_folders: </w:t>
      </w:r>
      <w:r>
        <w:t>Folders belonging to one authenticated account for manual sync.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private_notes: </w:t>
      </w:r>
      <w:r>
        <w:t>Private or owned notes belonging to one authenticated account for manual sync.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sync_private_data: </w:t>
      </w:r>
      <w:r>
        <w:t>The RPC used to merge local and cloud snapshots with timestamps and deletion tombstones.</w:t>
      </w:r>
    </w:p>
    <w:p>
      <w:pPr>
        <w:pStyle w:val="Heading1"/>
      </w:pPr>
      <w:r>
        <w:t>5. Deploy the sharing function</w:t>
      </w:r>
    </w:p>
    <w:p>
      <w:r>
        <w:t>Deploy the authenticated function that accepts an email address and adds a registered collaborator: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npx.cmd supabase@latest functions deploy share-note</w:t>
      </w:r>
    </w:p>
    <w:p>
      <w:pPr>
        <w:keepNext/>
      </w:pPr>
      <w:r>
        <w:t>The service-role key belongs only in Supabase's server-side function environment. LockNote's mobile and web bundles must never contain it.</w:t>
      </w:r>
    </w:p>
    <w:p>
      <w:pPr>
        <w:pStyle w:val="Heading1"/>
      </w:pPr>
      <w:r>
        <w:t>6. Configure authentication URLs</w:t>
      </w:r>
    </w:p>
    <w:p>
      <w:r>
        <w:t>In Supabase Dashboard, open Authentication &gt; URL Configuration. Add the following Redirect URLs so email confirmation and both password-recovery paths can return to LockNote:</w:t>
      </w:r>
    </w:p>
    <w:p>
      <w:pPr>
        <w:spacing w:before="60" w:after="160" w:line="259" w:lineRule="auto"/>
        <w:ind w:left="230" w:right="115"/>
        <w:shd w:fill="F2F4F7"/>
        <w:pBdr>
          <w:left w:val="single" w:sz="14" w:space="8" w:color="2E74B5"/>
        </w:pBdr>
      </w:pPr>
      <w:r>
        <w:rPr>
          <w:rFonts w:ascii="Consolas" w:hAnsi="Consolas"/>
          <w:color w:val="0B2545"/>
          <w:sz w:val="18"/>
        </w:rPr>
        <w:t>locknote://auth-confirm</w:t>
      </w:r>
      <w:r>
        <w:br/>
      </w:r>
      <w:r>
        <w:rPr>
          <w:rFonts w:ascii="Consolas" w:hAnsi="Consolas"/>
          <w:color w:val="0B2545"/>
          <w:sz w:val="18"/>
        </w:rPr>
        <w:t>locknote://reset-password</w:t>
      </w:r>
      <w:r>
        <w:br/>
      </w:r>
      <w:r>
        <w:rPr>
          <w:rFonts w:ascii="Consolas" w:hAnsi="Consolas"/>
          <w:color w:val="0B2545"/>
          <w:sz w:val="18"/>
        </w:rPr>
        <w:t>locknote://reset-lock-password</w:t>
      </w:r>
      <w:r>
        <w:br/>
      </w:r>
      <w:r>
        <w:rPr>
          <w:rFonts w:ascii="Consolas" w:hAnsi="Consolas"/>
          <w:color w:val="0B2545"/>
          <w:sz w:val="18"/>
        </w:rPr>
        <w:t>http://localhost:8081/**</w:t>
      </w:r>
    </w:p>
    <w:p>
      <w:pPr>
        <w:numPr>
          <w:ilvl w:val="0"/>
          <w:numId w:val="43"/>
        </w:numPr>
      </w:pPr>
      <w:r>
        <w:t>Keep localhost only for local web development.</w:t>
      </w:r>
    </w:p>
    <w:p>
      <w:pPr>
        <w:numPr>
          <w:ilvl w:val="0"/>
          <w:numId w:val="43"/>
        </w:numPr>
      </w:pPr>
      <w:r>
        <w:t>Add the deployed web app URL later, for example https://your-domain.example/**.</w:t>
      </w:r>
    </w:p>
    <w:p>
      <w:pPr>
        <w:numPr>
          <w:ilvl w:val="0"/>
          <w:numId w:val="43"/>
        </w:numPr>
      </w:pPr>
      <w:r>
        <w:t>Use the exact locknote scheme because app.config.js declares scheme: locknote.</w:t>
      </w:r>
    </w:p>
    <w:p>
      <w:r>
        <w:br w:type="page"/>
      </w:r>
    </w:p>
    <w:p>
      <w:pPr>
        <w:pStyle w:val="Heading1"/>
      </w:pPr>
      <w:r>
        <w:t>7. Verify the backend</w:t>
      </w:r>
    </w:p>
    <w:p>
      <w:r>
        <w:t>Use this checklist after deployment: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Table Editor shows profiles, shared_notes, note_members, private_folders, and private_notes.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Database Functions shows sync_private_data.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Edge Functions shows share-note as deployed.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Realtime includes shared_notes and note_members.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RLS is enabled on every account or collaboration table.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Authentication &gt; URL Configuration contains all native redirect URLs.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The Expo server was restarted after changing .env.</w:t>
      </w:r>
    </w:p>
    <w:p>
      <w:pPr>
        <w:pStyle w:val="Heading1"/>
      </w:pPr>
      <w:r>
        <w:t>8. Test LockNote end to end</w:t>
      </w:r>
    </w:p>
    <w:p>
      <w:pPr>
        <w:numPr>
          <w:ilvl w:val="0"/>
          <w:numId w:val="44"/>
        </w:numPr>
      </w:pPr>
      <w:r>
        <w:rPr>
          <w:b/>
        </w:rPr>
        <w:t xml:space="preserve">Register account A. </w:t>
      </w:r>
      <w:r>
        <w:t>Confirm its email if email confirmation is enabled, then sign in.</w:t>
      </w:r>
    </w:p>
    <w:p>
      <w:pPr>
        <w:numPr>
          <w:ilvl w:val="0"/>
          <w:numId w:val="44"/>
        </w:numPr>
      </w:pPr>
      <w:r>
        <w:rPr>
          <w:b/>
        </w:rPr>
        <w:t xml:space="preserve">Create private data. </w:t>
      </w:r>
      <w:r>
        <w:t>Add a folder and several note types, then run Profile &gt; Sync Notes.</w:t>
      </w:r>
    </w:p>
    <w:p>
      <w:pPr>
        <w:numPr>
          <w:ilvl w:val="0"/>
          <w:numId w:val="44"/>
        </w:numPr>
      </w:pPr>
      <w:r>
        <w:rPr>
          <w:b/>
        </w:rPr>
        <w:t xml:space="preserve">Test a second device or browser. </w:t>
      </w:r>
      <w:r>
        <w:t>Sign in as account A, run Sync Notes, and confirm the same folders and notes appear.</w:t>
      </w:r>
    </w:p>
    <w:p>
      <w:pPr>
        <w:numPr>
          <w:ilvl w:val="0"/>
          <w:numId w:val="44"/>
        </w:numPr>
      </w:pPr>
      <w:r>
        <w:rPr>
          <w:b/>
        </w:rPr>
        <w:t xml:space="preserve">Register account B. </w:t>
      </w:r>
      <w:r>
        <w:t>The collaborator must have a LockNote account before sharing by email can find it.</w:t>
      </w:r>
    </w:p>
    <w:p>
      <w:pPr>
        <w:numPr>
          <w:ilvl w:val="0"/>
          <w:numId w:val="44"/>
        </w:numPr>
      </w:pPr>
      <w:r>
        <w:rPr>
          <w:b/>
        </w:rPr>
        <w:t xml:space="preserve">Share from account A. </w:t>
      </w:r>
      <w:r>
        <w:t>Open a note, invite account B's normalized email address, and check that the share indicator appears on Home.</w:t>
      </w:r>
    </w:p>
    <w:p>
      <w:pPr>
        <w:numPr>
          <w:ilvl w:val="0"/>
          <w:numId w:val="44"/>
        </w:numPr>
      </w:pPr>
      <w:r>
        <w:rPr>
          <w:b/>
        </w:rPr>
        <w:t xml:space="preserve">Edit as account B. </w:t>
      </w:r>
      <w:r>
        <w:t>Open the Shared tab, edit the note, and confirm account A receives the saved update and sees the last-editor footer.</w:t>
      </w:r>
    </w:p>
    <w:p>
      <w:pPr>
        <w:numPr>
          <w:ilvl w:val="0"/>
          <w:numId w:val="44"/>
        </w:numPr>
      </w:pPr>
      <w:r>
        <w:rPr>
          <w:b/>
        </w:rPr>
        <w:t xml:space="preserve">Test recovery. </w:t>
      </w:r>
      <w:r>
        <w:t>Request account-password and LockNote-password reset emails and confirm each callback opens the correct in-app flow.</w:t>
      </w:r>
    </w:p>
    <w:p>
      <w:pPr>
        <w:pStyle w:val="Heading2"/>
      </w:pPr>
      <w:r>
        <w:t>How LockNote sync behaves</w:t>
      </w:r>
    </w:p>
    <w:p>
      <w:pPr>
        <w:numPr>
          <w:ilvl w:val="0"/>
          <w:numId w:val="43"/>
        </w:numPr>
      </w:pPr>
      <w:r>
        <w:t>Editing is local and offline-first; manual Sync Notes is the explicit private-data cloud action.</w:t>
      </w:r>
    </w:p>
    <w:p>
      <w:pPr>
        <w:numPr>
          <w:ilvl w:val="0"/>
          <w:numId w:val="43"/>
        </w:numPr>
      </w:pPr>
      <w:r>
        <w:t>Folders are applied before notes so folder relationships remain valid.</w:t>
      </w:r>
    </w:p>
    <w:p>
      <w:pPr>
        <w:numPr>
          <w:ilvl w:val="0"/>
          <w:numId w:val="43"/>
        </w:numPr>
      </w:pPr>
      <w:r>
        <w:t>A null folder_id means a note belongs on Home.</w:t>
      </w:r>
    </w:p>
    <w:p>
      <w:pPr>
        <w:numPr>
          <w:ilvl w:val="0"/>
          <w:numId w:val="43"/>
        </w:numPr>
      </w:pPr>
      <w:r>
        <w:t>Deletion tombstones prevent an older device from restoring deleted content during a later sync.</w:t>
      </w:r>
    </w:p>
    <w:p>
      <w:pPr>
        <w:numPr>
          <w:ilvl w:val="0"/>
          <w:numId w:val="43"/>
        </w:numPr>
      </w:pPr>
      <w:r>
        <w:t>Shared-with-me notes are excluded from private sync because collaboration is their source of truth.</w:t>
      </w:r>
    </w:p>
    <w:p>
      <w:r>
        <w:br w:type="page"/>
      </w:r>
    </w:p>
    <w:p>
      <w:pPr>
        <w:pStyle w:val="Heading1"/>
      </w:pPr>
      <w:r>
        <w:t>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20" w:type="dxa"/>
              <w:start w:w="180" w:type="dxa"/>
              <w:bottom w:w="120" w:type="dxa"/>
              <w:end w:w="18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Symptom</w:t>
            </w:r>
          </w:p>
        </w:tc>
        <w:tc>
          <w:tcPr>
            <w:tcW w:type="dxa" w:w="6660"/>
            <w:tcMar>
              <w:top w:w="120" w:type="dxa"/>
              <w:start w:w="180" w:type="dxa"/>
              <w:bottom w:w="120" w:type="dxa"/>
              <w:end w:w="18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What to check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Account services are not configured correctly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Check SUPABASE_URL and SUPABASE_ANON_KEY, remove accidental quotes or spaces, then restart Expo with --clear.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The CLI will not link or push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Confirm you are logged in, the project reference is correct, and any password prompt is answered with the database password rather than the publishable key.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 confirmation or reset link opens the wrong place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Add the exact callback to Authentication &gt; URL Configuration and make sure the link uses the locknote scheme on native.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Sharing cannot find an email address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The invited person must register first. Confirm the profiles trigger/backfill migration ran and the email is normalized.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 shared note does not refresh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Confirm Realtime publication includes shared_notes and note_members, then verify both devices have valid sessions.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Sync fails with a permission error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Check that RLS policies were created and the request uses the signed-in user's session, not a missing or expired session.</w:t>
            </w:r>
          </w:p>
        </w:tc>
      </w:tr>
    </w:tbl>
    <w:p>
      <w:pPr>
        <w:spacing w:before="100" w:after="180" w:line="283" w:lineRule="auto"/>
        <w:ind w:left="202" w:right="115"/>
        <w:shd w:fill="FFF2F2"/>
        <w:pBdr>
          <w:left w:val="single" w:sz="18" w:space="9" w:color="9B1C1C"/>
        </w:pBdr>
      </w:pPr>
      <w:r>
        <w:rPr>
          <w:rFonts w:ascii="Calibri" w:hAnsi="Calibri"/>
          <w:b/>
          <w:color w:val="9B1C1C"/>
          <w:sz w:val="21"/>
        </w:rPr>
        <w:t xml:space="preserve">Avoid destructive commands  </w:t>
      </w:r>
      <w:r>
        <w:rPr>
          <w:rFonts w:ascii="Calibri" w:hAnsi="Calibri"/>
          <w:color w:val="9B1C1C"/>
          <w:sz w:val="21"/>
        </w:rPr>
        <w:t>Do not run db reset --linked against a real project unless you deliberately intend to erase and rebuild its remote database.</w:t>
      </w:r>
    </w:p>
    <w:p>
      <w:pPr>
        <w:pStyle w:val="Heading1"/>
      </w:pPr>
      <w:r>
        <w:t>My setup status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Environment variables saved locally; no secrets committed.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Supabase CLI initialized, authenticated, and linked.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Dry run reviewed and migrations deployed.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share-note Edge Function deployed.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Auth redirect URLs configured.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Registration, confirmation, sign-in, persistence, and recovery tested.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Private sync tested between two clients.</w:t>
      </w:r>
    </w:p>
    <w:p>
      <w:pPr>
        <w:spacing w:after="80"/>
        <w:ind w:left="259" w:hanging="259"/>
      </w:pPr>
      <w:r>
        <w:rPr>
          <w:rFonts w:ascii="Consolas" w:hAnsi="Consolas"/>
          <w:b/>
          <w:color w:val="2E74B5"/>
          <w:sz w:val="21"/>
        </w:rPr>
        <w:t xml:space="preserve">[ ]  </w:t>
      </w:r>
      <w:r>
        <w:t>Sharing tested with two separate registered accounts.</w:t>
      </w:r>
    </w:p>
    <w:p>
      <w:pPr>
        <w:pStyle w:val="Heading1"/>
      </w:pPr>
      <w:r>
        <w:t>Official references</w:t>
      </w:r>
    </w:p>
    <w:p>
      <w:pPr>
        <w:numPr>
          <w:ilvl w:val="0"/>
          <w:numId w:val="43"/>
        </w:numPr>
      </w:pPr>
      <w:hyperlink r:id="rId11">
        <w:r>
          <w:rPr>
            <w:rFonts w:ascii="Calibri" w:hAnsi="Calibri"/>
            <w:color w:val="2E74B5"/>
            <w:u w:val="single"/>
          </w:rPr>
          <w:t>Supabase CLI workflow</w:t>
        </w:r>
      </w:hyperlink>
    </w:p>
    <w:p>
      <w:pPr>
        <w:numPr>
          <w:ilvl w:val="0"/>
          <w:numId w:val="43"/>
        </w:numPr>
      </w:pPr>
      <w:hyperlink r:id="rId12">
        <w:r>
          <w:rPr>
            <w:rFonts w:ascii="Calibri" w:hAnsi="Calibri"/>
            <w:color w:val="2E74B5"/>
            <w:u w:val="single"/>
          </w:rPr>
          <w:t>Database migrations</w:t>
        </w:r>
      </w:hyperlink>
    </w:p>
    <w:p>
      <w:pPr>
        <w:numPr>
          <w:ilvl w:val="0"/>
          <w:numId w:val="43"/>
        </w:numPr>
      </w:pPr>
      <w:hyperlink r:id="rId13">
        <w:r>
          <w:rPr>
            <w:rFonts w:ascii="Calibri" w:hAnsi="Calibri"/>
            <w:color w:val="2E74B5"/>
            <w:u w:val="single"/>
          </w:rPr>
          <w:t>Deploy Edge Functions</w:t>
        </w:r>
      </w:hyperlink>
    </w:p>
    <w:p>
      <w:pPr>
        <w:numPr>
          <w:ilvl w:val="0"/>
          <w:numId w:val="43"/>
        </w:numPr>
      </w:pPr>
      <w:hyperlink r:id="rId14">
        <w:r>
          <w:rPr>
            <w:rFonts w:ascii="Calibri" w:hAnsi="Calibri"/>
            <w:color w:val="2E74B5"/>
            <w:u w:val="single"/>
          </w:rPr>
          <w:t>Auth redirect URLs</w:t>
        </w:r>
      </w:hyperlink>
    </w:p>
    <w:p>
      <w:pPr>
        <w:numPr>
          <w:ilvl w:val="0"/>
          <w:numId w:val="43"/>
        </w:numPr>
      </w:pPr>
      <w:hyperlink r:id="rId15">
        <w:r>
          <w:rPr>
            <w:rFonts w:ascii="Calibri" w:hAnsi="Calibri"/>
            <w:color w:val="2E74B5"/>
            <w:u w:val="single"/>
          </w:rPr>
          <w:t>Native mobile deep linking</w:t>
        </w:r>
      </w:hyperlink>
    </w:p>
    <w:p>
      <w:pPr>
        <w:numPr>
          <w:ilvl w:val="0"/>
          <w:numId w:val="43"/>
        </w:numPr>
      </w:pPr>
      <w:hyperlink r:id="rId16">
        <w:r>
          <w:rPr>
            <w:rFonts w:ascii="Calibri" w:hAnsi="Calibri"/>
            <w:color w:val="2E74B5"/>
            <w:u w:val="single"/>
          </w:rPr>
          <w:t>Expo React Native quickstart</w:t>
        </w:r>
      </w:hyperlink>
    </w:p>
    <w:p>
      <w:pPr>
        <w:spacing w:before="240" w:after="0"/>
        <w:jc w:val="center"/>
      </w:pPr>
      <w:r>
        <w:rPr>
          <w:rFonts w:ascii="Calibri" w:hAnsi="Calibri"/>
          <w:i/>
          <w:color w:val="5E6B7A"/>
          <w:sz w:val="18"/>
        </w:rPr>
        <w:t>Prepared as personal learning notes for the LockNote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E6B7A"/>
        <w:sz w:val="17"/>
      </w:rPr>
      <w:t xml:space="preserve">PERSONAL REFERENCE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E6B7A"/>
        <w:sz w:val="17"/>
      </w:rPr>
      <w:t>LOCKNOTE  /  SUPABASE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abase.com/docs/guides/local-development/cli-workflows" TargetMode="External"/><Relationship Id="rId12" Type="http://schemas.openxmlformats.org/officeDocument/2006/relationships/hyperlink" Target="https://supabase.com/docs/guides/local-development/database-migrations" TargetMode="External"/><Relationship Id="rId13" Type="http://schemas.openxmlformats.org/officeDocument/2006/relationships/hyperlink" Target="https://supabase.com/docs/guides/functions/deploy" TargetMode="External"/><Relationship Id="rId14" Type="http://schemas.openxmlformats.org/officeDocument/2006/relationships/hyperlink" Target="https://supabase.com/docs/guides/auth/redirect-urls" TargetMode="External"/><Relationship Id="rId15" Type="http://schemas.openxmlformats.org/officeDocument/2006/relationships/hyperlink" Target="https://supabase.com/docs/guides/auth/native-mobile-deep-linking" TargetMode="External"/><Relationship Id="rId16" Type="http://schemas.openxmlformats.org/officeDocument/2006/relationships/hyperlink" Target="https://supabase.com/docs/guides/getting-started/quickstarts/expo-react-n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Supabase Setup for LockNote</dc:title>
  <dc:subject>Personal learning notes for Supabase authentication, sync, and sharing</dc:subject>
  <dc:creator>LockNote</dc:creator>
  <cp:keywords>Supabase, LockNote, Expo, authentication, database, RLS, sync, sharing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