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rPr>
          <w:rFonts w:ascii="微软雅黑" w:eastAsia="微软雅黑" w:hAnsi="微软雅黑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可</w:t>
      </w:r>
      <w:r>
        <w:rPr>
          <w:rFonts w:ascii="微软雅黑" w:eastAsia="微软雅黑" w:hAnsi="微软雅黑"/>
          <w:sz w:val="52"/>
          <w:szCs w:val="52"/>
        </w:rPr>
        <w:t>转债产品</w:t>
      </w: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起</w:t>
      </w:r>
      <w:r>
        <w:rPr>
          <w:rFonts w:ascii="微软雅黑" w:eastAsia="微软雅黑" w:hAnsi="微软雅黑"/>
          <w:sz w:val="52"/>
          <w:szCs w:val="52"/>
        </w:rPr>
        <w:t>息日后台控制</w:t>
      </w: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产品需求文档</w:t>
      </w:r>
    </w:p>
    <w:p w:rsidR="003E116D" w:rsidRP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:rsidR="003E116D" w:rsidRDefault="003E116D" w:rsidP="003E116D">
      <w:pPr>
        <w:pStyle w:val="a5"/>
        <w:adjustRightInd w:val="0"/>
        <w:spacing w:after="120"/>
        <w:ind w:leftChars="-266" w:left="-559" w:firstLine="0"/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r>
        <w:rPr>
          <w:rFonts w:ascii="微软雅黑" w:eastAsia="微软雅黑" w:hAnsi="微软雅黑" w:hint="eastAsia"/>
          <w:i/>
          <w:iCs/>
          <w:sz w:val="28"/>
          <w:szCs w:val="28"/>
        </w:rPr>
        <w:t xml:space="preserve">   </w:t>
      </w:r>
      <w:r>
        <w:rPr>
          <w:rFonts w:ascii="微软雅黑" w:eastAsia="微软雅黑" w:hAnsi="微软雅黑"/>
          <w:i/>
          <w:iCs/>
          <w:sz w:val="28"/>
          <w:szCs w:val="28"/>
        </w:rPr>
        <w:t>20</w:t>
      </w:r>
      <w:r>
        <w:rPr>
          <w:rFonts w:ascii="微软雅黑" w:eastAsia="微软雅黑" w:hAnsi="微软雅黑" w:hint="eastAsia"/>
          <w:i/>
          <w:iCs/>
          <w:sz w:val="28"/>
          <w:szCs w:val="28"/>
        </w:rPr>
        <w:t>1</w:t>
      </w:r>
      <w:r>
        <w:rPr>
          <w:rFonts w:ascii="微软雅黑" w:eastAsia="微软雅黑" w:hAnsi="微软雅黑"/>
          <w:i/>
          <w:iCs/>
          <w:sz w:val="28"/>
          <w:szCs w:val="28"/>
        </w:rPr>
        <w:t>8</w:t>
      </w:r>
      <w:r>
        <w:rPr>
          <w:rFonts w:ascii="微软雅黑" w:eastAsia="微软雅黑" w:hAnsi="微软雅黑" w:hint="eastAsia"/>
          <w:i/>
          <w:iCs/>
          <w:sz w:val="28"/>
          <w:szCs w:val="28"/>
        </w:rPr>
        <w:t>年</w:t>
      </w:r>
      <w:r>
        <w:rPr>
          <w:rFonts w:ascii="微软雅黑" w:eastAsia="微软雅黑" w:hAnsi="微软雅黑"/>
          <w:i/>
          <w:iCs/>
          <w:sz w:val="28"/>
          <w:szCs w:val="28"/>
        </w:rPr>
        <w:t>5</w:t>
      </w:r>
      <w:r>
        <w:rPr>
          <w:rFonts w:ascii="微软雅黑" w:eastAsia="微软雅黑" w:hAnsi="微软雅黑" w:hint="eastAsia"/>
          <w:i/>
          <w:iCs/>
          <w:sz w:val="28"/>
          <w:szCs w:val="28"/>
        </w:rPr>
        <w:t>月</w:t>
      </w:r>
      <w:r>
        <w:rPr>
          <w:rFonts w:ascii="微软雅黑" w:eastAsia="微软雅黑" w:hAnsi="微软雅黑"/>
          <w:i/>
          <w:iCs/>
          <w:sz w:val="28"/>
          <w:szCs w:val="28"/>
        </w:rPr>
        <w:t>4</w:t>
      </w:r>
      <w:r>
        <w:rPr>
          <w:rFonts w:ascii="微软雅黑" w:eastAsia="微软雅黑" w:hAnsi="微软雅黑" w:hint="eastAsia"/>
          <w:i/>
          <w:iCs/>
          <w:sz w:val="28"/>
          <w:szCs w:val="28"/>
        </w:rPr>
        <w:t>日</w:t>
      </w:r>
    </w:p>
    <w:p w:rsidR="003E116D" w:rsidRDefault="003E116D" w:rsidP="003E116D">
      <w:pPr>
        <w:pStyle w:val="DocTitle"/>
        <w:spacing w:afterLines="0" w:line="360" w:lineRule="auto"/>
        <w:jc w:val="both"/>
        <w:rPr>
          <w:rFonts w:ascii="微软雅黑" w:eastAsia="微软雅黑" w:hAnsi="微软雅黑"/>
          <w:sz w:val="30"/>
          <w:szCs w:val="30"/>
        </w:rPr>
      </w:pPr>
    </w:p>
    <w:p w:rsidR="003E116D" w:rsidRDefault="003E116D" w:rsidP="003E116D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修订：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510"/>
        <w:gridCol w:w="3402"/>
        <w:gridCol w:w="1276"/>
        <w:gridCol w:w="1276"/>
      </w:tblGrid>
      <w:tr w:rsidR="003E116D" w:rsidTr="00415987">
        <w:trPr>
          <w:trHeight w:val="49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编写者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审核者</w:t>
            </w:r>
          </w:p>
        </w:tc>
      </w:tr>
      <w:tr w:rsidR="003E116D" w:rsidTr="0041598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3E116D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王慧芳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6D" w:rsidRDefault="003E116D" w:rsidP="00415987">
            <w:pPr>
              <w:pStyle w:val="tableentry"/>
              <w:spacing w:beforeLines="0" w:afterLines="0" w:line="360" w:lineRule="auto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E116D" w:rsidRDefault="003E116D" w:rsidP="003E116D">
      <w:pPr>
        <w:spacing w:line="360" w:lineRule="auto"/>
        <w:rPr>
          <w:rFonts w:ascii="微软雅黑" w:eastAsia="微软雅黑" w:hAnsi="微软雅黑"/>
        </w:rPr>
      </w:pPr>
    </w:p>
    <w:p w:rsidR="003E116D" w:rsidRDefault="003E116D" w:rsidP="003E116D">
      <w:pPr>
        <w:spacing w:line="360" w:lineRule="auto"/>
        <w:rPr>
          <w:rFonts w:ascii="微软雅黑" w:eastAsia="微软雅黑" w:hAnsi="微软雅黑"/>
        </w:rPr>
      </w:pPr>
    </w:p>
    <w:p w:rsidR="003E116D" w:rsidRDefault="003E116D" w:rsidP="003E116D">
      <w:pPr>
        <w:spacing w:line="360" w:lineRule="auto"/>
        <w:jc w:val="center"/>
        <w:rPr>
          <w:rFonts w:ascii="微软雅黑" w:eastAsia="微软雅黑" w:hAnsi="微软雅黑"/>
        </w:rPr>
      </w:pPr>
    </w:p>
    <w:p w:rsidR="003E116D" w:rsidRDefault="003E116D" w:rsidP="003E116D">
      <w:pPr>
        <w:tabs>
          <w:tab w:val="left" w:pos="358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116D" w:rsidRDefault="003E116D" w:rsidP="003E116D">
      <w:pPr>
        <w:pStyle w:val="TOC1"/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lastRenderedPageBreak/>
        <w:t>目录</w:t>
      </w:r>
    </w:p>
    <w:p w:rsidR="003E116D" w:rsidRDefault="003E116D" w:rsidP="003E116D">
      <w:pPr>
        <w:pStyle w:val="10"/>
        <w:tabs>
          <w:tab w:val="clear" w:pos="8353"/>
          <w:tab w:val="right" w:leader="dot" w:pos="8364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\o "1-4" \h \z \u </w:instrText>
      </w:r>
      <w:r>
        <w:rPr>
          <w:rFonts w:ascii="微软雅黑" w:eastAsia="微软雅黑" w:hAnsi="微软雅黑"/>
        </w:rPr>
        <w:fldChar w:fldCharType="separate"/>
      </w:r>
      <w:hyperlink w:anchor="_Toc3021" w:history="1">
        <w:r>
          <w:rPr>
            <w:rFonts w:ascii="微软雅黑" w:eastAsia="微软雅黑" w:hAnsi="微软雅黑" w:hint="eastAsia"/>
          </w:rPr>
          <w:t>功能需求说明</w:t>
        </w:r>
        <w:r>
          <w:tab/>
        </w:r>
        <w:fldSimple w:instr=" PAGEREF _Toc3021 ">
          <w:r>
            <w:t>4</w:t>
          </w:r>
        </w:fldSimple>
      </w:hyperlink>
    </w:p>
    <w:p w:rsidR="003E116D" w:rsidRDefault="00E5015B" w:rsidP="003E116D">
      <w:pPr>
        <w:pStyle w:val="20"/>
        <w:tabs>
          <w:tab w:val="clear" w:pos="8353"/>
          <w:tab w:val="right" w:leader="dot" w:pos="8364"/>
        </w:tabs>
      </w:pPr>
      <w:hyperlink w:anchor="_Toc17668" w:history="1">
        <w:r w:rsidR="003E116D">
          <w:rPr>
            <w:rFonts w:ascii="微软雅黑" w:eastAsia="微软雅黑" w:hAnsi="微软雅黑"/>
          </w:rPr>
          <w:t xml:space="preserve">1.1 </w:t>
        </w:r>
        <w:r w:rsidR="003E116D">
          <w:rPr>
            <w:rFonts w:ascii="微软雅黑" w:eastAsia="微软雅黑" w:hAnsi="微软雅黑" w:hint="eastAsia"/>
          </w:rPr>
          <w:t>需求概要</w:t>
        </w:r>
        <w:r w:rsidR="003E116D">
          <w:tab/>
        </w:r>
        <w:fldSimple w:instr=" PAGEREF _Toc17668 ">
          <w:r w:rsidR="003E116D">
            <w:t>4</w:t>
          </w:r>
        </w:fldSimple>
      </w:hyperlink>
    </w:p>
    <w:p w:rsidR="003E116D" w:rsidRDefault="00E5015B" w:rsidP="003E116D">
      <w:pPr>
        <w:pStyle w:val="20"/>
        <w:tabs>
          <w:tab w:val="clear" w:pos="8353"/>
          <w:tab w:val="right" w:leader="dot" w:pos="8364"/>
        </w:tabs>
      </w:pPr>
      <w:hyperlink w:anchor="_Toc25998" w:history="1">
        <w:r w:rsidR="003E116D">
          <w:rPr>
            <w:rFonts w:ascii="微软雅黑" w:eastAsia="微软雅黑" w:hAnsi="微软雅黑"/>
            <w:szCs w:val="22"/>
          </w:rPr>
          <w:t xml:space="preserve">1.2 </w:t>
        </w:r>
        <w:r w:rsidR="003E116D">
          <w:rPr>
            <w:rFonts w:ascii="微软雅黑" w:eastAsia="微软雅黑" w:hAnsi="微软雅黑" w:hint="eastAsia"/>
            <w:szCs w:val="22"/>
          </w:rPr>
          <w:t>操作流程</w:t>
        </w:r>
        <w:r w:rsidR="003E116D">
          <w:tab/>
        </w:r>
        <w:fldSimple w:instr=" PAGEREF _Toc25998 ">
          <w:r w:rsidR="003E116D">
            <w:t>4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3666" w:history="1">
        <w:r w:rsidR="003E116D">
          <w:rPr>
            <w:rFonts w:ascii="微软雅黑" w:eastAsia="微软雅黑" w:hAnsi="微软雅黑" w:hint="eastAsia"/>
          </w:rPr>
          <w:t>1.2.1 类固收交易流程</w:t>
        </w:r>
        <w:r w:rsidR="003E116D">
          <w:tab/>
        </w:r>
        <w:fldSimple w:instr=" PAGEREF _Toc3666 ">
          <w:r w:rsidR="003E116D">
            <w:t>4</w:t>
          </w:r>
        </w:fldSimple>
      </w:hyperlink>
    </w:p>
    <w:p w:rsidR="003E116D" w:rsidRDefault="00E5015B" w:rsidP="003E116D">
      <w:pPr>
        <w:pStyle w:val="20"/>
        <w:tabs>
          <w:tab w:val="clear" w:pos="8353"/>
          <w:tab w:val="right" w:leader="dot" w:pos="8364"/>
        </w:tabs>
      </w:pPr>
      <w:hyperlink w:anchor="_Toc26636" w:history="1">
        <w:r w:rsidR="003E116D">
          <w:rPr>
            <w:rFonts w:ascii="微软雅黑" w:eastAsia="微软雅黑" w:hAnsi="微软雅黑"/>
          </w:rPr>
          <w:t xml:space="preserve">1.3 </w:t>
        </w:r>
        <w:r w:rsidR="003E116D">
          <w:rPr>
            <w:rFonts w:ascii="微软雅黑" w:eastAsia="微软雅黑" w:hAnsi="微软雅黑" w:hint="eastAsia"/>
          </w:rPr>
          <w:t>星火后台功能描述</w:t>
        </w:r>
        <w:r w:rsidR="003E116D">
          <w:tab/>
        </w:r>
        <w:fldSimple w:instr=" PAGEREF _Toc26636 ">
          <w:r w:rsidR="003E116D">
            <w:t>4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17721" w:history="1">
        <w:r w:rsidR="003E116D">
          <w:rPr>
            <w:rFonts w:ascii="微软雅黑" w:eastAsia="微软雅黑" w:hAnsi="微软雅黑" w:hint="eastAsia"/>
          </w:rPr>
          <w:t>1.3.1 自营类固收交易</w:t>
        </w:r>
        <w:r w:rsidR="003E116D">
          <w:tab/>
        </w:r>
        <w:fldSimple w:instr=" PAGEREF _Toc17721 ">
          <w:r w:rsidR="003E116D">
            <w:t>5</w:t>
          </w:r>
        </w:fldSimple>
      </w:hyperlink>
    </w:p>
    <w:p w:rsidR="003E116D" w:rsidRDefault="00E5015B" w:rsidP="003E116D">
      <w:pPr>
        <w:pStyle w:val="40"/>
        <w:tabs>
          <w:tab w:val="clear" w:pos="8354"/>
          <w:tab w:val="right" w:leader="dot" w:pos="8364"/>
        </w:tabs>
      </w:pPr>
      <w:hyperlink w:anchor="_Toc31568" w:history="1">
        <w:r w:rsidR="003E116D">
          <w:rPr>
            <w:rFonts w:ascii="微软雅黑" w:eastAsia="微软雅黑" w:hAnsi="微软雅黑" w:cs="微软雅黑" w:hint="eastAsia"/>
          </w:rPr>
          <w:t>1.3.1.1 后台参数配置</w:t>
        </w:r>
        <w:r w:rsidR="003E116D">
          <w:tab/>
        </w:r>
        <w:fldSimple w:instr=" PAGEREF _Toc31568 ">
          <w:r w:rsidR="003E116D">
            <w:t>5</w:t>
          </w:r>
        </w:fldSimple>
      </w:hyperlink>
    </w:p>
    <w:p w:rsidR="003E116D" w:rsidRDefault="00E5015B" w:rsidP="003E116D">
      <w:pPr>
        <w:pStyle w:val="40"/>
        <w:tabs>
          <w:tab w:val="clear" w:pos="8354"/>
          <w:tab w:val="right" w:leader="dot" w:pos="8364"/>
        </w:tabs>
      </w:pPr>
      <w:hyperlink w:anchor="_Toc2594" w:history="1">
        <w:r w:rsidR="003E116D">
          <w:rPr>
            <w:rFonts w:ascii="微软雅黑" w:eastAsia="微软雅黑" w:hAnsi="微软雅黑" w:cs="微软雅黑" w:hint="eastAsia"/>
          </w:rPr>
          <w:t>1.3.1.2 安享-融通宝支付接口</w:t>
        </w:r>
        <w:r w:rsidR="003E116D">
          <w:tab/>
        </w:r>
        <w:fldSimple w:instr=" PAGEREF _Toc2594 ">
          <w:r w:rsidR="003E116D">
            <w:t>5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15511" w:history="1">
        <w:r w:rsidR="003E116D">
          <w:rPr>
            <w:rFonts w:ascii="微软雅黑" w:eastAsia="微软雅黑" w:hAnsi="微软雅黑" w:cs="微软雅黑" w:hint="eastAsia"/>
            <w:kern w:val="0"/>
            <w:szCs w:val="22"/>
          </w:rPr>
          <w:t>1.3.2 非P2P项目管理-产品中心</w:t>
        </w:r>
        <w:r w:rsidR="003E116D">
          <w:tab/>
        </w:r>
        <w:fldSimple w:instr=" PAGEREF _Toc15511 ">
          <w:r w:rsidR="003E116D">
            <w:t>5</w:t>
          </w:r>
        </w:fldSimple>
      </w:hyperlink>
    </w:p>
    <w:p w:rsidR="003E116D" w:rsidRDefault="00E5015B" w:rsidP="003E116D">
      <w:pPr>
        <w:pStyle w:val="40"/>
        <w:tabs>
          <w:tab w:val="clear" w:pos="8354"/>
          <w:tab w:val="right" w:leader="dot" w:pos="8364"/>
        </w:tabs>
      </w:pPr>
      <w:hyperlink w:anchor="_Toc29157" w:history="1">
        <w:r w:rsidR="003E116D">
          <w:rPr>
            <w:rFonts w:ascii="微软雅黑" w:eastAsia="微软雅黑" w:hAnsi="微软雅黑" w:cs="微软雅黑" w:hint="eastAsia"/>
          </w:rPr>
          <w:t>1.3.2.1 交易单&amp;认购</w:t>
        </w:r>
        <w:r w:rsidR="003E116D">
          <w:tab/>
        </w:r>
        <w:fldSimple w:instr=" PAGEREF _Toc29157 ">
          <w:r w:rsidR="003E116D">
            <w:t>7</w:t>
          </w:r>
        </w:fldSimple>
      </w:hyperlink>
    </w:p>
    <w:p w:rsidR="003E116D" w:rsidRDefault="00E5015B" w:rsidP="003E116D">
      <w:pPr>
        <w:pStyle w:val="40"/>
        <w:tabs>
          <w:tab w:val="clear" w:pos="8354"/>
          <w:tab w:val="right" w:leader="dot" w:pos="8364"/>
        </w:tabs>
      </w:pPr>
      <w:hyperlink w:anchor="_Toc28580" w:history="1">
        <w:r w:rsidR="003E116D">
          <w:rPr>
            <w:rFonts w:ascii="微软雅黑" w:eastAsia="微软雅黑" w:hAnsi="微软雅黑" w:cs="微软雅黑" w:hint="eastAsia"/>
          </w:rPr>
          <w:t>1.3.2.2 协议变更</w:t>
        </w:r>
        <w:r w:rsidR="003E116D">
          <w:tab/>
        </w:r>
        <w:fldSimple w:instr=" PAGEREF _Toc28580 ">
          <w:r w:rsidR="003E116D">
            <w:t>11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21087" w:history="1">
        <w:r w:rsidR="003E116D">
          <w:rPr>
            <w:rFonts w:ascii="微软雅黑" w:eastAsia="微软雅黑" w:hAnsi="微软雅黑" w:hint="eastAsia"/>
          </w:rPr>
          <w:t>1.3.3 类固收退款</w:t>
        </w:r>
        <w:r w:rsidR="003E116D">
          <w:tab/>
        </w:r>
        <w:fldSimple w:instr=" PAGEREF _Toc21087 ">
          <w:r w:rsidR="003E116D">
            <w:t>12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14203" w:history="1">
        <w:r w:rsidR="003E116D">
          <w:rPr>
            <w:rFonts w:ascii="微软雅黑" w:eastAsia="微软雅黑" w:hAnsi="微软雅黑" w:hint="eastAsia"/>
          </w:rPr>
          <w:t>1.3.4 类固收交易取消</w:t>
        </w:r>
        <w:r w:rsidR="003E116D">
          <w:tab/>
        </w:r>
        <w:fldSimple w:instr=" PAGEREF _Toc14203 ">
          <w:r w:rsidR="003E116D">
            <w:t>14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15538" w:history="1">
        <w:r w:rsidR="003E116D">
          <w:rPr>
            <w:rFonts w:ascii="微软雅黑" w:eastAsia="微软雅黑" w:hAnsi="微软雅黑" w:hint="eastAsia"/>
          </w:rPr>
          <w:t>1.3.5 工作日历</w:t>
        </w:r>
        <w:r w:rsidR="003E116D">
          <w:tab/>
        </w:r>
        <w:fldSimple w:instr=" PAGEREF _Toc15538 ">
          <w:r w:rsidR="003E116D">
            <w:t>14</w:t>
          </w:r>
        </w:fldSimple>
      </w:hyperlink>
    </w:p>
    <w:p w:rsidR="003E116D" w:rsidRDefault="00E5015B" w:rsidP="003E116D">
      <w:pPr>
        <w:pStyle w:val="20"/>
        <w:tabs>
          <w:tab w:val="clear" w:pos="8353"/>
          <w:tab w:val="right" w:leader="dot" w:pos="8364"/>
        </w:tabs>
      </w:pPr>
      <w:hyperlink w:anchor="_Toc14876" w:history="1">
        <w:r w:rsidR="003E116D">
          <w:rPr>
            <w:rFonts w:ascii="微软雅黑" w:eastAsia="微软雅黑" w:hAnsi="微软雅黑"/>
          </w:rPr>
          <w:t xml:space="preserve">1.4 </w:t>
        </w:r>
        <w:r w:rsidR="003E116D">
          <w:rPr>
            <w:rFonts w:ascii="微软雅黑" w:eastAsia="微软雅黑" w:hAnsi="微软雅黑" w:hint="eastAsia"/>
          </w:rPr>
          <w:t>附</w:t>
        </w:r>
        <w:r w:rsidR="003E116D">
          <w:tab/>
        </w:r>
        <w:fldSimple w:instr=" PAGEREF _Toc14876 ">
          <w:r w:rsidR="003E116D">
            <w:t>15</w:t>
          </w:r>
        </w:fldSimple>
      </w:hyperlink>
    </w:p>
    <w:p w:rsidR="003E116D" w:rsidRDefault="00E5015B" w:rsidP="003E116D">
      <w:pPr>
        <w:pStyle w:val="30"/>
        <w:tabs>
          <w:tab w:val="clear" w:pos="8353"/>
          <w:tab w:val="right" w:leader="dot" w:pos="8364"/>
        </w:tabs>
      </w:pPr>
      <w:hyperlink w:anchor="_Toc23200" w:history="1">
        <w:r w:rsidR="003E116D">
          <w:rPr>
            <w:rFonts w:ascii="微软雅黑" w:eastAsia="微软雅黑" w:hAnsi="微软雅黑" w:hint="eastAsia"/>
          </w:rPr>
          <w:t>1.4.1 产品</w:t>
        </w:r>
        <w:r w:rsidR="003E116D">
          <w:rPr>
            <w:rFonts w:ascii="微软雅黑" w:eastAsia="微软雅黑" w:hAnsi="微软雅黑"/>
          </w:rPr>
          <w:t>中心</w:t>
        </w:r>
        <w:r w:rsidR="003E116D">
          <w:rPr>
            <w:rFonts w:ascii="微软雅黑" w:eastAsia="微软雅黑" w:hAnsi="微软雅黑" w:hint="eastAsia"/>
          </w:rPr>
          <w:t>接口</w:t>
        </w:r>
        <w:r w:rsidR="003E116D">
          <w:tab/>
        </w:r>
        <w:fldSimple w:instr=" PAGEREF _Toc23200 ">
          <w:r w:rsidR="003E116D">
            <w:t>15</w:t>
          </w:r>
        </w:fldSimple>
      </w:hyperlink>
    </w:p>
    <w:p w:rsidR="003E116D" w:rsidRDefault="003E116D" w:rsidP="003E116D">
      <w:pPr>
        <w:pStyle w:val="40"/>
        <w:tabs>
          <w:tab w:val="clear" w:pos="8354"/>
          <w:tab w:val="right" w:leader="dot" w:pos="8364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3E116D" w:rsidRDefault="003E116D" w:rsidP="003E116D">
      <w:pPr>
        <w:pStyle w:val="1"/>
        <w:numPr>
          <w:ilvl w:val="0"/>
          <w:numId w:val="0"/>
        </w:numPr>
        <w:rPr>
          <w:rFonts w:ascii="微软雅黑" w:eastAsia="微软雅黑" w:hAnsi="微软雅黑"/>
        </w:rPr>
      </w:pPr>
      <w:bookmarkStart w:id="0" w:name="_Toc404858711"/>
      <w:bookmarkStart w:id="1" w:name="_Toc3021"/>
      <w:r>
        <w:rPr>
          <w:rFonts w:ascii="微软雅黑" w:eastAsia="微软雅黑" w:hAnsi="微软雅黑" w:hint="eastAsia"/>
        </w:rPr>
        <w:lastRenderedPageBreak/>
        <w:t>功能需求说明</w:t>
      </w:r>
      <w:bookmarkEnd w:id="0"/>
      <w:bookmarkEnd w:id="1"/>
    </w:p>
    <w:p w:rsidR="003E116D" w:rsidRDefault="003E116D" w:rsidP="003E116D">
      <w:pPr>
        <w:pStyle w:val="2"/>
        <w:jc w:val="both"/>
        <w:rPr>
          <w:rFonts w:ascii="微软雅黑" w:eastAsia="微软雅黑" w:hAnsi="微软雅黑"/>
        </w:rPr>
      </w:pPr>
      <w:bookmarkStart w:id="2" w:name="_Toc17668"/>
      <w:r>
        <w:rPr>
          <w:rFonts w:ascii="微软雅黑" w:eastAsia="微软雅黑" w:hAnsi="微软雅黑" w:hint="eastAsia"/>
        </w:rPr>
        <w:t>需求概要</w:t>
      </w:r>
      <w:bookmarkEnd w:id="2"/>
    </w:p>
    <w:p w:rsidR="004266B1" w:rsidRDefault="003E116D" w:rsidP="003E116D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bookmarkStart w:id="3" w:name="_Toc404858713"/>
      <w:bookmarkStart w:id="4" w:name="_Toc250296588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不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同可转</w:t>
      </w:r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债产品</w:t>
      </w:r>
      <w:proofErr w:type="gramEnd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的起息规则不一致。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原理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财服务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APP产品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详情页、订单详情页起息日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字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段</w:t>
      </w:r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是写死的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息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日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到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账后次工作日”。</w:t>
      </w:r>
      <w:r w:rsidR="004266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</w:t>
      </w:r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后台参数配置控制某产品的</w:t>
      </w:r>
      <w:proofErr w:type="gramStart"/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起息日</w:t>
      </w:r>
      <w:r w:rsidR="004266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项</w:t>
      </w:r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不</w:t>
      </w:r>
      <w:proofErr w:type="gramEnd"/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显示。</w:t>
      </w:r>
    </w:p>
    <w:p w:rsidR="003E116D" w:rsidRDefault="003E116D" w:rsidP="003E116D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次改造为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：由星火后台产品</w:t>
      </w:r>
      <w:r w:rsidR="004266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上架</w:t>
      </w:r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前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补录起息日（文本方式）。前端APP产品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详情页、订单详情页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、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后台交易详情页均取后台配置的起息</w:t>
      </w:r>
      <w:proofErr w:type="gramStart"/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日</w:t>
      </w:r>
      <w:r w:rsidR="004266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展</w:t>
      </w:r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示</w:t>
      </w:r>
      <w:proofErr w:type="gramEnd"/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给用户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实际是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否有等待期</w:t>
      </w:r>
      <w:r w:rsidR="004266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收益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及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起息规则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由</w:t>
      </w:r>
      <w:r w:rsidR="004266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产品</w:t>
      </w:r>
      <w:r w:rsidR="004266B1">
        <w:rPr>
          <w:rFonts w:ascii="微软雅黑" w:eastAsia="微软雅黑" w:hAnsi="微软雅黑" w:cs="宋体"/>
          <w:color w:val="000000" w:themeColor="text1"/>
          <w:kern w:val="0"/>
          <w:szCs w:val="21"/>
        </w:rPr>
        <w:t>部通过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芝麻系统设置并计算补贴收益，在第1次收益分配时发放。</w:t>
      </w:r>
    </w:p>
    <w:p w:rsidR="003E116D" w:rsidRPr="003E116D" w:rsidRDefault="003E116D" w:rsidP="003E116D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关于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历史数据起息日处理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：上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线时统一清洗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存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量数据的起息日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以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产品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实际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息规则为准。</w:t>
      </w:r>
      <w:r w:rsidR="00F9681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上</w:t>
      </w:r>
      <w:r w:rsidR="00F96818">
        <w:rPr>
          <w:rFonts w:ascii="微软雅黑" w:eastAsia="微软雅黑" w:hAnsi="微软雅黑" w:cs="宋体"/>
          <w:color w:val="000000" w:themeColor="text1"/>
          <w:kern w:val="0"/>
          <w:szCs w:val="21"/>
        </w:rPr>
        <w:t>线前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单独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与运营确认。</w:t>
      </w:r>
    </w:p>
    <w:p w:rsidR="003E116D" w:rsidRDefault="003E116D" w:rsidP="003E116D">
      <w:pPr>
        <w:ind w:firstLine="420"/>
        <w:jc w:val="center"/>
      </w:pPr>
      <w:r>
        <w:rPr>
          <w:rFonts w:hint="eastAsia"/>
        </w:rPr>
        <w:tab/>
      </w:r>
    </w:p>
    <w:p w:rsidR="003E116D" w:rsidRDefault="003E116D" w:rsidP="003E116D"/>
    <w:p w:rsidR="003E116D" w:rsidRDefault="003E116D" w:rsidP="003E116D">
      <w:pPr>
        <w:pStyle w:val="2"/>
        <w:ind w:left="0"/>
        <w:jc w:val="both"/>
        <w:rPr>
          <w:rFonts w:ascii="微软雅黑" w:eastAsia="微软雅黑" w:hAnsi="微软雅黑"/>
        </w:rPr>
      </w:pPr>
      <w:bookmarkStart w:id="5" w:name="_Toc26636"/>
      <w:r>
        <w:rPr>
          <w:rFonts w:ascii="微软雅黑" w:eastAsia="微软雅黑" w:hAnsi="微软雅黑" w:hint="eastAsia"/>
        </w:rPr>
        <w:t>星火后台功能描述</w:t>
      </w:r>
      <w:bookmarkEnd w:id="5"/>
    </w:p>
    <w:p w:rsidR="003E116D" w:rsidRDefault="003E116D" w:rsidP="003E116D">
      <w:pPr>
        <w:jc w:val="center"/>
        <w:rPr>
          <w:rFonts w:ascii="微软雅黑" w:eastAsia="微软雅黑" w:hAnsi="微软雅黑"/>
        </w:rPr>
      </w:pPr>
    </w:p>
    <w:p w:rsidR="003E116D" w:rsidRDefault="003E116D" w:rsidP="003E116D">
      <w:pPr>
        <w:pStyle w:val="3"/>
        <w:ind w:left="0"/>
        <w:rPr>
          <w:rFonts w:ascii="微软雅黑" w:eastAsia="微软雅黑" w:hAnsi="微软雅黑"/>
        </w:rPr>
      </w:pPr>
      <w:bookmarkStart w:id="6" w:name="_Toc17721"/>
      <w:bookmarkEnd w:id="3"/>
      <w:bookmarkEnd w:id="4"/>
      <w:r>
        <w:rPr>
          <w:rFonts w:ascii="微软雅黑" w:eastAsia="微软雅黑" w:hAnsi="微软雅黑" w:hint="eastAsia"/>
        </w:rPr>
        <w:t>自营</w:t>
      </w:r>
      <w:proofErr w:type="gramStart"/>
      <w:r>
        <w:rPr>
          <w:rFonts w:ascii="微软雅黑" w:eastAsia="微软雅黑" w:hAnsi="微软雅黑" w:hint="eastAsia"/>
        </w:rPr>
        <w:t>类固收</w:t>
      </w:r>
      <w:proofErr w:type="gramEnd"/>
      <w:r>
        <w:rPr>
          <w:rFonts w:ascii="微软雅黑" w:eastAsia="微软雅黑" w:hAnsi="微软雅黑" w:hint="eastAsia"/>
        </w:rPr>
        <w:t>交易</w:t>
      </w:r>
      <w:bookmarkEnd w:id="6"/>
    </w:p>
    <w:p w:rsidR="003E116D" w:rsidRDefault="003E116D" w:rsidP="003E116D">
      <w:pPr>
        <w:pStyle w:val="3"/>
        <w:keepNext w:val="0"/>
        <w:keepLines w:val="0"/>
        <w:widowControl/>
        <w:rPr>
          <w:rFonts w:ascii="微软雅黑" w:eastAsia="微软雅黑" w:hAnsi="微软雅黑" w:cs="微软雅黑"/>
          <w:sz w:val="28"/>
          <w:szCs w:val="22"/>
        </w:rPr>
      </w:pPr>
      <w:bookmarkStart w:id="7" w:name="_Toc15511"/>
      <w:r>
        <w:rPr>
          <w:rFonts w:ascii="微软雅黑" w:eastAsia="微软雅黑" w:hAnsi="微软雅黑" w:cs="微软雅黑" w:hint="eastAsia"/>
          <w:sz w:val="28"/>
          <w:szCs w:val="22"/>
        </w:rPr>
        <w:t>非P2P项目管理-产品中心</w:t>
      </w:r>
      <w:bookmarkEnd w:id="7"/>
    </w:p>
    <w:p w:rsidR="003E116D" w:rsidRDefault="003E116D" w:rsidP="003E116D">
      <w:pPr>
        <w:ind w:left="420" w:firstLine="420"/>
        <w:rPr>
          <w:rFonts w:eastAsia="微软雅黑"/>
        </w:rPr>
      </w:pPr>
      <w:r>
        <w:rPr>
          <w:rFonts w:eastAsia="微软雅黑" w:hint="eastAsia"/>
        </w:rPr>
        <w:t>非</w:t>
      </w:r>
      <w:r>
        <w:rPr>
          <w:rFonts w:eastAsia="微软雅黑" w:hint="eastAsia"/>
        </w:rPr>
        <w:t>P2P</w:t>
      </w:r>
      <w:r>
        <w:rPr>
          <w:rFonts w:eastAsia="微软雅黑" w:hint="eastAsia"/>
        </w:rPr>
        <w:t>项目管理</w:t>
      </w:r>
      <w:r>
        <w:rPr>
          <w:rFonts w:eastAsia="微软雅黑" w:hint="eastAsia"/>
        </w:rPr>
        <w:t>-</w:t>
      </w:r>
      <w:r>
        <w:rPr>
          <w:rFonts w:eastAsia="微软雅黑" w:hint="eastAsia"/>
        </w:rPr>
        <w:t>产品中心，星火产品信息补录及产品详情及导出增加“起息日”。该起息日，是星火展示给用户的起息日，本期暂以文本方式展示。由星火运营线下与产品部沟通并统一产品的起息日，以免贴息收益不一致问题。</w:t>
      </w:r>
    </w:p>
    <w:p w:rsidR="003E116D" w:rsidRDefault="003E116D" w:rsidP="003E116D">
      <w:pPr>
        <w:jc w:val="center"/>
      </w:pPr>
      <w:r>
        <w:rPr>
          <w:noProof/>
        </w:rPr>
        <w:lastRenderedPageBreak/>
        <w:drawing>
          <wp:inline distT="0" distB="0" distL="114300" distR="114300" wp14:anchorId="2E3E6B47" wp14:editId="2BA63D04">
            <wp:extent cx="3529965" cy="4559300"/>
            <wp:effectExtent l="0" t="0" r="1333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116D" w:rsidRDefault="003E116D" w:rsidP="003E116D">
      <w:r>
        <w:rPr>
          <w:noProof/>
        </w:rPr>
        <w:drawing>
          <wp:inline distT="0" distB="0" distL="114300" distR="114300" wp14:anchorId="237F7B1A" wp14:editId="6CA25435">
            <wp:extent cx="4807585" cy="2519680"/>
            <wp:effectExtent l="0" t="0" r="1206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116D" w:rsidRDefault="003E116D" w:rsidP="003E116D">
      <w:pPr>
        <w:ind w:leftChars="800" w:left="1680"/>
      </w:pPr>
    </w:p>
    <w:tbl>
      <w:tblPr>
        <w:tblW w:w="77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6416"/>
      </w:tblGrid>
      <w:tr w:rsidR="003E116D" w:rsidTr="00415987">
        <w:trPr>
          <w:cantSplit/>
          <w:trHeight w:val="38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E116D" w:rsidRDefault="003E116D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18"/>
                <w:szCs w:val="18"/>
                <w:lang w:bidi="ar"/>
              </w:rPr>
              <w:t>数据项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E116D" w:rsidRDefault="003E116D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3E116D" w:rsidTr="00415987">
        <w:trPr>
          <w:cantSplit/>
          <w:trHeight w:val="37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116D" w:rsidRDefault="003E116D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起息日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116D" w:rsidRDefault="003E116D" w:rsidP="00415987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列表中点击“编辑”-新增起息日字段，文本必填。</w:t>
            </w:r>
          </w:p>
          <w:p w:rsidR="003E116D" w:rsidRDefault="003E116D" w:rsidP="00E96989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产品详情、导出中同步增加“起息日”字段展示。</w:t>
            </w:r>
          </w:p>
        </w:tc>
      </w:tr>
    </w:tbl>
    <w:p w:rsidR="003E116D" w:rsidRDefault="003E116D" w:rsidP="003E116D">
      <w:pPr>
        <w:ind w:left="840" w:firstLine="420"/>
        <w:rPr>
          <w:color w:val="C00000"/>
        </w:rPr>
      </w:pPr>
      <w:r>
        <w:rPr>
          <w:rFonts w:ascii="微软雅黑" w:eastAsia="微软雅黑" w:hAnsi="微软雅黑" w:cs="微软雅黑" w:hint="eastAsia"/>
          <w:color w:val="FEFFFF"/>
          <w:sz w:val="18"/>
          <w:szCs w:val="18"/>
          <w:lang w:val="zh-CN"/>
        </w:rPr>
        <w:t>，并修</w:t>
      </w:r>
      <w:r>
        <w:rPr>
          <w:rFonts w:ascii="黑体" w:eastAsia="黑体" w:hAnsi="黑体" w:hint="eastAsia"/>
          <w:color w:val="FEFFFF"/>
          <w:sz w:val="16"/>
          <w:lang w:val="zh-CN"/>
        </w:rPr>
        <w:t>改</w:t>
      </w:r>
    </w:p>
    <w:p w:rsidR="003E116D" w:rsidRDefault="003E116D" w:rsidP="003E116D">
      <w:pPr>
        <w:pStyle w:val="4"/>
        <w:rPr>
          <w:rFonts w:ascii="微软雅黑" w:eastAsia="微软雅黑" w:hAnsi="微软雅黑" w:cs="微软雅黑"/>
        </w:rPr>
      </w:pPr>
      <w:bookmarkStart w:id="8" w:name="_Toc29157"/>
      <w:r>
        <w:rPr>
          <w:rFonts w:ascii="微软雅黑" w:eastAsia="微软雅黑" w:hAnsi="微软雅黑" w:cs="微软雅黑" w:hint="eastAsia"/>
        </w:rPr>
        <w:t>交易单</w:t>
      </w:r>
      <w:bookmarkEnd w:id="8"/>
    </w:p>
    <w:p w:rsidR="003E116D" w:rsidRDefault="003E116D" w:rsidP="003E116D">
      <w:pPr>
        <w:ind w:leftChars="800" w:left="1680"/>
        <w:rPr>
          <w:color w:val="C00000"/>
        </w:rPr>
      </w:pPr>
    </w:p>
    <w:p w:rsidR="003E116D" w:rsidRDefault="003E116D" w:rsidP="003E116D">
      <w:pPr>
        <w:pStyle w:val="a8"/>
        <w:numPr>
          <w:ilvl w:val="1"/>
          <w:numId w:val="3"/>
        </w:numPr>
        <w:ind w:firstLineChars="0"/>
        <w:rPr>
          <w:rFonts w:ascii="微软雅黑" w:eastAsia="微软雅黑" w:hAnsi="微软雅黑" w:cs="微软雅黑"/>
          <w:shd w:val="clear" w:color="FFFFFF" w:fill="D9D9D9"/>
        </w:rPr>
      </w:pPr>
      <w:proofErr w:type="gramStart"/>
      <w:r>
        <w:rPr>
          <w:rFonts w:ascii="微软雅黑" w:eastAsia="微软雅黑" w:hAnsi="微软雅黑" w:cs="微软雅黑" w:hint="eastAsia"/>
          <w:shd w:val="clear" w:color="FFFFFF" w:fill="D9D9D9"/>
        </w:rPr>
        <w:t>类固收交易</w:t>
      </w:r>
      <w:proofErr w:type="gramEnd"/>
      <w:r>
        <w:rPr>
          <w:rFonts w:ascii="微软雅黑" w:eastAsia="微软雅黑" w:hAnsi="微软雅黑" w:cs="微软雅黑" w:hint="eastAsia"/>
          <w:shd w:val="clear" w:color="FFFFFF" w:fill="D9D9D9"/>
        </w:rPr>
        <w:t>单</w:t>
      </w:r>
    </w:p>
    <w:p w:rsidR="003E116D" w:rsidRDefault="003E116D" w:rsidP="0056732B">
      <w:pPr>
        <w:pStyle w:val="a8"/>
        <w:tabs>
          <w:tab w:val="left" w:pos="1370"/>
        </w:tabs>
        <w:ind w:left="12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调整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类固收产品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“交易详情”及“导出列表”，</w:t>
      </w:r>
      <w:r w:rsidR="0056732B">
        <w:rPr>
          <w:rFonts w:ascii="微软雅黑" w:eastAsia="微软雅黑" w:hAnsi="微软雅黑" w:cs="微软雅黑" w:hint="eastAsia"/>
          <w:sz w:val="20"/>
          <w:szCs w:val="20"/>
        </w:rPr>
        <w:t>增加“</w:t>
      </w:r>
      <w:r w:rsidR="0056732B" w:rsidRPr="0056732B">
        <w:rPr>
          <w:rFonts w:ascii="微软雅黑" w:eastAsia="微软雅黑" w:hAnsi="微软雅黑" w:cs="微软雅黑" w:hint="eastAsia"/>
          <w:color w:val="FF0000"/>
          <w:sz w:val="20"/>
          <w:szCs w:val="20"/>
        </w:rPr>
        <w:t>星火预计起息日”</w:t>
      </w:r>
      <w:r w:rsidR="0056732B">
        <w:rPr>
          <w:rFonts w:ascii="微软雅黑" w:eastAsia="微软雅黑" w:hAnsi="微软雅黑" w:cs="微软雅黑" w:hint="eastAsia"/>
          <w:sz w:val="20"/>
          <w:szCs w:val="20"/>
        </w:rPr>
        <w:t>：获取产品中补录的“起息日”,文本方式。前端</w:t>
      </w:r>
      <w:bookmarkStart w:id="9" w:name="_GoBack"/>
      <w:bookmarkEnd w:id="9"/>
      <w:r w:rsidR="0056732B">
        <w:rPr>
          <w:rFonts w:ascii="微软雅黑" w:eastAsia="微软雅黑" w:hAnsi="微软雅黑" w:cs="微软雅黑" w:hint="eastAsia"/>
          <w:sz w:val="20"/>
          <w:szCs w:val="20"/>
        </w:rPr>
        <w:t>展示给用户，获取此数据项。</w:t>
      </w:r>
      <w:r>
        <w:rPr>
          <w:rFonts w:ascii="微软雅黑" w:eastAsia="微软雅黑" w:hAnsi="微软雅黑" w:cs="微软雅黑" w:hint="eastAsia"/>
          <w:sz w:val="20"/>
          <w:szCs w:val="20"/>
        </w:rPr>
        <w:t>如下图：</w:t>
      </w:r>
    </w:p>
    <w:p w:rsidR="003E116D" w:rsidRDefault="0056732B" w:rsidP="003E116D">
      <w:pPr>
        <w:pStyle w:val="a8"/>
        <w:ind w:left="126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00579BEA" wp14:editId="110C0FEB">
            <wp:extent cx="5311140" cy="21920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63" w:rsidRDefault="000E5963" w:rsidP="000E5963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理</w:t>
      </w:r>
      <w:r>
        <w:rPr>
          <w:rFonts w:ascii="微软雅黑" w:eastAsia="微软雅黑" w:hAnsi="微软雅黑" w:cs="微软雅黑"/>
        </w:rPr>
        <w:t>财服</w:t>
      </w:r>
      <w:r>
        <w:rPr>
          <w:rFonts w:ascii="微软雅黑" w:eastAsia="微软雅黑" w:hAnsi="微软雅黑" w:cs="微软雅黑" w:hint="eastAsia"/>
        </w:rPr>
        <w:t>务APP</w:t>
      </w:r>
    </w:p>
    <w:p w:rsidR="000E5963" w:rsidRDefault="000E5963" w:rsidP="000E5963">
      <w:pPr>
        <w:ind w:left="1260"/>
        <w:rPr>
          <w:rFonts w:ascii="微软雅黑" w:eastAsia="微软雅黑" w:hAnsi="微软雅黑"/>
        </w:rPr>
      </w:pPr>
      <w:r w:rsidRPr="004601E7">
        <w:rPr>
          <w:rFonts w:ascii="微软雅黑" w:eastAsia="微软雅黑" w:hAnsi="微软雅黑" w:hint="eastAsia"/>
        </w:rPr>
        <w:t>星</w:t>
      </w:r>
      <w:r w:rsidRPr="004601E7">
        <w:rPr>
          <w:rFonts w:ascii="微软雅黑" w:eastAsia="微软雅黑" w:hAnsi="微软雅黑"/>
        </w:rPr>
        <w:t>系列产品详情、订单</w:t>
      </w:r>
      <w:r w:rsidRPr="004601E7">
        <w:rPr>
          <w:rFonts w:ascii="微软雅黑" w:eastAsia="微软雅黑" w:hAnsi="微软雅黑" w:hint="eastAsia"/>
        </w:rPr>
        <w:t>详情</w:t>
      </w:r>
      <w:r w:rsidRPr="004601E7">
        <w:rPr>
          <w:rFonts w:ascii="微软雅黑" w:eastAsia="微软雅黑" w:hAnsi="微软雅黑"/>
        </w:rPr>
        <w:t>中起息日取后台配置。</w:t>
      </w:r>
    </w:p>
    <w:p w:rsidR="00C669C6" w:rsidRPr="004601E7" w:rsidRDefault="008B186C" w:rsidP="000E5963">
      <w:pPr>
        <w:ind w:left="126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F7DAA97" wp14:editId="317375FC">
            <wp:extent cx="2710086" cy="389410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499" cy="39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2400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2233497" cy="398145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97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9C6">
        <w:rPr>
          <w:rFonts w:ascii="微软雅黑" w:eastAsia="微软雅黑" w:hAnsi="微软雅黑"/>
        </w:rPr>
        <w:br w:type="textWrapping" w:clear="all"/>
      </w:r>
    </w:p>
    <w:p w:rsidR="0050426E" w:rsidRDefault="00797FE5" w:rsidP="0050426E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kern w:val="2"/>
          <w:sz w:val="20"/>
        </w:rPr>
        <w:tab/>
      </w:r>
      <w:r w:rsidR="0050426E">
        <w:rPr>
          <w:rFonts w:ascii="微软雅黑" w:eastAsia="微软雅黑" w:hAnsi="微软雅黑" w:cs="微软雅黑" w:hint="eastAsia"/>
        </w:rPr>
        <w:t>存</w:t>
      </w:r>
      <w:r w:rsidR="0050426E">
        <w:rPr>
          <w:rFonts w:ascii="微软雅黑" w:eastAsia="微软雅黑" w:hAnsi="微软雅黑" w:cs="微软雅黑"/>
        </w:rPr>
        <w:t>量数据处理</w:t>
      </w:r>
    </w:p>
    <w:p w:rsidR="0050426E" w:rsidRPr="003E116D" w:rsidRDefault="0050426E" w:rsidP="0050426E">
      <w:pPr>
        <w:ind w:left="420"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关于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历史数据起息日处理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：上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线时统一清洗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存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量数据的起息日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以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产品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实际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息规则为准。</w:t>
      </w:r>
      <w:r w:rsidR="00B570DB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yellow"/>
        </w:rPr>
        <w:t>上</w:t>
      </w:r>
      <w:r w:rsidR="00B570DB">
        <w:rPr>
          <w:rFonts w:ascii="微软雅黑" w:eastAsia="微软雅黑" w:hAnsi="微软雅黑" w:cs="宋体"/>
          <w:color w:val="000000" w:themeColor="text1"/>
          <w:kern w:val="0"/>
          <w:szCs w:val="21"/>
          <w:highlight w:val="yellow"/>
        </w:rPr>
        <w:t>线前单</w:t>
      </w:r>
      <w:r w:rsidRPr="0050426E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yellow"/>
        </w:rPr>
        <w:t>独</w:t>
      </w:r>
      <w:r w:rsidRPr="0050426E">
        <w:rPr>
          <w:rFonts w:ascii="微软雅黑" w:eastAsia="微软雅黑" w:hAnsi="微软雅黑" w:cs="宋体"/>
          <w:color w:val="000000" w:themeColor="text1"/>
          <w:kern w:val="0"/>
          <w:szCs w:val="21"/>
          <w:highlight w:val="yellow"/>
        </w:rPr>
        <w:t>与运营确认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。</w:t>
      </w:r>
    </w:p>
    <w:p w:rsidR="0056732B" w:rsidRPr="00B570DB" w:rsidRDefault="0056732B" w:rsidP="00797FE5">
      <w:pPr>
        <w:pStyle w:val="a8"/>
        <w:tabs>
          <w:tab w:val="left" w:pos="1370"/>
        </w:tabs>
        <w:ind w:left="1260" w:firstLineChars="0" w:firstLine="0"/>
        <w:rPr>
          <w:rFonts w:ascii="微软雅黑" w:eastAsia="微软雅黑" w:hAnsi="微软雅黑" w:cs="微软雅黑"/>
          <w:sz w:val="20"/>
          <w:szCs w:val="20"/>
        </w:rPr>
      </w:pPr>
    </w:p>
    <w:p w:rsidR="00797FE5" w:rsidRPr="00797FE5" w:rsidRDefault="00797FE5" w:rsidP="003E116D">
      <w:pPr>
        <w:pStyle w:val="a8"/>
        <w:ind w:left="1260" w:firstLineChars="0" w:firstLine="0"/>
        <w:rPr>
          <w:rFonts w:ascii="微软雅黑" w:eastAsia="微软雅黑" w:hAnsi="微软雅黑" w:cs="微软雅黑"/>
        </w:rPr>
      </w:pPr>
    </w:p>
    <w:sectPr w:rsidR="00797FE5" w:rsidRPr="00797FE5">
      <w:headerReference w:type="default" r:id="rId12"/>
      <w:footerReference w:type="default" r:id="rId13"/>
      <w:pgSz w:w="11906" w:h="16838"/>
      <w:pgMar w:top="1418" w:right="2408" w:bottom="1843" w:left="1134" w:header="397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5B" w:rsidRDefault="00E5015B" w:rsidP="003E116D">
      <w:r>
        <w:separator/>
      </w:r>
    </w:p>
  </w:endnote>
  <w:endnote w:type="continuationSeparator" w:id="0">
    <w:p w:rsidR="00E5015B" w:rsidRDefault="00E5015B" w:rsidP="003E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B4" w:rsidRDefault="00F15A48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266B1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266B1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allowOverlap="1" wp14:anchorId="57FA47F9" wp14:editId="37A8096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宜信LOGO与网址“宜人宜己信用中国”组合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5B" w:rsidRDefault="00E5015B" w:rsidP="003E116D">
      <w:r>
        <w:separator/>
      </w:r>
    </w:p>
  </w:footnote>
  <w:footnote w:type="continuationSeparator" w:id="0">
    <w:p w:rsidR="00E5015B" w:rsidRDefault="00E5015B" w:rsidP="003E1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0B4" w:rsidRDefault="00F15A48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593930" wp14:editId="61F39078">
          <wp:simplePos x="0" y="0"/>
          <wp:positionH relativeFrom="column">
            <wp:posOffset>71120</wp:posOffset>
          </wp:positionH>
          <wp:positionV relativeFrom="paragraph">
            <wp:posOffset>153035</wp:posOffset>
          </wp:positionV>
          <wp:extent cx="1195705" cy="476250"/>
          <wp:effectExtent l="0" t="0" r="0" b="6350"/>
          <wp:wrapNone/>
          <wp:docPr id="2" name="图片 1" descr="\\shichang-nas\市场与公关部设计组\A-品牌\LOGO-8周年三端\宜信-8周年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\\shichang-nas\市场与公关部设计组\A-品牌\LOGO-8周年三端\宜信-8周年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570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50B4" w:rsidRDefault="00E5015B"/>
  <w:p w:rsidR="003250B4" w:rsidRDefault="00E5015B">
    <w:pPr>
      <w:pBdr>
        <w:bottom w:val="single" w:sz="4" w:space="0" w:color="auto"/>
      </w:pBdr>
      <w:jc w:val="right"/>
    </w:pPr>
  </w:p>
  <w:p w:rsidR="003250B4" w:rsidRDefault="00F15A48">
    <w:pPr>
      <w:pBdr>
        <w:bottom w:val="single" w:sz="4" w:space="0" w:color="auto"/>
      </w:pBdr>
      <w:jc w:val="right"/>
    </w:pPr>
    <w:r>
      <w:rPr>
        <w:rFonts w:hint="eastAsia"/>
      </w:rPr>
      <w:t>星火功能升级需求文档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pStyle w:val="1"/>
      <w:suff w:val="space"/>
      <w:lvlText w:val="第%1章"/>
      <w:lvlJc w:val="left"/>
      <w:pPr>
        <w:ind w:left="326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1">
    <w:nsid w:val="57AF17D4"/>
    <w:multiLevelType w:val="multilevel"/>
    <w:tmpl w:val="57AF17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F6A53E"/>
    <w:multiLevelType w:val="multilevel"/>
    <w:tmpl w:val="59F6A53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F6A5B3"/>
    <w:multiLevelType w:val="singleLevel"/>
    <w:tmpl w:val="59F6A5B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F6ABB2"/>
    <w:multiLevelType w:val="multilevel"/>
    <w:tmpl w:val="59F6ABB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9F6C498"/>
    <w:multiLevelType w:val="singleLevel"/>
    <w:tmpl w:val="59F6C498"/>
    <w:lvl w:ilvl="0">
      <w:start w:val="1"/>
      <w:numFmt w:val="decimal"/>
      <w:suff w:val="nothing"/>
      <w:lvlText w:val="%1、"/>
      <w:lvlJc w:val="left"/>
    </w:lvl>
  </w:abstractNum>
  <w:abstractNum w:abstractNumId="6">
    <w:nsid w:val="59F6D11E"/>
    <w:multiLevelType w:val="multilevel"/>
    <w:tmpl w:val="59F6D11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9F6DD26"/>
    <w:multiLevelType w:val="singleLevel"/>
    <w:tmpl w:val="59F6DD2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F6E71B"/>
    <w:multiLevelType w:val="singleLevel"/>
    <w:tmpl w:val="59F6E7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F6FA18"/>
    <w:multiLevelType w:val="singleLevel"/>
    <w:tmpl w:val="59F6FA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F82F02"/>
    <w:multiLevelType w:val="singleLevel"/>
    <w:tmpl w:val="59F82F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A040749"/>
    <w:multiLevelType w:val="singleLevel"/>
    <w:tmpl w:val="5A04074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A0409B2"/>
    <w:multiLevelType w:val="singleLevel"/>
    <w:tmpl w:val="5A0409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A12868D"/>
    <w:multiLevelType w:val="singleLevel"/>
    <w:tmpl w:val="5A12868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2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24"/>
    <w:rsid w:val="000E5963"/>
    <w:rsid w:val="002B7E7F"/>
    <w:rsid w:val="00337E27"/>
    <w:rsid w:val="003E116D"/>
    <w:rsid w:val="004266B1"/>
    <w:rsid w:val="004601E7"/>
    <w:rsid w:val="00500E24"/>
    <w:rsid w:val="0050426E"/>
    <w:rsid w:val="0056732B"/>
    <w:rsid w:val="0069721D"/>
    <w:rsid w:val="00797FE5"/>
    <w:rsid w:val="008B186C"/>
    <w:rsid w:val="00B570DB"/>
    <w:rsid w:val="00C669C6"/>
    <w:rsid w:val="00E5015B"/>
    <w:rsid w:val="00E96989"/>
    <w:rsid w:val="00F15A48"/>
    <w:rsid w:val="00F9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96AD8-CC01-49F7-BF54-A4957D54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6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2"/>
    <w:link w:val="1Char"/>
    <w:uiPriority w:val="9"/>
    <w:qFormat/>
    <w:rsid w:val="003E116D"/>
    <w:pPr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rFonts w:ascii="宋体" w:hAnsi="Times New Roman"/>
      <w:b/>
      <w:kern w:val="0"/>
      <w:sz w:val="44"/>
      <w:szCs w:val="20"/>
    </w:rPr>
  </w:style>
  <w:style w:type="paragraph" w:styleId="2">
    <w:name w:val="heading 2"/>
    <w:basedOn w:val="1"/>
    <w:next w:val="a"/>
    <w:link w:val="2Char"/>
    <w:uiPriority w:val="9"/>
    <w:qFormat/>
    <w:rsid w:val="003E116D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"/>
    <w:qFormat/>
    <w:rsid w:val="003E116D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basedOn w:val="3"/>
    <w:next w:val="a"/>
    <w:link w:val="4Char"/>
    <w:uiPriority w:val="9"/>
    <w:qFormat/>
    <w:rsid w:val="003E116D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basedOn w:val="4"/>
    <w:next w:val="a"/>
    <w:link w:val="5Char"/>
    <w:uiPriority w:val="9"/>
    <w:qFormat/>
    <w:rsid w:val="003E116D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5"/>
    <w:next w:val="a"/>
    <w:link w:val="6Char"/>
    <w:uiPriority w:val="9"/>
    <w:qFormat/>
    <w:rsid w:val="003E116D"/>
    <w:pPr>
      <w:numPr>
        <w:ilvl w:val="5"/>
      </w:num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E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3E1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E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E11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3E116D"/>
    <w:rPr>
      <w:rFonts w:ascii="宋体" w:eastAsia="宋体" w:hAnsi="Times New Roman" w:cs="Times New Roman"/>
      <w:b/>
      <w:kern w:val="0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sid w:val="003E116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3E116D"/>
    <w:rPr>
      <w:rFonts w:ascii="宋体" w:eastAsia="宋体" w:hAnsi="Times New Roman" w:cs="Times New Roman"/>
      <w:b/>
      <w:kern w:val="0"/>
      <w:sz w:val="30"/>
      <w:szCs w:val="20"/>
    </w:rPr>
  </w:style>
  <w:style w:type="character" w:customStyle="1" w:styleId="4Char">
    <w:name w:val="标题 4 Char"/>
    <w:basedOn w:val="a0"/>
    <w:link w:val="4"/>
    <w:uiPriority w:val="9"/>
    <w:qFormat/>
    <w:rsid w:val="003E116D"/>
    <w:rPr>
      <w:rFonts w:ascii="宋体" w:eastAsia="宋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3E116D"/>
    <w:rPr>
      <w:rFonts w:ascii="宋体" w:eastAsia="宋体" w:hAnsi="Arial" w:cs="Times New Roman"/>
      <w:b/>
      <w:kern w:val="0"/>
      <w:sz w:val="24"/>
      <w:szCs w:val="20"/>
    </w:rPr>
  </w:style>
  <w:style w:type="character" w:customStyle="1" w:styleId="6Char">
    <w:name w:val="标题 6 Char"/>
    <w:basedOn w:val="a0"/>
    <w:link w:val="6"/>
    <w:uiPriority w:val="9"/>
    <w:rsid w:val="003E116D"/>
    <w:rPr>
      <w:rFonts w:ascii="宋体" w:eastAsia="宋体" w:hAnsi="Arial" w:cs="Times New Roman"/>
      <w:b/>
      <w:kern w:val="0"/>
      <w:sz w:val="24"/>
      <w:szCs w:val="20"/>
    </w:rPr>
  </w:style>
  <w:style w:type="paragraph" w:styleId="30">
    <w:name w:val="toc 3"/>
    <w:basedOn w:val="a"/>
    <w:next w:val="a"/>
    <w:uiPriority w:val="39"/>
    <w:qFormat/>
    <w:rsid w:val="003E116D"/>
    <w:pPr>
      <w:tabs>
        <w:tab w:val="right" w:leader="dot" w:pos="8353"/>
      </w:tabs>
      <w:spacing w:line="360" w:lineRule="auto"/>
      <w:ind w:leftChars="202" w:left="424" w:firstLine="454"/>
    </w:pPr>
    <w:rPr>
      <w:rFonts w:ascii="Times New Roman" w:hAnsi="Times New Roman"/>
      <w:szCs w:val="20"/>
    </w:rPr>
  </w:style>
  <w:style w:type="paragraph" w:styleId="a5">
    <w:name w:val="Date"/>
    <w:basedOn w:val="a"/>
    <w:next w:val="a"/>
    <w:link w:val="Char1"/>
    <w:uiPriority w:val="99"/>
    <w:qFormat/>
    <w:rsid w:val="003E116D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</w:rPr>
  </w:style>
  <w:style w:type="character" w:customStyle="1" w:styleId="Char1">
    <w:name w:val="日期 Char"/>
    <w:basedOn w:val="a0"/>
    <w:link w:val="a5"/>
    <w:uiPriority w:val="99"/>
    <w:qFormat/>
    <w:rsid w:val="003E116D"/>
    <w:rPr>
      <w:rFonts w:ascii="Times New Roman" w:eastAsia="宋体" w:hAnsi="Times New Roman" w:cs="Times New Roman"/>
      <w:sz w:val="24"/>
      <w:szCs w:val="20"/>
    </w:rPr>
  </w:style>
  <w:style w:type="paragraph" w:styleId="10">
    <w:name w:val="toc 1"/>
    <w:basedOn w:val="a"/>
    <w:next w:val="a"/>
    <w:uiPriority w:val="39"/>
    <w:qFormat/>
    <w:rsid w:val="003E116D"/>
    <w:pPr>
      <w:tabs>
        <w:tab w:val="right" w:leader="dot" w:pos="8353"/>
      </w:tabs>
      <w:spacing w:line="360" w:lineRule="auto"/>
      <w:jc w:val="right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uiPriority w:val="39"/>
    <w:unhideWhenUsed/>
    <w:qFormat/>
    <w:rsid w:val="003E116D"/>
    <w:pPr>
      <w:tabs>
        <w:tab w:val="right" w:leader="dot" w:pos="8354"/>
      </w:tabs>
      <w:spacing w:line="360" w:lineRule="auto"/>
      <w:ind w:leftChars="600" w:left="1260"/>
    </w:pPr>
  </w:style>
  <w:style w:type="paragraph" w:styleId="20">
    <w:name w:val="toc 2"/>
    <w:basedOn w:val="a"/>
    <w:next w:val="a"/>
    <w:uiPriority w:val="39"/>
    <w:qFormat/>
    <w:rsid w:val="003E116D"/>
    <w:pPr>
      <w:tabs>
        <w:tab w:val="right" w:leader="dot" w:pos="8353"/>
      </w:tabs>
      <w:spacing w:line="360" w:lineRule="auto"/>
      <w:ind w:firstLineChars="202" w:firstLine="424"/>
    </w:pPr>
    <w:rPr>
      <w:rFonts w:ascii="Times New Roman" w:hAnsi="Times New Roman"/>
      <w:szCs w:val="20"/>
    </w:rPr>
  </w:style>
  <w:style w:type="character" w:styleId="a6">
    <w:name w:val="FollowedHyperlink"/>
    <w:basedOn w:val="a0"/>
    <w:uiPriority w:val="99"/>
    <w:unhideWhenUsed/>
    <w:qFormat/>
    <w:rsid w:val="003E116D"/>
    <w:rPr>
      <w:color w:val="954F72"/>
      <w:u w:val="single"/>
    </w:rPr>
  </w:style>
  <w:style w:type="table" w:styleId="a7">
    <w:name w:val="Table Grid"/>
    <w:basedOn w:val="a1"/>
    <w:uiPriority w:val="59"/>
    <w:qFormat/>
    <w:rsid w:val="003E116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qFormat/>
    <w:rsid w:val="003E116D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customStyle="1" w:styleId="tableentry">
    <w:name w:val="tableentry"/>
    <w:basedOn w:val="a"/>
    <w:qFormat/>
    <w:rsid w:val="003E116D"/>
    <w:pPr>
      <w:keepNext/>
      <w:snapToGrid w:val="0"/>
      <w:spacing w:beforeLines="25" w:afterLines="25"/>
      <w:jc w:val="left"/>
    </w:pPr>
    <w:rPr>
      <w:rFonts w:ascii="Times New Roman" w:hAnsi="Times New Roman"/>
      <w:szCs w:val="24"/>
    </w:rPr>
  </w:style>
  <w:style w:type="paragraph" w:customStyle="1" w:styleId="DocTitle">
    <w:name w:val="DocTitle"/>
    <w:basedOn w:val="a"/>
    <w:qFormat/>
    <w:rsid w:val="003E116D"/>
    <w:pPr>
      <w:snapToGrid w:val="0"/>
      <w:spacing w:afterLines="50"/>
      <w:jc w:val="center"/>
    </w:pPr>
    <w:rPr>
      <w:rFonts w:ascii="Arial" w:eastAsia="黑体" w:hAnsi="Arial"/>
      <w:b/>
      <w:sz w:val="44"/>
      <w:szCs w:val="24"/>
    </w:rPr>
  </w:style>
  <w:style w:type="paragraph" w:styleId="a8">
    <w:name w:val="List Paragraph"/>
    <w:basedOn w:val="a"/>
    <w:uiPriority w:val="34"/>
    <w:qFormat/>
    <w:rsid w:val="003E1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王慧芳</dc:creator>
  <cp:keywords/>
  <dc:description/>
  <cp:lastModifiedBy>王慧芳</cp:lastModifiedBy>
  <cp:revision>14</cp:revision>
  <dcterms:created xsi:type="dcterms:W3CDTF">2018-05-04T02:24:00Z</dcterms:created>
  <dcterms:modified xsi:type="dcterms:W3CDTF">2018-05-04T09:25:00Z</dcterms:modified>
</cp:coreProperties>
</file>