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МИНИСТЕРСТВО ОБРАЗОВАНИЯ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(наименование органа управления образованием)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(наименование образовательной организации)</w:t>
      </w:r>
    </w:p>
    <w:p>
      <w:pPr>
        <w:spacing w:before="360" w:after="36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МДК 07.01  Управление и автоматизация баз данных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ПРАКТИЧЕСКАЯ РАБОТА № 10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Формирование аппаратных требований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и схемы банка данных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Предметная область: автосервис</w:t>
      </w: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Станция технического обслуживания «АвтоМастер»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__________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(ФИО)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________________________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(ФИО преподавателя)</w:t>
      </w:r>
    </w:p>
    <w:p>
      <w:pPr>
        <w:spacing w:before="72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1. Цель работы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научиться формировать полный комплекс аппаратных требований к банку данных, разрабатывать его структурную схему, связывать компоненты банка данных между собой и обосновывать выбор оборудования.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решались задачи: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изучить состав банка данных как автоматизированной системы;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определить перечень компонентов банка данных станции технического обслуживания «АвтоМастер»;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сформировать аппаратные требования к каждому техническому компоненту;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разработать структурную схему банка данных с обозначением потоков данных;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обосновать выбор конкретных моделей оборудования и программного обеспечения;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рассчитать ориентировочную стоимость комплекса и оформить отчёт.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2. Описание предметной области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Предметная область — станция технического обслуживания легковых автомобилей «АвтоМастер». Предприятие выполняет техническое обслуживание, компьютерную диагностику, слесарный ремонт, шиномонтаж и розничную продажу запасных частей. Одновременно работают шесть ремонтных постов и два поста приёмки. Режим работы — ежедневно, без круглосуточного графика.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Назначение банка данных — централизованно накапливать и предоставлять сведения, без которых нельзя принять автомобиль, выдать запчасть, закрыть заказ-наряд и посчитать выручку. Бумажный журнал для этой нагрузки уже не подходит: один и тот же автомобиль возвращается на гарантию, запчасть может числиться и на складе, и в открытом заказ-наряде, а руководитель смотрит остатки и загрузку постов в тот же день.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процессы, которые должен обслуживать банк данных: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запись клиента на дату и пост, перенос и отмена записи;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приём автомобиля: фиксация пробега, комплектации, жалоб клиента и открытие заказ-наряда;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диагностика и согласование перечня работ и запасных частей до начала ремонта;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выполнение работ механиком и отметка фактического времени;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складской учёт: приход от поставщика, резерв под заказ-наряд, выдача на пост, инвентаризация;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расчёт стоимости, оплата, печать заказ-наряда и закрывающих документов;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учёт гарантийных обращений по ранее выполненным работам;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отчёты руководителя: выручка, загрузка постов, оборачиваемость склада, повторные заезды.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Пользователи банка данных и их задачи приведены в таблице 1.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— Пользователи банка данных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835"/>
        <w:gridCol w:w="4139"/>
      </w:tblGrid>
      <w:tr>
        <w:trPr>
          <w:tblHeader w:val="true"/>
          <w:cantSplit/>
        </w:trPr>
        <w:tc>
          <w:tcPr>
            <w:tcW w:type="dxa" w:w="238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Пользователь</w:t>
            </w:r>
          </w:p>
        </w:tc>
        <w:tc>
          <w:tcPr>
            <w:tcW w:type="dxa" w:w="283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Где работает</w:t>
            </w:r>
          </w:p>
        </w:tc>
        <w:tc>
          <w:tcPr>
            <w:tcW w:type="dxa" w:w="4139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Что делает в системе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Мастер-приёмщик</w:t>
            </w:r>
          </w:p>
        </w:tc>
        <w:tc>
          <w:tcPr>
            <w:tcW w:type="dxa" w:w="283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Пост приёмки, 2 рабочих места</w:t>
            </w:r>
          </w:p>
        </w:tc>
        <w:tc>
          <w:tcPr>
            <w:tcW w:type="dxa" w:w="413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Запись, карточка клиента и автомобиля, заказ-наряд, согласование суммы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Механик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Ремонтная зона, планшет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Просмотр назначенных работ, отметка выполнения, комментарий по дефекту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Кладовщик</w:t>
            </w:r>
          </w:p>
        </w:tc>
        <w:tc>
          <w:tcPr>
            <w:tcW w:type="dxa" w:w="283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Склад</w:t>
            </w:r>
          </w:p>
        </w:tc>
        <w:tc>
          <w:tcPr>
            <w:tcW w:type="dxa" w:w="413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Приход, выдача по заказ-наряду, остатки, инвентаризация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Бухгалтер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Офис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Оплаты, закрывающие документы, сверка с кассой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Руководитель</w:t>
            </w:r>
          </w:p>
        </w:tc>
        <w:tc>
          <w:tcPr>
            <w:tcW w:type="dxa" w:w="283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Офис</w:t>
            </w:r>
          </w:p>
        </w:tc>
        <w:tc>
          <w:tcPr>
            <w:tcW w:type="dxa" w:w="413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Отчёты по выручке, постам и складу, без права менять складские остатки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Клиент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Личный телефон, сайт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Онлайн-запись и просмотр статуса заказ-наряда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Администратор БД</w:t>
            </w:r>
          </w:p>
        </w:tc>
        <w:tc>
          <w:tcPr>
            <w:tcW w:type="dxa" w:w="283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Удалённо, по VPN</w:t>
            </w:r>
          </w:p>
        </w:tc>
        <w:tc>
          <w:tcPr>
            <w:tcW w:type="dxa" w:w="413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Учётные записи, резервное копирование, контроль места на диске</w:t>
            </w:r>
          </w:p>
        </w:tc>
      </w:tr>
    </w:tbl>
    <w:p>
      <w:pPr>
        <w:spacing w:before="16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Расчётная нагрузка, от которой дальше отталкиваются аппаратные требования: до 40 заказ-нарядов в день, до 15 одновременных сеансов, кратковременные пики 40–60 простых запросов в секунду (открытие карточки, поиск запчасти, запись строкой в заказ-наряд). История хранится 5 лет. При 40 заказах в день и 250 рабочих днях это около 50 тысяч заказ-нарядов. Вместе со строками работ, движениями склада и оплатами объём базы оценивается в пределах 40 ГБ. Сканы актов и фотографии дефектов в саму базу не кладутся: в таблицах хранится ссылка, файл лежит на сетевом хранилище.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3. Состав банка данных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 данных «АвтоМастер» — это не только сервер с MySQL. По определению банк данных включает информационную базу, лингвистические, программные, технические и организационно-методические средства. Состав для выбранной предметной области приведён в таблице 2.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— Состав банка данных автосервиса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85"/>
        <w:gridCol w:w="3628"/>
      </w:tblGrid>
      <w:tr>
        <w:trPr>
          <w:tblHeader w:val="true"/>
          <w:cantSplit/>
        </w:trPr>
        <w:tc>
          <w:tcPr>
            <w:tcW w:type="dxa" w:w="204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68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362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Информационная база</w:t>
            </w:r>
          </w:p>
        </w:tc>
        <w:tc>
          <w:tcPr>
            <w:tcW w:type="dxa" w:w="368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База данных autoservice. Таблицы: client, vehicle, employee, appointment, work_order, work_item, service, spare_part, stock_move, supplier, purchase, payment, warranty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Хранение сведений о клиентах, автомобилях, записях, заказ-нарядах, работах, запчастях, складе, поставщиках, оплатах и гарантии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Лингвистические средства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SQL (язык запросов и манипулирования данными), DDL для описания схемы, регламент имён таблиц и полей на английском языке, русскоязычные подписи в интерфейсе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Описание структуры, выборки для отчётов, проведение склада и закрытие заказ-наряда одной транзакцией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Программные средства</w:t>
            </w:r>
          </w:p>
        </w:tc>
        <w:tc>
          <w:tcPr>
            <w:tcW w:type="dxa" w:w="368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 8.4, Nginx, прикладная программа «Автосервис», MySQL Workbench, DBeaver, Zabbix, mysqldump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Управление базой, работа пользователей, администрирование, наблюдение за нагрузкой и снятие копий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Технические средства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Сервер баз данных, сервер приложений, 6 рабочих станций, 2 планшета, коммутатор, маршрутизатор с межсетевым экраном, точка доступа Wi-Fi, хранилище NAS, ИБП, кабельная система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Размещение данных и программ, рабочие места, связь постов с офисом, сохранение копий, питание на время отключения сети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Организационно-методические средства</w:t>
            </w:r>
          </w:p>
        </w:tc>
        <w:tc>
          <w:tcPr>
            <w:tcW w:type="dxa" w:w="368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Регламент приёма автомобиля и заказ-наряда; инструкция администратора БД; политика резервного копирования; политика разграничения доступа; регламент инвентаризации склада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Единый порядок работы с данными, ответственность за копии и права пользователей</w:t>
            </w:r>
          </w:p>
        </w:tc>
      </w:tr>
    </w:tbl>
    <w:p>
      <w:pPr>
        <w:spacing w:before="16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Ключи и связи информационной базы выстроены вокруг заказ-наряда. Клиент владеет одним или несколькими автомобилями. Запись (appointment) превращается в заказ-наряд (work_order). В заказ-наряде есть строки работ (work_item), каждая ссылается на справочник работ (service) и при необходимости на запасную часть (spare_part). Движение запчасти фиксируется отдельной записью stock_move, чтобы остаток нельзя было изменить «мимо» документа. Оплата (payment) ссылается на заказ-наряд. Гарантийное обращение (warranty) ссылается на исходный заказ-наряд и автомобиль.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4. Аппаратные требования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ниже составлены под нагрузку из раздела 2, а не «про запас на дата-центр». Сервер баз данных отделён от сервера приложений: сбой веб-программы или её обновление не должен останавливать хранение данных и снятие копий.</w:t>
      </w:r>
    </w:p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4.1. Требования к серверу баз данных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— Требования к серверу баз данных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3798"/>
      </w:tblGrid>
      <w:tr>
        <w:trPr>
          <w:tblHeader w:val="true"/>
          <w:cantSplit/>
        </w:trPr>
        <w:tc>
          <w:tcPr>
            <w:tcW w:type="dxa" w:w="2154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40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379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Процессор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Intel Xeon семейства E-2300, не ниже 6 ядер / 12 потоков, от 2,8 ГГц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Пик 40–60 запросов в секунду, отчёты за месяц и проведение склада. Шести ядер хватает, важна частота и поддержка ECC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Оперативная память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32 ГБ DDR4 ECC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Буферный пул InnoDB около 20 ГБ, чтобы рабочие таблицы и индексы читались из памяти. Остальное — операционная система и соединения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Дисковая подсистема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 × SSD от 480 ГБ, SATA или SAS, аппаратный RAID 1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Оценка базы на 5 лет — до 40 ГБ. RAID 1 сохраняет работу при отказе одного диска. SSD нужен, чтобы карточка заказ-наряда открывалась без паузы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Сетевые адаптеры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 × 1 Гбит/с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Основной канал в локальную сеть и второй — под резервное копирование либо как запасной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Блок питания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 блока, горячая замена, от 500 Вт каждый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Отказ одного блока не останавливает базу в рабочий день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Корпус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Стоечный, 1U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 подсобном помещении СТО ставится напольная стойка 12–18U: два сервера, коммутатор, хранилище и ИБП</w:t>
            </w:r>
          </w:p>
        </w:tc>
      </w:tr>
    </w:tbl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 Требования к серверу приложений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4 — Требования к серверу приложений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3798"/>
      </w:tblGrid>
      <w:tr>
        <w:trPr>
          <w:tblHeader w:val="true"/>
          <w:cantSplit/>
        </w:trPr>
        <w:tc>
          <w:tcPr>
            <w:tcW w:type="dxa" w:w="2154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40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379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Процессор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ниже 4 ядер, от 3,0 ГГц, серверный Xeon или аналог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Веб-интерфейс на 15 сеансов, печатные формы заказ-наряда и проверка остатка перед записью строки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Оперативная память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16 ГБ DDR4 ECC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Операционная система, Nginx, прикладная программа и кэш сеансов. Данные в памяти этого сервера не копятся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Дисковая подсистема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SSD от 480 ГБ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Система и программа. База здесь не хранится, поэтому зеркало дисков желательно, но не обязательно: сервер поднимается из образа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Сетевые адаптеры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 × 1 Гбит/с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Сеть пользователей и отдельный путь к серверу баз данных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Блок питания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 300 Вт. Резервный блок желателен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Простой приложения не уничтожает данные. Для СТО допустим один блок, если база и копии живут на другом оборудовании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Корпус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Стоечный, 1U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Ставится в ту же стойку, что и сервер баз данных</w:t>
            </w:r>
          </w:p>
        </w:tc>
      </w:tr>
    </w:tbl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4.3. Требования к рабочим станциям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Предусмотрено шесть стационарных мест: два у приёмки, одно на складе, одно у бухгалтера, одно у руководителя и одно у администратора. Механикам в цехе стационарный компьютер мешает: им достаточно двух планшетов. Требования к системному блоку одинаковы, потому что все места работают через браузер.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5 — Требования к рабочим станциям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175"/>
        <w:gridCol w:w="4025"/>
      </w:tblGrid>
      <w:tr>
        <w:trPr>
          <w:tblHeader w:val="true"/>
          <w:cantSplit/>
        </w:trPr>
        <w:tc>
          <w:tcPr>
            <w:tcW w:type="dxa" w:w="2154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402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Процессор</w:t>
            </w:r>
          </w:p>
        </w:tc>
        <w:tc>
          <w:tcPr>
            <w:tcW w:type="dxa" w:w="317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Intel Core i5, не ниже 6 ядер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Браузер, печать заказ-наряда и одновременный просмотр скана документа на автомобиль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Оперативная память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16 ГБ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Несколько вкладок браузера и офисные файлы без подкачки на диск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Дисковая подсистема</w:t>
            </w:r>
          </w:p>
        </w:tc>
        <w:tc>
          <w:tcPr>
            <w:tcW w:type="dxa" w:w="317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SSD от 480 ГБ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Быстрый старт системы в начале смены. Пользовательские данные на диске места не хранятся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Сетевые адаптеры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Ethernet 1 Гбит/с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Провод надёжнее Wi-Fi на приёмке и в бухгалтерии. Wi-Fi оставлен планшетам в цехе</w:t>
            </w:r>
          </w:p>
        </w:tc>
      </w:tr>
      <w:tr>
        <w:trPr>
          <w:cantSplit/>
        </w:trPr>
        <w:tc>
          <w:tcPr>
            <w:tcW w:type="dxa" w:w="2154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Монитор</w:t>
            </w:r>
          </w:p>
        </w:tc>
        <w:tc>
          <w:tcPr>
            <w:tcW w:type="dxa" w:w="317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24 дюйма, IPS, не ниже 1920×1080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 экране одновременно шапка заказ-наряда и таблица работ. Меньшая диагональ заставляет листать документ</w:t>
            </w:r>
          </w:p>
        </w:tc>
      </w:tr>
    </w:tbl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4.4. Требования к сетевому оборудованию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6 — Требования к сетевому оборудованию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798"/>
      </w:tblGrid>
      <w:tr>
        <w:trPr>
          <w:tblHeader w:val="true"/>
          <w:cantSplit/>
        </w:trPr>
        <w:tc>
          <w:tcPr>
            <w:tcW w:type="dxa" w:w="204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51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379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Коммутатор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Управляемый, 24 порта 1 Гбит/с, от 4 слотов SFP, поддержка VLAN, установка в стойку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Порты: 6 компьютеров, 2 сервера, хранилище, точка доступа, маршрутизатор, принтер, запас. VLAN отделяет приёмку и цех от сегмента серверов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Маршрутизатор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Порты 1 Гбит/с, межсетевой экран, NAT, VPN, аппаратное шифрование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Выход в интернет, онлайн-запись и доступ администратора БД из дома. Отдельный дорогой межсетевой экран для одной СТО избыточен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Точка доступа Wi-Fi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Wi-Fi 6, диапазоны 2,4 и 5 ГГц, крепление на стену или потолок цеха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Два планшета механиков. Гостевую сеть для клиентов на эту точку не вешают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Кабельная система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Витая пара категории 6, постоянная линия не длиннее 90 м, патч-панель в стойке, розетки у каждого стационарного места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Цех и офис находятся в одном здании. Категории 6 хватает для 1 Гбит/с с запасом по помехам от оборудования бокса</w:t>
            </w:r>
          </w:p>
        </w:tc>
      </w:tr>
    </w:tbl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4.5. Требования к источникам бесперебойного питания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7 — Требования к ИБП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572"/>
      </w:tblGrid>
      <w:tr>
        <w:trPr>
          <w:tblHeader w:val="true"/>
          <w:cantSplit/>
        </w:trPr>
        <w:tc>
          <w:tcPr>
            <w:tcW w:type="dxa" w:w="238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40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357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Мощность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менее 1500 ВА (около 900 Вт полезной мощности)</w:t>
            </w:r>
          </w:p>
        </w:tc>
        <w:tc>
          <w:tcPr>
            <w:tcW w:type="dxa" w:w="357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Сервер БД 150–250 Вт, сервер приложений около 100 Вт, коммутатор около 20 Вт, NAS около 40 Вт. Сумма около 450 Вт, запас больше 50 %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Время автономной работы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менее 10 минут при нагрузке около 400 Вт</w:t>
            </w:r>
          </w:p>
        </w:tc>
        <w:tc>
          <w:tcPr>
            <w:tcW w:type="dxa" w:w="3572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Этого хватает, чтобы MySQL завершил транзакции и серверы корректно выключились. Часовую работу бокса от батареи не закладываем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Количество розеток</w:t>
            </w:r>
          </w:p>
        </w:tc>
        <w:tc>
          <w:tcPr>
            <w:tcW w:type="dxa" w:w="340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менее 6 розеток с батарейной поддержкой</w:t>
            </w:r>
          </w:p>
        </w:tc>
        <w:tc>
          <w:tcPr>
            <w:tcW w:type="dxa" w:w="3572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Два сервера, коммутатор, хранилище, маршрутизатор и запас под патч-панель или модем провайдера</w:t>
            </w:r>
          </w:p>
        </w:tc>
      </w:tr>
    </w:tbl>
    <w:p>
      <w:pPr>
        <w:spacing w:before="200" w:after="12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4.6. Требования к хранилищу данных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8 — Требования к хранилищу данных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628"/>
        <w:gridCol w:w="3798"/>
      </w:tblGrid>
      <w:tr>
        <w:trPr>
          <w:tblHeader w:val="true"/>
          <w:cantSplit/>
        </w:trPr>
        <w:tc>
          <w:tcPr>
            <w:tcW w:type="dxa" w:w="1927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62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379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2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Тип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Сетевое хранилище NAS на 2 диска, отдельное от сервера БД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Копия не должна лежать на том же сервере, который она защищает</w:t>
            </w:r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Объём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 × 4 ТБ, полезный объём около 4 ТБ после зеркалирования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Ежедневный дамп базы (десятки гигабайт с учётом роста) и сканы документов. Четырёх терабайт хватает на год ежедневных копий с ротацией</w:t>
            </w:r>
          </w:p>
        </w:tc>
      </w:tr>
      <w:tr>
        <w:trPr>
          <w:cantSplit/>
        </w:trPr>
        <w:tc>
          <w:tcPr>
            <w:tcW w:type="dxa" w:w="192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Интерфейс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Диски SATA III, наружу — Ethernet 1 Гбит/с</w:t>
            </w:r>
          </w:p>
        </w:tc>
        <w:tc>
          <w:tcPr>
            <w:tcW w:type="dxa" w:w="379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Скорости гигабита достаточно для ночного копирования базы такого объёма</w:t>
            </w:r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RAID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RAID 1 (или фирменный аналог с зеркалом)</w:t>
            </w:r>
          </w:p>
        </w:tc>
        <w:tc>
          <w:tcPr>
            <w:tcW w:type="dxa" w:w="379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Отказ одного диска не уничтожает архив копий</w:t>
            </w:r>
          </w:p>
        </w:tc>
      </w:tr>
    </w:tbl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5. Требования к программному обеспечению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Программные средства подобраны так, чтобы банк данных можно было сопровождать без годовой лицензии на серверную операционную систему и СУБД. Платные лицензии оставлены только там, где они уже входят в оборудование (прошивки коммутатора и маршрутизатора, система DSM у Synology).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9 — Требования к программному обеспечению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025"/>
      </w:tblGrid>
      <w:tr>
        <w:trPr>
          <w:tblHeader w:val="true"/>
          <w:cantSplit/>
        </w:trPr>
        <w:tc>
          <w:tcPr>
            <w:tcW w:type="dxa" w:w="226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06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Требование</w:t>
            </w:r>
          </w:p>
        </w:tc>
        <w:tc>
          <w:tcPr>
            <w:tcW w:type="dxa" w:w="402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Операционная система сервера</w:t>
            </w:r>
          </w:p>
        </w:tc>
        <w:tc>
          <w:tcPr>
            <w:tcW w:type="dxa" w:w="306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Ubuntu Server 24.04 LTS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Длительная поддержка, предсказуемые обновления, штатная работа MySQL и Nginx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СУБД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 8.4 LTS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Транзакции InnoDB для склада и оплат, роли пользователей, бесплатная редакция, привычный для курса инструмент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Сервер приложений</w:t>
            </w:r>
          </w:p>
        </w:tc>
        <w:tc>
          <w:tcPr>
            <w:tcW w:type="dxa" w:w="306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Nginx и прикладная программа «Автосервис»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Принимает запросы браузеров и планшетов, проверяет права и обращается к MySQL. Отдельный тяжёлый сервер приложений Java здесь не нужен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Средства разработки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 Workbench, DBeaver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Схема, запросы и проверка планов выполнения на учебном и рабочем контуре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Средства администрирования</w:t>
            </w:r>
          </w:p>
        </w:tc>
        <w:tc>
          <w:tcPr>
            <w:tcW w:type="dxa" w:w="306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 Workbench, клиент mysql, учётные записи по ролям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Создание пользователей приёмки, склада, бухгалтерии, руководителя и отдельной учётной записи только для копирования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Средства мониторинга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Zabbix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Место на диске, доступность MySQL, загрузка процессора. Ошибку диска нужно увидеть до того, как сервер остановится в приёмные часы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Средства резервного копирования</w:t>
            </w:r>
          </w:p>
        </w:tc>
        <w:tc>
          <w:tcPr>
            <w:tcW w:type="dxa" w:w="306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mysqldump и копирование дампа на Synology</w:t>
            </w:r>
          </w:p>
        </w:tc>
        <w:tc>
          <w:tcPr>
            <w:tcW w:type="dxa" w:w="402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Ежедневный логический дамп ночью, когда посты закрыты. Файл уходит на NAS, а не остаётся на сервере БД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Клиентское ПО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Браузер на рабочих станциях и планшетах</w:t>
            </w:r>
          </w:p>
        </w:tc>
        <w:tc>
          <w:tcPr>
            <w:tcW w:type="dxa" w:w="402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Отдельный клиент ставить не нужно: приёмщик, бухгалтер и механик открывают одну программу</w:t>
            </w:r>
          </w:p>
        </w:tc>
      </w:tr>
    </w:tbl>
    <w:p>
      <w:pPr>
        <w:spacing w:before="16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Роли в MySQL повторяют таблицу 1. У механика нет права менять цену и остаток. У кладовщика нет права закрывать оплату. У руководителя есть право чтения отчётов. Учётная запись резервного копирования не используется людьми на приёмке.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6. Структурная схема банка данных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1 банк данных разложен по уровням из задания: внешние системы, защита, сеть, представление, логика и данные. Межсетевой экран показан отдельным блоком, но как устройство не закупается: фильтрацию выполняет RouterOS маршрутизатора MikroTik hEX S. Так на схеме виден уровень защиты, а в смете нет второго сетевого устройства с той же функцией.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Поток данных идёт сверху вниз. Удалённый клиент и администратор попадают из интернета на межсетевой экран, затем в маршрутизатор и коммутатор. Стационарные места подключены к коммутатору кабелем, планшет механика — к точке доступа. Запросы форм приходят на сервер приложений. Программа «Автосервис» выполняет SQL через СУБД MySQL, которая работает на сервере баз данных и читает информационную базу autoservice. Ночью сервер баз данных отдаёт дамп на Synology. Оранжевый пунктир — питание ответственных узлов от ИБП, а не поток данных.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3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3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— Структурная схема банка данных автосервиса «АвтоМастер»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Схема читается и без рисунка, если пройти уровни списком. Уровень данных: сервер Dell PowerEdge R350 и база autoservice, рядом хранилище Synology DS220+. Уровень логики: сервер HPE ProLiant DL20 Gen10 с программой «Автосервис» и СУБД MySQL 8.4. Уровень представления: шесть рабочих станций и планшеты механиков. Сетевой уровень: коммутатор Cisco Catalyst C1000-24T-4G-L, маршрутизатор MikroTik hEX S, точка доступа cAP ax. Уровень защиты: межсетевой экран RouterOS и ИБП APC Smart-UPS C SMC1500I. Внешние системы: интернет, клиент онлайн-записи, удалённый администратор.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7. Обоснование выбора оборудования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выбиралась так: она закрывает требование из раздела 4, у неё есть поставка в российском прайсе и она не тащит за собой функции, которые СТО не использует. Сравнение «взять сразу сервер на 256 ГБ» отбрасывалось: лишняя память не ускоряет 15 сеансов, но увеличивает смету.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10 — Выбор оборудования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3969"/>
      </w:tblGrid>
      <w:tr>
        <w:trPr>
          <w:tblHeader w:val="true"/>
          <w:cantSplit/>
        </w:trPr>
        <w:tc>
          <w:tcPr>
            <w:tcW w:type="dxa" w:w="187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515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Выбранная модель</w:t>
            </w:r>
          </w:p>
        </w:tc>
        <w:tc>
          <w:tcPr>
            <w:tcW w:type="dxa" w:w="3969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Сервер БД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Dell PowerEdge R350, Intel Xeon E-2336 (6 ядер, 2,9 ГГц), доукомплектация до 32 ГБ DDR4 ECC, 2 × SSD 480 ГБ, RAID-контроллер PERC, 2 × БП 600 Вт, iDRAC9</w:t>
            </w:r>
          </w:p>
        </w:tc>
        <w:tc>
          <w:tcPr>
            <w:tcW w:type="dxa" w:w="396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Попадает в требование по ядрам, частоте, двум блокам питания и корпусу 1U. E-2336 берётся готовой конфигурацией из прайса, память и второй SSD докупаются. iDRAC9 позволяет администратору посмотреть сервер, не выезжая в бокс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Сервер приложений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HPE ProLiant DL20 Gen10, Intel Xeon E-2224 (4 ядра, 3,4 ГГц), 16 ГБ, SSD 480 ГБ, iLO 5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Четыре ядра и 16 ГБ закрывают веб-программу. iLO 5 — удалённое включение. Один блок питания у этой модели принят сознательно: данные находятся на R350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Рабочая станция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Системный блок Intel Core i5-12400, 16 ГБ DDR4, SSD 480 ГБ; монитор 24 дюйма IPS</w:t>
            </w:r>
          </w:p>
        </w:tc>
        <w:tc>
          <w:tcPr>
            <w:tcW w:type="dxa" w:w="396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Шесть ядер и 16 ГБ закрывают браузерный клиент. Готовая сборка такого состава дешевле брендового системного блока при тех же параметрах. Монитор 24 дюйма нужен под заказ-наряд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Коммутатор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Cisco Catalyst C1000-24T-4G-L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24 медных порта 1 Гбит/с и 4 SFP, управляемый, с VLAN. Портов хватает на текущие места и на два-три новых поста без замены коммутатора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Маршрутизатор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MikroTik hEX S (RB760iGS)</w:t>
            </w:r>
          </w:p>
        </w:tc>
        <w:tc>
          <w:tcPr>
            <w:tcW w:type="dxa" w:w="396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Пять портов 1 Гбит/с, SFP, аппаратное шифрование IPsec, межсетевой экран и VPN в RouterOS. Для канала небольшой СТО производительность избыточна, цена — нет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Точка доступа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MikroTik cAP ax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Wi-Fi 6 для двух планшетов в цехе. Ставится на стену, питается отдельно, в гостевой доступ для клиентов не включается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ИБП</w:t>
            </w:r>
          </w:p>
        </w:tc>
        <w:tc>
          <w:tcPr>
            <w:tcW w:type="dxa" w:w="3515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APC Smart-UPS C SMC1500I, 1500 ВА</w:t>
            </w:r>
          </w:p>
        </w:tc>
        <w:tc>
          <w:tcPr>
            <w:tcW w:type="dxa" w:w="3969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Полезная мощность перекрывает расчётные 450 Вт с запасом. Линейно-интерактивная схема достаточна, чтобы пережить короткие отключения и дать серверам завершить работу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Хранилище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Synology DS220+ и 2 × Seagate IronWolf 4 ТБ (ST4000VN006), RAID 1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Два отсека и зеркало закрывают требование. Диски серии IronWolf рассчитаны на работу в NAS. Копии отделены от сервера БД</w:t>
            </w:r>
          </w:p>
        </w:tc>
      </w:tr>
    </w:tbl>
    <w:p>
      <w:pPr>
        <w:spacing w:before="16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Отдельный межсетевой экран в таблицу не поставлен: его функцию выполняет маршрутизатор, что уже отмечено на схеме. Планшеты механиков в требования к рабочим станциям не входят, но для работы цеха нужны два устройства с браузером и Wi-Fi. Они добавлены в смету отдельной строкой.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8. Расчёт стоимости оборудования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Цены взяты из открытых прайс-листов на момент подготовки отчёта (октябрь 2026 г.). Перед закупкой их нужно перепроверить: часть позиций продаётся как готовая конфигурация, часть — как доукомплектация. Строки со звёздочкой — ориентир по розничным предложениям, а не карточка конкретного магазина на одну дату.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11 — Расчёт стоимости оборудования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28"/>
        <w:gridCol w:w="907"/>
        <w:gridCol w:w="1530"/>
        <w:gridCol w:w="1417"/>
      </w:tblGrid>
      <w:tr>
        <w:trPr>
          <w:tblHeader w:val="true"/>
          <w:cantSplit/>
        </w:trPr>
        <w:tc>
          <w:tcPr>
            <w:tcW w:type="dxa" w:w="1871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Компонент</w:t>
            </w:r>
          </w:p>
        </w:tc>
        <w:tc>
          <w:tcPr>
            <w:tcW w:type="dxa" w:w="3628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Модель</w:t>
            </w:r>
          </w:p>
        </w:tc>
        <w:tc>
          <w:tcPr>
            <w:tcW w:type="dxa" w:w="907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Кол-во</w:t>
            </w:r>
          </w:p>
        </w:tc>
        <w:tc>
          <w:tcPr>
            <w:tcW w:type="dxa" w:w="15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Цена за ед.</w:t>
            </w:r>
          </w:p>
        </w:tc>
        <w:tc>
          <w:tcPr>
            <w:tcW w:type="dxa" w:w="1417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Сервер БД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Dell PowerEdge R350 (E-2336, 16 ГБ, SSD 480 ГБ, 2×600 Вт)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302 414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302 414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Память сервера БД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Модуль 16 ГБ DDR4-3200 ECC (доведение до 32 ГБ)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22 716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22 716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Диск сервера БД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SSD SATA 480 ГБ, второй диск в RAID 1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9 135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9 135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Сервер приложений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HPE ProLiant DL20 Gen10 (E-2224, 16 ГБ)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175 917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175 917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Диск сервера приложений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SSD SATA 480 ГБ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9 135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9 135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Рабочая станция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Core i5-12400, 16 ГБ, SSD 480 ГБ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32 900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197 400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Монитор*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24 дюйма, IPS, 1920×1080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13 000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78 000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Планшет механика*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 дюймов, браузер, Wi-Fi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18 000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36 000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Коммутатор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Cisco Catalyst C1000-24T-4G-L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116 711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116 711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Маршрутизатор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MikroTik hEX S (RB760iGS)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8 678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8 678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Точка доступа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MikroTik cAP ax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16 900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16 900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ИБП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APC Smart-UPS C SMC1500I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75 944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75 944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Хранилище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Synology DS220+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55 990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55 990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Диски хранилища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Seagate IronWolf 4 ТБ ST4000VN006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21 672 ₽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43 344 ₽</w:t>
            </w:r>
          </w:p>
        </w:tc>
      </w:tr>
      <w:tr>
        <w:trPr>
          <w:cantSplit/>
        </w:trPr>
        <w:tc>
          <w:tcPr>
            <w:tcW w:type="dxa" w:w="1871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Кабельная система*</w:t>
            </w:r>
          </w:p>
        </w:tc>
        <w:tc>
          <w:tcPr>
            <w:tcW w:type="dxa" w:w="3628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Кабель Cat.6, патч-панель, розетки</w:t>
            </w:r>
          </w:p>
        </w:tc>
        <w:tc>
          <w:tcPr>
            <w:tcW w:type="dxa" w:w="90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30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18 000 ₽</w:t>
            </w:r>
          </w:p>
        </w:tc>
        <w:tc>
          <w:tcPr>
            <w:tcW w:type="dxa" w:w="1417"/>
            <w:shd w:fill="F4F7FB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18 000 ₽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  <w:shd w:fill="1B365D" w:val="clea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Итого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  <w:shd w:fill="1B365D" w:val="clea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90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  <w:shd w:fill="1B365D" w:val="clea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530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  <w:shd w:fill="1B365D" w:val="clea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fill="FFFFFF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vAlign w:val="center"/>
            <w:shd w:fill="1B365D" w:val="clea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1 166 284 ₽</w:t>
            </w:r>
          </w:p>
        </w:tc>
      </w:tr>
    </w:tbl>
    <w:p>
      <w:pPr>
        <w:spacing w:before="16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Итоговая стоимость аппаратного комплекса — 1 166 284 ₽. Из этой суммы серверы баз данных и приложений вместе с доукомплектацией дают 519 317 ₽, то есть чуть больше половины сметы. Шесть рабочих мест с мониторами — 275 400 ₽. Программное обеспечение из таблицы 9 отдельно не оплачивается.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Источники цен: сервер Dell PowerEdge R350 в конфигурации с Xeon E-2336, 16 ГБ и SSD 480 ГБ — прайс WIT (302 414 ₽); модуль 16 ГБ DDR4 ECC — ориентир по позиции Micron 16 ГБ DDR4-3200 ECC (22 716 ₽); SSD 480 ГБ — розничные предложения уровня 9 135 ₽; HPE ProLiant DL20 Gen10 с Xeon E-2224 и 16 ГБ — сборка Servermall (от 175 917 ₽, без диска); системный блок Core i5-12400 / 16 ГБ / SSD 480 ГБ — прайс готовой сборки (32 900 ₽); коммутатор Cisco Catalyst C1000-24T-4G-L — предложение «в наличии» (116 711 ₽); MikroTik hEX S — LANMART (8 678 ₽); точка доступа cAP ax — каталог MikroTik (16 900 ₽); ИБП APC Smart-UPS C SMC1500I — ВсеИнструменты (75 944 ₽); Synology DS220+ — розничный каталог (55 990 ₽); Seagate IronWolf 4 ТБ ST4000VN006 — каталог КНС (21 672 ₽).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Совокупная стоимость владения за три года шире этой сметы. К закупке добавляются электричество, замена батареи ИБП и работа того, кто следит за копиями. Оценка электричества: около 400 Вт круглосуточно на серверы, коммутатор и хранилище, тариф 8 ₽ за кВт·ч — примерно 28 000 ₽ в год. Сопровождение силами приходящего администратора — 15 000 ₽ в месяц, 180 000 ₽ в год. За три года эксплуатация даёт около 624 000 ₽. Вместе с закупкой ориентировочная стоимость владения — 1 790 284 ₽. Лицензии Ubuntu, MySQL, Nginx и Zabbix в эту сумму не входят: они свободные.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9. Вывод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работе для станции технического обслуживания «АвтоМастер» собран банк данных целиком: информационная база autoservice, языковые средства на SQL, программный контур MySQL и веб-программы «Автосервис», технические средства и набор регламентов. Аппаратные требования привязаны к нагрузке 40 заказ-нарядов в день и 15 одновременных сеансов, а не скопированы с более крупной системы.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Отдельно пришлось согласовать два ограничения. Первое: сервер баз данных и сервер приложений разделены, хотя для шести постов их можно было бы совместить на одной машине. Разделение оставлено, потому что обновление программы на приёмке не должно останавливать хранение данных и ночное копирование. Второе: межсетевой экран на схеме есть, а в смете отдельной строкой его нет — функцию несёт RouterOS. Это удешевляет комплекс и не убирает уровень защиты.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Сложность возникла на ценах. Готовая конфигурация Dell закрывает процессор и два блока питания, но память и второй SSD приходятся докупать, и итоговая цифра 1 166 284 ₽ чувствительна к курсу и к тому, новая позиция или восстановленная. Перед реальной закупкой прайс нужно снять заново и проверить, что модуль памяти подходит к R350 именно как UDIMM ECC. В результате работы стало понятно, как из процессов предметной области получить состав банка данных, требования к каждому устройству и читаемую схему, на которой видны и данные, и питание.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1B365D"/>
          <w:sz w:val="32"/>
        </w:rPr>
        <w:t>10. Ответы на контрольные вопросы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Что такое банк данных? Какие компоненты он включает?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 данных — автоматизированная система из баз данных и программных, языковых, технических и организационных средств. Она нужна, чтобы данные накапливались в одном месте и ими пользовались несколько ролей сразу. Компоненты: информационная база, лингвистические средства, программные средства, технические средства и организационно-методические средства. В этой работе информационная база — autoservice, лингвистические средства — SQL и DDL, программы — MySQL, Nginx и «Автосервис», техника — серверы, рабочие места, сеть, NAS и ИБП, методика — регламенты заказ-наряда, копирования, доступа и инвентаризации.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такое аппаратные требования? Какие разделы они включают?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Аппаратные требования — документ о том, какие технические средства нужны банку данных и какими параметрами они должны обладать. В работе выделены разделы: сервер баз данных, сервер приложений, рабочие станции, сетевое оборудование, источник бесперебойного питания и хранилище данных. У каждого параметра есть не только цифра, но и причина, связанная с нагрузкой автосервиса.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Какие требования предъявляются к серверу баз данных?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 баз данных считают от числа запросов, объёма базы и цены простоя. Для «АвтоМастера» принято: процессор Xeon не ниже 6 ядер и 2,8 ГГц, 32 ГБ ECC под буферный пул, два SSD от 480 ГБ в RAID 1, два сетевых порта 1 Гбит/с, два блока питания с горячей заменой, корпус 1U. ECC и два блока питания здесь важнее «запаса ядер»: ошибка памяти или отказ одного БП останавливает приёмку целиком.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Какие требования предъявляются к серверу приложений?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 приложений исполняет бизнес-логику и не хранит базу. Достаточно 4 ядер от 3 ГГц, 16 ГБ памяти, SSD от 480 ГБ и двух сетевых портов. Резервный блок питания желателен. Для выбранного HPE DL20 Gen10 принят один блок: при его отказе данные остаются на сервере БД и на NAS.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Какие требования предъявляются к рабочим станциям?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Рабочая станция — место ввода, а не место хранения. Для браузерной программы хватает Core i5 на 6 ядер, 16 ГБ памяти, SSD от 480 ГБ, провода 1 Гбит/с и монитора 24 дюйма. Одинаковые места проще менять: приёмка, склад, бухгалтерия и руководитель отличаются правами в MySQL, а не железом. Механикам вместо системного блока выдан планшет.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Какие требования предъявляются к сетевому оборудованию?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Коммутатор должен быть управляемым, с запасом портов и VLAN, чтобы цех не находился в одном широковещательном сегменте с сервером БД. Маршрутизатор даёт NAT, межсетевой экран и VPN. Точка доступа Wi-Fi 6 закрывает планшеты в цехе. Кабель — категория 6, линия короче 90 м. Гигабита на всех участках достаточно: узкое место этой системы не сеть, а диски и сама база.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Что такое структурная схема банка данных?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Структурная схема — рисунок состава банка данных и связей между частями. По ней видно, кто к кому обращается и где лежат данные. В отчёте это рисунок 1: от интернета и рабочих мест до MySQL, сервера БД и хранилища копий. Подписи на стрелках отделяют запросы пользователей от резервного копирования и от питания.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Какие уровни отображаются на структурной схеме?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Шесть уровней. Уровень данных — сервер БД, информационная база и хранилище. Уровень логики — сервер приложений, СУБД и прикладная программа. Уровень представления — рабочие станции, планшеты и браузер. Сетевой уровень — коммутатор, маршрутизатор, точка доступа и кабель. Уровень защиты — межсетевой экран и ИБП. Внешние системы — интернет, удалённый клиент и администратор.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Как обосновать выбор оборудования?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Сначала фиксируют нагрузку и требование (таблица параметра), потом ищут модель, которая это требование закрывает, и только после этого смотрят цену. В обосновании полезно писать, от чего отказались. Здесь отказались от совмещения двух серверов на одной машине и от отдельного межсетевого экрана. Первое сохраняет данные при сбое программы, второе не оплачивает одну и ту же функцию дважды. Модель без поставки и без удаленного управления (iDRAC, iLO) для сервера СТО хуже такой же по ядрам, но «немой».</w:t>
      </w:r>
    </w:p>
    <w:p>
      <w:pPr>
        <w:spacing w:before="160" w:after="40" w:line="360" w:lineRule="auto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Что такое TCO? Как его рассчитать?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TCO (total cost of ownership) — совокупная стоимость владения: закупка плюс все расходы, пока система работает. Считают за выбранный срок, здесь — три года: стоимость оборудования + электроэнергия + сопровождение + расходные материалы (батарея ИБП) + лицензии. Закупка в отчёте — 1 166 284 ₽. Электричество около 28 000 ₽ в год, сопровождение 180 000 ₽ в год, за три года 624 000 ₽. Лицензии на выбранный стек нулевые. Оценка TCO за три года — 1 790 284 ₽. В расчёт не входили стойка, монтаж кабеля силами подрядчика и обучение персонала: при реальном внедрении их добавляют отдельными строками.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Работа выполнена индивидуально. Предметная область согласована как автосервис.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505050"/>
        <w:sz w:val="22"/>
      </w:rPr>
      <w:t xml:space="preserve">Практическая работа № 10  ·  </w:t>
    </w: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10. Формирование аппаратных требований и схемы банка данных</dc:title>
  <dc:subject>Банк данных автосервиса «АвтоМастер», МДК 07.01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Учебный отчёт</cp:category>
  <dc:language>ru-RU</dc:language>
</cp:coreProperties>
</file>