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ind w:left="2681"/>
        <w:jc w:val="left"/>
        <w:rPr>
          <w:rFonts w:hint="default"/>
          <w:sz w:val="24"/>
        </w:rPr>
      </w:pPr>
      <w:bookmarkStart w:id="1" w:name="_GoBack"/>
      <w:bookmarkEnd w:id="1"/>
      <w:bookmarkStart w:id="0" w:name="page24"/>
      <w:bookmarkEnd w:id="0"/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Comic Sans MS" w:hAnsi="Comic Sans MS" w:eastAsia="Comic Sans MS"/>
          <w:b/>
          <w:sz w:val="24"/>
        </w:rPr>
        <w:t>PREFEITURA MUNICIPAL DE CURITIBA</w:t>
      </w:r>
    </w:p>
    <w:p>
      <w:pPr>
        <w:spacing w:beforeLines="0" w:afterLines="0" w:line="5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26" o:spid="_x0000_s1026" o:spt="75" type="#_x0000_t75" style="position:absolute;left:0pt;margin-left:0pt;margin-top:-11.2pt;height:56.9pt;width:59.15pt;z-index:-251658240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overflowPunct w:val="0"/>
        <w:spacing w:beforeLines="0" w:afterLines="0" w:line="255" w:lineRule="auto"/>
        <w:ind w:left="3781" w:right="2180" w:hanging="955"/>
        <w:jc w:val="left"/>
        <w:rPr>
          <w:rFonts w:hint="default"/>
          <w:sz w:val="24"/>
        </w:rPr>
      </w:pPr>
      <w:r>
        <w:rPr>
          <w:rFonts w:hint="default" w:ascii="Comic Sans MS" w:hAnsi="Comic Sans MS" w:eastAsia="Comic Sans MS"/>
          <w:b/>
          <w:sz w:val="23"/>
        </w:rPr>
        <w:t>SECRETARIA MUNICIPAL DA SAÚDE 1º quadrimestre 2018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98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75" w:lineRule="auto"/>
        <w:ind w:left="1" w:right="440"/>
        <w:rPr>
          <w:rFonts w:hint="default"/>
          <w:sz w:val="24"/>
        </w:rPr>
      </w:pPr>
      <w:r>
        <w:rPr>
          <w:rFonts w:hint="default" w:ascii="Comic Sans MS" w:hAnsi="Comic Sans MS" w:eastAsia="Comic Sans MS"/>
          <w:sz w:val="24"/>
        </w:rPr>
        <w:t>Ressalta-se ainda o aumento do número de serviços contratualizados que vem sendo monitorados mensalmente para o cumprimento das metas qualitativas e quantitativas pactuadas em contrato.</w:t>
      </w:r>
    </w:p>
    <w:p>
      <w:pPr>
        <w:spacing w:beforeLines="0" w:afterLines="0" w:line="5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 w:line="275" w:lineRule="auto"/>
        <w:ind w:left="1" w:right="440"/>
        <w:rPr>
          <w:rFonts w:hint="default"/>
          <w:sz w:val="24"/>
        </w:rPr>
      </w:pPr>
      <w:r>
        <w:rPr>
          <w:rFonts w:hint="default" w:ascii="Comic Sans MS" w:hAnsi="Comic Sans MS" w:eastAsia="Comic Sans MS"/>
          <w:sz w:val="24"/>
        </w:rPr>
        <w:t>Outra ação de relevância foi a realização de visitas técnicas nos serviços para verificação do cumprimento dos critérios de habilitação exigidos pelo Ministério da Saúde.</w:t>
      </w:r>
    </w:p>
    <w:p>
      <w:pPr>
        <w:spacing w:beforeLines="0" w:afterLines="0" w:line="2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/>
        <w:ind w:left="1" w:right="440"/>
        <w:rPr>
          <w:rFonts w:hint="default"/>
          <w:sz w:val="24"/>
        </w:rPr>
      </w:pPr>
      <w:r>
        <w:rPr>
          <w:rFonts w:hint="default" w:ascii="Comic Sans MS" w:hAnsi="Comic Sans MS" w:eastAsia="Comic Sans MS"/>
          <w:sz w:val="24"/>
        </w:rPr>
        <w:t>O conjunto de ações elencadas no quadro acima desencadeou auditorias analíticas e operativas com a finalidade de identificar e corrigir as não conformidades estabelecidas pelas normativas vigentes do SUS, bem como agir preventivamente contribuindo para a alocação e utilização adequada dos recursos, a garantia do acesso e a qualidade da atenção à saúde oferecida aos cidadãos.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86" w:lineRule="exact"/>
        <w:jc w:val="left"/>
        <w:rPr>
          <w:rFonts w:hint="default"/>
          <w:sz w:val="24"/>
        </w:rPr>
      </w:pPr>
    </w:p>
    <w:p>
      <w:pPr>
        <w:numPr>
          <w:ilvl w:val="0"/>
          <w:numId w:val="1"/>
        </w:numPr>
        <w:tabs>
          <w:tab w:val="left" w:pos="701"/>
          <w:tab w:val="clear" w:pos="720"/>
        </w:tabs>
        <w:overflowPunct w:val="0"/>
        <w:spacing w:beforeLines="0" w:afterLines="0"/>
        <w:ind w:left="701" w:hanging="701"/>
        <w:rPr>
          <w:rFonts w:hint="default" w:ascii="Comic Sans MS" w:hAnsi="Comic Sans MS" w:eastAsia="Comic Sans MS"/>
          <w:b/>
          <w:sz w:val="24"/>
        </w:rPr>
      </w:pPr>
      <w:r>
        <w:rPr>
          <w:rFonts w:hint="default" w:ascii="Comic Sans MS" w:hAnsi="Comic Sans MS" w:eastAsia="Comic Sans MS"/>
          <w:b/>
          <w:sz w:val="24"/>
        </w:rPr>
        <w:t>OFERTA E PRODUÇÃO DE SERVIÇOS PÚBLICOS DE SAÚDE NA</w:t>
      </w:r>
    </w:p>
    <w:p>
      <w:pPr>
        <w:spacing w:beforeLines="0" w:afterLines="0" w:line="1" w:lineRule="exact"/>
        <w:jc w:val="left"/>
        <w:rPr>
          <w:rFonts w:hint="default" w:ascii="Comic Sans MS" w:hAnsi="Comic Sans MS" w:eastAsia="Comic Sans MS"/>
          <w:b/>
          <w:sz w:val="24"/>
        </w:rPr>
      </w:pPr>
    </w:p>
    <w:p>
      <w:pPr>
        <w:overflowPunct w:val="0"/>
        <w:spacing w:beforeLines="0" w:afterLines="0"/>
        <w:ind w:left="701"/>
        <w:rPr>
          <w:rFonts w:hint="default" w:ascii="Comic Sans MS" w:hAnsi="Comic Sans MS" w:eastAsia="Comic Sans MS"/>
          <w:b/>
          <w:sz w:val="24"/>
        </w:rPr>
      </w:pPr>
      <w:r>
        <w:rPr>
          <w:rFonts w:hint="default" w:ascii="Comic Sans MS" w:hAnsi="Comic Sans MS" w:eastAsia="Comic Sans MS"/>
          <w:b/>
          <w:sz w:val="24"/>
        </w:rPr>
        <w:t>REDE PRÓPRIA, CONVENIADA E CONTRATADA.</w:t>
      </w:r>
    </w:p>
    <w:p>
      <w:pPr>
        <w:spacing w:beforeLines="0" w:afterLines="0" w:line="360" w:lineRule="exact"/>
        <w:jc w:val="left"/>
        <w:rPr>
          <w:rFonts w:hint="default"/>
          <w:sz w:val="24"/>
        </w:rPr>
      </w:pPr>
    </w:p>
    <w:p>
      <w:pPr>
        <w:numPr>
          <w:ilvl w:val="0"/>
          <w:numId w:val="2"/>
        </w:numPr>
        <w:tabs>
          <w:tab w:val="left" w:pos="701"/>
          <w:tab w:val="clear" w:pos="720"/>
        </w:tabs>
        <w:overflowPunct w:val="0"/>
        <w:spacing w:beforeLines="0" w:afterLines="0"/>
        <w:ind w:left="701" w:hanging="701"/>
        <w:rPr>
          <w:rFonts w:hint="default" w:ascii="Comic Sans MS" w:hAnsi="Comic Sans MS" w:eastAsia="Comic Sans MS"/>
          <w:b/>
          <w:sz w:val="24"/>
        </w:rPr>
      </w:pPr>
      <w:r>
        <w:rPr>
          <w:rFonts w:hint="default" w:ascii="Comic Sans MS" w:hAnsi="Comic Sans MS" w:eastAsia="Comic Sans MS"/>
          <w:b/>
          <w:sz w:val="24"/>
        </w:rPr>
        <w:t>Rede Física de Serviços de Saúde: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pict>
          <v:shape id="_x0000_s1027" o:spid="_x0000_s1027" o:spt="75" type="#_x0000_t75" style="position:absolute;left:0pt;margin-left:0pt;margin-top:16.5pt;height:310.75pt;width:475.3pt;z-index:-251657216;mso-width-relative:page;mso-height-relative:page;" filled="f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spacing w:beforeLines="0" w:afterLines="0" w:line="202" w:lineRule="exact"/>
        <w:jc w:val="left"/>
        <w:rPr>
          <w:rFonts w:hint="default"/>
          <w:sz w:val="24"/>
        </w:rPr>
      </w:pPr>
    </w:p>
    <w:p>
      <w:pPr>
        <w:spacing w:beforeLines="0" w:afterLines="0" w:line="239" w:lineRule="auto"/>
        <w:ind w:left="2381"/>
        <w:jc w:val="left"/>
        <w:rPr>
          <w:rFonts w:hint="default"/>
          <w:sz w:val="24"/>
        </w:rPr>
      </w:pPr>
      <w:r>
        <w:rPr>
          <w:rFonts w:hint="default" w:ascii="Comic Sans MS" w:hAnsi="Comic Sans MS" w:eastAsia="Comic Sans MS"/>
          <w:b/>
          <w:sz w:val="20"/>
        </w:rPr>
        <w:t>Rede Física de Serviços no SUS Curitiba - 2018</w:t>
      </w:r>
    </w:p>
    <w:p>
      <w:pPr>
        <w:spacing w:beforeLines="0" w:afterLines="0" w:line="1" w:lineRule="exact"/>
        <w:jc w:val="left"/>
        <w:rPr>
          <w:rFonts w:hint="default"/>
          <w:sz w:val="24"/>
        </w:rPr>
      </w:pPr>
    </w:p>
    <w:tbl>
      <w:tblPr>
        <w:tblStyle w:val="3"/>
        <w:tblW w:w="10919" w:type="dxa"/>
        <w:tblInd w:w="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"/>
        <w:gridCol w:w="4600"/>
        <w:gridCol w:w="120"/>
        <w:gridCol w:w="80"/>
        <w:gridCol w:w="640"/>
        <w:gridCol w:w="120"/>
        <w:gridCol w:w="100"/>
        <w:gridCol w:w="780"/>
        <w:gridCol w:w="120"/>
        <w:gridCol w:w="100"/>
        <w:gridCol w:w="760"/>
        <w:gridCol w:w="120"/>
        <w:gridCol w:w="100"/>
        <w:gridCol w:w="1620"/>
        <w:gridCol w:w="120"/>
        <w:gridCol w:w="1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12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460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20" w:type="dxa"/>
            <w:tcBorders>
              <w:top w:val="single" w:color="E7E6E6" w:sz="8" w:space="0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8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64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20" w:type="dxa"/>
            <w:tcBorders>
              <w:top w:val="single" w:color="E7E6E6" w:sz="8" w:space="0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0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78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20" w:type="dxa"/>
            <w:tcBorders>
              <w:top w:val="single" w:color="E7E6E6" w:sz="8" w:space="0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0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76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20" w:type="dxa"/>
            <w:tcBorders>
              <w:top w:val="single" w:color="E7E6E6" w:sz="8" w:space="0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0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62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20" w:type="dxa"/>
            <w:tcBorders>
              <w:top w:val="single" w:color="E7E6E6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5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20" w:type="dxa"/>
            <w:tcBorders>
              <w:top w:val="nil"/>
              <w:left w:val="nil"/>
              <w:bottom w:val="single" w:color="E7E6E6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E7E6E6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E7E6E6" w:sz="8" w:space="0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E7E6E6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color="E7E6E6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E7E6E6" w:sz="8" w:space="0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E7E6E6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2600" w:type="dxa"/>
            <w:gridSpan w:val="4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67" w:lineRule="exact"/>
              <w:ind w:left="6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sz w:val="20"/>
              </w:rPr>
              <w:t>Tipo de Gestão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460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78" w:lineRule="exact"/>
              <w:ind w:left="110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sz w:val="20"/>
              </w:rPr>
              <w:t>Tipo de Estabelecimento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78" w:lineRule="exact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sz w:val="20"/>
                <w:shd w:val="clear" w:color="auto" w:fill="E7E6E6"/>
              </w:rPr>
              <w:t>Total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66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w w:val="97"/>
                <w:sz w:val="20"/>
                <w:shd w:val="clear" w:color="auto" w:fill="E7E6E6"/>
              </w:rPr>
              <w:t>Gestão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66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w w:val="99"/>
                <w:sz w:val="20"/>
                <w:shd w:val="clear" w:color="auto" w:fill="E7E6E6"/>
              </w:rPr>
              <w:t>Estabelecimento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3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460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64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78" w:lineRule="exact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w w:val="87"/>
                <w:sz w:val="20"/>
                <w:shd w:val="clear" w:color="auto" w:fill="E7E6E6"/>
              </w:rPr>
              <w:t>Municipal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7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78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w w:val="97"/>
                <w:sz w:val="20"/>
              </w:rPr>
              <w:t>Mista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78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w w:val="98"/>
                <w:sz w:val="20"/>
              </w:rPr>
              <w:t>de Gestão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1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460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78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76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620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78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w w:val="98"/>
                <w:sz w:val="20"/>
                <w:shd w:val="clear" w:color="auto" w:fill="E7E6E6"/>
              </w:rPr>
              <w:t>(Dupla)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 w:line="278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b/>
                <w:sz w:val="20"/>
              </w:rPr>
              <w:t>Estadual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shd w:val="clear" w:color="auto" w:fill="E7E6E6"/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Centro de Regulação de Serviços de Saúde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Central de Regulação Médica das Urgências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Centro de Atenção Hemoterapia e ou Hematologia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Centro de Atenção Psicossocial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13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12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Centro de Saúde/ Unidade de Saúde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111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111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Clínica Especializada/ Ambulatório de Especialidades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47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43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02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4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02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Consultório isolado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Hospital Especializado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ind w:left="3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08 *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06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4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02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Hospital Geral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30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18 **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6"/>
                <w:sz w:val="16"/>
              </w:rPr>
              <w:t>11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06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Laboratório Central de Saúde Pública – LACEN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Policlínica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16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14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02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Pronto Atendimento (UPA)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09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09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Secretaria de Saúde (DS + Central de Vacinas + CSA + SMS)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13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13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Serviço de Atenção Domiciliar (10 EMAD + 03 EMAP)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13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13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Unidade de Apoio Diagnose e Terapia (SADT isolado)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50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30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16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4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04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08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Unidade Móvel de Nível Pré-Hospitalar na área de Urgência/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08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28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08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28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SAMU</w:t>
            </w:r>
          </w:p>
        </w:tc>
        <w:tc>
          <w:tcPr>
            <w:tcW w:w="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9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5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Telessaúde – NUTES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5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15" w:lineRule="exact"/>
              <w:jc w:val="center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w w:val="93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Oficina Ortopédica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176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02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176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02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</w:trPr>
        <w:tc>
          <w:tcPr>
            <w:tcW w:w="4840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 w:line="213" w:lineRule="exact"/>
              <w:ind w:left="120"/>
              <w:jc w:val="left"/>
              <w:rPr>
                <w:rFonts w:hint="default"/>
                <w:sz w:val="24"/>
              </w:rPr>
            </w:pPr>
            <w:r>
              <w:rPr>
                <w:rFonts w:hint="default" w:ascii="Comic Sans MS" w:hAnsi="Comic Sans MS" w:eastAsia="Comic Sans MS"/>
                <w:sz w:val="16"/>
              </w:rPr>
              <w:t>Central de transplantes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176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176" w:lineRule="exact"/>
              <w:ind w:left="20"/>
              <w:jc w:val="center"/>
              <w:rPr>
                <w:rFonts w:hint="default"/>
                <w:sz w:val="24"/>
              </w:rPr>
            </w:pPr>
            <w:r>
              <w:rPr>
                <w:rFonts w:hint="default" w:ascii="Arial" w:hAnsi="Arial"/>
                <w:sz w:val="16"/>
              </w:rPr>
              <w:t>01</w:t>
            </w:r>
          </w:p>
        </w:tc>
        <w:tc>
          <w:tcPr>
            <w:tcW w:w="120" w:type="dxa"/>
            <w:tcBorders>
              <w:top w:val="nil"/>
              <w:left w:val="nil"/>
              <w:bottom w:val="single" w:color="auto" w:sz="8" w:space="0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8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/>
                <w:sz w:val="1"/>
              </w:rPr>
            </w:pPr>
          </w:p>
        </w:tc>
      </w:tr>
    </w:tbl>
    <w:p>
      <w:pPr>
        <w:spacing w:beforeLines="0" w:afterLines="0" w:line="234" w:lineRule="auto"/>
        <w:ind w:left="1"/>
        <w:jc w:val="left"/>
        <w:rPr>
          <w:rFonts w:hint="default"/>
          <w:sz w:val="24"/>
        </w:rPr>
      </w:pPr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r>
        <w:rPr>
          <w:rFonts w:hint="default"/>
          <w:sz w:val="24"/>
        </w:rPr>
        <w:t>
</w:t>
      </w:r>
      <w:r>
        <w:rPr>
          <w:rFonts w:hint="default" w:ascii="Calibri" w:hAnsi="Calibri" w:eastAsia="Calibri"/>
          <w:sz w:val="16"/>
        </w:rPr>
        <w:t>Fonte: CNES -dados atualizados em 09/05/2018</w:t>
      </w:r>
    </w:p>
    <w:p>
      <w:pPr>
        <w:spacing w:beforeLines="0" w:afterLines="0" w:line="2" w:lineRule="exact"/>
        <w:jc w:val="left"/>
        <w:rPr>
          <w:rFonts w:hint="default"/>
          <w:sz w:val="24"/>
        </w:rPr>
      </w:pPr>
    </w:p>
    <w:p>
      <w:pPr>
        <w:tabs>
          <w:tab w:val="left" w:pos="4241"/>
        </w:tabs>
        <w:spacing w:beforeLines="0" w:afterLines="0"/>
        <w:ind w:left="1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16"/>
        </w:rPr>
        <w:t>*Centro Hospitalar de reabilitação – só tem fatura ambulatorial</w:t>
      </w:r>
      <w:r>
        <w:rPr>
          <w:rFonts w:hint="default"/>
          <w:sz w:val="24"/>
        </w:rPr>
        <w:tab/>
      </w:r>
      <w:r>
        <w:rPr>
          <w:rFonts w:hint="default" w:ascii="Calibri" w:hAnsi="Calibri" w:eastAsia="Calibri"/>
          <w:sz w:val="16"/>
        </w:rPr>
        <w:t>**hospital Santa Madalena Sofia – não está mais faturando pelo SUS</w:t>
      </w:r>
    </w:p>
    <w:p>
      <w:pPr>
        <w:spacing w:beforeLines="0" w:afterLines="0"/>
        <w:jc w:val="left"/>
        <w:rPr>
          <w:rFonts w:hint="default"/>
          <w:sz w:val="24"/>
        </w:rPr>
        <w:sectPr>
          <w:pgSz w:w="11900" w:h="16838"/>
          <w:pgMar w:top="598" w:right="980" w:bottom="438" w:left="1419" w:header="720" w:footer="720" w:gutter="0"/>
          <w:lnNumType w:countBy="0" w:distance="360"/>
          <w:cols w:equalWidth="0" w:num="1">
            <w:col w:w="9501"/>
          </w:cols>
        </w:sectPr>
      </w:pPr>
      <w:r>
        <w:rPr>
          <w:rFonts w:hint="default"/>
          <w:sz w:val="24"/>
        </w:rPr>
        <w:pict>
          <v:shape id="_x0000_s1028" o:spid="_x0000_s1028" o:spt="75" type="#_x0000_t75" style="position:absolute;left:0pt;margin-left:450.95pt;margin-top:15.5pt;height:68.9pt;width:73.4pt;z-index:-251656192;mso-width-relative:page;mso-height-relative:page;" filled="f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9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1"/>
        </w:rPr>
        <w:t>24</w:t>
      </w:r>
    </w:p>
    <w:sectPr>
      <w:type w:val="continuous"/>
      <w:pgSz w:w="11900" w:h="16838"/>
      <w:pgMar w:top="598" w:right="680" w:bottom="438" w:left="11000" w:header="720" w:footer="720" w:gutter="0"/>
      <w:lnNumType w:countBy="0" w:distance="360"/>
      <w:cols w:equalWidth="0" w:num="1">
        <w:col w:w="95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swiss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00004823"/>
    <w:multiLevelType w:val="multilevel"/>
    <w:tmpl w:val="00004823"/>
    <w:lvl w:ilvl="0" w:tentative="0">
      <w:start w:val="1"/>
      <w:numFmt w:val="decimal"/>
      <w:lvlText w:val="6.%1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414E5B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2019-05-27T02:32:41Z</dcterms:created>
  <cp:lastModifiedBy>Wagner Pereira</cp:lastModifiedBy>
  <dcterms:modified xsi:type="dcterms:W3CDTF">2019-05-27T02:32:42Z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