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8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16</w:t>
            </w:r>
            <w:r>
              <w:t xml:space="preserve"> </w:t>
            </w:r>
            <w:r>
              <w:t xml:space="preserve">(Correlation between numerical variables),</w:t>
            </w:r>
            <w:r>
              <w:t xml:space="preserve"> </w:t>
            </w:r>
            <w:r>
              <w:rPr>
                <w:b/>
                <w:bCs/>
              </w:rPr>
              <w:t xml:space="preserve">Figure 16.4-1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chap16f4_1StreamInvertebrates.csv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the body-mass / population-density relationship for stream invertebrates — the classic test of the energetic-equivalence rule, which predicts a slope of</w:t>
            </w:r>
            <w:r>
              <w:t xml:space="preserve"> </w:t>
            </w:r>
            <w:r>
              <w:rPr>
                <w:b/>
                <w:bCs/>
              </w:rPr>
              <w:t xml:space="preserve">−0.75</w:t>
            </w:r>
            <w:r>
              <w:t xml:space="preserve"> </w:t>
            </w:r>
            <w:r>
              <w:t xml:space="preserve">on a log-log scale.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changed, and why it matters:</w:t>
            </w:r>
            <w:r>
              <w:t xml:space="preserve"> </w:t>
            </w:r>
            <w:r>
              <w:t xml:space="preserve">the book ships the data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log-transformed, as</w:t>
            </w:r>
            <w:r>
              <w:t xml:space="preserve"> </w:t>
            </w:r>
            <w:r>
              <w:rPr>
                <w:rStyle w:val="VerbatimChar"/>
              </w:rPr>
              <w:t xml:space="preserve">log10Mass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log10Density</w:t>
            </w:r>
            <w:r>
              <w:t xml:space="preserve">. The file above holds the</w:t>
            </w:r>
            <w:r>
              <w:t xml:space="preserve"> </w:t>
            </w:r>
            <w:r>
              <w:rPr>
                <w:b/>
                <w:bCs/>
              </w:rPr>
              <w:t xml:space="preserve">raw, back-transformed</w:t>
            </w:r>
            <w:r>
              <w:t xml:space="preserve"> </w:t>
            </w:r>
            <w:r>
              <w:t xml:space="preserve">values (</w:t>
            </w:r>
            <w:r>
              <w:rPr>
                <w:rStyle w:val="VerbatimChar"/>
              </w:rPr>
              <w:t xml:space="preserve">body_mass_mg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density_per_m2</w:t>
            </w:r>
            <w:r>
              <w:t xml:space="preserve">), so finding the transformation is your job, not the book’s. If you go look the figure up — and you should — read it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you have run your own diagnostics.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2026-10-09T19:52:07Z</dcterms:created>
  <dcterms:modified xsi:type="dcterms:W3CDTF">2026-10-09T19:52:07Z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