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457700" cy="2189049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189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457700" cy="1349578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34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160520" cy="203667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036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160520" cy="125960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259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  <w:r>
              <w:t xml:space="preserve">​</w:t>
            </w:r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943600" cy="59436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two_way_anova_lecture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two_way_anova_lecture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two_way_anova_lecture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two_way_anova_lecture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Two-Way ANOVA</dc:title>
  <dc:creator>Bill Perry</dc:creator>
  <dc:description>Factorial (two-factor) ANOVA and interactions.</dc:description>
  <cp:keywords/>
  <dcterms:created xsi:type="dcterms:W3CDTF">2026-08-20T14:39:13Z</dcterms:created>
  <dcterms:modified xsi:type="dcterms:W3CDTF">2026-08-20T14:39:13Z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13</vt:lpwstr>
  </property>
  <property fmtid="{D5CDD505-2E9C-101B-9397-08002B2CF9AE}" pid="12" name="resources">
    <vt:lpwstr/>
  </property>
  <property fmtid="{D5CDD505-2E9C-101B-9397-08002B2CF9AE}" pid="13" name="subtitle">
    <vt:lpwstr>Factorial designs</vt:lpwstr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