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21.png" ContentType="image/png"/>
  <Override PartName="/word/media/rId32.png" ContentType="image/png"/>
  <Override PartName="/word/media/rId58.png" ContentType="image/png"/>
  <Override PartName="/word/media/rId48.png" ContentType="image/png"/>
  <Override PartName="/word/media/rId55.png" ContentType="image/png"/>
  <Override PartName="/word/media/rId51.png" ContentType="image/png"/>
  <Override PartName="/word/media/rId12.png" ContentType="image/png"/>
  <Override PartName="/word/media/rId110.jpg" ContentType="image/jpeg"/>
  <Override PartName="/word/media/rId94.png" ContentType="image/png"/>
  <Override PartName="/word/media/rId100.png" ContentType="image/png"/>
  <Override PartName="/word/media/rId114.png" ContentType="image/png"/>
  <Override PartName="/word/media/rId134.png" ContentType="image/png"/>
  <Override PartName="/word/media/rId155.png" ContentType="image/png"/>
  <Override PartName="/word/media/rId163.png" ContentType="image/png"/>
  <Override PartName="/word/media/rId29.png" ContentType="image/png"/>
  <Override PartName="/word/media/rId36.png" ContentType="image/png"/>
  <Override PartName="/word/media/rId76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BodyText"/>
      </w:pPr>
      <w:r>
        <w:drawing>
          <wp:inline>
            <wp:extent cx="2295525" cy="31432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4" w:name="setup-loading-the-class-pine-needle-data"/>
    <w:p>
      <w:pPr>
        <w:pStyle w:val="Heading2"/>
      </w:pPr>
      <w:r>
        <w:t xml:space="preserve">Setup — Loading the Class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361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group     &lt;chr&gt; "five", "five", "five", "five", "five", "five", "five", "fiv…</w:t>
      </w:r>
      <w:r>
        <w:br/>
      </w:r>
      <w:r>
        <w:rPr>
          <w:rStyle w:val="VerbatimChar"/>
        </w:rPr>
        <w:t xml:space="preserve">$ tree_no   &lt;dbl&gt; 1, 1, 1, 1, 1, 1, 1, 1, 1, 1, 1, 1, 1, 1, 1, 1, 1, 1, 1, 1, …</w:t>
      </w:r>
      <w:r>
        <w:br/>
      </w:r>
      <w:r>
        <w:rPr>
          <w:rStyle w:val="VerbatimChar"/>
        </w:rPr>
        <w:t xml:space="preserve">$ tree_char &lt;chr&gt; "tree_1", "tree_1", "tree_1", "tree_1", "tree_1", "tree_1", 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length_mm &lt;dbl&gt; 22.66, 21.14, 18.55, 18.65, 20.99, 18.94, 19.75, 18.46, 20.5…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With 8 needles per side, df = 8 + 8 − 2 = 14.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class team,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/</w:t>
            </w:r>
            <w:r>
              <w:rPr>
                <w:rStyle w:val="VerbatimChar"/>
              </w:rPr>
              <w:t xml:space="preserve">tree_char</w:t>
            </w:r>
            <w:r>
              <w:t xml:space="preserve"> </w:t>
            </w:r>
            <w:r>
              <w:t xml:space="preserve">identify the tree,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is the needle length.</w:t>
            </w:r>
          </w:p>
          <w:p/>
        </w:tc>
      </w:tr>
    </w:tbl>
    <w:bookmarkEnd w:id="24"/>
    <w:bookmarkStart w:id="28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Multiple needles per tree side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earlier in the course.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5" w:name="the-data-two-versions"/>
    <w:p>
      <w:pPr>
        <w:pStyle w:val="Heading2"/>
      </w:pPr>
      <w:r>
        <w:t xml:space="preserve">The Data — Two Versions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class_pine needle length switched.xlsx</w:t>
            </w:r>
            <w:r>
              <w:t xml:space="preserve"> </w:t>
            </w:r>
            <w:r>
              <w:t xml:space="preserve">has the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labels swapped relative to the original file. From here on,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ps_df</w:t>
            </w:r>
            <w:r>
              <w:t xml:space="preserve"> </w:t>
            </w:r>
            <w:r>
              <w:t xml:space="preserve">(the switched version) is the dataset we’ll actually test — it’s the one that matches the field notes.</w:t>
            </w:r>
          </w:p>
          <w:p/>
        </w:tc>
      </w:tr>
    </w:tbl>
    <w:bookmarkEnd w:id="35"/>
    <w:bookmarkStart w:id="39" w:name="the-data-well-test-ps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ps_df</w:t>
      </w:r>
    </w:p>
    <w:p>
      <w:pPr>
        <w:pStyle w:val="SourceCode"/>
      </w:pPr>
      <w:r>
        <w:rPr>
          <w:rStyle w:val="NormalTok"/>
        </w:rPr>
        <w:t xml:space="preserve">ps_plot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 switched"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bookmarkEnd w:id="39"/>
    <w:bookmarkStart w:id="40" w:name="part-2-hypothesis-testing-framework"/>
    <w:p>
      <w:pPr>
        <w:pStyle w:val="Heading2"/>
      </w:pPr>
      <w:r>
        <w:t xml:space="preserve">Part 2 · Hypothesis Testing Framework</w:t>
      </w:r>
    </w:p>
    <w:bookmarkEnd w:id="40"/>
    <w:bookmarkStart w:id="43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43"/>
    <w:bookmarkStart w:id="46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6"/>
    <w:bookmarkStart w:id="47" w:name="part-3-the-t-distribution"/>
    <w:p>
      <w:pPr>
        <w:pStyle w:val="Heading2"/>
      </w:pPr>
      <w:r>
        <w:t xml:space="preserve">Part 3 · The t-Distribution</w:t>
      </w:r>
    </w:p>
    <w:bookmarkEnd w:id="47"/>
    <w:bookmarkStart w:id="54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18224654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2080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41031659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20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6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FirstParagraph"/>
      </w:pPr>
      <w:r>
        <w:drawing>
          <wp:inline>
            <wp:extent cx="2286000" cy="131260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23474015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1220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7465312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1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63"/>
    <w:bookmarkStart w:id="6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t xml:space="preserve">95% CI, Sample A: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08"/>
        </w:numPr>
      </w:pPr>
      <w:r>
        <w:t xml:space="preserve">“The 95% CI for the population mean from sample A is 17.6 ± 2.1”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11 — Inference for a Normal Population.</w:t>
            </w:r>
          </w:p>
          <w:p/>
        </w:tc>
      </w:tr>
    </w:tbl>
    <w:p>
      <w:pPr>
        <w:pStyle w:val="BodyText"/>
      </w:pPr>
      <w:r>
        <w:drawing>
          <wp:inline>
            <wp:extent cx="2857500" cy="181220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74653127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1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71"/>
    <w:bookmarkStart w:id="72" w:name="part-4-one-sample-t-test"/>
    <w:p>
      <w:pPr>
        <w:pStyle w:val="Heading2"/>
      </w:pPr>
      <w:r>
        <w:t xml:space="preserve">Part 4 · One-Sample T-Test</w:t>
      </w:r>
    </w:p>
    <w:bookmarkEnd w:id="72"/>
    <w:bookmarkStart w:id="75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5"/>
    <w:bookmarkStart w:id="81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6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81"/>
    <w:bookmarkStart w:id="84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bookmarkEnd w:id="84"/>
    <w:bookmarkStart w:id="90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8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0"/>
    <w:bookmarkStart w:id="93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3"/>
    <w:bookmarkStart w:id="99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0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99"/>
    <w:bookmarkStart w:id="105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5334000" cy="474133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1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5"/>
    <w:bookmarkStart w:id="108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8"/>
    <w:bookmarkStart w:id="109" w:name="part-5-two-sample-t-test"/>
    <w:p>
      <w:pPr>
        <w:pStyle w:val="Heading2"/>
      </w:pPr>
      <w:r>
        <w:t xml:space="preserve">Part 5 · Two-Sample T-Test</w:t>
      </w:r>
    </w:p>
    <w:bookmarkEnd w:id="109"/>
    <w:bookmarkStart w:id="113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BodyText"/>
      </w:pPr>
      <w:r>
        <w:drawing>
          <wp:inline>
            <wp:extent cx="1943100" cy="19431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two_branch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9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2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19"/>
    <w:bookmarkStart w:id="122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2"/>
    <w:bookmarkStart w:id="125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 pooled variance 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√(1/n₁ + 1/n₂): the pooled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5"/>
    <w:bookmarkStart w:id="128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128"/>
    <w:bookmarkStart w:id="131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131"/>
    <w:bookmarkStart w:id="137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333875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unnamed-chunk-15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7"/>
    <w:bookmarkStart w:id="140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0"/>
    <w:bookmarkStart w:id="143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143"/>
    <w:bookmarkStart w:id="146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146"/>
    <w:bookmarkStart w:id="149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49"/>
    <w:bookmarkStart w:id="150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0"/>
    <w:bookmarkStart w:id="151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1"/>
    <w:bookmarkStart w:id="152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2"/>
    <w:bookmarkStart w:id="158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5334000" cy="5020235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1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part-6-paired-t-test"/>
    <w:p>
      <w:pPr>
        <w:pStyle w:val="Heading2"/>
      </w:pPr>
      <w:r>
        <w:t xml:space="preserve">Part 6 · Paired T-Test</w:t>
      </w:r>
    </w:p>
    <w:bookmarkEnd w:id="159"/>
    <w:bookmarkStart w:id="162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bookmarkEnd w:id="162"/>
    <w:bookmarkStart w:id="166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3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bookmarkStart w:id="167" w:name="part-7-assumptions-and-wrap-up"/>
    <w:p>
      <w:pPr>
        <w:pStyle w:val="Heading2"/>
      </w:pPr>
      <w:r>
        <w:t xml:space="preserve">Part 7 · Assumptions and Wrap-Up</w:t>
      </w:r>
    </w:p>
    <w:bookmarkEnd w:id="167"/>
    <w:bookmarkStart w:id="168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5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5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5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5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6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6"/>
        </w:numPr>
      </w:pPr>
      <w:r>
        <w:t xml:space="preserve">Non-parametric tests</w:t>
      </w:r>
    </w:p>
    <w:p>
      <w:pPr>
        <w:pStyle w:val="Compact"/>
        <w:numPr>
          <w:ilvl w:val="0"/>
          <w:numId w:val="1026"/>
        </w:numPr>
      </w:pPr>
      <w:r>
        <w:t xml:space="preserve">Robust statistical methods</w:t>
      </w:r>
    </w:p>
    <w:bookmarkEnd w:id="168"/>
    <w:bookmarkStart w:id="17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7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7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58" Target="media/rId58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110" Target="media/rId110.jp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14" Target="media/rId114.png" /><Relationship Type="http://schemas.openxmlformats.org/officeDocument/2006/relationships/image" Id="rId134" Target="media/rId134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The hypothesis-testing framework, the t-distribution, and one-sample, two-sample (Student’s and Welch’s), and paired t-tests — with assumption checks — on the class pine needle dataset.</dc:description>
  <cp:keywords/>
  <dcterms:created xsi:type="dcterms:W3CDTF">2026-08-20T19:16:28Z</dcterms:created>
  <dcterms:modified xsi:type="dcterms:W3CDTF">2026-08-20T19:16:28Z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