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08_nonparametric_t_tests.R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I 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 Part 1.4 · Setup and the Single-Sample Question ─────────────────────</w:t>
            </w:r>
            <w:r>
              <w:br/>
            </w: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 Part 2.5 · Testing Assumptions on NE 12 ─────────────────────────────</w:t>
            </w:r>
            <w:r>
              <w:br/>
            </w: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 Part 3.7 · Comparing Two Lakes ──────────────────────────────────────</w:t>
            </w:r>
            <w:r>
              <w:br/>
            </w: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46" w:name="X56081abb4972b59e5859394c42175be731336b8"/>
    <w:p>
      <w:pPr>
        <w:pStyle w:val="Heading1"/>
      </w:pPr>
      <w:r>
        <w:t xml:space="preserve">Part 6b · Our Pine Needles, the Non-Parametric Way</w:t>
      </w:r>
    </w:p>
    <w:p>
      <w:pPr>
        <w:pStyle w:val="FirstParagraph"/>
      </w:pPr>
      <w:hyperlink r:id="rId39">
        <w:r>
          <w:rPr>
            <w:rStyle w:val="Hyperlink"/>
          </w:rPr>
          <w:t xml:space="preserve">📥 Download the data (.csv)</w:t>
        </w:r>
      </w:hyperlink>
      <w:r>
        <w:t xml:space="preserve"> </w:t>
      </w:r>
      <w:hyperlink r:id="rId40">
        <w:r>
          <w:rPr>
            <w:rStyle w:val="Hyperlink"/>
          </w:rPr>
          <w:t xml:space="preserve">📥 Download the data (.xlsx)</w:t>
        </w:r>
      </w:hyperlink>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run</w:t>
            </w:r>
            <w:r>
              <w:t xml:space="preserve"> </w:t>
            </w:r>
            <w:r>
              <w:rPr>
                <w:rStyle w:val="VerbatimChar"/>
              </w:rPr>
              <w:t xml:space="preserve">names(pine_df)</w:t>
            </w:r>
            <w:r>
              <w:t xml:space="preserve"> </w:t>
            </w:r>
            <w:r>
              <w:t xml:space="preserve">and check the names on your</w:t>
            </w:r>
            <w:r>
              <w:t xml:space="preserve"> </w:t>
            </w:r>
            <w:r>
              <w:t xml:space="preserve">screen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6b.1 · Our Pine Needles, the Non-Parametric Way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r>
        <w:t xml:space="preserve"> </w:t>
      </w: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6b.2 · Our Pine Needles, the Non-Parametric Way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6"/>
    <w:bookmarkStart w:id="52" w:name="Xcd47dcb685d0b11a96bdcf0e9ab49b2e708363b"/>
    <w:p>
      <w:pPr>
        <w:pStyle w:val="Heading1"/>
      </w:pPr>
      <w:r>
        <w:t xml:space="preserve">Part 7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7"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7.1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7"/>
    <w:bookmarkStart w:id="48"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7.2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8"/>
    <w:bookmarkStart w:id="51"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7.3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11"/>
              </w:numPr>
            </w:pPr>
            <w:r>
              <w:t xml:space="preserve">The question</w:t>
            </w:r>
          </w:p>
          <w:p>
            <w:pPr>
              <w:pStyle w:val="Compact"/>
              <w:numPr>
                <w:ilvl w:val="0"/>
                <w:numId w:val="1012"/>
              </w:numPr>
            </w:pPr>
            <w:r>
              <w:t xml:space="preserve">Your hypotheses</w:t>
            </w:r>
          </w:p>
          <w:p>
            <w:pPr>
              <w:pStyle w:val="Compact"/>
              <w:numPr>
                <w:ilvl w:val="0"/>
                <w:numId w:val="1013"/>
              </w:numPr>
            </w:pPr>
            <w:r>
              <w:t xml:space="preserve">Which test you used, and your justification for choosing it</w:t>
            </w:r>
          </w:p>
          <w:p>
            <w:pPr>
              <w:pStyle w:val="Compact"/>
              <w:numPr>
                <w:ilvl w:val="0"/>
                <w:numId w:val="1014"/>
              </w:numPr>
            </w:pPr>
            <w:r>
              <w:t xml:space="preserve">The code and its output</w:t>
            </w:r>
          </w:p>
          <w:p>
            <w:pPr>
              <w:pStyle w:val="Compact"/>
              <w:numPr>
                <w:ilvl w:val="0"/>
                <w:numId w:val="1015"/>
              </w:numPr>
            </w:pPr>
            <w:r>
              <w:t xml:space="preserve">Your interpretation of the result</w:t>
            </w:r>
          </w:p>
          <w:p>
            <w:pPr>
              <w:pStyle w:val="Compact"/>
              <w:numPr>
                <w:ilvl w:val="0"/>
                <w:numId w:val="1016"/>
              </w:numPr>
            </w:pPr>
            <w:r>
              <w:t xml:space="preserve">A final figure showing the result</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11" Target="media/rId11.png" /><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_rels/footnotes.xml.rels><?xml version="1.0" encoding="UTF-8"?><Relationships xmlns="http://schemas.openxmlformats.org/package/2006/relationships"><Relationship Type="http://schemas.openxmlformats.org/officeDocument/2006/relationships/hyperlink" Id="rId39" Target="data/pine_data.csv" TargetMode="External" /><Relationship Type="http://schemas.openxmlformats.org/officeDocument/2006/relationships/hyperlink" Id="rId40" Target="data/pine_data.xls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2026-09-08T20:18:56Z</dcterms:created>
  <dcterms:modified xsi:type="dcterms:W3CDTF">2026-09-08T20:18:56Z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