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9.png" ContentType="image/png"/>
  <Override PartName="/word/media/rId127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3.png" ContentType="image/png"/>
  <Override PartName="/word/media/rId52.png" ContentType="image/png"/>
  <Override PartName="/word/media/rId19.png" ContentType="image/png"/>
  <Override PartName="/word/media/rId101.png" ContentType="image/png"/>
  <Override PartName="/word/media/rId72.png" ContentType="image/png"/>
  <Override PartName="/word/media/rId44.png" ContentType="image/png"/>
  <Override PartName="/word/media/rId89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9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53.png" ContentType="image/png"/>
  <Override PartName="/word/media/rId105.png" ContentType="image/png"/>
  <Override PartName="/word/media/rId93.png" ContentType="image/png"/>
  <Override PartName="/word/media/rId35.png" ContentType="image/png"/>
  <Override PartName="/word/media/rId31.png" ContentType="image/png"/>
  <Override PartName="/word/media/rId119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 paired</w:t>
      </w:r>
      <w:r>
        <w:t xml:space="preserve"> </w:t>
      </w:r>
      <w:r>
        <w:rPr>
          <w:b/>
          <w:bCs/>
        </w:rPr>
        <w:t xml:space="preserve">Wilcoxon signed-rank</w:t>
      </w:r>
      <w:r>
        <w:t xml:space="preserve"> </w:t>
      </w:r>
      <w:r>
        <w:t xml:space="preserve">test — it ranks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the paired differences and then attaches their signs, so it uses more information than a plain sign test. It is the standard non-parametric partner to the paired t-test, and we ran it on our own four trees</w:t>
      </w:r>
    </w:p>
    <w:p>
      <w:pPr>
        <w:pStyle w:val="Compact"/>
        <w:numPr>
          <w:ilvl w:val="1"/>
          <w:numId w:val="1002"/>
        </w:numPr>
      </w:pPr>
      <w:r>
        <w:t xml:space="preserve">And we saw its limit: with 4 pairs it cannot return a p-value below 0.125, no matter how large the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CaptionedFigure"/>
      </w:pPr>
      <w:r>
        <w:drawing>
          <wp:inline>
            <wp:extent cx="2852928" cy="2584973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8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p>
      <w:pPr>
        <w:pStyle w:val="CaptionedFigure"/>
      </w:pPr>
      <w:r>
        <w:drawing>
          <wp:inline>
            <wp:extent cx="2852928" cy="1892808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267712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6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3648456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2359152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5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CaptionedFigure"/>
      </w:pPr>
      <w:r>
        <w:drawing>
          <wp:inline>
            <wp:extent cx="2432304" cy="4169664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4" cy="41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CaptionedFigure"/>
      </w:pPr>
      <w:r>
        <w:drawing>
          <wp:inline>
            <wp:extent cx="2852928" cy="2532888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3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CaptionedFigure"/>
      </w:pPr>
      <w:r>
        <w:drawing>
          <wp:inline>
            <wp:extent cx="2852928" cy="3867912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86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CaptionedFigure"/>
      </w:pPr>
      <w:r>
        <w:drawing>
          <wp:inline>
            <wp:extent cx="2852928" cy="2633472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CaptionedFigure"/>
      </w:pPr>
      <w:r>
        <w:drawing>
          <wp:inline>
            <wp:extent cx="2852928" cy="1901952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14600"/>
            <wp:effectExtent b="0" l="0" r="0" t="0"/>
            <wp:docPr descr="The same tile-array photo repeated, shown here as an example of replicated experimental units on a streambed.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tile-array photo repeated, shown here as an example of replicated experimental units on a streambed.</w:t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CaptionedFigure"/>
      </w:pPr>
      <w:r>
        <w:drawing>
          <wp:inline>
            <wp:extent cx="2852928" cy="3379196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3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CaptionedFigure"/>
      </w:pPr>
      <w:r>
        <w:drawing>
          <wp:inline>
            <wp:extent cx="2852928" cy="1891083"/>
            <wp:effectExtent b="0" l="0" r="0" t="0"/>
            <wp:docPr descr="Diagram of an aquarium tank containing a fish, a shelter labeled (a), prey items labeled (b), and a barrier or structure labeled (c), used to illustrate the barnacle/copper-aquaria pseudoreplication example where settling plates within the same tank are not true replicates.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containing a fish, a shelter labeled (a), prey items labeled (b), and a barrier or structure labeled (c), used to illustrate the barnacle/copper-aquaria pseudoreplication example where settling plates within the same tank are not true replicates.</w:t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CaptionedFigure"/>
      </w:pPr>
      <w:r>
        <w:drawing>
          <wp:inline>
            <wp:extent cx="2852928" cy="1900050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CaptionedFigure"/>
      </w:pPr>
      <w:r>
        <w:drawing>
          <wp:inline>
            <wp:extent cx="2852928" cy="2066543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6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2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Our own design, in these terms</w:t>
            </w:r>
          </w:p>
          <w:p>
            <w:pPr>
              <w:pStyle w:val="BodyText"/>
            </w:pPr>
            <w:r>
              <w:t xml:space="preserve">Eight needles from one branch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— they share a tree, a microclimate, a genotype. Two sides of the same tree</w:t>
            </w:r>
            <w: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t xml:space="preserve"> </w:t>
            </w:r>
            <w:r>
              <w:t xml:space="preserve">dependent on each other too, but deliberately so: that is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design, and pairing turns a violation of independence into an advantage.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Non-independence you ignore costs you. Non-independence you plan for pays you.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3758184"/>
            <wp:effectExtent b="0" l="0" r="0" t="0"/>
            <wp:docPr descr="Photo of a mother rat nursing a litter of newborn pups, illustrating the independence example: offspring from one mother are not independent replicates of each other." title="" id="90" name="Picture"/>
            <a:graphic>
              <a:graphicData uri="http://schemas.openxmlformats.org/drawingml/2006/picture">
                <pic:pic>
                  <pic:nvPicPr>
                    <pic:cNvPr descr="images/clipboard-1994036977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75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92"/>
    <w:bookmarkStart w:id="96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CaptionedFigure"/>
      </w:pPr>
      <w:r>
        <w:drawing>
          <wp:inline>
            <wp:extent cx="2852928" cy="2011680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94" name="Picture"/>
            <a:graphic>
              <a:graphicData uri="http://schemas.openxmlformats.org/drawingml/2006/picture">
                <pic:pic>
                  <pic:nvPicPr>
                    <pic:cNvPr descr="images/clipboard-42537844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bookmarkEnd w:id="96"/>
    <w:bookmarkStart w:id="97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7"/>
    <w:bookmarkStart w:id="98" w:name="part-5-sampling-design-in-field-studies"/>
    <w:p>
      <w:pPr>
        <w:pStyle w:val="Heading2"/>
      </w:pPr>
      <w:r>
        <w:t xml:space="preserve">Part 5 · Sampling Design in Field Studies</w:t>
      </w:r>
    </w:p>
    <w:bookmarkEnd w:id="98"/>
    <w:bookmarkStart w:id="104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039112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02" name="Picture"/>
            <a:graphic>
              <a:graphicData uri="http://schemas.openxmlformats.org/drawingml/2006/picture">
                <pic:pic>
                  <pic:nvPicPr>
                    <pic:cNvPr descr="images/clipboard-171576591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3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bookmarkEnd w:id="104"/>
    <w:bookmarkStart w:id="108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CaptionedFigure"/>
      </w:pPr>
      <w:r>
        <w:drawing>
          <wp:inline>
            <wp:extent cx="2852928" cy="2286000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06" name="Picture"/>
            <a:graphic>
              <a:graphicData uri="http://schemas.openxmlformats.org/drawingml/2006/picture">
                <pic:pic>
                  <pic:nvPicPr>
                    <pic:cNvPr descr="images/clipboard-4229571822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bookmarkEnd w:id="108"/>
    <w:bookmarkStart w:id="112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10" name="Picture"/>
            <a:graphic>
              <a:graphicData uri="http://schemas.openxmlformats.org/drawingml/2006/picture">
                <pic:pic>
                  <pic:nvPicPr>
                    <pic:cNvPr descr="images/clipboard-3497374488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bookmarkEnd w:id="112"/>
    <w:bookmarkStart w:id="116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CaptionedFigure"/>
      </w:pPr>
      <w:r>
        <w:drawing>
          <wp:inline>
            <wp:extent cx="2852928" cy="2139696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14" name="Picture"/>
            <a:graphic>
              <a:graphicData uri="http://schemas.openxmlformats.org/drawingml/2006/picture">
                <pic:pic>
                  <pic:nvPicPr>
                    <pic:cNvPr descr="images/clipboard-150979144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13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bookmarkEnd w:id="116"/>
    <w:bookmarkStart w:id="122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3119357" cy="3119357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9357" cy="3119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2"/>
    <w:bookmarkStart w:id="123" w:name="part-6-power-analysis"/>
    <w:p>
      <w:pPr>
        <w:pStyle w:val="Heading2"/>
      </w:pPr>
      <w:r>
        <w:t xml:space="preserve">Part 6 · Power Analysis</w:t>
      </w:r>
    </w:p>
    <w:bookmarkEnd w:id="123"/>
    <w:bookmarkStart w:id="126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6"/>
    <w:bookmarkStart w:id="130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30"/>
    <w:bookmarkStart w:id="133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3"/>
    <w:bookmarkStart w:id="137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There are two things called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 hoc power”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one is useful, one is circular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Legitimate:</w:t>
            </w:r>
            <w:r>
              <w:t xml:space="preserve"> </w:t>
            </w:r>
            <w:r>
              <w:t xml:space="preserve">“Given our n and σ, what power did we have to detect a difference</w:t>
            </w:r>
            <w:r>
              <w:t xml:space="preserve"> </w:t>
            </w:r>
            <w:r>
              <w:rPr>
                <w:i/>
                <w:iCs/>
              </w:rPr>
              <w:t xml:space="preserve">we decided in advance</w:t>
            </w:r>
            <w:r>
              <w:t xml:space="preserve"> </w:t>
            </w:r>
            <w:r>
              <w:t xml:space="preserve">was biologically meaningful?”</w:t>
            </w:r>
            <w:r>
              <w:t xml:space="preserve"> </w:t>
            </w:r>
            <w:r>
              <w:t xml:space="preserve">That is a real answer about your design, and it is what the bullets on the left describe.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Invalid:</w:t>
            </w:r>
            <w:r>
              <w:t xml:space="preserve"> </w:t>
            </w:r>
            <w:r>
              <w:t xml:space="preserve">computing power from the effect size you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. Observed power is a direct mathematical re-expression of your p-value — a non-significant result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yields low observed power. Saying</w:t>
            </w:r>
            <w:r>
              <w:t xml:space="preserve"> </w:t>
            </w:r>
            <w:r>
              <w:t xml:space="preserve">“our result was non-significant and our power was low”</w:t>
            </w:r>
            <w:r>
              <w:t xml:space="preserve"> </w:t>
            </w:r>
            <w:r>
              <w:t xml:space="preserve">says the same thing twice, and is not evidence that there is no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argue for no effect, use an</w:t>
            </w:r>
            <w:r>
              <w:t xml:space="preserve"> </w:t>
            </w:r>
            <w:r>
              <w:rPr>
                <w:b/>
                <w:bCs/>
              </w:rPr>
              <w:t xml:space="preserve">equivalence test</w:t>
            </w:r>
            <w:r>
              <w:t xml:space="preserve"> </w:t>
            </w:r>
            <w:r>
              <w:t xml:space="preserve">or report a confidence interval that excludes any meaningful difference.</w:t>
            </w:r>
          </w:p>
          <w:p/>
        </w:tc>
      </w:tr>
    </w:tbl>
    <w:bookmarkEnd w:id="137"/>
    <w:bookmarkStart w:id="140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40"/>
    <w:bookmarkStart w:id="145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We already have pilot data — our own.</w:t>
            </w:r>
            <w:r>
              <w:t xml:space="preserve"> </w:t>
            </w:r>
            <w:r>
              <w:t xml:space="preserve">Four trees, both sides of each, from Week 1. That is exactly what a pilot study is</w:t>
            </w:r>
            <w: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t xml:space="preserve">: it does not settle the question, it tells you how big the real study has to be.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Estimates from OUR four trees (see the Power lecture)</w:t>
            </w:r>
            <w:r>
              <w:br/>
            </w:r>
            <w:r>
              <w:rPr>
                <w:rStyle w:val="NormalTok"/>
              </w:rPr>
              <w:t xml:space="preserve">shady_mean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14.12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sunny_mean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15.21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1.81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sunny_mean)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            </w:t>
            </w:r>
            <w:r>
              <w:rPr>
                <w:rStyle w:val="CommentTok"/>
              </w:rPr>
              <w:t xml:space="preserve"># Cohen's 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0.6022099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many trees per side would a proper study need?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44.26649</w:t>
            </w:r>
            <w:r>
              <w:br/>
            </w:r>
            <w:r>
              <w:rPr>
                <w:rStyle w:val="VerbatimChar"/>
              </w:rPr>
              <w:t xml:space="preserve">              d = 0.6022099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Now re-run it as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(</w:t>
            </w:r>
            <w:r>
              <w:rPr>
                <w:rStyle w:val="VerbatimChar"/>
              </w:rPr>
              <w:t xml:space="preserve">type = "paired"</w:t>
            </w:r>
            <w:r>
              <w:t xml:space="preserve">) using the effect size for the</w:t>
            </w:r>
            <w:r>
              <w:t xml:space="preserve"> </w:t>
            </w:r>
            <w:r>
              <w:rPr>
                <w:i/>
                <w:iCs/>
              </w:rPr>
              <w:t xml:space="preserve">differences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 = 1.36</w:t>
            </w:r>
            <w:r>
              <w:t xml:space="preserve">. How many trees does that need instead?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design decision, in one comparison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Unpaired:</w:t>
            </w:r>
            <w:r>
              <w:t xml:space="preserve"> </w:t>
            </w:r>
            <w:r>
              <w:rPr>
                <w:b/>
                <w:bCs/>
              </w:rPr>
              <w:t xml:space="preserve">44 trees per side</w:t>
            </w:r>
            <w:r>
              <w:t xml:space="preserve"> </w:t>
            </w:r>
            <w:r>
              <w:t xml:space="preserve">= 88 trees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7 trees</w:t>
            </w:r>
            <w:r>
              <w:t xml:space="preserve">, both sides of each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Same question, same measurement effort per tree, same α and power. The difference is entirely in</w:t>
            </w:r>
            <w:r>
              <w:t xml:space="preserve"> </w:t>
            </w:r>
            <w:r>
              <w:rPr>
                <w:b/>
                <w:bCs/>
              </w:rPr>
              <w:t xml:space="preserve">how you decide to sample</w:t>
            </w:r>
            <w:r>
              <w:t xml:space="preserve"> </w:t>
            </w:r>
            <w:r>
              <w:t xml:space="preserve">— which is what this whole lecture is about.</w:t>
            </w:r>
          </w:p>
          <w:p/>
        </w:tc>
      </w:tr>
    </w:tbl>
    <w:bookmarkEnd w:id="145"/>
    <w:bookmarkStart w:id="151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3302849" cy="2935866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7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2849" cy="2935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51"/>
    <w:bookmarkStart w:id="152" w:name="part-7-wrap-up"/>
    <w:p>
      <w:pPr>
        <w:pStyle w:val="Heading2"/>
      </w:pPr>
      <w:r>
        <w:t xml:space="preserve">Part 7 · Wrap-Up</w:t>
      </w:r>
    </w:p>
    <w:bookmarkEnd w:id="152"/>
    <w:bookmarkStart w:id="156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4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4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5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CaptionedFigure"/>
      </w:pPr>
      <w:r>
        <w:drawing>
          <wp:inline>
            <wp:extent cx="2852928" cy="5065776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4" name="Picture"/>
            <a:graphic>
              <a:graphicData uri="http://schemas.openxmlformats.org/drawingml/2006/picture">
                <pic:pic>
                  <pic:nvPicPr>
                    <pic:cNvPr descr="images/clipboard-3944907188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506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56"/>
    <w:bookmarkStart w:id="159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Report everything transparently</w:t>
            </w:r>
          </w:p>
          <w:p/>
        </w:tc>
      </w:tr>
    </w:tbl>
    <w:bookmarkEnd w:id="159"/>
    <w:bookmarkStart w:id="160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8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8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8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8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4" Target="media/rId134.png" /><Relationship Type="http://schemas.openxmlformats.org/officeDocument/2006/relationships/image" Id="rId9" Target="media/rId9.png" /><Relationship Type="http://schemas.openxmlformats.org/officeDocument/2006/relationships/image" Id="rId127" Target="media/rId127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101" Target="media/rId101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9" Target="media/rId89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9" Target="media/rId109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105" Target="media/rId105.png" /><Relationship Type="http://schemas.openxmlformats.org/officeDocument/2006/relationships/image" Id="rId93" Target="media/rId93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9" Target="media/rId119.png" /><Relationship Type="http://schemas.openxmlformats.org/officeDocument/2006/relationships/image" Id="rId148" Target="media/rId148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2026-09-08T20:20:08Z</dcterms:created>
  <dcterms:modified xsi:type="dcterms:W3CDTF">2026-09-08T20:20:08Z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Designing studies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