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22.png" ContentType="image/png"/>
  <Override PartName="/word/media/rId60.png" ContentType="image/png"/>
  <Override PartName="/word/media/rId54.png" ContentType="image/png"/>
  <Override PartName="/word/media/rId44.png" ContentType="image/png"/>
  <Override PartName="/word/media/rId51.png" ContentType="image/png"/>
  <Override PartName="/word/media/rId47.png" ContentType="image/png"/>
  <Override PartName="/word/media/rId12.png" ContentType="image/png"/>
  <Override PartName="/word/media/rId111.jpg" ContentType="image/jpeg"/>
  <Override PartName="/word/media/rId30.png" ContentType="image/png"/>
  <Override PartName="/word/media/rId73.png" ContentType="image/png"/>
  <Override PartName="/word/media/rId86.png" ContentType="image/png"/>
  <Override PartName="/word/media/rId95.png" ContentType="image/png"/>
  <Override PartName="/word/media/rId101.png" ContentType="image/png"/>
  <Override PartName="/word/media/rId115.png" ContentType="image/png"/>
  <Override PartName="/word/media/rId135.png" ContentType="image/png"/>
  <Override PartName="/word/media/rId156.png" ContentType="image/png"/>
  <Override PartName="/word/media/rId170.png" ContentType="image/png"/>
  <Override PartName="/word/media/rId1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 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5" w:name="setup-loading-our-pine-needle-data"/>
    <w:p>
      <w:pPr>
        <w:pStyle w:val="Heading2"/>
      </w:pPr>
      <w:r>
        <w:t xml:space="preserve">Setup — Loading Our Pine Needle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two sample T-tests, degrees of freedom = n₁ + n₂ − 2. Once we average the needles up to one value per tree side (next slide), we have</w:t>
            </w:r>
            <w:r>
              <w:t xml:space="preserve"> </w:t>
            </w:r>
            <w:r>
              <w:rPr>
                <w:b/>
                <w:bCs/>
              </w:rPr>
              <w:t xml:space="preserve">4 trees per side</w:t>
            </w:r>
            <w:r>
              <w:t xml:space="preserve"> </w:t>
            </w:r>
            <w:r>
              <w:t xml:space="preserve">— so df = 4 + 4 − 2 =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. Note that n is the number of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not needles.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is the measurement.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5"/>
    <w:bookmarkStart w:id="29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 Treating every needle as independent would inflate our sample size and our confidence 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 Everything from here on runs on one number per tree side.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14.1      2.02     1.01      4</w:t>
      </w:r>
      <w:r>
        <w:br/>
      </w:r>
      <w:r>
        <w:rPr>
          <w:rStyle w:val="VerbatimChar"/>
        </w:rPr>
        <w:t xml:space="preserve">2 sunny        15.2      1.57     0.786     4</w:t>
      </w:r>
    </w:p>
    <w:bookmarkEnd w:id="29"/>
    <w:bookmarkStart w:id="35" w:name="the-data-well-test-p_df"/>
    <w:p>
      <w:pPr>
        <w:pStyle w:val="Heading2"/>
      </w:pPr>
      <w:r>
        <w:t xml:space="preserve">The Data We’ll Test —</w:t>
      </w:r>
      <w:r>
        <w:t xml:space="preserve"> </w:t>
      </w:r>
      <w:r>
        <w:rPr>
          <w:rStyle w:val="VerbatimChar"/>
        </w:rPr>
        <w:t xml:space="preserve">p_df</w:t>
      </w:r>
    </w:p>
    <w:p>
      <w:pPr>
        <w:pStyle w:val="SourceCode"/>
      </w:pP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point per team's tree"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t_tests_lecture_files/figure-docx/t-tests-04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Goals for today, using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p_df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3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3"/>
        </w:numPr>
      </w:pPr>
      <w:r>
        <w:t xml:space="preserve">t-distributions</w:t>
      </w:r>
    </w:p>
    <w:p>
      <w:pPr>
        <w:pStyle w:val="Compact"/>
        <w:numPr>
          <w:ilvl w:val="0"/>
          <w:numId w:val="1003"/>
        </w:numPr>
      </w:pPr>
      <w:r>
        <w:t xml:space="preserve">One-sample, two-sample, and paired t-tests</w:t>
      </w:r>
    </w:p>
    <w:p>
      <w:pPr>
        <w:pStyle w:val="Compact"/>
        <w:numPr>
          <w:ilvl w:val="0"/>
          <w:numId w:val="1003"/>
        </w:numPr>
      </w:pPr>
      <w:r>
        <w:t xml:space="preserve">Assumption 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  <w:r>
              <w:t xml:space="preserve"> </w:t>
            </w:r>
            <w:r>
              <w:t xml:space="preserve">Hold that thought — it is the whole story of today’s last section.</w:t>
            </w:r>
          </w:p>
          <w:p/>
        </w:tc>
      </w:tr>
    </w:tbl>
    <w:bookmarkEnd w:id="35"/>
    <w:bookmarkStart w:id="36" w:name="part-2-hypothesis-testing-framework"/>
    <w:p>
      <w:pPr>
        <w:pStyle w:val="Heading2"/>
      </w:pPr>
      <w:r>
        <w:t xml:space="preserve">Part 2 · Hypothesis Testing Framework</w:t>
      </w:r>
    </w:p>
    <w:bookmarkEnd w:id="36"/>
    <w:bookmarkStart w:id="39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typically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the claim we’re trying to support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Statistical test</w:t>
      </w:r>
      <w:r>
        <w:t xml:space="preserve"> </w:t>
      </w:r>
      <w:r>
        <w:t xml:space="preserve">— method for evaluating evidence against H₀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observing our result (or more extreme) if H₀ is true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p-value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 (Statistical Significance and P-Values).</w:t>
            </w:r>
          </w:p>
          <w:p/>
        </w:tc>
      </w:tr>
    </w:tbl>
    <w:bookmarkEnd w:id="39"/>
    <w:bookmarkStart w:id="42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H₀</w:t>
            </w:r>
          </w:p>
        </w:tc>
      </w:tr>
    </w:tbl>
    <w:bookmarkEnd w:id="42"/>
    <w:bookmarkStart w:id="43" w:name="part-3-the-t-distribution"/>
    <w:p>
      <w:pPr>
        <w:pStyle w:val="Heading2"/>
      </w:pPr>
      <w:r>
        <w:t xml:space="preserve">Part 3 · The t-Distribution</w:t>
      </w:r>
    </w:p>
    <w:bookmarkEnd w:id="43"/>
    <w:bookmarkStart w:id="50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value, for a one-sample test.</w:t>
      </w:r>
    </w:p>
    <w:p>
      <w:pPr>
        <w:pStyle w:val="BodyText"/>
      </w:pPr>
      <w:r>
        <w:rPr>
          <w:i/>
          <w:iCs/>
        </w:rPr>
        <w:t xml:space="preserve">Worked example for reading the table — n = 8, df = 7:</w:t>
      </w:r>
    </w:p>
    <w:p>
      <w:pPr>
        <w:pStyle w:val="Compact"/>
        <w:numPr>
          <w:ilvl w:val="0"/>
          <w:numId w:val="1006"/>
        </w:numPr>
      </w:pPr>
      <w:r>
        <w:t xml:space="preserve">n = 8 (df = 7) — 95% of the observations found to the left</w:t>
      </w:r>
    </w:p>
    <w:p>
      <w:pPr>
        <w:pStyle w:val="Compact"/>
        <w:numPr>
          <w:ilvl w:val="0"/>
          <w:numId w:val="1006"/>
        </w:numPr>
      </w:pPr>
      <w:r>
        <w:t xml:space="preserve">t = 1.895 (5% are outside)</w:t>
      </w:r>
    </w:p>
    <w:p>
      <w:pPr>
        <w:pStyle w:val="FirstParagraph"/>
      </w:pPr>
      <w:r>
        <w:t xml:space="preserve">(Our own data has 4 trees per side, so df = 3 for a paired test and df = 6 for a two-sample test. Same table, different row.)</w:t>
      </w:r>
    </w:p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45" name="Picture"/>
            <a:graphic>
              <a:graphicData uri="http://schemas.openxmlformats.org/drawingml/2006/picture">
                <pic:pic>
                  <pic:nvPicPr>
                    <pic:cNvPr descr="images/clipboard-1822465473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48" name="Picture"/>
            <a:graphic>
              <a:graphicData uri="http://schemas.openxmlformats.org/drawingml/2006/picture">
                <pic:pic>
                  <pic:nvPicPr>
                    <pic:cNvPr descr="images/clipboard-410316591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50"/>
    <w:bookmarkStart w:id="59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Compact"/>
        <w:numPr>
          <w:ilvl w:val="0"/>
          <w:numId w:val="1007"/>
        </w:numPr>
      </w:pPr>
      <w:r>
        <w:t xml:space="preserve">n = 8 (df = 7), 95% of the observations are between t = −2.365 and t = 2.365 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52" name="Picture"/>
            <a:graphic>
              <a:graphicData uri="http://schemas.openxmlformats.org/drawingml/2006/picture">
                <pic:pic>
                  <pic:nvPicPr>
                    <pic:cNvPr descr="images/clipboard-223474015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55" name="Picture"/>
            <a:graphic>
              <a:graphicData uri="http://schemas.openxmlformats.org/drawingml/2006/picture">
                <pic:pic>
                  <pic:nvPicPr>
                    <pic:cNvPr descr="images/clipboard-1746531278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 — splitting 5% into two tails means each tail only gets 2.5%.</w:t>
            </w:r>
          </w:p>
          <w:p/>
        </w:tc>
      </w:tr>
    </w:tbl>
    <w:bookmarkEnd w:id="59"/>
    <w:bookmarkStart w:id="65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By hand, for an example Sample A</w:t>
      </w:r>
      <w:r>
        <w:t xml:space="preserve"> </w:t>
      </w:r>
      <w:r>
        <w:t xml:space="preserve">(mean 17.6, s = 2.51, n = 8, so df = 7 — the row highlighted in the table):</w:t>
      </w:r>
    </w:p>
    <w:p>
      <w:pPr>
        <w:pStyle w:val="Compact"/>
        <w:numPr>
          <w:ilvl w:val="0"/>
          <w:numId w:val="1008"/>
        </w:numPr>
      </w:pPr>
      <w:r>
        <w:t xml:space="preserve">95% CI = 17.6 ± 2.365 × (2.51 / 8^0.5) = ± 2.10</w:t>
      </w:r>
    </w:p>
    <w:p>
      <w:pPr>
        <w:pStyle w:val="Compact"/>
        <w:numPr>
          <w:ilvl w:val="0"/>
          <w:numId w:val="1008"/>
        </w:numPr>
      </w:pPr>
      <w:r>
        <w:t xml:space="preserve">The 95% CI is between 15.50 and 19.70</w:t>
      </w:r>
    </w:p>
    <w:p>
      <w:pPr>
        <w:pStyle w:val="FirstParagraph"/>
      </w:pPr>
      <w:r>
        <w:rPr>
          <w:b/>
          <w:bCs/>
        </w:rPr>
        <w:t xml:space="preserve">Now our own shady-side trees</w:t>
      </w:r>
      <w:r>
        <w:t xml:space="preserve"> </w:t>
      </w:r>
      <w:r>
        <w:t xml:space="preserve">(n = 4, so df = 3, and the critical t is much larger):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 t crit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(t_crit,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= 4  t crit = 3.182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CI: 10.91 to 17.33 mm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df = 3 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1.96. 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SE.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63" name="Picture"/>
            <a:graphic>
              <a:graphicData uri="http://schemas.openxmlformats.org/drawingml/2006/picture">
                <pic:pic>
                  <pic:nvPicPr>
                    <pic:cNvPr descr="images/clipboard-1746531278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65"/>
    <w:bookmarkStart w:id="68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two questions do you think a one-sample t-test answers, and which needs a two-sample t-test?</w:t>
            </w:r>
          </w:p>
          <w:p/>
        </w:tc>
      </w:tr>
    </w:tbl>
    <w:bookmarkEnd w:id="68"/>
    <w:bookmarkStart w:id="69" w:name="part-4-one-sample-t-test"/>
    <w:p>
      <w:pPr>
        <w:pStyle w:val="Heading2"/>
      </w:pPr>
      <w:r>
        <w:t xml:space="preserve">Part 4 · One-Sample T-Test</w:t>
      </w:r>
    </w:p>
    <w:bookmarkEnd w:id="69"/>
    <w:bookmarkStart w:id="72" w:name="X455c45d5cc962f37bfa1268d954eaf4d6a84db8"/>
    <w:p>
      <w:pPr>
        <w:pStyle w:val="Heading2"/>
      </w:pPr>
      <w:r>
        <w:t xml:space="preserve">One-Sample T-Test — Hypotheses and Assumptions</w:t>
      </w:r>
    </w:p>
    <w:p>
      <w:pPr>
        <w:pStyle w:val="FirstParagraph"/>
      </w:pPr>
      <w:r>
        <w:t xml:space="preserve">We want to test if the mean needle length on the shady side differs from 15mm.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11"/>
        </w:numPr>
      </w:pPr>
      <w:r>
        <w:t xml:space="preserve">H₀: μ = 15 (the mean needle length on the shady side is 15mm)</w:t>
      </w:r>
    </w:p>
    <w:p>
      <w:pPr>
        <w:pStyle w:val="Compact"/>
        <w:numPr>
          <w:ilvl w:val="0"/>
          <w:numId w:val="1011"/>
        </w:numPr>
      </w:pPr>
      <w:r>
        <w:t xml:space="preserve">Hₐ: μ ≠ 15 (the mean needle length on the shady side is not 15mm)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72"/>
    <w:bookmarkStart w:id="78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below is on the SHADY side, so that is the group</w:t>
      </w:r>
      <w:r>
        <w:br/>
      </w:r>
      <w:r>
        <w:rPr>
          <w:rStyle w:val="CommentTok"/>
        </w:rPr>
        <w:t xml:space="preserve"># whose normality we need to check -- not the two sides pooled together.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— shady side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t_tests_lecture_files/figure-docx/t-tests-06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Points that hug the blue line support normality; points that curve away — especially in the tails — are a warning sign.</w:t>
            </w:r>
          </w:p>
          <w:p/>
        </w:tc>
      </w:tr>
    </w:tbl>
    <w:bookmarkEnd w:id="78"/>
    <w:bookmarkStart w:id="85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here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 — not on a p-value from four points.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85"/>
    <w:bookmarkStart w:id="91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Points beyond the whiskers are potential outliers — always look before you test.</w:t>
            </w:r>
          </w:p>
          <w:p/>
        </w:tc>
      </w:tr>
    </w:tbl>
    <w:bookmarkEnd w:id="91"/>
    <w:bookmarkStart w:id="94" w:name="practice-exercise-1-one-sample-t-test"/>
    <w:p>
      <w:pPr>
        <w:pStyle w:val="Heading2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1: One-sample t-test</w:t>
            </w:r>
          </w:p>
          <w:p>
            <w:pPr>
              <w:pStyle w:val="BodyText"/>
            </w:pPr>
            <w:r>
              <w:t xml:space="preserve">Let’s perform a one-sample t-test to determine if the mean needle length on the shady side differs from 15mm: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14.1 mm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shady_df$needle_length_mm</w:t>
            </w:r>
            <w:r>
              <w:br/>
            </w:r>
            <w:r>
              <w:rPr>
                <w:rStyle w:val="VerbatimChar"/>
              </w:rPr>
              <w:t xml:space="preserve">t = -0.87183, df = 3, p-value = 0.4475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10.91210 17.32978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14.12094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94"/>
    <w:bookmarkStart w:id="100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t_tests_lecture_files/figure-docx/t-tests-10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falls inside the red rejection region — that’s what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looks like on a t-distribution.</w:t>
            </w:r>
          </w:p>
          <w:p/>
        </w:tc>
      </w:tr>
    </w:tbl>
    <w:bookmarkEnd w:id="100"/>
    <w:bookmarkStart w:id="106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302849" cy="2935866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t_tests_lecture_files/figure-docx/t-tests-11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test, same conclusion — just relabeled onto the millimeter scale instead of the t scale. The blue line (H₀ = 15) sits outside the sample’s plausible range.</w:t>
            </w:r>
          </w:p>
          <w:p/>
        </w:tc>
      </w:tr>
    </w:tbl>
    <w:bookmarkEnd w:id="106"/>
    <w:bookmarkStart w:id="109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4"/>
        </w:numPr>
      </w:pPr>
      <w:r>
        <w:t xml:space="preserve">Should we reject or fail to reject the null hypothesis?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one-sample t-test at α = 0.05 showed that the mean needle length (… mm, SD = …) [was/was not] significantly different from the expected 15mm, t(…) = …, p = …”</w:t>
            </w:r>
          </w:p>
          <w:p/>
        </w:tc>
      </w:tr>
    </w:tbl>
    <w:bookmarkEnd w:id="109"/>
    <w:bookmarkStart w:id="110" w:name="part-5-two-sample-t-test"/>
    <w:p>
      <w:pPr>
        <w:pStyle w:val="Heading2"/>
      </w:pPr>
      <w:r>
        <w:t xml:space="preserve">Part 5 · Two-Sample T-Test</w:t>
      </w:r>
    </w:p>
    <w:bookmarkEnd w:id="110"/>
    <w:bookmarkStart w:id="114" w:name="two-sample-t-tests-introduction"/>
    <w:p>
      <w:pPr>
        <w:pStyle w:val="Heading2"/>
      </w:pPr>
      <w:r>
        <w:t xml:space="preserve">Two-Sample T-Tests — Introduction</w:t>
      </w:r>
    </w:p>
    <w:p>
      <w:pPr>
        <w:pStyle w:val="FirstParagraph"/>
      </w:pPr>
      <w:r>
        <w:t xml:space="preserve">For example — 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needle length again…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12" name="Picture"/>
            <a:graphic>
              <a:graphicData uri="http://schemas.openxmlformats.org/drawingml/2006/picture">
                <pic:pic>
                  <pic:nvPicPr>
                    <pic:cNvPr descr="images/two_branche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bookmarkEnd w:id="114"/>
    <w:bookmarkStart w:id="120" w:name="comparing-two-samples"/>
    <w:p>
      <w:pPr>
        <w:pStyle w:val="Heading2"/>
      </w:pPr>
      <w:r>
        <w:t xml:space="preserve">Comparing Two Samples</w:t>
      </w:r>
    </w:p>
    <w:p>
      <w:pPr>
        <w:pStyle w:val="FirstParagraph"/>
      </w:pPr>
      <w:r>
        <w:t xml:space="preserve">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Based on the boxplot alone, what would you guess the two-sample t-test will conclude about needle length on the two sides?</w:t>
            </w:r>
          </w:p>
          <w:p/>
        </w:tc>
      </w:tr>
    </w:tbl>
    <w:bookmarkEnd w:id="120"/>
    <w:bookmarkStart w:id="123" w:name="X35a48391bcbf6b78dcbae43dc4f943f3e08dc72"/>
    <w:p>
      <w:pPr>
        <w:pStyle w:val="Heading2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2: Formulating hypotheses</w:t>
            </w:r>
          </w:p>
          <w:p>
            <w:pPr>
              <w:pStyle w:val="BodyText"/>
            </w:pPr>
            <w:r>
              <w:t xml:space="preserve">For the following research question about needle lengths, write the null and alternative hypotheses:</w:t>
            </w:r>
          </w:p>
          <w:p>
            <w:pPr>
              <w:pStyle w:val="BodyText"/>
            </w:pPr>
            <w:r>
              <w:t xml:space="preserve">Are needle lengths on shady and sunny sides different?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H0 =</w:t>
            </w:r>
            <w:r>
              <w:br/>
            </w:r>
            <w:r>
              <w:rPr>
                <w:rStyle w:val="VerbatimChar"/>
              </w:rPr>
              <w:t xml:space="preserve">Ha =</w:t>
            </w:r>
          </w:p>
          <w:p/>
        </w:tc>
      </w:tr>
    </w:tbl>
    <w:bookmarkEnd w:id="123"/>
    <w:bookmarkStart w:id="126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w:r>
        <w:t xml:space="preserve">Now let’s compare needle lengths from the two sides.</w:t>
      </w:r>
    </w:p>
    <w:p>
      <w:pPr>
        <w:pStyle w:val="BodyText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there a significant difference in needle length between the sides?</w:t>
      </w:r>
    </w:p>
    <w:p>
      <w:pPr>
        <w:pStyle w:val="BodyText"/>
      </w:pPr>
      <w:r>
        <w:t xml:space="preserve">This requires a two-sample t-test, which compares means from two independent groups.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5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5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5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  <w:r>
        <w:t xml:space="preserve"> </w:t>
      </w:r>
      <w:r>
        <w:t xml:space="preserve">(that’s what appears in the formula)</w:t>
      </w:r>
    </w:p>
    <w:p>
      <w:pPr>
        <w:pStyle w:val="Compact"/>
        <w:numPr>
          <w:ilvl w:val="0"/>
          <w:numId w:val="1015"/>
        </w:numPr>
      </w:pPr>
      <w:r>
        <w:t xml:space="preserve">n₁, n₂: sample sizes of the two groups</w:t>
      </w:r>
    </w:p>
    <w:p>
      <w:pPr>
        <w:pStyle w:val="Compact"/>
        <w:numPr>
          <w:ilvl w:val="0"/>
          <w:numId w:val="1015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denominator, not just the square-root term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26"/>
    <w:bookmarkStart w:id="129" w:name="practice-exercise-3-summary-statistics"/>
    <w:p>
      <w:pPr>
        <w:pStyle w:val="Heading2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3: Calculate summary statistics grouped by side</w:t>
            </w:r>
          </w:p>
          <w:p>
            <w:pPr>
              <w:pStyle w:val="BodyText"/>
            </w:pPr>
            <w:r>
              <w:t xml:space="preserve">Before conducting the test, we need to understand the data for each group.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(needle_length_mm,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    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(needle_length_mm)),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 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14.1      2.02     4     1.01 </w:t>
            </w:r>
            <w:r>
              <w:br/>
            </w:r>
            <w:r>
              <w:rPr>
                <w:rStyle w:val="VerbatimChar"/>
              </w:rPr>
              <w:t xml:space="preserve">2 sunny        15.2      1.57     4     0.786</w:t>
            </w:r>
          </w:p>
          <w:p/>
        </w:tc>
      </w:tr>
    </w:tbl>
    <w:bookmarkEnd w:id="129"/>
    <w:bookmarkStart w:id="132" w:name="practice-exercise-4-effect-size"/>
    <w:p>
      <w:pPr>
        <w:pStyle w:val="Heading2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4: Effect size</w:t>
            </w:r>
          </w:p>
          <w:p>
            <w:pPr>
              <w:pStyle w:val="BodyText"/>
            </w:pPr>
            <w:r>
              <w:t xml:space="preserve">We could also look at the difference in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-1.09</w:t>
            </w:r>
          </w:p>
          <w:p/>
        </w:tc>
      </w:tr>
    </w:tbl>
    <w:bookmarkEnd w:id="132"/>
    <w:bookmarkStart w:id="138" w:name="X0dbcb5e263174c28fca12c3a7d1ea8291903c7e"/>
    <w:p>
      <w:pPr>
        <w:pStyle w:val="Heading2"/>
      </w:pPr>
      <w:r>
        <w:t xml:space="preserve">Practice Exercise 5: Plotting Mean ± SE Directly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5: Using ggplot to get a summary plot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can compute and plot the mean and standard error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935866" cy="238539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t_tests_lecture_files/figure-docx/t-tests-1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5866" cy="23853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8"/>
    <w:bookmarkStart w:id="141" w:name="X78e243ba712c32e5bbdea402b7192e8bb10a57b"/>
    <w:p>
      <w:pPr>
        <w:pStyle w:val="Heading2"/>
      </w:pPr>
      <w:r>
        <w:t xml:space="preserve">Testing Assumptions for a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16"/>
        </w:numPr>
      </w:pPr>
      <w:r>
        <w:t xml:space="preserve">Normality within each group</w:t>
      </w:r>
    </w:p>
    <w:p>
      <w:pPr>
        <w:pStyle w:val="Compact"/>
        <w:numPr>
          <w:ilvl w:val="0"/>
          <w:numId w:val="1016"/>
        </w:numPr>
      </w:pPr>
      <w:r>
        <w:t xml:space="preserve">Equal variances between groups (for the standard t-test)</w:t>
      </w:r>
    </w:p>
    <w:p>
      <w:pPr>
        <w:pStyle w:val="Compact"/>
        <w:numPr>
          <w:ilvl w:val="0"/>
          <w:numId w:val="101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1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17"/>
        </w:numPr>
      </w:pPr>
      <w:r>
        <w:t xml:space="preserve">Non-parametric alternatives (Mann-Whitney U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 — Handling Violations of Assumptions, covers non-parametric alternatives when normality or equal variance fails.</w:t>
            </w:r>
          </w:p>
          <w:p/>
        </w:tc>
      </w:tr>
    </w:tbl>
    <w:bookmarkEnd w:id="141"/>
    <w:bookmarkStart w:id="144" w:name="practice-exercise-6-separate-group-data"/>
    <w:p>
      <w:pPr>
        <w:pStyle w:val="Heading2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6: separate group data</w:t>
            </w:r>
          </w:p>
          <w:p>
            <w:pPr>
              <w:pStyle w:val="BodyText"/>
            </w:pPr>
            <w:r>
              <w:t xml:space="preserve">Note you need to test each group separately for normality — first, split the data: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team       side  needle_length_mm</w:t>
            </w:r>
            <w:r>
              <w:br/>
            </w:r>
            <w:r>
              <w:rPr>
                <w:rStyle w:val="VerbatimChar"/>
              </w:rPr>
              <w:t xml:space="preserve">  &lt;chr&gt;      &lt;chr&gt;            &lt;dbl&gt;</w:t>
            </w:r>
            <w:r>
              <w:br/>
            </w:r>
            <w:r>
              <w:rPr>
                <w:rStyle w:val="VerbatimChar"/>
              </w:rPr>
              <w:t xml:space="preserve">1 botany     shady             16.1</w:t>
            </w:r>
            <w:r>
              <w:br/>
            </w:r>
            <w:r>
              <w:rPr>
                <w:rStyle w:val="VerbatimChar"/>
              </w:rPr>
              <w:t xml:space="preserve">2 grace_jace shady             15.4</w:t>
            </w:r>
            <w:r>
              <w:br/>
            </w:r>
            <w:r>
              <w:rPr>
                <w:rStyle w:val="VerbatimChar"/>
              </w:rPr>
              <w:t xml:space="preserve">3 one        shady             13.2</w:t>
            </w:r>
            <w:r>
              <w:br/>
            </w:r>
            <w:r>
              <w:rPr>
                <w:rStyle w:val="VerbatimChar"/>
              </w:rPr>
              <w:t xml:space="preserve">4 waterbugs  shady             11.7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team       side  needle_length_mm</w:t>
            </w:r>
            <w:r>
              <w:br/>
            </w:r>
            <w:r>
              <w:rPr>
                <w:rStyle w:val="VerbatimChar"/>
              </w:rPr>
              <w:t xml:space="preserve">  &lt;chr&gt;      &lt;chr&gt;            &lt;dbl&gt;</w:t>
            </w:r>
            <w:r>
              <w:br/>
            </w:r>
            <w:r>
              <w:rPr>
                <w:rStyle w:val="VerbatimChar"/>
              </w:rPr>
              <w:t xml:space="preserve">1 botany     sunny             17.3</w:t>
            </w:r>
            <w:r>
              <w:br/>
            </w:r>
            <w:r>
              <w:rPr>
                <w:rStyle w:val="VerbatimChar"/>
              </w:rPr>
              <w:t xml:space="preserve">2 grace_jace sunny             15.5</w:t>
            </w:r>
            <w:r>
              <w:br/>
            </w:r>
            <w:r>
              <w:rPr>
                <w:rStyle w:val="VerbatimChar"/>
              </w:rPr>
              <w:t xml:space="preserve">3 one        sunny             14.2</w:t>
            </w:r>
            <w:r>
              <w:br/>
            </w:r>
            <w:r>
              <w:rPr>
                <w:rStyle w:val="VerbatimChar"/>
              </w:rPr>
              <w:t xml:space="preserve">4 waterbugs  sunny             13.8</w:t>
            </w:r>
          </w:p>
          <w:p/>
        </w:tc>
      </w:tr>
    </w:tbl>
    <w:bookmarkEnd w:id="144"/>
    <w:bookmarkStart w:id="147" w:name="X759a0f9024f66bcafc12060e563b361d71d5e7b"/>
    <w:p>
      <w:pPr>
        <w:pStyle w:val="Heading2"/>
      </w:pPr>
      <w:r>
        <w:t xml:space="preserve">Practice Exercise 7: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7: test normality at one time</w:t>
            </w:r>
          </w:p>
          <w:p>
            <w:pPr>
              <w:pStyle w:val="BodyText"/>
            </w:pPr>
            <w:r>
              <w:t xml:space="preserve">There are always a lot of ways to do this in 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(needle_length_mm)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(needle_length_mm)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0.943           0.674 Normal             </w:t>
            </w:r>
            <w:r>
              <w:br/>
            </w:r>
            <w:r>
              <w:rPr>
                <w:rStyle w:val="VerbatimChar"/>
              </w:rPr>
              <w:t xml:space="preserve">2 sunny        0.916           0.516 Normal             </w:t>
            </w:r>
          </w:p>
          <w:p/>
        </w:tc>
      </w:tr>
    </w:tbl>
    <w:bookmarkEnd w:id="147"/>
    <w:bookmarkStart w:id="150" w:name="practice-exercise-8-test-equal-variances"/>
    <w:p>
      <w:pPr>
        <w:pStyle w:val="Heading2"/>
      </w:pPr>
      <w:r>
        <w:t xml:space="preserve">Practice Exercise 8: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8: test equal variances</w:t>
            </w:r>
          </w:p>
          <w:p>
            <w:pPr>
              <w:pStyle w:val="BodyText"/>
            </w:pPr>
            <w:r>
              <w:t xml:space="preserve">Levene’s test can be done on the original data frame.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</w:t>
            </w:r>
            <w:r>
              <w:t xml:space="preserve"> </w:t>
            </w:r>
            <w:r>
              <w:t xml:space="preserve">the Levene’s test result should be</w:t>
            </w:r>
            <w:r>
              <w:t xml:space="preserve"> </w:t>
            </w:r>
            <w:r>
              <w:rPr>
                <w:b/>
                <w:bCs/>
              </w:rPr>
              <w:t xml:space="preserve">NOT significant</w:t>
            </w:r>
            <w:r>
              <w:t xml:space="preserve"> </w:t>
            </w:r>
            <w:r>
              <w:t xml:space="preserve">— what is the null hypothesis here?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leveneTest needs the grouping variable as a factor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(side),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0.6355 0.4557</w:t>
            </w:r>
            <w:r>
              <w:br/>
            </w:r>
            <w:r>
              <w:rPr>
                <w:rStyle w:val="VerbatimChar"/>
              </w:rPr>
              <w:t xml:space="preserve">       6               </w:t>
            </w:r>
          </w:p>
          <w:p/>
        </w:tc>
      </w:tr>
    </w:tbl>
    <w:bookmarkEnd w:id="150"/>
    <w:bookmarkStart w:id="151" w:name="X2f3e303b4abd6c0c9ec50ec40a7c69e358a3e24"/>
    <w:p>
      <w:pPr>
        <w:pStyle w:val="Heading2"/>
      </w:pPr>
      <w:r>
        <w:t xml:space="preserve">Conducting the Two-Sample T-Test — Standard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18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18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19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Use var.equal = TRUE for standard t-test,</w:t>
      </w:r>
      <w:r>
        <w:br/>
      </w:r>
      <w:r>
        <w:rPr>
          <w:rStyle w:val="CommentTok"/>
        </w:rPr>
        <w:t xml:space="preserve"># var.equal = FALSE for Welch's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51"/>
    <w:bookmarkStart w:id="152" w:name="conducting-the-two-sample-t-test-welchs"/>
    <w:p>
      <w:pPr>
        <w:pStyle w:val="Heading2"/>
      </w:pPr>
      <w:r>
        <w:t xml:space="preserve">Conducting the Two-Sample T-Test — Welch’s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20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20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21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Welch’s t-test (unequal variances)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"Welch's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52"/>
    <w:bookmarkStart w:id="153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 t-test)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22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22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22"/>
        </w:numPr>
      </w:pPr>
      <w:r>
        <w:t xml:space="preserve">Degrees of freedom = n₁ + n₂ − 2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(the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3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23"/>
        </w:numPr>
      </w:pPr>
      <w:r>
        <w:t xml:space="preserve">Uses the</w:t>
      </w:r>
      <w:r>
        <w:t xml:space="preserve"> </w:t>
      </w:r>
      <w:r>
        <w:rPr>
          <w:b/>
          <w:bCs/>
        </w:rPr>
        <w:t xml:space="preserve">Welch-Satterthwaite equation</w:t>
      </w:r>
      <w:r>
        <w:t xml:space="preserve"> </w:t>
      </w:r>
      <w:r>
        <w:t xml:space="preserve">— df is typically non-integer and smaller than the standard t-test’s</w:t>
      </w:r>
    </w:p>
    <w:bookmarkEnd w:id="153"/>
    <w:bookmarkStart w:id="159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 t(…) = …, p = …”</w:t>
            </w:r>
          </w:p>
          <w:p/>
        </w:tc>
      </w:tr>
    </w:tbl>
    <w:p>
      <w:pPr>
        <w:pStyle w:val="BodyText"/>
      </w:pPr>
      <w:r>
        <w:drawing>
          <wp:inline>
            <wp:extent cx="3119357" cy="2935866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0" w:name="part-6-paired-t-test"/>
    <w:p>
      <w:pPr>
        <w:pStyle w:val="Heading2"/>
      </w:pPr>
      <w:r>
        <w:t xml:space="preserve">Part 6 · Paired T-Test</w:t>
      </w:r>
    </w:p>
    <w:bookmarkEnd w:id="160"/>
    <w:bookmarkStart w:id="165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4"/>
        </w:numPr>
      </w:pPr>
      <w:r>
        <w:t xml:space="preserve">Compares two measurements from the same subjects or matched pairs</w:t>
      </w:r>
    </w:p>
    <w:p>
      <w:pPr>
        <w:pStyle w:val="Compact"/>
        <w:numPr>
          <w:ilvl w:val="0"/>
          <w:numId w:val="1024"/>
        </w:numPr>
      </w:pPr>
      <w:r>
        <w:t xml:space="preserve">Tests whether the mean difference between paired observations equals zero</w:t>
      </w:r>
    </w:p>
    <w:p>
      <w:pPr>
        <w:pStyle w:val="Compact"/>
        <w:numPr>
          <w:ilvl w:val="0"/>
          <w:numId w:val="1024"/>
        </w:numPr>
      </w:pPr>
      <w:r>
        <w:t xml:space="preserve">Examples: before/after measurements on the same individuals, left vs. right measurements, matched case-control studies</w:t>
      </w:r>
    </w:p>
    <w:p>
      <w:pPr>
        <w:pStyle w:val="Compact"/>
        <w:numPr>
          <w:ilvl w:val="0"/>
          <w:numId w:val="1024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4"/>
        </w:numPr>
      </w:pPr>
      <w:r>
        <w:t xml:space="preserve">Generally more powerful, because it controls for individual variation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story you tell about direction is backwards. Always state which way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12, section on the paired design.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shady first, then sunny — the SAME order the two-sample test used,</w:t>
      </w:r>
      <w:r>
        <w:br/>
      </w:r>
      <w:r>
        <w:rPr>
          <w:rStyle w:val="CommentTok"/>
        </w:rPr>
        <w:t xml:space="preserve"># so the two t-statistics are directly comparable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"Paired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"Paired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165"/>
    <w:bookmarkStart w:id="173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t xml:space="preserve">Look carefully at what just happened —</w:t>
      </w:r>
      <w:r>
        <w:t xml:space="preserve"> </w:t>
      </w: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Two-sample</w:t>
            </w:r>
          </w:p>
        </w:tc>
        <w:tc>
          <w:tcPr/>
          <w:p>
            <w:pPr>
              <w:pStyle w:val="Compact"/>
            </w:pPr>
            <w:r>
              <w:t xml:space="preserve">−0.855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−2.723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 </w:t>
      </w:r>
      <w:r>
        <w:t xml:space="preserve">—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 than others)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shady−sunny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p>
      <w:pPr>
        <w:pStyle w:val="FirstParagraph"/>
      </w:pPr>
      <w:r>
        <w:t xml:space="preserve">Notice the paired test has</w:t>
      </w:r>
      <w:r>
        <w:t xml:space="preserve"> </w:t>
      </w:r>
      <w:r>
        <w:rPr>
          <w:b/>
          <w:bCs/>
        </w:rPr>
        <w:t xml:space="preserve">half the degrees of freedom</w:t>
      </w:r>
      <w:r>
        <w:t xml:space="preserve"> </w:t>
      </w:r>
      <w:r>
        <w:t xml:space="preserve">(3 vs 6) — it is working with 4 differences, not 8 values. It still does far better, because the noise it removed mattered more than the df it gave up.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about sensitivity, not about 0.05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test crosses α = 0.05, so neither</w:t>
            </w:r>
            <w:r>
              <w:t xml:space="preserve"> </w:t>
            </w:r>
            <w:r>
              <w:t xml:space="preserve">“wins”</w:t>
            </w:r>
            <w:r>
              <w:t xml:space="preserve"> </w:t>
            </w:r>
            <w:r>
              <w:t xml:space="preserve">by the usual rule. That is not the point. The point is that</w:t>
            </w:r>
            <w:r>
              <w:t xml:space="preserve"> </w:t>
            </w:r>
            <w:r>
              <w:rPr>
                <w:b/>
                <w:bCs/>
              </w:rPr>
              <w:t xml:space="preserve">the correct test extracted six times more evidence from the identical measurements</w:t>
            </w:r>
            <w:r>
              <w:t xml:space="preserve"> </w:t>
            </w:r>
            <w:r>
              <w:t xml:space="preserve">— and with only 4 trees, that is the difference between a study that could detect this effect and one that never could.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paired test is the correct one here. The two-sample test is not just less powerful, it is answering a question our design never asked.</w:t>
            </w:r>
          </w:p>
          <w:p/>
        </w:tc>
      </w:tr>
    </w:tbl>
    <w:p>
      <w:pPr>
        <w:pStyle w:val="BodyText"/>
      </w:pPr>
      <w:r>
        <w:drawing>
          <wp:inline>
            <wp:extent cx="2752374" cy="2385391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t_tests_lecture_files/figure-docx/t-tests-23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3"/>
    <w:bookmarkStart w:id="177" w:name="what-is-going-on"/>
    <w:p>
      <w:pPr>
        <w:pStyle w:val="Heading2"/>
      </w:pPr>
      <w:r>
        <w:t xml:space="preserve">What Is Going On?</w:t>
      </w:r>
    </w:p>
    <w:p>
      <w:pPr>
        <w:pStyle w:val="FirstParagraph"/>
      </w:pPr>
      <w:r>
        <w:t xml:space="preserve">Note that there is a lot of variation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trees, but the trend is the same across trees.</w:t>
      </w:r>
    </w:p>
    <w:p>
      <w:pPr>
        <w:pStyle w:val="SourceCode"/>
      </w:pP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t_tests_lecture_files/figure-docx/t-tests-24-1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7"/>
    <w:bookmarkStart w:id="178" w:name="part-7-assumptions-and-wrap-up"/>
    <w:p>
      <w:pPr>
        <w:pStyle w:val="Heading2"/>
      </w:pPr>
      <w:r>
        <w:t xml:space="preserve">Part 7 · Assumptions and Wrap-Up</w:t>
      </w:r>
    </w:p>
    <w:bookmarkEnd w:id="178"/>
    <w:bookmarkStart w:id="179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6"/>
        </w:numPr>
      </w:pPr>
      <w:r>
        <w:t xml:space="preserve">Normality — data comes from normally distributed populations</w:t>
      </w:r>
    </w:p>
    <w:p>
      <w:pPr>
        <w:pStyle w:val="Compact"/>
        <w:numPr>
          <w:ilvl w:val="0"/>
          <w:numId w:val="1026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6"/>
        </w:numPr>
      </w:pPr>
      <w:r>
        <w:t xml:space="preserve">Independence — observations are independent</w:t>
      </w:r>
    </w:p>
    <w:p>
      <w:pPr>
        <w:pStyle w:val="Compact"/>
        <w:numPr>
          <w:ilvl w:val="0"/>
          <w:numId w:val="1026"/>
        </w:numPr>
      </w:pPr>
      <w:r>
        <w:t xml:space="preserve">No outliers —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7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27"/>
        </w:numPr>
      </w:pPr>
      <w:r>
        <w:t xml:space="preserve">Non-parametric tests</w:t>
      </w:r>
    </w:p>
    <w:p>
      <w:pPr>
        <w:pStyle w:val="Compact"/>
        <w:numPr>
          <w:ilvl w:val="0"/>
          <w:numId w:val="1027"/>
        </w:numPr>
      </w:pPr>
      <w:r>
        <w:t xml:space="preserve">Robust statistical methods</w:t>
      </w:r>
    </w:p>
    <w:bookmarkEnd w:id="179"/>
    <w:bookmarkStart w:id="182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lecture, we’ve:</w:t>
      </w:r>
    </w:p>
    <w:p>
      <w:pPr>
        <w:pStyle w:val="Compact"/>
        <w:numPr>
          <w:ilvl w:val="0"/>
          <w:numId w:val="1028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28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28"/>
        </w:numPr>
      </w:pPr>
      <w:r>
        <w:t xml:space="preserve">Conducted one-sample, two-sample, and paired t-tests</w:t>
      </w:r>
    </w:p>
    <w:p>
      <w:pPr>
        <w:pStyle w:val="Compact"/>
        <w:numPr>
          <w:ilvl w:val="0"/>
          <w:numId w:val="1028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28"/>
        </w:numPr>
      </w:pPr>
      <w:r>
        <w:t xml:space="preserve">Learned how to interpret and report t-test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Always check assumptions before conducting tests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Visualize your data to understand patterns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Report results comprehensively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Consider alternatives when assumptions are violated — non-parametric tests, coming up soon</w:t>
            </w:r>
          </w:p>
          <w:p/>
        </w:tc>
      </w:tr>
    </w:tbl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22" Target="media/rId22.png" /><Relationship Type="http://schemas.openxmlformats.org/officeDocument/2006/relationships/image" Id="rId60" Target="media/rId60.png" /><Relationship Type="http://schemas.openxmlformats.org/officeDocument/2006/relationships/image" Id="rId54" Target="media/rId5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2" Target="media/rId12.png" /><Relationship Type="http://schemas.openxmlformats.org/officeDocument/2006/relationships/image" Id="rId111" Target="media/rId111.jpg" /><Relationship Type="http://schemas.openxmlformats.org/officeDocument/2006/relationships/image" Id="rId30" Target="media/rId30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95" Target="media/rId95.png" /><Relationship Type="http://schemas.openxmlformats.org/officeDocument/2006/relationships/image" Id="rId101" Target="media/rId101.png" /><Relationship Type="http://schemas.openxmlformats.org/officeDocument/2006/relationships/image" Id="rId115" Target="media/rId115.png" /><Relationship Type="http://schemas.openxmlformats.org/officeDocument/2006/relationships/image" Id="rId135" Target="media/rId135.png" /><Relationship Type="http://schemas.openxmlformats.org/officeDocument/2006/relationships/image" Id="rId156" Target="media/rId156.png" /><Relationship Type="http://schemas.openxmlformats.org/officeDocument/2006/relationships/image" Id="rId170" Target="media/rId170.png" /><Relationship Type="http://schemas.openxmlformats.org/officeDocument/2006/relationships/image" Id="rId174" Target="media/rId174.png" /><Relationship Type="http://schemas.openxmlformats.org/officeDocument/2006/relationships/hyperlink" Id="rId19" Target="data/pine_dat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— on the pine needle data the class collected.</dc:description>
  <cp:keywords/>
  <dcterms:created xsi:type="dcterms:W3CDTF">2026-09-08T20:20:19Z</dcterms:created>
  <dcterms:modified xsi:type="dcterms:W3CDTF">2026-09-08T20:20:19Z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