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gaussian-glm-the-galápagos-island-data"/>
    <w:p>
      <w:pPr>
        <w:pStyle w:val="Heading2"/>
      </w:pPr>
      <w:r>
        <w:t xml:space="preserve">Gaussian GLM — The Galápagos Island Data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e71116e481f60ac5952d7a08794d61e2047cddb"/>
    <w:p>
      <w:pPr>
        <w:pStyle w:val="Heading2"/>
      </w:pPr>
      <w:r>
        <w:t xml:space="preserve">Gaussian GLM — Building the Size Categories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1fc7da18866cf9f0e84649cdee739f44fd41e85"/>
    <w:p>
      <w:pPr>
        <w:pStyle w:val="Heading2"/>
      </w:pPr>
      <w:r>
        <w:t xml:space="preserve">Gaussian GLM — Fitting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Side by Side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50030474e3f27d10f11098770c6e650c6945b58"/>
    <w:p>
      <w:pPr>
        <w:pStyle w:val="Heading2"/>
      </w:pPr>
      <w:r>
        <w:t xml:space="preserve">Gaussian GLM — Reading the Output: Deviance and Dispersion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X40dfe06f24dff4139328ddf3194dba20135513b"/>
    <w:p>
      <w:pPr>
        <w:pStyle w:val="Heading2"/>
      </w:pPr>
      <w:r>
        <w:t xml:space="preserve">Poisson GLM — Why Counts Need a Different Distribution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poisson-glm-fitting-the-model"/>
    <w:p>
      <w:pPr>
        <w:pStyle w:val="Heading2"/>
      </w:pPr>
      <w:r>
        <w:t xml:space="preserve">Poisson GLM — Fitting the Model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poisson-glm-checking-dispersion"/>
    <w:p>
      <w:pPr>
        <w:pStyle w:val="Heading2"/>
      </w:pPr>
      <w:r>
        <w:t xml:space="preserve">Poisson GLM — Checking Dispersion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Xcb7fa78936aaa791c36be78e53649996d82d405"/>
    <w:p>
      <w:pPr>
        <w:pStyle w:val="Heading2"/>
      </w:pPr>
      <w:r>
        <w:t xml:space="preserve">Poisson GLM — Estimated Marginal Means on the Count Scale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cee0dafbca60643c298af1c4e8b5c5ec5257b0"/>
    <w:p>
      <w:pPr>
        <w:pStyle w:val="Heading2"/>
      </w:pPr>
      <w:r>
        <w:t xml:space="preserve">Logistic Regression — The Lizard Island Data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ogistic-regression-fitting-the-model"/>
    <w:p>
      <w:pPr>
        <w:pStyle w:val="Heading2"/>
      </w:pPr>
      <w:r>
        <w:t xml:space="preserve">Logistic Regression — Fitting the Model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results"/>
    <w:p>
      <w:pPr>
        <w:pStyle w:val="Heading2"/>
      </w:pPr>
      <w:r>
        <w:t xml:space="preserve">Scientific Write-Up — Results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25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</w:t>
            </w:r>
            <w:r>
              <w:t xml:space="preserve"> </w:t>
            </w:r>
            <w:r>
              <w:t xml:space="preserve">Taken together the three predictors improved on the null model</w:t>
            </w:r>
            <w:r>
              <w:t xml:space="preserve"> </w:t>
            </w:r>
            <w:r>
              <w:t xml:space="preserve">(likelihood-ratio χ² = 18.28, df = 3, p &lt; 0.001; McFadden’s R² = 0.66).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 individual predictor reached significance at α = 0.05.</w:t>
            </w:r>
            <w:r>
              <w:t xml:space="preserve"> </w:t>
            </w:r>
            <w:r>
              <w:t xml:space="preserve">Shrub cover</w:t>
            </w:r>
            <w:r>
              <w:t xml:space="preserve"> </w:t>
            </w:r>
            <w:r>
              <w:t xml:space="preserve">showed the strongest effect (β = 0.193, SE = 0.116, p = 0.096; odds ratio</w:t>
            </w:r>
            <w:r>
              <w:t xml:space="preserve"> </w:t>
            </w:r>
            <w:r>
              <w:t xml:space="preserve">1.21, 95% CI 1.06–1.79), suggesting that each additional percentage point</w:t>
            </w:r>
            <w:r>
              <w:t xml:space="preserve"> </w:t>
            </w:r>
            <w:r>
              <w:t xml:space="preserve">of shrub cover multiplies the odds of rodent presence by roughly 1.2 —</w:t>
            </w:r>
            <w:r>
              <w:t xml:space="preserve"> </w:t>
            </w:r>
            <w:r>
              <w:t xml:space="preserve">but the confidence interval is wide and the coefficient is not</w:t>
            </w:r>
            <w:r>
              <w:t xml:space="preserve"> </w:t>
            </w:r>
            <w:r>
              <w:t xml:space="preserve">distinguishable from zero at conventional levels. Neither distance to</w:t>
            </w:r>
            <w:r>
              <w:t xml:space="preserve"> </w:t>
            </w:r>
            <w:r>
              <w:t xml:space="preserve">source canyon (β = 0.0021, p = 0.229) nor years since isolation</w:t>
            </w:r>
            <w:r>
              <w:t xml:space="preserve"> </w:t>
            </w:r>
            <w:r>
              <w:t xml:space="preserve">(β = 0.069, p = 0.249) approached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88% of the fragments (sensitivity 0.90,</w:t>
            </w:r>
            <w:r>
              <w:t xml:space="preserve"> </w:t>
            </w:r>
            <w:r>
              <w:t xml:space="preserve">specificity 0.83), and showed no evidence of poor fit</w:t>
            </w:r>
            <w:r>
              <w:t xml:space="preserve"> </w:t>
            </w:r>
            <w:r>
              <w:t xml:space="preserve">(Hosmer-Lemeshow χ² = 0.95, df = 6, p = 0.99).</w:t>
            </w:r>
          </w:p>
        </w:tc>
      </w:tr>
    </w:tbl>
    <w:bookmarkEnd w:id="101"/>
    <w:bookmarkStart w:id="104" w:name="scientific-write-up-discussion"/>
    <w:p>
      <w:pPr>
        <w:pStyle w:val="Heading2"/>
      </w:pPr>
      <w:r>
        <w:t xml:space="preserve">Scientific Write-Up — Discussion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are</w:t>
            </w:r>
            <w:r>
              <w:t xml:space="preserve"> </w:t>
            </w:r>
            <w:r>
              <w:rPr>
                <w:i/>
                <w:iCs/>
              </w:rPr>
              <w:t xml:space="preserve">suggestive</w:t>
            </w:r>
            <w:r>
              <w:t xml:space="preserve"> </w:t>
            </w:r>
            <w:r>
              <w:t xml:space="preserve">that vegetation structure, as measured by</w:t>
            </w:r>
            <w:r>
              <w:t xml:space="preserve"> </w:t>
            </w:r>
            <w:r>
              <w:t xml:space="preserve">shrub cover, is associated with native rodent presence in canyon</w:t>
            </w:r>
            <w:r>
              <w:t xml:space="preserve"> </w:t>
            </w:r>
            <w:r>
              <w:t xml:space="preserve">fragments — the effect is in the expected direction and is the largest of</w:t>
            </w:r>
            <w:r>
              <w:t xml:space="preserve"> </w:t>
            </w:r>
            <w:r>
              <w:t xml:space="preserve">the three — but with only 25 fragments the estimate is too imprecise to</w:t>
            </w:r>
            <w:r>
              <w:t xml:space="preserve"> </w:t>
            </w:r>
            <w:r>
              <w:t xml:space="preserve">call significant (p = 0.096). The positive direction is consistent with</w:t>
            </w:r>
            <w:r>
              <w:t xml:space="preserve"> </w:t>
            </w:r>
            <w:r>
              <w:t xml:space="preserve">vegetation providing food, shelter from predators, and suitable</w:t>
            </w:r>
            <w:r>
              <w:t xml:space="preserve"> </w:t>
            </w:r>
            <w:r>
              <w:t xml:space="preserve">microhabitat. Isolation metrics (distance to source canyon and years</w:t>
            </w:r>
            <w:r>
              <w:t xml:space="preserve"> </w:t>
            </w:r>
            <w:r>
              <w:t xml:space="preserve">since isolation) showed no detectable relationship, though the same</w:t>
            </w:r>
            <w:r>
              <w:t xml:space="preserve"> </w:t>
            </w:r>
            <w:r>
              <w:t xml:space="preserve">sample-size caveat applies:</w:t>
            </w:r>
            <w:r>
              <w:t xml:space="preserve"> </w:t>
            </w:r>
            <w:r>
              <w:rPr>
                <w:b/>
                <w:bCs/>
              </w:rPr>
              <w:t xml:space="preserve">failing to detect an effect is not the same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showing there is none.</w:t>
            </w:r>
            <w:r>
              <w:t xml:space="preserve"> </w:t>
            </w:r>
            <w:r>
              <w:t xml:space="preserve">A larger set of fragments would be needed to</w:t>
            </w:r>
            <w:r>
              <w:t xml:space="preserve"> </w:t>
            </w:r>
            <w:r>
              <w:t xml:space="preserve">separate these possibilities.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what-a-glm-gives-you"/>
    <w:p>
      <w:pPr>
        <w:pStyle w:val="Heading2"/>
      </w:pPr>
      <w:r>
        <w:t xml:space="preserve">Summary — What a GLM Gives You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choosing-a-distribution-and-link"/>
    <w:p>
      <w:pPr>
        <w:pStyle w:val="Heading2"/>
      </w:pPr>
      <w:r>
        <w:t xml:space="preserve">Summary — Choosing a Distribution and Link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2026-09-30T01:30:53Z</dcterms:created>
  <dcterms:modified xsi:type="dcterms:W3CDTF">2026-09-30T01:30:53Z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