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FirstParagraph"/>
      </w:pPr>
      <w:r>
        <w:drawing>
          <wp:inline>
            <wp:extent cx="3619500" cy="25336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3619500" cy="721332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21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3619500" cy="300368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0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3619500" cy="368978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8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3619500" cy="390906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9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10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Start w:id="100" w:name="part-7-biplots-and-scores"/>
    <w:p>
      <w:pPr>
        <w:pStyle w:val="Heading2"/>
      </w:pPr>
      <w:r>
        <w:t xml:space="preserve">Part 7 · Biplots and Scores</w:t>
      </w:r>
    </w:p>
    <w:bookmarkEnd w:id="100"/>
    <w:bookmarkStart w:id="101" w:name="step-7-pca-biplot---the-main-result"/>
    <w:p>
      <w:pPr>
        <w:pStyle w:val="Heading2"/>
      </w:pPr>
      <w:r>
        <w:t xml:space="preserve">Step 7: PCA Biplot - The Main Result</w:t>
      </w:r>
    </w:p>
    <w:bookmarkEnd w:id="101"/>
    <w:bookmarkStart w:id="105" w:name="key-insights-from-this-biplot"/>
    <w:p>
      <w:pPr>
        <w:pStyle w:val="Heading2"/>
      </w:pPr>
      <w:r>
        <w:t xml:space="preserve">Key insights from this biplot:</w:t>
      </w:r>
    </w:p>
    <w:bookmarkStart w:id="10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2"/>
    <w:bookmarkStart w:id="10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3"/>
    <w:bookmarkStart w:id="10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4"/>
    <w:bookmarkEnd w:id="105"/>
    <w:bookmarkStart w:id="106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6"/>
    <w:bookmarkStart w:id="107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7"/>
    <w:bookmarkStart w:id="109" w:name="step-8-interpret-pc1-results"/>
    <w:p>
      <w:pPr>
        <w:pStyle w:val="Heading2"/>
      </w:pPr>
      <w:r>
        <w:t xml:space="preserve">Step 8: Interpret PC1 Results</w:t>
      </w:r>
    </w:p>
    <w:bookmarkStart w:id="10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8"/>
    <w:bookmarkEnd w:id="109"/>
    <w:bookmarkEnd w:id="110"/>
    <w:bookmarkStart w:id="116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Start w:id="115" w:name="step-8-interpret-pc2-results"/>
    <w:p>
      <w:pPr>
        <w:pStyle w:val="Heading2"/>
      </w:pPr>
      <w:r>
        <w:t xml:space="preserve">Step 8: Interpret PC2 Results</w:t>
      </w:r>
    </w:p>
    <w:bookmarkStart w:id="11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4"/>
    <w:bookmarkEnd w:id="115"/>
    <w:bookmarkEnd w:id="116"/>
    <w:bookmarkStart w:id="128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Start w:id="121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1"/>
    <w:bookmarkStart w:id="122" w:name="summary-what-we-learned"/>
    <w:p>
      <w:pPr>
        <w:pStyle w:val="Heading2"/>
      </w:pPr>
      <w:r>
        <w:t xml:space="preserve">Summary: What We Learned</w:t>
      </w:r>
    </w:p>
    <w:bookmarkEnd w:id="122"/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Start w:id="125" w:name="when-to-use-pca-vs.-other-methods"/>
    <w:p>
      <w:pPr>
        <w:pStyle w:val="Heading2"/>
      </w:pPr>
      <w:r>
        <w:t xml:space="preserve">When to Use PCA vs. Other Methods</w:t>
      </w:r>
    </w:p>
    <w:bookmarkEnd w:id="125"/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2026-08-21T18:42:40Z</dcterms:created>
  <dcterms:modified xsi:type="dcterms:W3CDTF">2026-08-21T18:42:40Z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