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9.png" ContentType="image/png"/>
  <Override PartName="/word/media/rId26.png" ContentType="image/png"/>
  <Override PartName="/word/media/rId51.png" ContentType="image/png"/>
  <Override PartName="/word/media/rId41.png" ContentType="image/png"/>
  <Override PartName="/word/media/rId37.png" ContentType="image/png"/>
  <Override PartName="/word/media/rId33.png" ContentType="image/png"/>
  <Override PartName="/word/media/rId16.jpg" ContentType="image/jpeg"/>
  <Override PartName="/word/media/rId12.jpg" ContentType="image/jpeg"/>
  <Override PartName="/word/media/rId77.jpg" ContentType="image/jpeg"/>
  <Override PartName="/word/media/rId47.png" ContentType="image/png"/>
  <Override PartName="/word/media/rId55.png" ContentType="image/png"/>
  <Override PartName="/word/media/rId61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1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bookmarkEnd w:id="15"/>
    <w:bookmarkStart w:id="19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Let’s work with the lake trout data.</w:t>
      </w:r>
      <w:r>
        <w:t xml:space="preserve"> </w:t>
      </w:r>
      <w:r>
        <w:rPr>
          <w:b/>
          <w:bCs/>
        </w:rPr>
        <w:t xml:space="preserve">Everything today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 </w:t>
      </w:r>
      <w:r>
        <w:t xml:space="preserve">— the weights are the interesting variable, and their assumptions are badly broken, which is exactly what we want. This translates to any other data frame you might use.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throughout this lecture." title="" id="17" name="Picture"/>
            <a:graphic>
              <a:graphicData uri="http://schemas.openxmlformats.org/drawingml/2006/picture">
                <pic:pic>
                  <pic:nvPicPr>
                    <pic:cNvPr descr="images/lake_trou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throughout this lecture.</w:t>
      </w:r>
    </w:p>
    <w:bookmarkEnd w:id="19"/>
    <w:bookmarkStart w:id="20" w:name="part-1-setting-up-our-analysis"/>
    <w:p>
      <w:pPr>
        <w:pStyle w:val="Heading2"/>
      </w:pPr>
      <w:r>
        <w:t xml:space="preserve">Part 1 · Setting Up Our Analysis</w:t>
      </w:r>
    </w:p>
    <w:bookmarkEnd w:id="20"/>
    <w:bookmarkStart w:id="29" w:name="setting-up-our-analysis"/>
    <w:p>
      <w:pPr>
        <w:pStyle w:val="Heading2"/>
      </w:pPr>
      <w:r>
        <w:t xml:space="preserve">Setting Up Our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1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22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23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 — just put the file in</w:t>
            </w:r>
            <w:r>
              <w:t xml:space="preserve"> </w:t>
            </w:r>
            <w:r>
              <w:rPr>
                <w:rStyle w:val="VerbatimChar"/>
              </w:rPr>
              <w:t xml:space="preserve">themes_functions/</w:t>
            </w:r>
            <w:r>
              <w:t xml:space="preserve"> </w:t>
            </w:r>
            <w:r>
              <w:t xml:space="preserve">and carry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Everything today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 That imbalance is the whole lecture.</w:t>
            </w:r>
          </w:p>
          <w:p/>
        </w:tc>
      </w:tr>
    </w:tbl>
    <w:bookmarkEnd w:id="29"/>
    <w:bookmarkStart w:id="30" w:name="part-2-assumptions-of-parametric-tests"/>
    <w:p>
      <w:pPr>
        <w:pStyle w:val="Heading2"/>
      </w:pPr>
      <w:r>
        <w:t xml:space="preserve">Part 2 · Assumptions of Parametric Tests</w:t>
      </w:r>
    </w:p>
    <w:bookmarkEnd w:id="30"/>
    <w:bookmarkStart w:id="36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7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34" name="Picture"/>
            <a:graphic>
              <a:graphicData uri="http://schemas.openxmlformats.org/drawingml/2006/picture">
                <pic:pic>
                  <pic:nvPicPr>
                    <pic:cNvPr descr="images/clipboard-294824978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36"/>
    <w:bookmarkStart w:id="40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08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08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38" name="Picture"/>
            <a:graphic>
              <a:graphicData uri="http://schemas.openxmlformats.org/drawingml/2006/picture">
                <pic:pic>
                  <pic:nvPicPr>
                    <pic:cNvPr descr="images/clipboard-28648270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40"/>
    <w:bookmarkStart w:id="44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09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09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42" name="Picture"/>
            <a:graphic>
              <a:graphicData uri="http://schemas.openxmlformats.org/drawingml/2006/picture">
                <pic:pic>
                  <pic:nvPicPr>
                    <pic:cNvPr descr="images/clipboard-252661673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44"/>
    <w:bookmarkStart w:id="50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0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0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1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1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4"/>
    <w:bookmarkStart w:id="58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Graphical test: boxplots</w:t>
      </w:r>
    </w:p>
    <w:p>
      <w:pPr>
        <w:pStyle w:val="Compact"/>
        <w:numPr>
          <w:ilvl w:val="0"/>
          <w:numId w:val="1012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58"/>
    <w:bookmarkStart w:id="64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3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3"/>
        </w:numPr>
      </w:pPr>
      <w:r>
        <w:t xml:space="preserve">“Formal tests”</w:t>
      </w:r>
      <w:r>
        <w:t xml:space="preserve">: Grubbs’ test — no one really does this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p>
      <w:pPr>
        <w:pStyle w:val="BodyText"/>
      </w:pPr>
      <w:r>
        <w:drawing>
          <wp:inline>
            <wp:extent cx="2935866" cy="256888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part-3-when-assumptions-fail"/>
    <w:p>
      <w:pPr>
        <w:pStyle w:val="Heading2"/>
      </w:pPr>
      <w:r>
        <w:t xml:space="preserve">Part 3 · When Assumptions Fail</w:t>
      </w:r>
    </w:p>
    <w:bookmarkEnd w:id="65"/>
    <w:bookmarkStart w:id="69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5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5"/>
        </w:numPr>
      </w:pPr>
      <w:r>
        <w:t xml:space="preserve">On y: ordered sample values</w:t>
      </w:r>
    </w:p>
    <w:p>
      <w:pPr>
        <w:pStyle w:val="Compact"/>
        <w:numPr>
          <w:ilvl w:val="0"/>
          <w:numId w:val="1015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1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6"/>
        </w:numPr>
      </w:pPr>
      <w:r>
        <w:t xml:space="preserve">log₁₀ transformations</w:t>
      </w:r>
    </w:p>
    <w:p>
      <w:pPr>
        <w:pStyle w:val="Compact"/>
        <w:numPr>
          <w:ilvl w:val="0"/>
          <w:numId w:val="1016"/>
        </w:numPr>
      </w:pPr>
      <w:r>
        <w:t xml:space="preserve">square root transformations</w:t>
      </w:r>
    </w:p>
    <w:p>
      <w:pPr>
        <w:pStyle w:val="Compact"/>
        <w:numPr>
          <w:ilvl w:val="0"/>
          <w:numId w:val="1016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78" name="Picture"/>
            <a:graphic>
              <a:graphicData uri="http://schemas.openxmlformats.org/drawingml/2006/picture">
                <pic:pic>
                  <pic:nvPicPr>
                    <pic:cNvPr descr="images/transformations_2%20jpg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80">
        <w:r>
          <w:rPr>
            <w:rStyle w:val="Hyperlink"/>
          </w:rPr>
          <w:t xml:space="preserve">source</w:t>
        </w:r>
      </w:hyperlink>
    </w:p>
    <w:bookmarkEnd w:id="81"/>
    <w:bookmarkStart w:id="82" w:name="X8feb94f4819a544d90aa37063d6d4e9f4d2ad7f"/>
    <w:p>
      <w:pPr>
        <w:pStyle w:val="Heading2"/>
      </w:pPr>
      <w:r>
        <w:t xml:space="preserve">Part 4 · Welch’s T-Test — a One-Slide Refresher</w:t>
      </w:r>
    </w:p>
    <w:bookmarkEnd w:id="82"/>
    <w:bookmarkStart w:id="88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88"/>
    <w:bookmarkStart w:id="89" w:name="part-5-rank-based-tests"/>
    <w:p>
      <w:pPr>
        <w:pStyle w:val="Heading2"/>
      </w:pPr>
      <w:r>
        <w:t xml:space="preserve">Part 5 · Rank-Based Tests</w:t>
      </w:r>
    </w:p>
    <w:bookmarkEnd w:id="89"/>
    <w:bookmarkStart w:id="92" w:name="rank-based-tests"/>
    <w:p>
      <w:pPr>
        <w:pStyle w:val="Heading2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(non-parametric).</w:t>
      </w:r>
    </w:p>
    <w:p>
      <w:pPr>
        <w:pStyle w:val="Compact"/>
        <w:numPr>
          <w:ilvl w:val="0"/>
          <w:numId w:val="1017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17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17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17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92"/>
    <w:bookmarkStart w:id="95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test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a signal you’re reading rank-based test output, not a t-test.</w:t>
            </w:r>
          </w:p>
          <w:p/>
        </w:tc>
      </w:tr>
    </w:tbl>
    <w:bookmarkEnd w:id="95"/>
    <w:bookmarkStart w:id="96" w:name="part-5b-back-to-our-pine-needles"/>
    <w:p>
      <w:pPr>
        <w:pStyle w:val="Heading2"/>
      </w:pPr>
      <w:r>
        <w:t xml:space="preserve">Part 5b · Back to Our Pine Needles</w:t>
      </w:r>
    </w:p>
    <w:bookmarkEnd w:id="96"/>
    <w:bookmarkStart w:id="100" w:name="the-same-question-the-non-parametric-way"/>
    <w:p>
      <w:pPr>
        <w:pStyle w:val="Heading2"/>
      </w:pPr>
      <w:r>
        <w:t xml:space="preserve">The same question, the non-parametric way</w:t>
      </w:r>
    </w:p>
    <w:p>
      <w:pPr>
        <w:pStyle w:val="FirstParagraph"/>
      </w:pPr>
      <w:r>
        <w:t xml:space="preserve">Last week we tested our own needle data two ways. Let’s run the rank-based versions of</w:t>
      </w:r>
      <w:r>
        <w:t xml:space="preserve"> </w:t>
      </w:r>
      <w:r>
        <w:rPr>
          <w:b/>
          <w:bCs/>
        </w:rPr>
        <w:t xml:space="preserve">exactly the same two comparisons</w:t>
      </w:r>
      <w:r>
        <w:t xml:space="preserve"> </w:t>
      </w:r>
      <w:r>
        <w:t xml:space="preserve">and see what changes.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97">
        <w:r>
          <w:rPr>
            <w:rStyle w:val="Hyperlink"/>
          </w:rPr>
          <w:t xml:space="preserve">📥 Pine needle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/>
        </w:tc>
      </w:tr>
    </w:tbl>
    <w:bookmarkEnd w:id="100"/>
    <w:bookmarkStart w:id="103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103"/>
    <w:bookmarkStart w:id="106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18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18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18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106"/>
    <w:bookmarkStart w:id="111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19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19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19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bookmarkEnd w:id="111"/>
    <w:bookmarkStart w:id="112" w:name="part-6-permutation-tests"/>
    <w:p>
      <w:pPr>
        <w:pStyle w:val="Heading2"/>
      </w:pPr>
      <w:r>
        <w:t xml:space="preserve">Part 6 · Permutation Tests</w:t>
      </w:r>
    </w:p>
    <w:bookmarkEnd w:id="112"/>
    <w:bookmarkStart w:id="116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0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0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0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0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0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0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1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1"/>
        </w:numPr>
      </w:pPr>
      <w:r>
        <w:t xml:space="preserve">Repeat &gt; 1,000 times</w:t>
      </w:r>
    </w:p>
    <w:p>
      <w:pPr>
        <w:pStyle w:val="Compact"/>
        <w:numPr>
          <w:ilvl w:val="0"/>
          <w:numId w:val="1021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1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19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20"/>
    <w:bookmarkStart w:id="121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21"/>
    <w:bookmarkStart w:id="122" w:name="part-7-summary"/>
    <w:p>
      <w:pPr>
        <w:pStyle w:val="Heading2"/>
      </w:pPr>
      <w:r>
        <w:t xml:space="preserve">Part 7 · Summary</w:t>
      </w:r>
    </w:p>
    <w:bookmarkEnd w:id="122"/>
    <w:bookmarkStart w:id="125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Should be acknowledged in the manuscript</w:t>
            </w:r>
          </w:p>
          <w:p/>
        </w:tc>
      </w:tr>
    </w:tbl>
    <w:bookmarkEnd w:id="125"/>
    <w:bookmarkStart w:id="128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4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28"/>
    <w:bookmarkStart w:id="129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5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5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6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6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4 is all we needed today.</w:t>
      </w:r>
    </w:p>
    <w:p>
      <w:pPr>
        <w:pStyle w:val="Compact"/>
        <w:numPr>
          <w:ilvl w:val="0"/>
          <w:numId w:val="1027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7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7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7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29"/>
    <w:bookmarkStart w:id="130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8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28"/>
        </w:numPr>
      </w:pPr>
      <w:r>
        <w:t xml:space="preserve">Robust against outliers</w:t>
      </w:r>
    </w:p>
    <w:p>
      <w:pPr>
        <w:pStyle w:val="Compact"/>
        <w:numPr>
          <w:ilvl w:val="0"/>
          <w:numId w:val="1028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9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29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29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5b)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0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0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0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Computationally intensive</w:t>
      </w:r>
    </w:p>
    <w:p>
      <w:pPr>
        <w:pStyle w:val="Compact"/>
        <w:numPr>
          <w:ilvl w:val="0"/>
          <w:numId w:val="1031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1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30"/>
    <w:bookmarkStart w:id="133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9" Target="media/rId9.png" /><Relationship Type="http://schemas.openxmlformats.org/officeDocument/2006/relationships/image" Id="rId26" Target="media/rId26.png" /><Relationship Type="http://schemas.openxmlformats.org/officeDocument/2006/relationships/image" Id="rId51" Target="media/rId5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6" Target="media/rId16.jpg" /><Relationship Type="http://schemas.openxmlformats.org/officeDocument/2006/relationships/image" Id="rId12" Target="media/rId12.jpg" /><Relationship Type="http://schemas.openxmlformats.org/officeDocument/2006/relationships/image" Id="rId77" Target="media/rId77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113" Target="media/rId113.png" /><Relationship Type="http://schemas.openxmlformats.org/officeDocument/2006/relationships/hyperlink" Id="rId23" Target="data/07_nonparametric_t_tests.R" TargetMode="External" /><Relationship Type="http://schemas.openxmlformats.org/officeDocument/2006/relationships/hyperlink" Id="rId21" Target="data/lake_trout.csv" TargetMode="External" /><Relationship Type="http://schemas.openxmlformats.org/officeDocument/2006/relationships/hyperlink" Id="rId97" Target="data/pine_data.csv" TargetMode="External" /><Relationship Type="http://schemas.openxmlformats.org/officeDocument/2006/relationships/hyperlink" Id="rId80" Target="https://www.elsblog.org/the_empirical_legal_studi/2006/08/variable_transf.html" TargetMode="External" /><Relationship Type="http://schemas.openxmlformats.org/officeDocument/2006/relationships/hyperlink" Id="rId119" Target="https://www.jwilber.me/permutationtest/" TargetMode="External" /><Relationship Type="http://schemas.openxmlformats.org/officeDocument/2006/relationships/hyperlink" Id="rId2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ata/07_nonparametric_t_tests.R" TargetMode="External" /><Relationship Type="http://schemas.openxmlformats.org/officeDocument/2006/relationships/hyperlink" Id="rId21" Target="data/lake_trout.csv" TargetMode="External" /><Relationship Type="http://schemas.openxmlformats.org/officeDocument/2006/relationships/hyperlink" Id="rId97" Target="data/pine_data.csv" TargetMode="External" /><Relationship Type="http://schemas.openxmlformats.org/officeDocument/2006/relationships/hyperlink" Id="rId80" Target="https://www.elsblog.org/the_empirical_legal_studi/2006/08/variable_transf.html" TargetMode="External" /><Relationship Type="http://schemas.openxmlformats.org/officeDocument/2006/relationships/hyperlink" Id="rId119" Target="https://www.jwilber.me/permutationtest/" TargetMode="External" /><Relationship Type="http://schemas.openxmlformats.org/officeDocument/2006/relationships/hyperlink" Id="rId2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Assumptions of parametric tests, data transformations, a Welch’s t-test refresher, rank-based tests (Mann-Whitney, Wilcoxon signed-rank), and permutation tests when assumptions fail — on lake trout mass.</dc:description>
  <cp:keywords/>
  <dcterms:created xsi:type="dcterms:W3CDTF">2026-09-21T17:48:49Z</dcterms:created>
  <dcterms:modified xsi:type="dcterms:W3CDTF">2026-09-21T17:48:49Z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