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37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high  1         1     0</w:t>
      </w:r>
      <w:r>
        <w:br/>
      </w:r>
      <w:r>
        <w:rPr>
          <w:rStyle w:val="VerbatimChar"/>
        </w:rPr>
        <w:t xml:space="preserve">## 2 high  1         2     0</w:t>
      </w:r>
      <w:r>
        <w:br/>
      </w:r>
      <w:r>
        <w:rPr>
          <w:rStyle w:val="VerbatimChar"/>
        </w:rPr>
        <w:t xml:space="preserve">## 3 high  1         3     0</w:t>
      </w:r>
      <w:r>
        <w:br/>
      </w:r>
      <w:r>
        <w:rPr>
          <w:rStyle w:val="VerbatimChar"/>
        </w:rPr>
        <w:t xml:space="preserve">## 4 high  1         4     6</w:t>
      </w:r>
      <w:r>
        <w:br/>
      </w:r>
      <w:r>
        <w:rPr>
          <w:rStyle w:val="VerbatimChar"/>
        </w:rPr>
        <w:t xml:space="preserve">## 5 high  1         5     2</w:t>
      </w:r>
      <w:r>
        <w:br/>
      </w:r>
      <w:r>
        <w:rPr>
          <w:rStyle w:val="VerbatimChar"/>
        </w:rPr>
        <w:t xml:space="preserve">## 6 high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"none"   "low"    "medium" "high"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 n  mean    sd    se   min   max</w:t>
      </w:r>
      <w:r>
        <w:br/>
      </w:r>
      <w:r>
        <w:rPr>
          <w:rStyle w:val="VerbatimChar"/>
        </w:rPr>
        <w:t xml:space="preserve">##   &lt;fct&gt;  &lt;int&gt; &lt;dbl&gt; &lt;dbl&gt; &lt;dbl&gt; &lt;dbl&gt; &lt;dbl&gt;</w:t>
      </w:r>
      <w:r>
        <w:br/>
      </w:r>
      <w:r>
        <w:rPr>
          <w:rStyle w:val="VerbatimChar"/>
        </w:rPr>
        <w:t xml:space="preserve">## 1 none      20  39.2 28.7  6.41      0    83</w:t>
      </w:r>
      <w:r>
        <w:br/>
      </w:r>
      <w:r>
        <w:rPr>
          <w:rStyle w:val="VerbatimChar"/>
        </w:rPr>
        <w:t xml:space="preserve">## 2 low       20  21.6 25.1  5.62      0    79</w:t>
      </w:r>
      <w:r>
        <w:br/>
      </w:r>
      <w:r>
        <w:rPr>
          <w:rStyle w:val="VerbatimChar"/>
        </w:rPr>
        <w:t xml:space="preserve">## 3 medium    20  19   25.7  5.74      0    71</w:t>
      </w:r>
      <w:r>
        <w:br/>
      </w:r>
      <w:r>
        <w:rPr>
          <w:rStyle w:val="VerbatimChar"/>
        </w:rPr>
        <w:t xml:space="preserve">## 4 high 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0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(1|treat:patch),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Notation we’ll get into later:</w:t>
      </w:r>
    </w:p>
    <w:p>
      <w:pPr>
        <w:pStyle w:val="Compact"/>
        <w:numPr>
          <w:ilvl w:val="0"/>
          <w:numId w:val="1002"/>
        </w:numPr>
      </w:pPr>
      <w:r>
        <w:t xml:space="preserve">Random intercept, fixed slope —</w:t>
      </w:r>
      <w:r>
        <w:t xml:space="preserve"> </w:t>
      </w:r>
      <w:r>
        <w:rPr>
          <w:rStyle w:val="VerbatimChar"/>
        </w:rPr>
        <w:t xml:space="preserve">(1|patch)</w:t>
      </w:r>
    </w:p>
    <w:p>
      <w:pPr>
        <w:pStyle w:val="Compact"/>
        <w:numPr>
          <w:ilvl w:val="0"/>
          <w:numId w:val="1002"/>
        </w:numPr>
      </w:pPr>
      <w:r>
        <w:t xml:space="preserve">Random intercept, random slope —</w:t>
      </w:r>
      <w:r>
        <w:t xml:space="preserve"> </w:t>
      </w:r>
      <w:r>
        <w:rPr>
          <w:rStyle w:val="VerbatimChar"/>
        </w:rPr>
        <w:t xml:space="preserve">(1|treat:patch)</w:t>
      </w:r>
    </w:p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treat:patch)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   Name        Variance Std.Dev.</w:t>
      </w:r>
      <w:r>
        <w:br/>
      </w:r>
      <w:r>
        <w:rPr>
          <w:rStyle w:val="DocumentationTok"/>
        </w:rPr>
        <w:t xml:space="preserve">##  treat:patch (Intercept) 294.3    17.16   </w:t>
      </w:r>
      <w:r>
        <w:br/>
      </w:r>
      <w:r>
        <w:rPr>
          <w:rStyle w:val="DocumentationTok"/>
        </w:rPr>
        <w:t xml:space="preserve">##  Residual                298.6    17.28   </w:t>
      </w:r>
      <w:r>
        <w:br/>
      </w:r>
      <w:r>
        <w:rPr>
          <w:rStyle w:val="DocumentationTok"/>
        </w:rPr>
        <w:t xml:space="preserve">## Number of obs: 80, groups:  treat:patch,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 1.288      8.147 12.000   0.158  0.87707   </w:t>
      </w:r>
      <w:r>
        <w:br/>
      </w:r>
      <w:r>
        <w:rPr>
          <w:rStyle w:val="DocumentationTok"/>
        </w:rPr>
        <w:t xml:space="preserve">## treat3        -1.263      8.147 12.000  -0.155  0.87943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20"/>
    <w:bookmarkStart w:id="21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3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3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3"/>
        </w:numPr>
      </w:pPr>
      <w:r>
        <w:t xml:space="preserve">Better for small samples</w:t>
      </w:r>
    </w:p>
    <w:p>
      <w:pPr>
        <w:pStyle w:val="SourceCode"/>
      </w:pP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1"/>
    <w:bookmarkStart w:id="22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4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4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4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u_anova_f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2"/>
    <w:bookmarkStart w:id="23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3"/>
    <w:bookmarkStart w:id="24" w:name="part-3-post-hoc-and-interpretation"/>
    <w:p>
      <w:pPr>
        <w:pStyle w:val="Heading2"/>
      </w:pPr>
      <w:r>
        <w:t xml:space="preserve">Part 3 · Post-Hoc and Interpretation</w:t>
      </w:r>
    </w:p>
    <w:bookmarkEnd w:id="24"/>
    <w:bookmarkStart w:id="28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nested ANOVA reveals that there was no significant effect of urchin</w:t>
            </w:r>
            <w:r>
              <w:t xml:space="preserve"> </w:t>
            </w:r>
            <w:r>
              <w:t xml:space="preserve">density treatment on algae cover (χ² = 8.1513, df = 3, p = 0.04306). The</w:t>
            </w:r>
            <w:r>
              <w:t xml:space="preserve"> </w:t>
            </w:r>
            <w:r>
              <w:t xml:space="preserve">variance component for patches nested within treatments (294.3)</w:t>
            </w:r>
            <w:r>
              <w:t xml:space="preserve"> </w:t>
            </w:r>
            <w:r>
              <w:t xml:space="preserve">indicates substantial spatial heterogeneity in algae cover, highlighting</w:t>
            </w:r>
            <w:r>
              <w:t xml:space="preserve"> </w:t>
            </w:r>
            <w:r>
              <w:t xml:space="preserve">the importance of accounting for this spatial variation in the analysis.</w:t>
            </w:r>
          </w:p>
          <w:p/>
        </w:tc>
      </w:tr>
    </w:tbl>
    <w:bookmarkEnd w:id="28"/>
    <w:bookmarkStart w:id="29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29"/>
    <w:bookmarkStart w:id="32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32"/>
    <w:bookmarkStart w:id="33" w:name="part-4-assumptions-and-visualization"/>
    <w:p>
      <w:pPr>
        <w:pStyle w:val="Heading2"/>
      </w:pPr>
      <w:r>
        <w:t xml:space="preserve">Part 4 · Assumptions and Visualization</w:t>
      </w:r>
    </w:p>
    <w:bookmarkEnd w:id="33"/>
    <w:bookmarkStart w:id="36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36"/>
    <w:bookmarkStart w:id="40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3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43"/>
    <w:bookmarkStart w:id="47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4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linear_mixed_models_lecture_files/figure-docx/unnamed-chunk-15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part-5-discussion-and-manual-calculation"/>
    <w:p>
      <w:pPr>
        <w:pStyle w:val="Heading2"/>
      </w:pPr>
      <w:r>
        <w:t xml:space="preserve">Part 5 · Discussion and Manual Calculation</w:t>
      </w:r>
    </w:p>
    <w:bookmarkEnd w:id="52"/>
    <w:bookmarkStart w:id="55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55"/>
    <w:bookmarkStart w:id="56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2026-09-01T20:19:50Z</dcterms:created>
  <dcterms:modified xsi:type="dcterms:W3CDTF">2026-09-01T20:19:50Z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