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4.png" ContentType="image/png"/>
  <Override PartName="/word/media/rId15.png" ContentType="image/png"/>
  <Override PartName="/word/media/rId19.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Welch’s Two Sample T-Test</w:t>
      </w:r>
    </w:p>
    <w:p>
      <w:pPr>
        <w:pStyle w:val="Subtitle"/>
      </w:pPr>
      <w:r>
        <w:t xml:space="preserve">Unequal-variance t-test</w:t>
      </w:r>
    </w:p>
    <w:p>
      <w:pPr>
        <w:pStyle w:val="Author"/>
      </w:pPr>
      <w:r>
        <w:t xml:space="preserve">Bill Perry</w:t>
      </w:r>
    </w:p>
    <w:p>
      <w:pPr>
        <w:pStyle w:val="FirstParagraph"/>
      </w:pPr>
      <w:hyperlink r:id="rId9">
        <w:r>
          <w:rPr>
            <w:rStyle w:val="Hyperlink"/>
          </w:rPr>
          <w:t xml:space="preserve">📥 Download the R script</w:t>
        </w:r>
      </w:hyperlink>
    </w:p>
    <w:bookmarkStart w:id="12" w:name="introduction-to-welchs-t-test"/>
    <w:p>
      <w:pPr>
        <w:pStyle w:val="Heading1"/>
      </w:pPr>
      <w:r>
        <w:t xml:space="preserve">Introduction to Welch’s t-Test</w:t>
      </w:r>
    </w:p>
    <w:bookmarkStart w:id="10" w:name="background-and-theory"/>
    <w:p>
      <w:pPr>
        <w:pStyle w:val="Heading2"/>
      </w:pPr>
      <w:r>
        <w:t xml:space="preserve">Background and Theory</w:t>
      </w:r>
    </w:p>
    <w:p>
      <w:pPr>
        <w:pStyle w:val="FirstParagraph"/>
      </w:pPr>
      <w:r>
        <w:t xml:space="preserve">Welch’s t-test (also known as Welch’s unequal variances t-test) is an adaptation of the standard two-sample t-test that is designed to provide a valid test when the two groups have unequal variances. This is particularly important because the assumption of equal variances is often violated in real-world data.</w:t>
      </w:r>
    </w:p>
    <w:p>
      <w:pPr>
        <w:pStyle w:val="BodyText"/>
      </w:pPr>
      <w:r>
        <w:t xml:space="preserve">While the standard two-sample t-test makes the following comparison:</w:t>
      </w:r>
    </w:p>
    <w:p>
      <w:pPr>
        <w:pStyle w:val="BodyText"/>
      </w:pPr>
      <m:oMath>
        <m:sSub>
          <m:e>
            <m:r>
              <m:t>H</m:t>
            </m:r>
          </m:e>
          <m:sub>
            <m:r>
              <m:t>0</m:t>
            </m:r>
          </m:sub>
        </m:sSub>
        <m:r>
          <m:rPr>
            <m:sty m:val="p"/>
          </m:rPr>
          <m:t>:</m:t>
        </m:r>
        <m:sSub>
          <m:e>
            <m:r>
              <m:t>μ</m:t>
            </m:r>
          </m:e>
          <m:sub>
            <m:r>
              <m:t>1</m:t>
            </m:r>
          </m:sub>
        </m:sSub>
        <m:r>
          <m:rPr>
            <m:sty m:val="p"/>
          </m:rPr>
          <m:t>=</m:t>
        </m:r>
        <m:sSub>
          <m:e>
            <m:r>
              <m:t>μ</m:t>
            </m:r>
          </m:e>
          <m:sub>
            <m:r>
              <m:t>2</m:t>
            </m:r>
          </m:sub>
        </m:sSub>
      </m:oMath>
      <w:r>
        <w:t xml:space="preserve"> </w:t>
      </w:r>
      <m:oMath>
        <m:sSub>
          <m:e>
            <m:r>
              <m:t>H</m:t>
            </m:r>
          </m:e>
          <m:sub>
            <m:r>
              <m:t>A</m:t>
            </m:r>
          </m:sub>
        </m:sSub>
        <m:r>
          <m:rPr>
            <m:sty m:val="p"/>
          </m:rPr>
          <m:t>:</m:t>
        </m:r>
        <m:sSub>
          <m:e>
            <m:r>
              <m:t>μ</m:t>
            </m:r>
          </m:e>
          <m:sub>
            <m:r>
              <m:t>1</m:t>
            </m:r>
          </m:sub>
        </m:sSub>
        <m:r>
          <m:rPr>
            <m:sty m:val="p"/>
          </m:rPr>
          <m:t>≠</m:t>
        </m:r>
        <m:sSub>
          <m:e>
            <m:r>
              <m:t>μ</m:t>
            </m:r>
          </m:e>
          <m:sub>
            <m:r>
              <m:t>2</m:t>
            </m:r>
          </m:sub>
        </m:sSub>
      </m:oMath>
    </w:p>
    <w:p>
      <w:pPr>
        <w:pStyle w:val="BodyText"/>
      </w:pPr>
      <w:r>
        <w:t xml:space="preserve">Where:</w:t>
      </w:r>
    </w:p>
    <w:p>
      <w:pPr>
        <w:numPr>
          <w:ilvl w:val="0"/>
          <w:numId w:val="1001"/>
        </w:numPr>
      </w:pPr>
      <m:oMath>
        <m:sSub>
          <m:e>
            <m:r>
              <m:t>H</m:t>
            </m:r>
          </m:e>
          <m:sub>
            <m:r>
              <m:t>0</m:t>
            </m:r>
          </m:sub>
        </m:sSub>
      </m:oMath>
      <w:r>
        <w:t xml:space="preserve"> </w:t>
      </w:r>
      <w:r>
        <w:t xml:space="preserve">is the null hypothesis stating that the population means are equal</w:t>
      </w:r>
    </w:p>
    <w:p>
      <w:pPr>
        <w:numPr>
          <w:ilvl w:val="0"/>
          <w:numId w:val="1001"/>
        </w:numPr>
      </w:pPr>
      <m:oMath>
        <m:sSub>
          <m:e>
            <m:r>
              <m:t>H</m:t>
            </m:r>
          </m:e>
          <m:sub>
            <m:r>
              <m:t>A</m:t>
            </m:r>
          </m:sub>
        </m:sSub>
      </m:oMath>
      <w:r>
        <w:t xml:space="preserve"> </w:t>
      </w:r>
      <w:r>
        <w:t xml:space="preserve">is the alternative hypothesis stating that the population means are different</w:t>
      </w:r>
    </w:p>
    <w:p>
      <w:pPr>
        <w:numPr>
          <w:ilvl w:val="0"/>
          <w:numId w:val="1001"/>
        </w:numPr>
      </w:pPr>
      <m:oMath>
        <m:sSub>
          <m:e>
            <m:r>
              <m:t>μ</m:t>
            </m:r>
          </m:e>
          <m:sub>
            <m:r>
              <m:t>1</m:t>
            </m:r>
          </m:sub>
        </m:sSub>
      </m:oMath>
      <w:r>
        <w:t xml:space="preserve"> </w:t>
      </w:r>
      <w:r>
        <w:t xml:space="preserve">is the population mean of the first group</w:t>
      </w:r>
    </w:p>
    <w:p>
      <w:pPr>
        <w:numPr>
          <w:ilvl w:val="0"/>
          <w:numId w:val="1001"/>
        </w:numPr>
      </w:pPr>
      <m:oMath>
        <m:sSub>
          <m:e>
            <m:r>
              <m:t>μ</m:t>
            </m:r>
          </m:e>
          <m:sub>
            <m:r>
              <m:t>2</m:t>
            </m:r>
          </m:sub>
        </m:sSub>
      </m:oMath>
      <w:r>
        <w:t xml:space="preserve"> </w:t>
      </w:r>
      <w:r>
        <w:t xml:space="preserve">is the population mean of the second group</w:t>
      </w:r>
    </w:p>
    <w:bookmarkEnd w:id="10"/>
    <w:bookmarkStart w:id="11" w:name="formula-for-welchs-t-test"/>
    <w:p>
      <w:pPr>
        <w:pStyle w:val="Heading2"/>
      </w:pPr>
      <w:r>
        <w:t xml:space="preserve">Formula for Welch’s t-Test</w:t>
      </w:r>
    </w:p>
    <w:p>
      <w:pPr>
        <w:pStyle w:val="FirstParagraph"/>
      </w:pPr>
      <w:r>
        <w:t xml:space="preserve">The formula for Welch’s t-test is:</w:t>
      </w:r>
    </w:p>
    <w:p>
      <w:pPr>
        <w:pStyle w:val="BodyText"/>
      </w:p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w:r>
        <w:t xml:space="preserve">​</w:t>
      </w:r>
    </w:p>
    <w:p>
      <w:pPr>
        <w:pStyle w:val="BodyText"/>
      </w:pPr>
      <w:r>
        <w:t xml:space="preserve">Where:</w:t>
      </w:r>
    </w:p>
    <w:p>
      <w:pPr>
        <w:numPr>
          <w:ilvl w:val="0"/>
          <w:numId w:val="1002"/>
        </w:numPr>
      </w:pPr>
      <m:oMath>
        <m:sSub>
          <m:e>
            <m:acc>
              <m:accPr>
                <m:chr m:val="‾"/>
              </m:accPr>
              <m:e>
                <m:r>
                  <m:t>x</m:t>
                </m:r>
              </m:e>
            </m:acc>
          </m:e>
          <m:sub>
            <m:r>
              <m:t>1</m:t>
            </m:r>
          </m:sub>
        </m:sSub>
      </m:oMath>
      <w:r>
        <w:t xml:space="preserve"> </w:t>
      </w:r>
      <w:r>
        <w:t xml:space="preserve">is the sample mean of the first group</w:t>
      </w:r>
    </w:p>
    <w:p>
      <w:pPr>
        <w:numPr>
          <w:ilvl w:val="0"/>
          <w:numId w:val="1002"/>
        </w:numPr>
      </w:pPr>
      <m:oMath>
        <m:sSub>
          <m:e>
            <m:acc>
              <m:accPr>
                <m:chr m:val="‾"/>
              </m:accPr>
              <m:e>
                <m:r>
                  <m:t>x</m:t>
                </m:r>
              </m:e>
            </m:acc>
          </m:e>
          <m:sub>
            <m:r>
              <m:t>2</m:t>
            </m:r>
          </m:sub>
        </m:sSub>
      </m:oMath>
      <w:r>
        <w:t xml:space="preserve"> </w:t>
      </w:r>
      <w:r>
        <w:t xml:space="preserve">is the sample mean of the second group</w:t>
      </w:r>
    </w:p>
    <w:p>
      <w:pPr>
        <w:numPr>
          <w:ilvl w:val="0"/>
          <w:numId w:val="1002"/>
        </w:numPr>
      </w:pPr>
      <m:oMath>
        <m:sSubSup>
          <m:e>
            <m:r>
              <m:t>s</m:t>
            </m:r>
          </m:e>
          <m:sub>
            <m:r>
              <m:t>1</m:t>
            </m:r>
          </m:sub>
          <m:sup>
            <m:r>
              <m:t>2</m:t>
            </m:r>
          </m:sup>
        </m:sSubSup>
      </m:oMath>
      <w:r>
        <w:t xml:space="preserve"> </w:t>
      </w:r>
      <w:r>
        <w:t xml:space="preserve">is the sample variance of the first group</w:t>
      </w:r>
    </w:p>
    <w:p>
      <w:pPr>
        <w:numPr>
          <w:ilvl w:val="0"/>
          <w:numId w:val="1002"/>
        </w:numPr>
      </w:pPr>
      <m:oMath>
        <m:sSubSup>
          <m:e>
            <m:r>
              <m:t>s</m:t>
            </m:r>
          </m:e>
          <m:sub>
            <m:r>
              <m:t>2</m:t>
            </m:r>
          </m:sub>
          <m:sup>
            <m:r>
              <m:t>2</m:t>
            </m:r>
          </m:sup>
        </m:sSubSup>
      </m:oMath>
      <w:r>
        <w:t xml:space="preserve"> </w:t>
      </w:r>
      <w:r>
        <w:t xml:space="preserve">is the sample variance of the second group</w:t>
      </w:r>
    </w:p>
    <w:p>
      <w:pPr>
        <w:numPr>
          <w:ilvl w:val="0"/>
          <w:numId w:val="1002"/>
        </w:numPr>
      </w:pPr>
      <m:oMath>
        <m:sSub>
          <m:e>
            <m:r>
              <m:t>n</m:t>
            </m:r>
          </m:e>
          <m:sub>
            <m:r>
              <m:t>1</m:t>
            </m:r>
          </m:sub>
        </m:sSub>
      </m:oMath>
      <w:r>
        <w:t xml:space="preserve"> </w:t>
      </w:r>
      <w:r>
        <w:t xml:space="preserve">is the sample size of the first group</w:t>
      </w:r>
    </w:p>
    <w:p>
      <w:pPr>
        <w:numPr>
          <w:ilvl w:val="0"/>
          <w:numId w:val="1002"/>
        </w:numPr>
      </w:pPr>
      <m:oMath>
        <m:sSub>
          <m:e>
            <m:r>
              <m:t>n</m:t>
            </m:r>
          </m:e>
          <m:sub>
            <m:r>
              <m:t>2</m:t>
            </m:r>
          </m:sub>
        </m:sSub>
      </m:oMath>
      <w:r>
        <w:t xml:space="preserve"> </w:t>
      </w:r>
      <w:r>
        <w:t xml:space="preserve">is the sample size of the second group</w:t>
      </w:r>
    </w:p>
    <w:p>
      <w:pPr>
        <w:pStyle w:val="FirstParagraph"/>
      </w:pPr>
      <w:r>
        <w:t xml:space="preserve">The key difference from the standard t-test is that Welch’s t-test does not use a pooled variance estimate, making it more robust when the variances differ between groups.</w:t>
      </w:r>
    </w:p>
    <w:p>
      <w:pPr>
        <w:pStyle w:val="BodyText"/>
      </w:pPr>
      <w:r>
        <w:t xml:space="preserve">The degrees of freedom for Welch’s t-test are calculated using the Welch-Satterthwaite equation:</w:t>
      </w:r>
    </w:p>
    <w:p>
      <w:pPr>
        <w:pStyle w:val="BodyText"/>
      </w:p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w:r>
        <w:t xml:space="preserve">​</w:t>
      </w:r>
    </w:p>
    <w:p>
      <w:pPr>
        <w:pStyle w:val="BodyText"/>
      </w:pPr>
      <w:r>
        <w:t xml:space="preserve">This often results in a non-integer value for degrees of freedom, which is why you’ll typically see it rounded in reports.</w:t>
      </w:r>
    </w:p>
    <w:bookmarkEnd w:id="11"/>
    <w:bookmarkEnd w:id="12"/>
    <w:bookmarkStart w:id="24"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plotNormalHistogramlibrary(tidyverse)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(broom)</w:t>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4"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4"/>
    <w:bookmarkStart w:id="23" w:name="data-visualization"/>
    <w:p>
      <w:pPr>
        <w:pStyle w:val="Heading2"/>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3"/>
      </w:pPr>
      <w:r>
        <w:t xml:space="preserve">Box Plot with Individual Data Points</w:t>
      </w:r>
    </w:p>
    <w:p>
      <w:pPr>
        <w:pStyle w:val="SourceCode"/>
      </w:pPr>
      <w:r>
        <w:rPr>
          <w:rStyle w:val="CommentTok"/>
        </w:rPr>
        <w:t xml:space="preserve"># Create boxplot with individual points</w:t>
      </w:r>
      <w:r>
        <w:br/>
      </w:r>
      <w:r>
        <w:rPr>
          <w:rStyle w:val="NormalTok"/>
        </w:rPr>
        <w:t xml:space="preserve">histo_plot</w:t>
      </w:r>
      <w:r>
        <w:rPr>
          <w:rStyle w:val="OtherTok"/>
        </w:rPr>
        <w:t xml:space="preserve">&lt;-</w:t>
      </w:r>
      <w:r>
        <w:rPr>
          <w:rStyle w:val="NormalTok"/>
        </w:rPr>
        <w:t xml:space="preserve"> </w:t>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histo_plot</w:t>
      </w:r>
    </w:p>
    <w:p>
      <w:pPr>
        <w:pStyle w:val="FirstParagraph"/>
      </w:pPr>
      <w:r>
        <w:drawing>
          <wp:inline>
            <wp:extent cx="4587290" cy="4587290"/>
            <wp:effectExtent b="0" l="0" r="0" t="0"/>
            <wp:docPr descr="" title="" id="16" name="Picture"/>
            <a:graphic>
              <a:graphicData uri="http://schemas.openxmlformats.org/drawingml/2006/picture">
                <pic:pic>
                  <pic:nvPicPr>
                    <pic:cNvPr descr="welch_ttest_files/figure-docx/unnamed-chunk-3-1.png" id="17" name="Picture"/>
                    <pic:cNvPicPr>
                      <a:picLocks noChangeArrowheads="1" noChangeAspect="1"/>
                    </pic:cNvPicPr>
                  </pic:nvPicPr>
                  <pic:blipFill>
                    <a:blip r:embed="rId15"/>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2" w:name="mean-and-se-individual-data-points"/>
    <w:p>
      <w:pPr>
        <w:pStyle w:val="Heading3"/>
      </w:pPr>
      <w:r>
        <w:t xml:space="preserve">Mean and SE Individual Data Points</w:t>
      </w:r>
    </w:p>
    <w:p>
      <w:pPr>
        <w:pStyle w:val="SourceCode"/>
      </w:pPr>
      <w:r>
        <w:rPr>
          <w:rStyle w:val="NormalTok"/>
        </w:rPr>
        <w:t xml:space="preserve">mean_se_plot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mean_se_plot</w:t>
      </w:r>
    </w:p>
    <w:p>
      <w:pPr>
        <w:pStyle w:val="FirstParagraph"/>
      </w:pPr>
      <w:r>
        <w:drawing>
          <wp:inline>
            <wp:extent cx="4587290" cy="4587290"/>
            <wp:effectExtent b="0" l="0" r="0" t="0"/>
            <wp:docPr descr="" title="" id="20" name="Picture"/>
            <a:graphic>
              <a:graphicData uri="http://schemas.openxmlformats.org/drawingml/2006/picture">
                <pic:pic>
                  <pic:nvPicPr>
                    <pic:cNvPr descr="welch_ttest_files/figure-docx/unnamed-chunk-4-1.png" id="21" name="Picture"/>
                    <pic:cNvPicPr>
                      <a:picLocks noChangeArrowheads="1" noChangeAspect="1"/>
                    </pic:cNvPicPr>
                  </pic:nvPicPr>
                  <pic:blipFill>
                    <a:blip r:embed="rId19"/>
                    <a:stretch>
                      <a:fillRect/>
                    </a:stretch>
                  </pic:blipFill>
                  <pic:spPr bwMode="auto">
                    <a:xfrm>
                      <a:off x="0" y="0"/>
                      <a:ext cx="4587290" cy="4587290"/>
                    </a:xfrm>
                    <a:prstGeom prst="rect">
                      <a:avLst/>
                    </a:prstGeom>
                    <a:noFill/>
                    <a:ln w="9525">
                      <a:noFill/>
                      <a:headEnd/>
                      <a:tailEnd/>
                    </a:ln>
                  </pic:spPr>
                </pic:pic>
              </a:graphicData>
            </a:graphic>
          </wp:inline>
        </w:drawing>
      </w:r>
    </w:p>
    <w:bookmarkEnd w:id="22"/>
    <w:bookmarkEnd w:id="23"/>
    <w:bookmarkEnd w:id="24"/>
    <w:bookmarkStart w:id="42" w:name="testing-welchs-t-test-assumptions"/>
    <w:p>
      <w:pPr>
        <w:pStyle w:val="Heading1"/>
      </w:pPr>
      <w:r>
        <w:t xml:space="preserve">Testing Welch’s t-Test Assumptions</w:t>
      </w:r>
    </w:p>
    <w:p>
      <w:pPr>
        <w:pStyle w:val="FirstParagraph"/>
      </w:pPr>
      <w:r>
        <w:t xml:space="preserve">Before conducting Welch’s t-test, we need to verify that our data meets the underlying assumptions:</w:t>
      </w:r>
    </w:p>
    <w:bookmarkStart w:id="40" w:name="assumptions-of-welchs-t-test"/>
    <w:p>
      <w:pPr>
        <w:pStyle w:val="Heading2"/>
      </w:pPr>
      <w:r>
        <w:t xml:space="preserve">Assumptions of Welch’s t-Test</w:t>
      </w:r>
    </w:p>
    <w:p>
      <w:pPr>
        <w:pStyle w:val="Compact"/>
        <w:numPr>
          <w:ilvl w:val="0"/>
          <w:numId w:val="1003"/>
        </w:numPr>
      </w:pPr>
      <w:r>
        <w:rPr>
          <w:b/>
          <w:bCs/>
        </w:rPr>
        <w:t xml:space="preserve">Independence</w:t>
      </w:r>
      <w:r>
        <w:t xml:space="preserve">: The observations within each group are independent, and the two groups are independent of each other.</w:t>
      </w:r>
    </w:p>
    <w:p>
      <w:pPr>
        <w:pStyle w:val="Compact"/>
        <w:numPr>
          <w:ilvl w:val="0"/>
          <w:numId w:val="1003"/>
        </w:numPr>
      </w:pPr>
      <w:r>
        <w:rPr>
          <w:b/>
          <w:bCs/>
        </w:rPr>
        <w:t xml:space="preserve">Normality</w:t>
      </w:r>
      <w:r>
        <w:t xml:space="preserve">: The data in each group follow approximately normal distributions (though Welch’s t-test is more robust to violations of normality than the standard t-test).</w:t>
      </w:r>
    </w:p>
    <w:p>
      <w:pPr>
        <w:pStyle w:val="FirstParagraph"/>
      </w:pPr>
      <w:r>
        <w:t xml:space="preserve">Unlike the standard t-test,</w:t>
      </w:r>
      <w:r>
        <w:t xml:space="preserve"> </w:t>
      </w:r>
      <w:r>
        <w:rPr>
          <w:b/>
          <w:bCs/>
        </w:rPr>
        <w:t xml:space="preserve">Welch’s t-test does not assume that the variances of the two groups are equal.</w:t>
      </w:r>
      <w:r>
        <w:t xml:space="preserve"> </w:t>
      </w:r>
      <w:r>
        <w:t xml:space="preserve">This makes it more appropriate for many real-world datasets.</w:t>
      </w:r>
    </w:p>
    <w:p>
      <w:pPr>
        <w:pStyle w:val="BodyText"/>
      </w:pPr>
      <w:r>
        <w:t xml:space="preserve">Let’s test the assumptions we do need to meet:</w:t>
      </w:r>
    </w:p>
    <w:bookmarkStart w:id="25"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5"/>
    <w:bookmarkStart w:id="38" w:name="normality-assumption"/>
    <w:p>
      <w:pPr>
        <w:pStyle w:val="Heading3"/>
      </w:pPr>
      <w:r>
        <w:t xml:space="preserve">2. Normality Assumption</w:t>
      </w:r>
    </w:p>
    <w:p>
      <w:pPr>
        <w:numPr>
          <w:ilvl w:val="0"/>
          <w:numId w:val="1004"/>
        </w:numPr>
      </w:pPr>
      <w:r>
        <w:t xml:space="preserve">We’ll check normality using:</w:t>
      </w:r>
    </w:p>
    <w:p>
      <w:pPr>
        <w:numPr>
          <w:ilvl w:val="1"/>
          <w:numId w:val="1005"/>
        </w:numPr>
      </w:pPr>
      <w:r>
        <w:t xml:space="preserve">Visual methods: Histograms and Q-Q plots</w:t>
      </w:r>
    </w:p>
    <w:p>
      <w:pPr>
        <w:numPr>
          <w:ilvl w:val="1"/>
          <w:numId w:val="1005"/>
        </w:numPr>
      </w:pPr>
      <w:r>
        <w:t xml:space="preserve">Formal test: Shapiro-Wilk test</w:t>
      </w:r>
    </w:p>
    <w:p>
      <w:pPr>
        <w:pStyle w:val="Heading4"/>
        <w:numPr>
          <w:ilvl w:val="1"/>
          <w:numId w:val="1000"/>
        </w:numPr>
      </w:pPr>
      <w:bookmarkStart w:id="26" w:name="histograms"/>
      <w:r>
        <w:t xml:space="preserve">Histograms</w:t>
      </w:r>
      <w:bookmarkEnd w:id="26"/>
    </w:p>
    <w:p>
      <w:pPr>
        <w:pStyle w:val="SourceCode"/>
      </w:pPr>
      <w:r>
        <w:rPr>
          <w:rStyle w:val="NormalTok"/>
        </w:rPr>
        <w:t xml:space="preserve">histo_plot</w:t>
      </w:r>
    </w:p>
    <w:p>
      <w:pPr>
        <w:pStyle w:val="FirstParagraph"/>
      </w:pPr>
      <w:r>
        <w:drawing>
          <wp:inline>
            <wp:extent cx="3211103" cy="3211103"/>
            <wp:effectExtent b="0" l="0" r="0" t="0"/>
            <wp:docPr descr="" title="" id="28" name="Picture"/>
            <a:graphic>
              <a:graphicData uri="http://schemas.openxmlformats.org/drawingml/2006/picture">
                <pic:pic>
                  <pic:nvPicPr>
                    <pic:cNvPr descr="welch_ttest_files/figure-docx/unnamed-chunk-5-1.png" id="29" name="Picture"/>
                    <pic:cNvPicPr>
                      <a:picLocks noChangeArrowheads="1" noChangeAspect="1"/>
                    </pic:cNvPicPr>
                  </pic:nvPicPr>
                  <pic:blipFill>
                    <a:blip r:embed="rId27"/>
                    <a:stretch>
                      <a:fillRect/>
                    </a:stretch>
                  </pic:blipFill>
                  <pic:spPr bwMode="auto">
                    <a:xfrm>
                      <a:off x="0" y="0"/>
                      <a:ext cx="3211103" cy="3211103"/>
                    </a:xfrm>
                    <a:prstGeom prst="rect">
                      <a:avLst/>
                    </a:prstGeom>
                    <a:noFill/>
                    <a:ln w="9525">
                      <a:noFill/>
                      <a:headEnd/>
                      <a:tailEnd/>
                    </a:ln>
                  </pic:spPr>
                </pic:pic>
              </a:graphicData>
            </a:graphic>
          </wp:inline>
        </w:drawing>
      </w:r>
    </w:p>
    <w:bookmarkStart w:id="36" w:name="qq-plots"/>
    <w:p>
      <w:pPr>
        <w:pStyle w:val="Heading4"/>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87290" cy="4587290"/>
            <wp:effectExtent b="0" l="0" r="0" t="0"/>
            <wp:docPr descr="" title="" id="31" name="Picture"/>
            <a:graphic>
              <a:graphicData uri="http://schemas.openxmlformats.org/drawingml/2006/picture">
                <pic:pic>
                  <pic:nvPicPr>
                    <pic:cNvPr descr="welch_ttest_files/figure-docx/unnamed-chunk-6-1.png" id="32" name="Picture"/>
                    <pic:cNvPicPr>
                      <a:picLocks noChangeArrowheads="1" noChangeAspect="1"/>
                    </pic:cNvPicPr>
                  </pic:nvPicPr>
                  <pic:blipFill>
                    <a:blip r:embed="rId30"/>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t xml:space="preserve">QQplots in base r</w:t>
      </w:r>
    </w:p>
    <w:p>
      <w:pPr>
        <w:pStyle w:val="SourceCode"/>
      </w:pPr>
      <w:r>
        <w:rPr>
          <w:rStyle w:val="CommentTok"/>
        </w:rPr>
        <w:t xml:space="preserve"># you need to isolate the dataframes or spllit them</w:t>
      </w:r>
      <w:r>
        <w:br/>
      </w:r>
      <w:r>
        <w:rPr>
          <w:rStyle w:val="NormalTok"/>
        </w:rPr>
        <w:t xml:space="preserve">s7_df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w:t>
      </w:r>
      <w:r>
        <w:br/>
      </w:r>
      <w:r>
        <w:br/>
      </w:r>
      <w:r>
        <w:rPr>
          <w:rStyle w:val="NormalTok"/>
        </w:rPr>
        <w:t xml:space="preserve">ne14_df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w:t>
      </w:r>
      <w:r>
        <w:br/>
      </w:r>
      <w:r>
        <w:br/>
      </w:r>
      <w:r>
        <w:br/>
      </w:r>
      <w:r>
        <w:rPr>
          <w:rStyle w:val="CommentTok"/>
        </w:rPr>
        <w:t xml:space="preserve"># Basic Q-Q plot</w:t>
      </w:r>
      <w:r>
        <w:br/>
      </w:r>
      <w:r>
        <w:rPr>
          <w:rStyle w:val="FunctionTok"/>
        </w:rPr>
        <w:t xml:space="preserve">qqnorm</w:t>
      </w:r>
      <w:r>
        <w:rPr>
          <w:rStyle w:val="NormalTok"/>
        </w:rPr>
        <w:t xml:space="preserve">(s7_df</w:t>
      </w:r>
      <w:r>
        <w:rPr>
          <w:rStyle w:val="SpecialCharTok"/>
        </w:rPr>
        <w:t xml:space="preserve">$</w:t>
      </w:r>
      <w:r>
        <w:rPr>
          <w:rStyle w:val="NormalTok"/>
        </w:rPr>
        <w:t xml:space="preserve">length_mm)</w:t>
      </w:r>
      <w:r>
        <w:br/>
      </w:r>
      <w:r>
        <w:rPr>
          <w:rStyle w:val="FunctionTok"/>
        </w:rPr>
        <w:t xml:space="preserve">qqline</w:t>
      </w:r>
      <w:r>
        <w:rPr>
          <w:rStyle w:val="NormalTok"/>
        </w:rPr>
        <w:t xml:space="preserve">(s7_df</w:t>
      </w:r>
      <w:r>
        <w:rPr>
          <w:rStyle w:val="SpecialCharTok"/>
        </w:rPr>
        <w:t xml:space="preserve">$</w:t>
      </w:r>
      <w:r>
        <w:rPr>
          <w:rStyle w:val="NormalTok"/>
        </w:rPr>
        <w:t xml:space="preserve">length_mm)</w:t>
      </w:r>
    </w:p>
    <w:p>
      <w:pPr>
        <w:pStyle w:val="FirstParagraph"/>
      </w:pPr>
      <w:r>
        <w:drawing>
          <wp:inline>
            <wp:extent cx="3211103" cy="3211103"/>
            <wp:effectExtent b="0" l="0" r="0" t="0"/>
            <wp:docPr descr="" title="" id="34" name="Picture"/>
            <a:graphic>
              <a:graphicData uri="http://schemas.openxmlformats.org/drawingml/2006/picture">
                <pic:pic>
                  <pic:nvPicPr>
                    <pic:cNvPr descr="welch_ttest_files/figure-docx/unnamed-chunk-7-1.png" id="35" name="Picture"/>
                    <pic:cNvPicPr>
                      <a:picLocks noChangeArrowheads="1" noChangeAspect="1"/>
                    </pic:cNvPicPr>
                  </pic:nvPicPr>
                  <pic:blipFill>
                    <a:blip r:embed="rId33"/>
                    <a:stretch>
                      <a:fillRect/>
                    </a:stretch>
                  </pic:blipFill>
                  <pic:spPr bwMode="auto">
                    <a:xfrm>
                      <a:off x="0" y="0"/>
                      <a:ext cx="3211103" cy="3211103"/>
                    </a:xfrm>
                    <a:prstGeom prst="rect">
                      <a:avLst/>
                    </a:prstGeom>
                    <a:noFill/>
                    <a:ln w="9525">
                      <a:noFill/>
                      <a:headEnd/>
                      <a:tailEnd/>
                    </a:ln>
                  </pic:spPr>
                </pic:pic>
              </a:graphicData>
            </a:graphic>
          </wp:inline>
        </w:drawing>
      </w:r>
    </w:p>
    <w:bookmarkEnd w:id="36"/>
    <w:bookmarkStart w:id="37" w:name="shapiro-wilk-test"/>
    <w:p>
      <w:pPr>
        <w:pStyle w:val="Heading4"/>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p>
      <w:pPr>
        <w:pStyle w:val="FirstParagraph"/>
      </w:pPr>
      <w:r>
        <w:t xml:space="preserve">Another way</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p>
      <w:pPr>
        <w:pStyle w:val="FirstParagraph"/>
      </w:pPr>
      <w:r>
        <w:t xml:space="preserve">And yet another way</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p>
      <w:pPr>
        <w:pStyle w:val="FirstParagraph"/>
      </w:pPr>
      <w:r>
        <w:t xml:space="preserve">and even another</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7"/>
    <w:bookmarkEnd w:id="38"/>
    <w:bookmarkStart w:id="39" w:name="homogeneity-of-variances"/>
    <w:p>
      <w:pPr>
        <w:pStyle w:val="Heading3"/>
      </w:pPr>
      <w:r>
        <w:t xml:space="preserve">3. Homogeneity of Variances</w:t>
      </w:r>
    </w:p>
    <w:p>
      <w:pPr>
        <w:pStyle w:val="FirstParagraph"/>
      </w:pPr>
      <w:r>
        <w:t xml:space="preserve">We’ll check for homogeneity of variances using: - Visual inspection of boxplots (already done above) - 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39"/>
    <w:bookmarkEnd w:id="40"/>
    <w:bookmarkStart w:id="41"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6"/>
        </w:numPr>
      </w:pPr>
      <w:r>
        <w:rPr>
          <w:b/>
          <w:bCs/>
        </w:rPr>
        <w:t xml:space="preserve">Independence</w:t>
      </w:r>
      <w:r>
        <w:t xml:space="preserve">: We assume this is met based on the data collection process, as samples from each lake were collected independently of one another.</w:t>
      </w:r>
    </w:p>
    <w:p>
      <w:pPr>
        <w:numPr>
          <w:ilvl w:val="0"/>
          <w:numId w:val="1006"/>
        </w:numPr>
      </w:pPr>
      <w:r>
        <w:rPr>
          <w:b/>
          <w:bCs/>
        </w:rPr>
        <w:t xml:space="preserve">Normality</w:t>
      </w:r>
      <w:r>
        <w:t xml:space="preserve">:</w:t>
      </w:r>
    </w:p>
    <w:p>
      <w:pPr>
        <w:pStyle w:val="Compact"/>
        <w:numPr>
          <w:ilvl w:val="1"/>
          <w:numId w:val="1007"/>
        </w:numPr>
      </w:pPr>
      <w:r>
        <w:t xml:space="preserve">The Q-Q plots show that the data points largely follow the theoretical normal distribution line for both lakes, with some minor deviations at the extremes.</w:t>
      </w:r>
    </w:p>
    <w:p>
      <w:pPr>
        <w:pStyle w:val="Compact"/>
        <w:numPr>
          <w:ilvl w:val="1"/>
          <w:numId w:val="1007"/>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7"/>
        </w:numPr>
      </w:pPr>
      <w:r>
        <w:t xml:space="preserve">For samples larger than 30, the Central Limit Theorem suggests that the sampling distribution of means will be approximately normal regardless of the underlying distribution.</w:t>
      </w:r>
    </w:p>
    <w:p>
      <w:pPr>
        <w:numPr>
          <w:ilvl w:val="0"/>
          <w:numId w:val="1006"/>
        </w:numPr>
      </w:pPr>
      <w:r>
        <w:rPr>
          <w:b/>
          <w:bCs/>
        </w:rPr>
        <w:t xml:space="preserve">Homogeneity of Variances</w:t>
      </w:r>
      <w:r>
        <w:t xml:space="preserve">:</w:t>
      </w:r>
    </w:p>
    <w:p>
      <w:pPr>
        <w:pStyle w:val="Compact"/>
        <w:numPr>
          <w:ilvl w:val="1"/>
          <w:numId w:val="1008"/>
        </w:numPr>
      </w:pPr>
      <w:r>
        <w:t xml:space="preserve">Levene’s test evaluates whether the variances between groups are equal.</w:t>
      </w:r>
    </w:p>
    <w:p>
      <w:pPr>
        <w:pStyle w:val="Compact"/>
        <w:numPr>
          <w:ilvl w:val="1"/>
          <w:numId w:val="1008"/>
        </w:numPr>
      </w:pPr>
      <w:r>
        <w:t xml:space="preserve">A p-value greater than 0.05 indicates that we cannot reject the null hypothesis of equal variances.</w:t>
      </w:r>
    </w:p>
    <w:p>
      <w:pPr>
        <w:pStyle w:val="Compact"/>
        <w:numPr>
          <w:ilvl w:val="1"/>
          <w:numId w:val="1008"/>
        </w:numPr>
      </w:pPr>
      <w:r>
        <w:t xml:space="preserve">As a rule of thumb, if the variance ratio is less than 4:1, the t-test is reasonably robust to violations of this assumption.</w:t>
      </w:r>
    </w:p>
    <w:p>
      <w:pPr>
        <w:pStyle w:val="Compact"/>
        <w:numPr>
          <w:ilvl w:val="1"/>
          <w:numId w:val="1008"/>
        </w:numPr>
      </w:pPr>
      <w:r>
        <w:t xml:space="preserve">If this assumption is violated, we should consider using Welch’s t-test instead, which does not assume equal variances.</w:t>
      </w:r>
    </w:p>
    <w:bookmarkEnd w:id="41"/>
    <w:bookmarkEnd w:id="42"/>
    <w:bookmarkStart w:id="51" w:name="performing-welchs-t-test"/>
    <w:p>
      <w:pPr>
        <w:pStyle w:val="Heading1"/>
      </w:pPr>
      <w:r>
        <w:t xml:space="preserve">Performing Welch’s t-Test</w:t>
      </w:r>
    </w:p>
    <w:p>
      <w:pPr>
        <w:pStyle w:val="FirstParagraph"/>
      </w:pPr>
      <w:r>
        <w:t xml:space="preserve">Now that we’ve examined our assumptions, let’s perform Welch’s t-test:</w:t>
      </w:r>
    </w:p>
    <w:p>
      <w:pPr>
        <w:pStyle w:val="SourceCode"/>
      </w:pPr>
      <w:r>
        <w:rPr>
          <w:rStyle w:val="CommentTok"/>
        </w:rPr>
        <w:t xml:space="preserve"># Perform Welch's t-test (unequal variances)</w:t>
      </w:r>
      <w:r>
        <w:br/>
      </w:r>
      <w:r>
        <w:rPr>
          <w:rStyle w:val="NormalTok"/>
        </w:rPr>
        <w:t xml:space="preserve">welch_t_test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This specifies Welch's t-test</w:t>
      </w:r>
      <w:r>
        <w:br/>
      </w:r>
      <w:r>
        <w:rPr>
          <w:rStyle w:val="NormalTok"/>
        </w:rPr>
        <w:t xml:space="preserve">)</w:t>
      </w:r>
      <w:r>
        <w:br/>
      </w:r>
      <w:r>
        <w:br/>
      </w:r>
      <w:r>
        <w:rPr>
          <w:rStyle w:val="CommentTok"/>
        </w:rPr>
        <w:t xml:space="preserve"># Display the results</w:t>
      </w:r>
      <w:r>
        <w:br/>
      </w:r>
      <w:r>
        <w:rPr>
          <w:rStyle w:val="NormalTok"/>
        </w:rPr>
        <w:t xml:space="preserve">welch_t_test</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3" w:name="Xacc891ba528982cedd2a94171ad302ed7fbee19"/>
    <w:p>
      <w:pPr>
        <w:pStyle w:val="Heading2"/>
      </w:pPr>
      <w:r>
        <w:t xml:space="preserve">Line-by-Line Interpretation of Welch’s t-Test Results</w:t>
      </w:r>
    </w:p>
    <w:p>
      <w:pPr>
        <w:pStyle w:val="FirstParagraph"/>
      </w:pPr>
      <w:r>
        <w:t xml:space="preserve">Let’s break down the output from the Welch’s t-test:</w:t>
      </w:r>
    </w:p>
    <w:p>
      <w:pPr>
        <w:numPr>
          <w:ilvl w:val="0"/>
          <w:numId w:val="1009"/>
        </w:numPr>
      </w:pPr>
      <w:r>
        <w:rPr>
          <w:b/>
          <w:bCs/>
        </w:rPr>
        <w:t xml:space="preserve">Test Type</w:t>
      </w:r>
      <w:r>
        <w:t xml:space="preserve">:</w:t>
      </w:r>
      <w:r>
        <w:t xml:space="preserve"> </w:t>
      </w:r>
      <w:r>
        <w:t xml:space="preserve">“Welch Two Sample t-test”</w:t>
      </w:r>
      <w:r>
        <w:t xml:space="preserve"> </w:t>
      </w:r>
      <w:r>
        <w:t xml:space="preserve">indicates we’re using the Welch’s version of the t-test, which does not assume equal variances.</w:t>
      </w:r>
    </w:p>
    <w:p>
      <w:pPr>
        <w:numPr>
          <w:ilvl w:val="0"/>
          <w:numId w:val="1009"/>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numPr>
          <w:ilvl w:val="0"/>
          <w:numId w:val="1009"/>
        </w:numPr>
      </w:pPr>
      <w:r>
        <w:rPr>
          <w:b/>
          <w:bCs/>
        </w:rPr>
        <w:t xml:space="preserve">Data</w:t>
      </w:r>
      <w:r>
        <w:t xml:space="preserve">: Our filtered sculpin dataset.</w:t>
      </w:r>
    </w:p>
    <w:p>
      <w:pPr>
        <w:numPr>
          <w:ilvl w:val="0"/>
          <w:numId w:val="1009"/>
        </w:numPr>
      </w:pPr>
      <w:r>
        <w:rPr>
          <w:b/>
          <w:bCs/>
        </w:rPr>
        <w:t xml:space="preserve">t-value</w:t>
      </w:r>
      <w:r>
        <w:t xml:space="preserve">: The calculated t-statistic. This is the ratio of the difference between group means to the standard error of that difference.</w:t>
      </w:r>
    </w:p>
    <w:p>
      <w:pPr>
        <w:numPr>
          <w:ilvl w:val="0"/>
          <w:numId w:val="1009"/>
        </w:numPr>
      </w:pPr>
      <w:r>
        <w:rPr>
          <w:b/>
          <w:bCs/>
        </w:rPr>
        <w:t xml:space="preserve">Degrees of Freedom (df)</w:t>
      </w:r>
      <w:r>
        <w:t xml:space="preserve">: For Welch’s t-test, this is calculated using the Welch-Satterthwaite equation and is typically not a whole number. This adjustment accounts for the different variances.</w:t>
      </w:r>
    </w:p>
    <w:p>
      <w:pPr>
        <w:numPr>
          <w:ilvl w:val="0"/>
          <w:numId w:val="1009"/>
        </w:numPr>
      </w:pPr>
      <w:r>
        <w:rPr>
          <w:b/>
          <w:bCs/>
        </w:rPr>
        <w:t xml:space="preserve">p-value</w:t>
      </w:r>
      <w:r>
        <w:t xml:space="preserve">: The probability of observing a t-statistic as extreme as (or more extreme than) the one we calculated, assuming the null hypothesis is true. A p-value less than our significance level (typically 0.05) leads us to reject the null hypothesis.</w:t>
      </w:r>
    </w:p>
    <w:p>
      <w:pPr>
        <w:numPr>
          <w:ilvl w:val="0"/>
          <w:numId w:val="1009"/>
        </w:numPr>
      </w:pPr>
      <w:r>
        <w:rPr>
          <w:b/>
          <w:bCs/>
        </w:rPr>
        <w:t xml:space="preserve">Alternative Hypothesis</w:t>
      </w:r>
      <w:r>
        <w:t xml:space="preserve">: States that the difference in means is not equal to 0, which corresponds to our two-sided test.</w:t>
      </w:r>
    </w:p>
    <w:p>
      <w:pPr>
        <w:numPr>
          <w:ilvl w:val="0"/>
          <w:numId w:val="1009"/>
        </w:numPr>
      </w:pPr>
      <w:r>
        <w:rPr>
          <w:b/>
          <w:bCs/>
        </w:rPr>
        <w:t xml:space="preserve">95% Confidence Interval</w:t>
      </w:r>
      <w:r>
        <w:t xml:space="preserve">: The estimated range for the true difference in means. If this interval does not contain 0, it supports rejecting the null hypothesis.</w:t>
      </w:r>
    </w:p>
    <w:p>
      <w:pPr>
        <w:numPr>
          <w:ilvl w:val="0"/>
          <w:numId w:val="1009"/>
        </w:numPr>
      </w:pPr>
      <w:r>
        <w:rPr>
          <w:b/>
          <w:bCs/>
        </w:rPr>
        <w:t xml:space="preserve">Sample Estimates</w:t>
      </w:r>
      <w:r>
        <w:t xml:space="preserve">: The means of each group being compared.</w:t>
      </w:r>
    </w:p>
    <w:bookmarkEnd w:id="43"/>
    <w:bookmarkStart w:id="50" w:name="visual-representation-of-t-test-results"/>
    <w:p>
      <w:pPr>
        <w:pStyle w:val="Heading2"/>
      </w:pPr>
      <w:r>
        <w:t xml:space="preserve">Visual Representation of t-Test Results</w:t>
      </w:r>
    </w:p>
    <w:p>
      <w:pPr>
        <w:pStyle w:val="SourceCode"/>
      </w:pPr>
      <w:r>
        <w:rPr>
          <w:rStyle w:val="CommentTok"/>
        </w:rPr>
        <w:t xml:space="preserve"># Create a plot with the t-test results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87290" cy="4587290"/>
            <wp:effectExtent b="0" l="0" r="0" t="0"/>
            <wp:docPr descr="" title="" id="45" name="Picture"/>
            <a:graphic>
              <a:graphicData uri="http://schemas.openxmlformats.org/drawingml/2006/picture">
                <pic:pic>
                  <pic:nvPicPr>
                    <pic:cNvPr descr="welch_ttest_files/figure-docx/unnamed-chunk-13-1.png" id="46" name="Picture"/>
                    <pic:cNvPicPr>
                      <a:picLocks noChangeArrowheads="1" noChangeAspect="1"/>
                    </pic:cNvPicPr>
                  </pic:nvPicPr>
                  <pic:blipFill>
                    <a:blip r:embed="rId44"/>
                    <a:stretch>
                      <a:fillRect/>
                    </a:stretch>
                  </pic:blipFill>
                  <pic:spPr bwMode="auto">
                    <a:xfrm>
                      <a:off x="0" y="0"/>
                      <a:ext cx="4587290" cy="4587290"/>
                    </a:xfrm>
                    <a:prstGeom prst="rect">
                      <a:avLst/>
                    </a:prstGeom>
                    <a:noFill/>
                    <a:ln w="9525">
                      <a:noFill/>
                      <a:headEnd/>
                      <a:tailEnd/>
                    </a:ln>
                  </pic:spPr>
                </pic:pic>
              </a:graphicData>
            </a:graphic>
          </wp:inline>
        </w:drawing>
      </w:r>
    </w:p>
    <w:p>
      <w:pPr>
        <w:pStyle w:val="BodyText"/>
      </w:pPr>
      <w:r>
        <w:t xml:space="preserve">A mean and SE plot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11103" cy="3211103"/>
            <wp:effectExtent b="0" l="0" r="0" t="0"/>
            <wp:docPr descr="" title="" id="48" name="Picture"/>
            <a:graphic>
              <a:graphicData uri="http://schemas.openxmlformats.org/drawingml/2006/picture">
                <pic:pic>
                  <pic:nvPicPr>
                    <pic:cNvPr descr="welch_ttest_files/figure-docx/mean_se_plot-1.png" id="49" name="Picture"/>
                    <pic:cNvPicPr>
                      <a:picLocks noChangeArrowheads="1" noChangeAspect="1"/>
                    </pic:cNvPicPr>
                  </pic:nvPicPr>
                  <pic:blipFill>
                    <a:blip r:embed="rId47"/>
                    <a:stretch>
                      <a:fillRect/>
                    </a:stretch>
                  </pic:blipFill>
                  <pic:spPr bwMode="auto">
                    <a:xfrm>
                      <a:off x="0" y="0"/>
                      <a:ext cx="3211103" cy="3211103"/>
                    </a:xfrm>
                    <a:prstGeom prst="rect">
                      <a:avLst/>
                    </a:prstGeom>
                    <a:noFill/>
                    <a:ln w="9525">
                      <a:noFill/>
                      <a:headEnd/>
                      <a:tailEnd/>
                    </a:ln>
                  </pic:spPr>
                </pic:pic>
              </a:graphicData>
            </a:graphic>
          </wp:inline>
        </w:drawing>
      </w:r>
    </w:p>
    <w:p>
      <w:pPr>
        <w:pStyle w:val="BodyText"/>
      </w:pPr>
      <w:r>
        <w:t xml:space="preserve">A typical caption for the mean/SE plot would read:</w:t>
      </w:r>
    </w:p>
    <w:p>
      <w:pPr>
        <w:pStyle w:val="BodyText"/>
      </w:pPr>
      <w:r>
        <w:t xml:space="preserve">“Figure X. Total length (mean ± SE) of slimy sculpin fish from two Arctic lakes. Fish from Lake S 07 (n = 73) were significantly larger than those from Lake NE 14 (n = 37) (Welch’s t-test: t(</w:t>
      </w:r>
      <w:r>
        <w:rPr>
          <w:rStyle w:val="VerbatimChar"/>
        </w:rPr>
        <w:t xml:space="preserve">df</w:t>
      </w:r>
      <w:r>
        <w:t xml:space="preserve">) =</w:t>
      </w:r>
      <w:r>
        <w:t xml:space="preserve"> </w:t>
      </w:r>
      <w:r>
        <w:rPr>
          <w:rStyle w:val="VerbatimChar"/>
        </w:rPr>
        <w:t xml:space="preserve">t_statistic</w:t>
      </w:r>
      <w:r>
        <w:t xml:space="preserve">, p &lt; 0.001).”</w:t>
      </w:r>
    </w:p>
    <w:bookmarkEnd w:id="50"/>
    <w:bookmarkEnd w:id="51"/>
    <w:bookmarkStart w:id="55"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FunctionTok"/>
        </w:rPr>
        <w:t xml:space="preserve">print</w:t>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p>
    <w:bookmarkStart w:id="52" w:name="interpretation-of-welchs-t-test-results"/>
    <w:p>
      <w:pPr>
        <w:pStyle w:val="Heading2"/>
      </w:pPr>
      <w:r>
        <w:t xml:space="preserve">Interpretation of Welch’s t-Test Results</w:t>
      </w:r>
    </w:p>
    <w:p>
      <w:pPr>
        <w:pStyle w:val="FirstParagraph"/>
      </w:pPr>
      <w:r>
        <w:t xml:space="preserve">Based on our analysis, we can conclude:</w:t>
      </w:r>
    </w:p>
    <w:p>
      <w:pPr>
        <w:pStyle w:val="BodyText"/>
      </w:pPr>
      <w:r>
        <w:t xml:space="preserve">The total length of slimy sculpin fish differs significantly between Lake S 07 and Lake NE 14 (Welch’s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w:t>
      </w:r>
    </w:p>
    <w:p>
      <w:pPr>
        <w:pStyle w:val="BodyText"/>
      </w:pPr>
      <w:r>
        <w:t xml:space="preserve">Welch’s t-test was appropriate for this analysis because:</w:t>
      </w:r>
    </w:p>
    <w:p>
      <w:pPr>
        <w:pStyle w:val="Compact"/>
        <w:numPr>
          <w:ilvl w:val="0"/>
          <w:numId w:val="1010"/>
        </w:numPr>
      </w:pPr>
      <w:r>
        <w:t xml:space="preserve">Our data from both lakes appeared to be approximately normally distributed (as seen in the QQ plots and confirmed by the Shapiro-Wilk test).</w:t>
      </w:r>
    </w:p>
    <w:p>
      <w:pPr>
        <w:pStyle w:val="Compact"/>
        <w:numPr>
          <w:ilvl w:val="0"/>
          <w:numId w:val="1010"/>
        </w:numPr>
      </w:pPr>
      <w:r>
        <w:t xml:space="preserve">Our samples were independent, with fish collected randomly from each lake.</w:t>
      </w:r>
    </w:p>
    <w:p>
      <w:pPr>
        <w:pStyle w:val="Compact"/>
        <w:numPr>
          <w:ilvl w:val="0"/>
          <w:numId w:val="1010"/>
        </w:numPr>
      </w:pPr>
      <w:r>
        <w:t xml:space="preserve">The variances between the two groups were somewhat different (variance ratio of</w:t>
      </w:r>
      <w:r>
        <w:t xml:space="preserve"> </w:t>
      </w:r>
      <w:r>
        <w:rPr>
          <w:rStyle w:val="VerbatimChar"/>
        </w:rPr>
        <w:t xml:space="preserve">variance_ratio</w:t>
      </w:r>
      <w:r>
        <w:t xml:space="preserve">, making Welch’s t-test preferable to the standard t-test.</w:t>
      </w:r>
    </w:p>
    <w:p>
      <w:pPr>
        <w:pStyle w:val="FirstParagraph"/>
      </w:pPr>
      <w:r>
        <w:t xml:space="preserve">The significant p-value (p &lt; 0.001) indicates that the observed difference in fish length between lakes is very unlikely to have occurred by chance alone if there were truly no difference in the population means. The 95% confidence interval for the mean difference does not include zero, which further supports rejecting the null hypothesis.</w:t>
      </w:r>
    </w:p>
    <w:bookmarkEnd w:id="52"/>
    <w:bookmarkStart w:id="53"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 mm, respectively; Welch’s t-test: t(</w:t>
      </w:r>
      <w:r>
        <w:rPr>
          <w:rStyle w:val="VerbatimChar"/>
        </w:rPr>
        <w:t xml:space="preserve">df, 1</w:t>
      </w:r>
      <w:r>
        <w:t xml:space="preserve">) =</w:t>
      </w:r>
      <w:r>
        <w:t xml:space="preserve"> </w:t>
      </w:r>
      <w:r>
        <w:rPr>
          <w:rStyle w:val="VerbatimChar"/>
        </w:rPr>
        <w:t xml:space="preserve">t_statistic</w:t>
      </w:r>
      <w:r>
        <w:t xml:space="preserve">, p &lt; 0.001). This represents an approximately</w:t>
      </w:r>
      <w:r>
        <w:t xml:space="preserve"> </w:t>
      </w:r>
      <w:r>
        <w:rPr>
          <w:rStyle w:val="VerbatimChar"/>
        </w:rPr>
        <w:t xml:space="preserve">percent_diff</w:t>
      </w:r>
      <w:r>
        <w:t xml:space="preserve">% difference in total length between the two populations.”</w:t>
      </w:r>
    </w:p>
    <w:bookmarkEnd w:id="53"/>
    <w:bookmarkStart w:id="54" w:name="advantages-of-using-welchs-t-test"/>
    <w:p>
      <w:pPr>
        <w:pStyle w:val="Heading2"/>
      </w:pPr>
      <w:r>
        <w:t xml:space="preserve">Advantages of Using Welch’s t-Test</w:t>
      </w:r>
    </w:p>
    <w:p>
      <w:pPr>
        <w:pStyle w:val="FirstParagraph"/>
      </w:pPr>
      <w:r>
        <w:t xml:space="preserve">Welch’s t-test offers several advantages over the standard t-test:</w:t>
      </w:r>
    </w:p>
    <w:p>
      <w:pPr>
        <w:numPr>
          <w:ilvl w:val="0"/>
          <w:numId w:val="1011"/>
        </w:numPr>
      </w:pPr>
      <w:r>
        <w:rPr>
          <w:b/>
          <w:bCs/>
        </w:rPr>
        <w:t xml:space="preserve">Robustness to unequal variances</w:t>
      </w:r>
      <w:r>
        <w:t xml:space="preserve">: Welch’s t-test does not assume equal variances between groups, making it more appropriate for real-world data where this assumption is often violated.</w:t>
      </w:r>
    </w:p>
    <w:p>
      <w:pPr>
        <w:numPr>
          <w:ilvl w:val="0"/>
          <w:numId w:val="1011"/>
        </w:numPr>
      </w:pPr>
      <w:r>
        <w:rPr>
          <w:b/>
          <w:bCs/>
        </w:rPr>
        <w:t xml:space="preserve">Minimal loss of power</w:t>
      </w:r>
      <w:r>
        <w:t xml:space="preserve">: When variances are equal, Welch’s t-test performs nearly as well as the standard t-test.</w:t>
      </w:r>
    </w:p>
    <w:p>
      <w:pPr>
        <w:numPr>
          <w:ilvl w:val="0"/>
          <w:numId w:val="1011"/>
        </w:numPr>
      </w:pPr>
      <w:r>
        <w:rPr>
          <w:b/>
          <w:bCs/>
        </w:rPr>
        <w:t xml:space="preserve">Reduced Type I error rate</w:t>
      </w:r>
      <w:r>
        <w:t xml:space="preserve">: When variances are unequal, the standard t-test can have an inflated Type I error rate (false positives), which Welch’s t-test corrects.</w:t>
      </w:r>
    </w:p>
    <w:p>
      <w:pPr>
        <w:numPr>
          <w:ilvl w:val="0"/>
          <w:numId w:val="1011"/>
        </w:numPr>
      </w:pPr>
      <w:r>
        <w:rPr>
          <w:b/>
          <w:bCs/>
        </w:rPr>
        <w:t xml:space="preserve">Flexibility</w:t>
      </w:r>
      <w:r>
        <w:t xml:space="preserve">: It can be used regardless of whether the variances are equal or not, making it a more versatile statistical test.</w:t>
      </w:r>
    </w:p>
    <w:p>
      <w:pPr>
        <w:pStyle w:val="FirstParagraph"/>
      </w:pPr>
      <w:r>
        <w:t xml:space="preserve">For these reasons, many statisticians recommend using Welch’s t-test as the default approach for comparing means between two independent groups, even when the homogeneity of variance assumption appears to be met.</w:t>
      </w:r>
    </w:p>
    <w:bookmarkEnd w:id="54"/>
    <w:bookmarkEnd w:id="55"/>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9" Target="welch_ttest.R" TargetMode="External" /></Relationships>
</file>

<file path=word/_rels/footnotes.xml.rels><?xml version="1.0" encoding="UTF-8"?><Relationships xmlns="http://schemas.openxmlformats.org/package/2006/relationships"><Relationship Type="http://schemas.openxmlformats.org/officeDocument/2006/relationships/hyperlink" Id="rId9" Target="welch_ttes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Welch’s Two Sample T-Test</dc:title>
  <dc:creator>Bill Perry</dc:creator>
  <dc:description>Welch’s (unequal-variance) two-sample t-test in R.</dc:description>
  <cp:keywords/>
  <dcterms:created xsi:type="dcterms:W3CDTF">2026-10-26T21:15:01Z</dcterms:created>
  <dcterms:modified xsi:type="dcterms:W3CDTF">2026-10-26T21:15:01Z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3</vt:lpwstr>
  </property>
  <property fmtid="{D5CDD505-2E9C-101B-9397-08002B2CF9AE}" pid="12" name="resources">
    <vt:lpwstr/>
  </property>
  <property fmtid="{D5CDD505-2E9C-101B-9397-08002B2CF9AE}" pid="13" name="subtitle">
    <vt:lpwstr>Unequal-variance t-test</vt:lpwstr>
  </property>
  <property fmtid="{D5CDD505-2E9C-101B-9397-08002B2CF9AE}" pid="14" name="toc-title">
    <vt:lpwstr>Table of contents</vt:lpwstr>
  </property>
  <property fmtid="{D5CDD505-2E9C-101B-9397-08002B2CF9AE}" pid="15" name="week">
    <vt:lpwstr>2</vt:lpwstr>
  </property>
</Properties>
</file>