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4.png" ContentType="image/png"/>
  <Override PartName="/word/media/rId9.png" ContentType="image/png"/>
  <Override PartName="/word/media/rId127.png" ContentType="image/png"/>
  <Override PartName="/word/media/rId62.png" ContentType="image/png"/>
  <Override PartName="/word/media/rId16.png" ContentType="image/png"/>
  <Override PartName="/word/media/rId58.png" ContentType="image/png"/>
  <Override PartName="/word/media/rId113.png" ContentType="image/png"/>
  <Override PartName="/word/media/rId52.png" ContentType="image/png"/>
  <Override PartName="/word/media/rId19.png" ContentType="image/png"/>
  <Override PartName="/word/media/rId101.png" ContentType="image/png"/>
  <Override PartName="/word/media/rId72.png" ContentType="image/png"/>
  <Override PartName="/word/media/rId44.png" ContentType="image/png"/>
  <Override PartName="/word/media/rId89.png" ContentType="image/png"/>
  <Override PartName="/word/media/rId26.png" ContentType="image/png"/>
  <Override PartName="/word/media/rId39.png" ContentType="image/png"/>
  <Override PartName="/word/media/rId68.png" ContentType="image/png"/>
  <Override PartName="/word/media/rId109.png" ContentType="image/png"/>
  <Override PartName="/word/media/rId76.png" ContentType="image/png"/>
  <Override PartName="/word/media/rId80.png" ContentType="image/png"/>
  <Override PartName="/word/media/rId12.png" ContentType="image/png"/>
  <Override PartName="/word/media/rId48.png" ContentType="image/png"/>
  <Override PartName="/word/media/rId153.png" ContentType="image/png"/>
  <Override PartName="/word/media/rId105.png" ContentType="image/png"/>
  <Override PartName="/word/media/rId93.png" ContentType="image/png"/>
  <Override PartName="/word/media/rId35.png" ContentType="image/png"/>
  <Override PartName="/word/media/rId31.png" ContentType="image/png"/>
  <Override PartName="/word/media/rId119.png" ContentType="image/png"/>
  <Override PartName="/word/media/rId1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Study Design &amp; Sampling</w:t>
      </w:r>
    </w:p>
    <w:p>
      <w:pPr>
        <w:pStyle w:val="Subtitle"/>
      </w:pPr>
      <w:r>
        <w:t xml:space="preserve">Designing studies</w:t>
      </w:r>
    </w:p>
    <w:p>
      <w:pPr>
        <w:pStyle w:val="Author"/>
      </w:pPr>
      <w:r>
        <w:t xml:space="preserve">Bill Perry</w:t>
      </w:r>
    </w:p>
    <w:bookmarkStart w:id="15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Covered last time: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again, and how do you assess them?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fail:</w:t>
      </w:r>
    </w:p>
    <w:p>
      <w:pPr>
        <w:pStyle w:val="Compact"/>
        <w:numPr>
          <w:ilvl w:val="1"/>
          <w:numId w:val="1002"/>
        </w:numPr>
      </w:pPr>
      <w:r>
        <w:t xml:space="preserve">Mann-Whitney Wilcoxon rank-sum test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Compact"/>
        <w:numPr>
          <w:ilvl w:val="1"/>
          <w:numId w:val="1002"/>
        </w:numPr>
      </w:pPr>
      <w:r>
        <w:t xml:space="preserve">The paired</w:t>
      </w:r>
      <w:r>
        <w:t xml:space="preserve"> </w:t>
      </w:r>
      <w:r>
        <w:rPr>
          <w:b/>
          <w:bCs/>
        </w:rPr>
        <w:t xml:space="preserve">Wilcoxon signed-rank</w:t>
      </w:r>
      <w:r>
        <w:t xml:space="preserve"> </w:t>
      </w:r>
      <w:r>
        <w:t xml:space="preserve">test — it ranks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the paired differences and then attaches their signs, so it uses more information than a plain sign test. It is the standard non-parametric partner to the paired t-test, and we ran it on our own four trees</w:t>
      </w:r>
    </w:p>
    <w:p>
      <w:pPr>
        <w:pStyle w:val="Compact"/>
        <w:numPr>
          <w:ilvl w:val="1"/>
          <w:numId w:val="1002"/>
        </w:numPr>
      </w:pPr>
      <w:r>
        <w:t xml:space="preserve">And we saw its limit: with 4 pairs it cannot return a p-value below 0.125, no matter how large the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last lecture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good test choice can’t rescue a badly designed study. Today is about the design decisions that come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ever pick a test.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1901952"/>
            <wp:effectExtent b="0" l="0" r="0" t="0"/>
            <wp:docPr descr="Photo of a handwritten field notebook page recording site data (site ID, time, depth, GPS coordinates, substrate notes) for three sampling stations, an example of real field-study record-keeping." title="" id="13" name="Picture"/>
            <a:graphic>
              <a:graphicData uri="http://schemas.openxmlformats.org/drawingml/2006/picture">
                <pic:pic>
                  <pic:nvPicPr>
                    <pic:cNvPr descr="images/clipboard-3712542164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handwritten field notebook page recording site data (site ID, time, depth, GPS coordinates, substrate notes) for three sampling stations, an example of real field-study record-keeping.</w:t>
      </w:r>
    </w:p>
    <w:bookmarkEnd w:id="15"/>
    <w:bookmarkStart w:id="22" w:name="todays-overview"/>
    <w:p>
      <w:pPr>
        <w:pStyle w:val="Heading2"/>
      </w:pPr>
      <w:r>
        <w:t xml:space="preserve">Today’s Overview</w:t>
      </w:r>
    </w:p>
    <w:p>
      <w:pPr>
        <w:pStyle w:val="FirstParagraph"/>
      </w:pPr>
      <w:r>
        <w:t xml:space="preserve">Today we’ll cover Chapter 1 in Whitlock and Schluter: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 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CaptionedFigure"/>
      </w:pPr>
      <w:r>
        <w:drawing>
          <wp:inline>
            <wp:extent cx="2852928" cy="2584973"/>
            <wp:effectExtent b="0" l="0" r="0" t="0"/>
            <wp:docPr descr="Close-up photo of a rock surface with a circular grazed patch (dark, cleared algae in the center) surrounded by a mosaic of ungrazed, algae-covered tiles, illustrating a herbivore grazing-scar pattern from a classic stream ecology study." title="" id="17" name="Picture"/>
            <a:graphic>
              <a:graphicData uri="http://schemas.openxmlformats.org/drawingml/2006/picture">
                <pic:pic>
                  <pic:nvPicPr>
                    <pic:cNvPr descr="images/clipboard-1432414496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849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Close-up photo of a rock surface with a circular grazed patch (dark, cleared algae in the center) surrounded by a mosaic of ungrazed, algae-covered tiles, illustrating a herbivore grazing-scar pattern from a classic stream ecology study.</w:t>
      </w:r>
    </w:p>
    <w:p>
      <w:pPr>
        <w:pStyle w:val="CaptionedFigure"/>
      </w:pPr>
      <w:r>
        <w:drawing>
          <wp:inline>
            <wp:extent cx="2852928" cy="1892808"/>
            <wp:effectExtent b="0" l="0" r="0" t="0"/>
            <wp:docPr descr="Photo of an experimental array of small tiles laid on a streambed, some darker with algal growth and others lighter/grazed clean, used in Lamberti and Resh’s (1983) study of caddisfly grazing effects on periphyton." title="" id="20" name="Picture"/>
            <a:graphic>
              <a:graphicData uri="http://schemas.openxmlformats.org/drawingml/2006/picture">
                <pic:pic>
                  <pic:nvPicPr>
                    <pic:cNvPr descr="images/clipboard-1638932598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28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an experimental array of small tiles laid on a streambed, some darker with algal growth and others lighter/grazed clean, used in Lamberti and Resh’s (1983) study of caddisfly grazing effects on periphyton.</w:t>
      </w:r>
    </w:p>
    <w:p>
      <w:pPr>
        <w:pStyle w:val="BodyText"/>
      </w:pPr>
      <w:r>
        <w:t xml:space="preserve">Lamberti and Resh 1983</w:t>
      </w:r>
    </w:p>
    <w:bookmarkEnd w:id="22"/>
    <w:bookmarkStart w:id="23" w:name="part-1-study-design-fundamentals"/>
    <w:p>
      <w:pPr>
        <w:pStyle w:val="Heading2"/>
      </w:pPr>
      <w:r>
        <w:t xml:space="preserve">Part 1 · Study Design Fundamentals</w:t>
      </w:r>
    </w:p>
    <w:bookmarkEnd w:id="23"/>
    <w:bookmarkStart w:id="29" w:name="study-design-fundamentals"/>
    <w:p>
      <w:pPr>
        <w:pStyle w:val="Heading2"/>
      </w:pPr>
      <w:r>
        <w:t xml:space="preserve">Study Design Fundamentals</w:t>
      </w:r>
    </w:p>
    <w:p>
      <w:pPr>
        <w:pStyle w:val="Compact"/>
        <w:numPr>
          <w:ilvl w:val="0"/>
          <w:numId w:val="1004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Statistics cannot save a poorly designed study!</w:t>
      </w:r>
    </w:p>
    <w:p>
      <w:pPr>
        <w:pStyle w:val="Compact"/>
        <w:numPr>
          <w:ilvl w:val="0"/>
          <w:numId w:val="1004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5"/>
        </w:numPr>
      </w:pPr>
      <w:r>
        <w:t xml:space="preserve">Spatial/temporal patterns in variable Y? — what are the problems with this data?</w:t>
      </w:r>
    </w:p>
    <w:p>
      <w:pPr>
        <w:pStyle w:val="Compact"/>
        <w:numPr>
          <w:ilvl w:val="0"/>
          <w:numId w:val="1005"/>
        </w:numPr>
      </w:pPr>
      <w:r>
        <w:t xml:space="preserve">Effect of factor X on variable Y? — what should you be worried about, and how do you fix it?</w:t>
      </w:r>
    </w:p>
    <w:p>
      <w:pPr>
        <w:pStyle w:val="Compact"/>
        <w:numPr>
          <w:ilvl w:val="0"/>
          <w:numId w:val="1005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5"/>
        </w:numPr>
      </w:pPr>
      <w:r>
        <w:t xml:space="preserve">What is the best estimate of parameter θ?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6 — Designing Successful Field Studies.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267712"/>
            <wp:effectExtent b="0" l="0" r="0" t="0"/>
            <wp:docPr descr="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" title="" id="27" name="Picture"/>
            <a:graphic>
              <a:graphicData uri="http://schemas.openxmlformats.org/drawingml/2006/picture">
                <pic:pic>
                  <pic:nvPicPr>
                    <pic:cNvPr descr="images/clipboard-2300334690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677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Published figure comparing a visited tidepool beach (people wading among the rocks) to a restricted no-access beach, each with bar charts of invertebrate density by species and pie charts showing 78.2% of boulders disturbed at the visited beach versus only 1.8% at the restricted beach.</w:t>
      </w:r>
    </w:p>
    <w:p>
      <w:pPr>
        <w:pStyle w:val="BodyText"/>
      </w:pPr>
      <w:r>
        <w:t xml:space="preserve">What sort of experiment is this design, and what are the issues with it?</w:t>
      </w:r>
    </w:p>
    <w:bookmarkEnd w:id="29"/>
    <w:bookmarkStart w:id="30" w:name="part-2-causality-in-ecology"/>
    <w:p>
      <w:pPr>
        <w:pStyle w:val="Heading2"/>
      </w:pPr>
      <w:r>
        <w:t xml:space="preserve">Part 2 · Causality in Ecology</w:t>
      </w:r>
    </w:p>
    <w:bookmarkEnd w:id="30"/>
    <w:bookmarkStart w:id="34" w:name="causality-in-ecology-introduction"/>
    <w:p>
      <w:pPr>
        <w:pStyle w:val="Heading2"/>
      </w:pPr>
      <w:r>
        <w:t xml:space="preserve">Causality in Ecology — Introduction</w:t>
      </w:r>
    </w:p>
    <w:p>
      <w:pPr>
        <w:pStyle w:val="Compact"/>
        <w:numPr>
          <w:ilvl w:val="0"/>
          <w:numId w:val="1006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6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6"/>
        </w:numPr>
      </w:pPr>
      <w:r>
        <w:t xml:space="preserve">Strength of causal inference varies with study design!</w:t>
      </w:r>
    </w:p>
    <w:p>
      <w:pPr>
        <w:pStyle w:val="Compact"/>
        <w:numPr>
          <w:ilvl w:val="0"/>
          <w:numId w:val="1006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3648456"/>
            <wp:effectExtent b="0" l="0" r="0" t="0"/>
            <wp:docPr descr="Diagram of three study-design types (observational field study, covariate-controlled field study, randomized controlled experiment) stacked with a downward gradient arrow labeled ‘weak’ at top to ‘strong’ at bottom, showing the strength of causal inference increasing from observational studies to randomized experiments." title="" id="32" name="Picture"/>
            <a:graphic>
              <a:graphicData uri="http://schemas.openxmlformats.org/drawingml/2006/picture">
                <pic:pic>
                  <pic:nvPicPr>
                    <pic:cNvPr descr="images/clipboard-98193846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648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three study-design types (observational field study, covariate-controlled field study, randomized controlled experiment) stacked with a downward gradient arrow labeled</w:t>
      </w:r>
      <w:r>
        <w:t xml:space="preserve"> </w:t>
      </w:r>
      <w:r>
        <w:t xml:space="preserve">‘weak’</w:t>
      </w:r>
      <w:r>
        <w:t xml:space="preserve"> </w:t>
      </w:r>
      <w:r>
        <w:t xml:space="preserve">at top to</w:t>
      </w:r>
      <w:r>
        <w:t xml:space="preserve"> </w:t>
      </w:r>
      <w:r>
        <w:t xml:space="preserve">‘strong’</w:t>
      </w:r>
      <w:r>
        <w:t xml:space="preserve"> </w:t>
      </w:r>
      <w:r>
        <w:t xml:space="preserve">at bottom, showing the strength of causal inference increasing from observational studies to randomized experiments.</w:t>
      </w:r>
    </w:p>
    <w:bookmarkEnd w:id="34"/>
    <w:bookmarkStart w:id="38" w:name="causality-in-ecology-framework"/>
    <w:p>
      <w:pPr>
        <w:pStyle w:val="Heading2"/>
      </w:pPr>
      <w:r>
        <w:t xml:space="preserve">Causality in Ecology — Framework</w:t>
      </w:r>
    </w:p>
    <w:p>
      <w:pPr>
        <w:pStyle w:val="Compact"/>
        <w:numPr>
          <w:ilvl w:val="0"/>
          <w:numId w:val="1007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7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7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7"/>
        </w:numPr>
      </w:pPr>
      <w:r>
        <w:t xml:space="preserve">Key factor: control of confounding variables, non-independence, and correlated variables</w:t>
      </w:r>
    </w:p>
    <w:p>
      <w:pPr>
        <w:pStyle w:val="CaptionedFigure"/>
      </w:pPr>
      <w:r>
        <w:drawing>
          <wp:inline>
            <wp:extent cx="2852928" cy="2359152"/>
            <wp:effectExtent b="0" l="0" r="0" t="0"/>
            <wp:docPr descr="Humorous meme of a dog looking out a window with text joking that its barking is the reason the mail carrier always leaves unharmed (‘I have the power of barking to thank for that’), a lighthearted example of mistaking correlation/coincidence for causation." title="" id="36" name="Picture"/>
            <a:graphic>
              <a:graphicData uri="http://schemas.openxmlformats.org/drawingml/2006/picture">
                <pic:pic>
                  <pic:nvPicPr>
                    <pic:cNvPr descr="images/clipboard-7335229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59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Humorous meme of a dog looking out a window with text joking that its barking is the reason the mail carrier always leaves unharmed (</w:t>
      </w:r>
      <w:r>
        <w:t xml:space="preserve">‘I have the power of barking to thank for that’</w:t>
      </w:r>
      <w:r>
        <w:t xml:space="preserve">), a lighthearted example of mistaking correlation/coincidence for causation.</w:t>
      </w:r>
    </w:p>
    <w:bookmarkEnd w:id="38"/>
    <w:bookmarkStart w:id="42" w:name="causality-example"/>
    <w:p>
      <w:pPr>
        <w:pStyle w:val="Heading2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Compact"/>
        <w:numPr>
          <w:ilvl w:val="0"/>
          <w:numId w:val="1008"/>
        </w:numPr>
      </w:pPr>
      <w:r>
        <w:t xml:space="preserve">What type of experiment is this?</w:t>
      </w:r>
    </w:p>
    <w:p>
      <w:pPr>
        <w:pStyle w:val="Compact"/>
        <w:numPr>
          <w:ilvl w:val="0"/>
          <w:numId w:val="1008"/>
        </w:numPr>
      </w:pPr>
      <w:r>
        <w:t xml:space="preserve">What are the potential problems with testing this hypothesis?</w:t>
      </w:r>
    </w:p>
    <w:p>
      <w:pPr>
        <w:pStyle w:val="CaptionedFigure"/>
      </w:pPr>
      <w:r>
        <w:drawing>
          <wp:inline>
            <wp:extent cx="2432304" cy="4169664"/>
            <wp:effectExtent b="0" l="0" r="0" t="0"/>
            <wp:docPr descr="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" title="" id="40" name="Picture"/>
            <a:graphic>
              <a:graphicData uri="http://schemas.openxmlformats.org/drawingml/2006/picture">
                <pic:pic>
                  <pic:nvPicPr>
                    <pic:cNvPr descr="images/clipboard-260157568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304" cy="41696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Three-part figure: (A) a scatterplot of spider density versus lizard density showing no relationship (null hypothesis), (B) a scatterplot showing spider density declining as lizard density increases (alternative hypothesis), and a photo below of a lizard eating a spider, illustrating a proposed predation mechanism.</w:t>
      </w:r>
    </w:p>
    <w:bookmarkEnd w:id="42"/>
    <w:bookmarkStart w:id="43" w:name="X41c80a43e4d3d03e7218137225d24afb0025d60"/>
    <w:p>
      <w:pPr>
        <w:pStyle w:val="Heading2"/>
      </w:pPr>
      <w:r>
        <w:t xml:space="preserve">Part 3 · Natural vs. Manipulative Experiments</w:t>
      </w:r>
    </w:p>
    <w:bookmarkEnd w:id="43"/>
    <w:bookmarkStart w:id="47" w:name="natural-experiments"/>
    <w:p>
      <w:pPr>
        <w:pStyle w:val="Heading2"/>
      </w:pPr>
      <w:r>
        <w:t xml:space="preserve">Natural Experiments</w:t>
      </w:r>
    </w:p>
    <w:p>
      <w:pPr>
        <w:pStyle w:val="Compact"/>
        <w:numPr>
          <w:ilvl w:val="0"/>
          <w:numId w:val="1009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09"/>
        </w:numPr>
      </w:pPr>
      <w:r>
        <w:t xml:space="preserve">Utilizes natural variation in the predictor variable</w:t>
      </w:r>
    </w:p>
    <w:p>
      <w:pPr>
        <w:pStyle w:val="Compact"/>
        <w:numPr>
          <w:ilvl w:val="0"/>
          <w:numId w:val="1009"/>
        </w:numPr>
      </w:pPr>
      <w:r>
        <w:t xml:space="preserve">E.g., survey plots across a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0"/>
        </w:numPr>
      </w:pPr>
      <w:r>
        <w:t xml:space="preserve">Cannot determine the direction of the cause ↔ effect relationship</w:t>
      </w:r>
    </w:p>
    <w:p>
      <w:pPr>
        <w:pStyle w:val="Compact"/>
        <w:numPr>
          <w:ilvl w:val="0"/>
          <w:numId w:val="1010"/>
        </w:numPr>
      </w:pPr>
      <w:r>
        <w:t xml:space="preserve">Uncontrolled variables may affect results</w:t>
      </w:r>
    </w:p>
    <w:p>
      <w:pPr>
        <w:pStyle w:val="CaptionedFigure"/>
      </w:pPr>
      <w:r>
        <w:drawing>
          <wp:inline>
            <wp:extent cx="2852928" cy="2532888"/>
            <wp:effectExtent b="0" l="0" r="0" t="0"/>
            <wp:docPr descr="Scatterplot of spider density against lizard density across survey plots, showing a clear negative relationship, an example of a natural experiment using existing variation rather than manipulation." title="" id="45" name="Picture"/>
            <a:graphic>
              <a:graphicData uri="http://schemas.openxmlformats.org/drawingml/2006/picture">
                <pic:pic>
                  <pic:nvPicPr>
                    <pic:cNvPr descr="images/clipboard-194557558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32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Scatterplot of spider density against lizard density across survey plots, showing a clear negative relationship, an example of a natural experiment using existing variation rather than manipulation.</w:t>
      </w:r>
    </w:p>
    <w:bookmarkEnd w:id="47"/>
    <w:bookmarkStart w:id="51" w:name="strengthening-natural-experiments"/>
    <w:p>
      <w:pPr>
        <w:pStyle w:val="Heading2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experiments.</w:t>
      </w:r>
    </w:p>
    <w:p>
      <w:pPr>
        <w:pStyle w:val="Compact"/>
        <w:numPr>
          <w:ilvl w:val="0"/>
          <w:numId w:val="1011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1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1"/>
        </w:numPr>
      </w:pPr>
      <w:r>
        <w:t xml:space="preserve">Identify and measure potential confounding variables</w:t>
      </w:r>
    </w:p>
    <w:p>
      <w:pPr>
        <w:pStyle w:val="CaptionedFigure"/>
      </w:pPr>
      <w:r>
        <w:drawing>
          <wp:inline>
            <wp:extent cx="2852928" cy="3867912"/>
            <wp:effectExtent b="0" l="0" r="0" t="0"/>
            <wp:docPr descr="Two causal diagrams: a ‘confounder’ diagram where Moisture has arrows pointing to both Lizard density and Spider density (a third variable driving both), and a ‘mediator’ diagram where Moisture points to Lizard density which in turn points to Spider density (an indirect causal chain)." title="" id="49" name="Picture"/>
            <a:graphic>
              <a:graphicData uri="http://schemas.openxmlformats.org/drawingml/2006/picture">
                <pic:pic>
                  <pic:nvPicPr>
                    <pic:cNvPr descr="images/clipboard-3939861261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8679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causal diagrams: a</w:t>
      </w:r>
      <w:r>
        <w:t xml:space="preserve"> </w:t>
      </w:r>
      <w:r>
        <w:t xml:space="preserve">‘confounder’</w:t>
      </w:r>
      <w:r>
        <w:t xml:space="preserve"> </w:t>
      </w:r>
      <w:r>
        <w:t xml:space="preserve">diagram where Moisture has arrows pointing to both Lizard density and Spider density (a third variable driving both), and a</w:t>
      </w:r>
      <w:r>
        <w:t xml:space="preserve"> </w:t>
      </w:r>
      <w:r>
        <w:t xml:space="preserve">‘mediator’</w:t>
      </w:r>
      <w:r>
        <w:t xml:space="preserve"> </w:t>
      </w:r>
      <w:r>
        <w:t xml:space="preserve">diagram where Moisture points to Lizard density which in turn points to Spider density (an indirect causal chain).</w:t>
      </w:r>
    </w:p>
    <w:bookmarkEnd w:id="51"/>
    <w:bookmarkStart w:id="56" w:name="manipulative-experiments"/>
    <w:p>
      <w:pPr>
        <w:pStyle w:val="Heading2"/>
      </w:pPr>
      <w:r>
        <w:t xml:space="preserve">Manipulative Experiments</w:t>
      </w:r>
    </w:p>
    <w:p>
      <w:pPr>
        <w:pStyle w:val="FirstParagraph"/>
      </w:pPr>
      <w:r>
        <w:t xml:space="preserve">The experimenter directly manipulates the predictor variable and measures the response.</w:t>
      </w:r>
    </w:p>
    <w:p>
      <w:pPr>
        <w:pStyle w:val="BodyText"/>
      </w:pPr>
      <w:r>
        <w:t xml:space="preserve">Randomized, controlled trials: the gold standard.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2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a scale-replication trade-off</w:t>
      </w:r>
    </w:p>
    <w:p>
      <w:pPr>
        <w:pStyle w:val="Compact"/>
        <w:numPr>
          <w:ilvl w:val="0"/>
          <w:numId w:val="1012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2"/>
        </w:numPr>
      </w:pPr>
      <w:r>
        <w:t xml:space="preserve">Often limited to a small number of treatments; a treatment-replication trade-off</w:t>
      </w:r>
    </w:p>
    <w:p>
      <w:pPr>
        <w:pStyle w:val="Compact"/>
        <w:numPr>
          <w:ilvl w:val="0"/>
          <w:numId w:val="1012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 variables!</w:t>
      </w:r>
    </w:p>
    <w:p>
      <w:pPr>
        <w:pStyle w:val="CaptionedFigure"/>
      </w:pPr>
      <w:r>
        <w:drawing>
          <wp:inline>
            <wp:extent cx="2852928" cy="2633472"/>
            <wp:effectExtent b="0" l="0" r="0" t="0"/>
            <wp:docPr descr="Aerial photo of a large grid of manipulated experimental field plots surrounded by forest, part of the Cedar Creek Ecosystem Science Reserve’s long-term biodiversity experiments." title="" id="53" name="Picture"/>
            <a:graphic>
              <a:graphicData uri="http://schemas.openxmlformats.org/drawingml/2006/picture">
                <pic:pic>
                  <pic:nvPicPr>
                    <pic:cNvPr descr="images/clipboard-1608622199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633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 large grid of manipulated experimental field plots surrounded by forest, part of the Cedar Creek Ecosystem Science Reserve’s long-term biodiversity experiments.</w:t>
      </w:r>
    </w:p>
    <w:p>
      <w:pPr>
        <w:pStyle w:val="BodyText"/>
      </w:pPr>
      <w:hyperlink r:id="rId55">
        <w:r>
          <w:rPr>
            <w:rStyle w:val="Hyperlink"/>
          </w:rPr>
          <w:t xml:space="preserve">Cedar Creek Ecosystem Science Reserve</w:t>
        </w:r>
      </w:hyperlink>
    </w:p>
    <w:bookmarkEnd w:id="56"/>
    <w:bookmarkStart w:id="57" w:name="part-4-experimental-design-principles"/>
    <w:p>
      <w:pPr>
        <w:pStyle w:val="Heading2"/>
      </w:pPr>
      <w:r>
        <w:t xml:space="preserve">Part 4 · Experimental Design Principles</w:t>
      </w:r>
    </w:p>
    <w:bookmarkEnd w:id="57"/>
    <w:bookmarkStart w:id="61" w:name="experimental-design-principles"/>
    <w:p>
      <w:pPr>
        <w:pStyle w:val="Heading2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 variables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Is the result due to X,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4"/>
        </w:numPr>
      </w:pPr>
      <w:r>
        <w:t xml:space="preserve">Replication</w:t>
      </w:r>
    </w:p>
    <w:p>
      <w:pPr>
        <w:pStyle w:val="Compact"/>
        <w:numPr>
          <w:ilvl w:val="0"/>
          <w:numId w:val="1014"/>
        </w:numPr>
      </w:pPr>
      <w:r>
        <w:t xml:space="preserve">Randomization</w:t>
      </w:r>
    </w:p>
    <w:p>
      <w:pPr>
        <w:pStyle w:val="Compact"/>
        <w:numPr>
          <w:ilvl w:val="0"/>
          <w:numId w:val="1014"/>
        </w:numPr>
      </w:pPr>
      <w:r>
        <w:t xml:space="preserve">Controls</w:t>
      </w:r>
    </w:p>
    <w:p>
      <w:pPr>
        <w:pStyle w:val="Compact"/>
        <w:numPr>
          <w:ilvl w:val="0"/>
          <w:numId w:val="1014"/>
        </w:numPr>
      </w:pPr>
      <w:r>
        <w:t xml:space="preserve">Independence</w:t>
      </w:r>
    </w:p>
    <w:p>
      <w:pPr>
        <w:pStyle w:val="CaptionedFigure"/>
      </w:pPr>
      <w:r>
        <w:drawing>
          <wp:inline>
            <wp:extent cx="2852928" cy="1901952"/>
            <wp:effectExtent b="0" l="0" r="0" t="0"/>
            <wp:docPr descr="Diagram of a confounding variable Z with arrows pointing to both X and Y, illustrating that a third variable can drive an apparent relationship between the two variables of interest." title="" id="59" name="Picture"/>
            <a:graphic>
              <a:graphicData uri="http://schemas.openxmlformats.org/drawingml/2006/picture">
                <pic:pic>
                  <pic:nvPicPr>
                    <pic:cNvPr descr="images/clipboard-1454702014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19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confounding variable Z with arrows pointing to both X and Y, illustrating that a third variable can drive an apparent relationship between the two variables of interest.</w:t>
      </w:r>
    </w:p>
    <w:bookmarkEnd w:id="61"/>
    <w:bookmarkStart w:id="67" w:name="replication"/>
    <w:p>
      <w:pPr>
        <w:pStyle w:val="Heading2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5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5"/>
        </w:numPr>
      </w:pPr>
      <w:r>
        <w:t xml:space="preserve">Many statistical methods need an estimate of that variability</w:t>
      </w:r>
    </w:p>
    <w:p>
      <w:pPr>
        <w:pStyle w:val="FirstParagraph"/>
      </w:pPr>
      <w:r>
        <w:t xml:space="preserve">Without appropriate replication: is the difference due to the manipulation, or something else?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Replication must be on the appropriate scale — match the scale of replication to the population of interest, or you’ll run into</w:t>
            </w:r>
            <w:r>
              <w:t xml:space="preserve"> </w:t>
            </w:r>
            <w:r>
              <w:rPr>
                <w:b/>
                <w:bCs/>
              </w:rPr>
              <w:t xml:space="preserve">pseudoreplication</w:t>
            </w:r>
            <w:r>
              <w:t xml:space="preserve"> </w:t>
            </w:r>
            <w:r>
              <w:t xml:space="preserve">(Hurlbert 1984,</w:t>
            </w:r>
            <w:r>
              <w:t xml:space="preserve"> </w:t>
            </w:r>
            <w:r>
              <w:rPr>
                <w:i/>
                <w:iCs/>
              </w:rPr>
              <w:t xml:space="preserve">Pseudoreplication and the Design of Ecological Field Experiments</w:t>
            </w:r>
            <w:r>
              <w:t xml:space="preserve">).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514600"/>
            <wp:effectExtent b="0" l="0" r="0" t="0"/>
            <wp:docPr descr="The same tile-array photo repeated, shown here as an example of replicated experimental units on a streambed." title="" id="65" name="Picture"/>
            <a:graphic>
              <a:graphicData uri="http://schemas.openxmlformats.org/drawingml/2006/picture">
                <pic:pic>
                  <pic:nvPicPr>
                    <pic:cNvPr descr="images/clipboard-1638932598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tile-array photo repeated, shown here as an example of replicated experimental units on a streambed.</w:t>
      </w:r>
    </w:p>
    <w:bookmarkEnd w:id="67"/>
    <w:bookmarkStart w:id="71" w:name="replication-examples"/>
    <w:p>
      <w:pPr>
        <w:pStyle w:val="Heading2"/>
      </w:pPr>
      <w:r>
        <w:t xml:space="preserve">Replication Examples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 — 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forest. What hypothesis is this design addressing?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 — 2 aquaria (+Cu, control), 5 settling plates in each. Are settling plates replicates?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 — 10 water samples above discharge, 10 below. Are samples replicates?</w:t>
      </w:r>
    </w:p>
    <w:p>
      <w:pPr>
        <w:pStyle w:val="CaptionedFigure"/>
      </w:pPr>
      <w:r>
        <w:drawing>
          <wp:inline>
            <wp:extent cx="2852928" cy="3379196"/>
            <wp:effectExtent b="0" l="0" r="0" t="0"/>
            <wp:docPr descr="Map showing the burned area of the ‘Camp House Fire’ as an orange shape near Brimson, Minnesota, with roads and nearby towns labeled, illustrating a real forest-fire footprint for the burnt-versus-unburnt forest replication example." title="" id="69" name="Picture"/>
            <a:graphic>
              <a:graphicData uri="http://schemas.openxmlformats.org/drawingml/2006/picture">
                <pic:pic>
                  <pic:nvPicPr>
                    <pic:cNvPr descr="images/clipboard-3427337242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3791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Map showing the burned area of the</w:t>
      </w:r>
      <w:r>
        <w:t xml:space="preserve"> </w:t>
      </w:r>
      <w:r>
        <w:t xml:space="preserve">‘Camp House Fire’</w:t>
      </w:r>
      <w:r>
        <w:t xml:space="preserve"> </w:t>
      </w:r>
      <w:r>
        <w:t xml:space="preserve">as an orange shape near Brimson, Minnesota, with roads and nearby towns labeled, illustrating a real forest-fire footprint for the burnt-versus-unburnt forest replication example.</w:t>
      </w:r>
    </w:p>
    <w:bookmarkEnd w:id="71"/>
    <w:bookmarkStart w:id="75" w:name="consequences-of-pseudoreplication"/>
    <w:p>
      <w:pPr>
        <w:pStyle w:val="Heading2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17"/>
        </w:numPr>
      </w:pPr>
      <w:r>
        <w:t xml:space="preserve">Underestimate variability</w:t>
      </w:r>
    </w:p>
    <w:p>
      <w:pPr>
        <w:pStyle w:val="Compact"/>
        <w:numPr>
          <w:ilvl w:val="0"/>
          <w:numId w:val="1017"/>
        </w:numPr>
      </w:pPr>
      <w:r>
        <w:t xml:space="preserve">Increase the Type I error rate</w:t>
      </w:r>
    </w:p>
    <w:p>
      <w:pPr>
        <w:pStyle w:val="FirstParagraph"/>
      </w:pPr>
      <w:r>
        <w:t xml:space="preserve">Replicates must be on a scale appropriate to the population (and hypothesis!) of interest:</w:t>
      </w:r>
    </w:p>
    <w:p>
      <w:pPr>
        <w:pStyle w:val="Compact"/>
        <w:numPr>
          <w:ilvl w:val="0"/>
          <w:numId w:val="1018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18"/>
        </w:numPr>
      </w:pPr>
      <w:r>
        <w:t xml:space="preserve">Different aquaria</w:t>
      </w:r>
    </w:p>
    <w:p>
      <w:pPr>
        <w:pStyle w:val="Compact"/>
        <w:numPr>
          <w:ilvl w:val="0"/>
          <w:numId w:val="1018"/>
        </w:numPr>
      </w:pPr>
      <w:r>
        <w:t xml:space="preserve">Different plants and streams</w:t>
      </w:r>
    </w:p>
    <w:p>
      <w:pPr>
        <w:pStyle w:val="CaptionedFigure"/>
      </w:pPr>
      <w:r>
        <w:drawing>
          <wp:inline>
            <wp:extent cx="2852928" cy="1891083"/>
            <wp:effectExtent b="0" l="0" r="0" t="0"/>
            <wp:docPr descr="Diagram of an aquarium tank containing a fish, a shelter labeled (a), prey items labeled (b), and a barrier or structure labeled (c), used to illustrate the barnacle/copper-aquaria pseudoreplication example where settling plates within the same tank are not true replicates." title="" id="73" name="Picture"/>
            <a:graphic>
              <a:graphicData uri="http://schemas.openxmlformats.org/drawingml/2006/picture">
                <pic:pic>
                  <pic:nvPicPr>
                    <pic:cNvPr descr="images/clipboard-1877860945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8910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an aquarium tank containing a fish, a shelter labeled (a), prey items labeled (b), and a barrier or structure labeled (c), used to illustrate the barnacle/copper-aquaria pseudoreplication example where settling plates within the same tank are not true replicates.</w:t>
      </w:r>
    </w:p>
    <w:bookmarkEnd w:id="75"/>
    <w:bookmarkStart w:id="79" w:name="when-replication-is-difficult"/>
    <w:p>
      <w:pPr>
        <w:pStyle w:val="Heading2"/>
      </w:pPr>
      <w:r>
        <w:t xml:space="preserve">When Replication Is Difficult</w:t>
      </w:r>
    </w:p>
    <w:p>
      <w:pPr>
        <w:pStyle w:val="FirstParagraph"/>
      </w:pPr>
      <w:r>
        <w:rPr>
          <w:b/>
          <w:bCs/>
        </w:rPr>
        <w:t xml:space="preserve">What if replication is impossible, difficult, or 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 — 4 chambers (5, 10, 15, 20°C), 10 beakers in each. Are beakers true replicates?</w:t>
      </w:r>
    </w:p>
    <w:p>
      <w:pPr>
        <w:pStyle w:val="BodyText"/>
      </w:pPr>
      <w:r>
        <w:rPr>
          <w:b/>
          <w:bCs/>
        </w:rPr>
        <w:t xml:space="preserve">Possible solutions:</w:t>
      </w:r>
    </w:p>
    <w:p>
      <w:pPr>
        <w:pStyle w:val="Compact"/>
        <w:numPr>
          <w:ilvl w:val="0"/>
          <w:numId w:val="1019"/>
        </w:numPr>
      </w:pPr>
      <w:r>
        <w:t xml:space="preserve">Rerun the experiment a few times, changing the temperature of chambers — block by time</w:t>
      </w:r>
    </w:p>
    <w:p>
      <w:pPr>
        <w:pStyle w:val="Compact"/>
        <w:numPr>
          <w:ilvl w:val="0"/>
          <w:numId w:val="1019"/>
        </w:numPr>
      </w:pPr>
      <w:r>
        <w:t xml:space="preserve">Try to account for all possible differences between chambers (light levels, humidity, contamination) — block by chamber</w:t>
      </w:r>
    </w:p>
    <w:p>
      <w:pPr>
        <w:pStyle w:val="CaptionedFigure"/>
      </w:pPr>
      <w:r>
        <w:drawing>
          <wp:inline>
            <wp:extent cx="2852928" cy="1900050"/>
            <wp:effectExtent b="0" l="0" r="0" t="0"/>
            <wp:docPr descr="Aerial photo of an outdoor research facility with about 20 large circular tanks (mesocosms) arranged in a grid on gravel, plus additional smaller tanks in the background, illustrating replicated temperature-controlled growth chambers." title="" id="77" name="Picture"/>
            <a:graphic>
              <a:graphicData uri="http://schemas.openxmlformats.org/drawingml/2006/picture">
                <pic:pic>
                  <pic:nvPicPr>
                    <pic:cNvPr descr="images/clipboard-3600266009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19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Aerial photo of an outdoor research facility with about 20 large circular tanks (mesocosms) arranged in a grid on gravel, plus additional smaller tanks in the background, illustrating replicated temperature-controlled growth chambers.</w:t>
      </w:r>
    </w:p>
    <w:bookmarkEnd w:id="79"/>
    <w:bookmarkStart w:id="83" w:name="controls-or-reference"/>
    <w:p>
      <w:pPr>
        <w:pStyle w:val="Heading2"/>
      </w:pPr>
      <w:r>
        <w:t xml:space="preserve">Controls or Reference?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the response due to the manipulation/hypothesized mechanism, or an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20"/>
        </w:numPr>
      </w:pPr>
      <w:r>
        <w:t xml:space="preserve">Experimental units treated exactly as the manipulated units, except for the manipulation under investigation</w:t>
      </w:r>
    </w:p>
    <w:p>
      <w:pPr>
        <w:pStyle w:val="Compact"/>
        <w:numPr>
          <w:ilvl w:val="0"/>
          <w:numId w:val="102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21"/>
        </w:numPr>
      </w:pPr>
      <w:r>
        <w:t xml:space="preserve">In toxicology, controls and treatment groups must both be injected, but the control does not receive the substance under study</w:t>
      </w:r>
    </w:p>
    <w:p>
      <w:pPr>
        <w:pStyle w:val="Compact"/>
        <w:numPr>
          <w:ilvl w:val="0"/>
          <w:numId w:val="102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  <w:r>
        <w:t xml:space="preserve"> </w:t>
      </w:r>
      <w:r>
        <w:t xml:space="preserve">— you 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CaptionedFigure"/>
      </w:pPr>
      <w:r>
        <w:drawing>
          <wp:inline>
            <wp:extent cx="2852928" cy="2066543"/>
            <wp:effectExtent b="0" l="0" r="0" t="0"/>
            <wp:docPr descr="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" title="" id="81" name="Picture"/>
            <a:graphic>
              <a:graphicData uri="http://schemas.openxmlformats.org/drawingml/2006/picture">
                <pic:pic>
                  <pic:nvPicPr>
                    <pic:cNvPr descr="images/clipboard-3685049769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665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Three underwater photos on a coral reef: (a) a PVC-pipe apparatus with bait attached near the coral, and (b)-(c) a mesh cage/exclosure structure being lowered over the setup, illustrating a predator-exclusion control used to separate manipulation effects from confounds like cage artifacts.</w:t>
      </w:r>
    </w:p>
    <w:bookmarkEnd w:id="83"/>
    <w:bookmarkStart w:id="86" w:name="activity-designing-controls"/>
    <w:p>
      <w:pPr>
        <w:pStyle w:val="Heading2"/>
      </w:pPr>
      <w:r>
        <w:t xml:space="preserve">Activity: Designing Controls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designing controls for pine experiments</w:t>
            </w:r>
          </w:p>
          <w:p>
            <w:pPr>
              <w:pStyle w:val="BodyText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pine needle density affects water retention during drought, using enclosed branches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Testing whether sunlight exposure affects pine seedling growth,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  <w:p/>
        </w:tc>
      </w:tr>
    </w:tbl>
    <w:bookmarkEnd w:id="86"/>
    <w:bookmarkStart w:id="92" w:name="independence"/>
    <w:p>
      <w:pPr>
        <w:pStyle w:val="Heading2"/>
      </w:pPr>
      <w:r>
        <w:t xml:space="preserve">Independence</w:t>
      </w:r>
    </w:p>
    <w:p>
      <w:pPr>
        <w:pStyle w:val="FirstParagraph"/>
      </w:pPr>
      <w:r>
        <w:t xml:space="preserve">Independence of observations is an assumption of many statistical methods. Events are independent if the occurrence of one has no effect on the occurrence of another.</w:t>
      </w:r>
    </w:p>
    <w:p>
      <w:pPr>
        <w:pStyle w:val="Compact"/>
        <w:numPr>
          <w:ilvl w:val="0"/>
          <w:numId w:val="102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a violation of independence.</w:t>
      </w:r>
    </w:p>
    <w:p>
      <w:pPr>
        <w:pStyle w:val="Compact"/>
        <w:numPr>
          <w:ilvl w:val="0"/>
          <w:numId w:val="1025"/>
        </w:numPr>
      </w:pPr>
      <w:r>
        <w:t xml:space="preserve">Values of variables at a certain place/time are correlated with values at another place/time</w:t>
      </w:r>
    </w:p>
    <w:p>
      <w:pPr>
        <w:pStyle w:val="Compact"/>
        <w:numPr>
          <w:ilvl w:val="0"/>
          <w:numId w:val="102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25"/>
        </w:numPr>
      </w:pPr>
      <w:r>
        <w:t xml:space="preserve">Special methods exist to adjust for autocorrelation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Our own design, in these terms</w:t>
            </w:r>
          </w:p>
          <w:p>
            <w:pPr>
              <w:pStyle w:val="BodyText"/>
            </w:pPr>
            <w:r>
              <w:t xml:space="preserve">Eight needles from one branch are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independent — they share a tree, a microclimate, a genotype. Two sides of the same tree</w:t>
            </w:r>
            <w:r>
              <w:t xml:space="preserve"> </w:t>
            </w:r>
            <w:r>
              <w:rPr>
                <w:b/>
                <w:bCs/>
              </w:rPr>
              <w:t xml:space="preserve">are</w:t>
            </w:r>
            <w:r>
              <w:t xml:space="preserve"> </w:t>
            </w:r>
            <w:r>
              <w:t xml:space="preserve">dependent on each other too, but deliberately so: that is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design, and pairing turns a violation of independence into an advantage.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Non-independence you ignore costs you. Non-independence you plan for pays you.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3758184"/>
            <wp:effectExtent b="0" l="0" r="0" t="0"/>
            <wp:docPr descr="Photo of a mother rat nursing a litter of newborn pups, illustrating the independence example: offspring from one mother are not independent replicates of each other." title="" id="90" name="Picture"/>
            <a:graphic>
              <a:graphicData uri="http://schemas.openxmlformats.org/drawingml/2006/picture">
                <pic:pic>
                  <pic:nvPicPr>
                    <pic:cNvPr descr="images/clipboard-1994036977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375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of a mother rat nursing a litter of newborn pups, illustrating the independence example: offspring from one mother are not independent replicates of each other.</w:t>
      </w:r>
    </w:p>
    <w:bookmarkEnd w:id="92"/>
    <w:bookmarkStart w:id="96" w:name="randomization"/>
    <w:p>
      <w:pPr>
        <w:pStyle w:val="Heading2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 — it attempts to equalize the effects of confounders.</w:t>
      </w:r>
    </w:p>
    <w:p>
      <w:pPr>
        <w:pStyle w:val="BodyText"/>
      </w:pPr>
      <w:r>
        <w:rPr>
          <w:b/>
          <w:bCs/>
        </w:rPr>
        <w:t xml:space="preserve">Random sampling from a population:</w:t>
      </w:r>
    </w:p>
    <w:p>
      <w:pPr>
        <w:pStyle w:val="Compact"/>
        <w:numPr>
          <w:ilvl w:val="0"/>
          <w:numId w:val="1026"/>
        </w:numPr>
      </w:pPr>
      <w:r>
        <w:t xml:space="preserve">Experimental units should represent a random sample from the population of interest</w:t>
      </w:r>
    </w:p>
    <w:p>
      <w:pPr>
        <w:pStyle w:val="Compact"/>
        <w:numPr>
          <w:ilvl w:val="0"/>
          <w:numId w:val="1026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6"/>
        </w:numPr>
      </w:pPr>
      <w:r>
        <w:t xml:space="preserve">E.g., animals in an experiment are a random subset of all animals that could have been used</w:t>
      </w:r>
    </w:p>
    <w:p>
      <w:pPr>
        <w:pStyle w:val="CaptionedFigure"/>
      </w:pPr>
      <w:r>
        <w:drawing>
          <wp:inline>
            <wp:extent cx="2852928" cy="2011680"/>
            <wp:effectExtent b="0" l="0" r="0" t="0"/>
            <wp:docPr descr="Diagram of a shoreline (land at bottom, water at top) with shaded squares labeled E (experimental) and unshaded squares labeled C (control) interspersed randomly across the plots, illustrating random assignment of units to treatment and control." title="" id="94" name="Picture"/>
            <a:graphic>
              <a:graphicData uri="http://schemas.openxmlformats.org/drawingml/2006/picture">
                <pic:pic>
                  <pic:nvPicPr>
                    <pic:cNvPr descr="images/clipboard-425378447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11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shoreline (land at bottom, water at top) with shaded squares labeled E (experimental) and unshaded squares labeled C (control) interspersed randomly across the plots, illustrating random assignment of units to treatment and control.</w:t>
      </w:r>
    </w:p>
    <w:bookmarkEnd w:id="96"/>
    <w:bookmarkStart w:id="97" w:name="randomization-in-practice"/>
    <w:p>
      <w:pPr>
        <w:pStyle w:val="Heading2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7"/>
        </w:numPr>
      </w:pPr>
      <w:r>
        <w:t xml:space="preserve">Experimental units must have an equal chance of being allocated to control or experimental group</w:t>
      </w:r>
    </w:p>
    <w:p>
      <w:pPr>
        <w:pStyle w:val="Compact"/>
        <w:numPr>
          <w:ilvl w:val="0"/>
          <w:numId w:val="1027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8"/>
        </w:numPr>
      </w:pPr>
      <w:r>
        <w:t xml:space="preserve">Random selection from the population</w:t>
      </w:r>
    </w:p>
    <w:p>
      <w:pPr>
        <w:pStyle w:val="Compact"/>
        <w:numPr>
          <w:ilvl w:val="0"/>
          <w:numId w:val="1028"/>
        </w:numPr>
      </w:pPr>
      <w:r>
        <w:t xml:space="preserve">Random assignment to treatments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7"/>
    <w:bookmarkStart w:id="98" w:name="part-5-sampling-design-in-field-studies"/>
    <w:p>
      <w:pPr>
        <w:pStyle w:val="Heading2"/>
      </w:pPr>
      <w:r>
        <w:t xml:space="preserve">Part 5 · Sampling Design in Field Studies</w:t>
      </w:r>
    </w:p>
    <w:bookmarkEnd w:id="98"/>
    <w:bookmarkStart w:id="104" w:name="sampling-design-simple-random"/>
    <w:p>
      <w:pPr>
        <w:pStyle w:val="Heading2"/>
      </w:pPr>
      <w:r>
        <w:t xml:space="preserve">Sampling Design —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29"/>
        </w:numPr>
      </w:pPr>
      <w:r>
        <w:t xml:space="preserve">All individuals/sampling units have an equal chance of being selected</w:t>
      </w:r>
    </w:p>
    <w:p>
      <w:pPr>
        <w:pStyle w:val="Compact"/>
        <w:numPr>
          <w:ilvl w:val="0"/>
          <w:numId w:val="1029"/>
        </w:numPr>
      </w:pPr>
      <w:r>
        <w:t xml:space="preserve">Assign a number to all possible units, select units using a random number generator</w:t>
      </w:r>
    </w:p>
    <w:p>
      <w:pPr>
        <w:pStyle w:val="Compact"/>
        <w:numPr>
          <w:ilvl w:val="0"/>
          <w:numId w:val="1029"/>
        </w:numPr>
      </w:pPr>
      <w:r>
        <w:t xml:space="preserve">Often tricky in ecology; haphazard sampling is a common (imperfect) alternative</w:t>
      </w:r>
    </w:p>
    <w:p>
      <w:pPr>
        <w:pStyle w:val="Compact"/>
        <w:numPr>
          <w:ilvl w:val="0"/>
          <w:numId w:val="1029"/>
        </w:numPr>
      </w:pPr>
      <w:r>
        <w:t xml:space="preserve">Most population estimates and tests assume random sampling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Gotelli &amp; Ellison, Ch. 7 — A Bestiary of Experimental and Sampling Designs, covers all four sampling designs on this and the following three slides.</w:t>
            </w:r>
          </w:p>
          <w:p/>
        </w:tc>
      </w:tr>
    </w:tbl>
    <w:p>
      <w:pPr>
        <w:pStyle w:val="CaptionedFigure"/>
      </w:pPr>
      <w:r>
        <w:drawing>
          <wp:inline>
            <wp:extent cx="2852928" cy="2039112"/>
            <wp:effectExtent b="0" l="0" r="0" t="0"/>
            <wp:docPr descr="Diagram of a blue lake with black squares scattered haphazardly throughout the water, illustrating simple random sampling where every point has an equal chance of being sampled." title="" id="102" name="Picture"/>
            <a:graphic>
              <a:graphicData uri="http://schemas.openxmlformats.org/drawingml/2006/picture">
                <pic:pic>
                  <pic:nvPicPr>
                    <pic:cNvPr descr="images/clipboard-1715765919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039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blue lake with black squares scattered haphazardly throughout the water, illustrating simple random sampling where every point has an equal chance of being sampled.</w:t>
      </w:r>
    </w:p>
    <w:bookmarkEnd w:id="104"/>
    <w:bookmarkStart w:id="108" w:name="sampling-design-stratified"/>
    <w:p>
      <w:pPr>
        <w:pStyle w:val="Heading2"/>
      </w:pPr>
      <w:r>
        <w:t xml:space="preserve">Sampling Design —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the population, you may want to sample each independently.</w:t>
      </w:r>
    </w:p>
    <w:p>
      <w:pPr>
        <w:pStyle w:val="Compact"/>
        <w:numPr>
          <w:ilvl w:val="0"/>
          <w:numId w:val="1030"/>
        </w:numPr>
      </w:pPr>
      <w:r>
        <w:t xml:space="preserve">Samples collected from each stratum randomly, n proportional to the</w:t>
      </w:r>
      <w:r>
        <w:t xml:space="preserve"> </w:t>
      </w:r>
      <w:r>
        <w:t xml:space="preserve">“size”</w:t>
      </w:r>
      <w:r>
        <w:t xml:space="preserve"> </w:t>
      </w:r>
      <w:r>
        <w:t xml:space="preserve">of the stratum</w:t>
      </w:r>
    </w:p>
    <w:p>
      <w:pPr>
        <w:pStyle w:val="Compact"/>
        <w:numPr>
          <w:ilvl w:val="0"/>
          <w:numId w:val="1030"/>
        </w:numPr>
      </w:pPr>
      <w:r>
        <w:t xml:space="preserve">Means and variances need to be estimated using a different procedure; strata are included in the model</w:t>
      </w:r>
    </w:p>
    <w:p>
      <w:pPr>
        <w:pStyle w:val="CaptionedFigure"/>
      </w:pPr>
      <w:r>
        <w:drawing>
          <wp:inline>
            <wp:extent cx="2852928" cy="2286000"/>
            <wp:effectExtent b="0" l="0" r="0" t="0"/>
            <wp:docPr descr="Diagram of a lake divided into three concentric depth strata (shallow green, mid-depth light blue, deep dark blue), with sample points scattered within each stratum, illustrating stratified random sampling." title="" id="106" name="Picture"/>
            <a:graphic>
              <a:graphicData uri="http://schemas.openxmlformats.org/drawingml/2006/picture">
                <pic:pic>
                  <pic:nvPicPr>
                    <pic:cNvPr descr="images/clipboard-4229571822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divided into three concentric depth strata (shallow green, mid-depth light blue, deep dark blue), with sample points scattered within each stratum, illustrating stratified random sampling.</w:t>
      </w:r>
    </w:p>
    <w:bookmarkEnd w:id="108"/>
    <w:bookmarkStart w:id="112" w:name="sampling-design-cluster"/>
    <w:p>
      <w:pPr>
        <w:pStyle w:val="Heading2"/>
      </w:pPr>
      <w:r>
        <w:t xml:space="preserve">Sampling Design —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pStyle w:val="Compact"/>
        <w:numPr>
          <w:ilvl w:val="0"/>
          <w:numId w:val="1031"/>
        </w:numPr>
      </w:pPr>
      <w:r>
        <w:t xml:space="preserve">Focus on sampling subunits nested in larger units</w:t>
      </w:r>
    </w:p>
    <w:p>
      <w:pPr>
        <w:pStyle w:val="Compact"/>
        <w:numPr>
          <w:ilvl w:val="0"/>
          <w:numId w:val="1031"/>
        </w:numPr>
      </w:pPr>
      <w:r>
        <w:t xml:space="preserve">Used when other designs are impractical (e.g., due to cost)</w:t>
      </w:r>
    </w:p>
    <w:p>
      <w:pPr>
        <w:pStyle w:val="Compact"/>
        <w:numPr>
          <w:ilvl w:val="0"/>
          <w:numId w:val="1031"/>
        </w:numPr>
      </w:pPr>
      <w:r>
        <w:t xml:space="preserve">Mean calculation is easy; variance needs a modified procedure</w:t>
      </w:r>
    </w:p>
    <w:p>
      <w:pPr>
        <w:pStyle w:val="Compact"/>
        <w:numPr>
          <w:ilvl w:val="0"/>
          <w:numId w:val="1031"/>
        </w:numPr>
      </w:pPr>
      <w:r>
        <w:t xml:space="preserve">Nested ANOVA is often the appropriate analytical method</w:t>
      </w:r>
    </w:p>
    <w:p>
      <w:pPr>
        <w:pStyle w:val="CaptionedFigure"/>
      </w:pPr>
      <w:r>
        <w:drawing>
          <wp:inline>
            <wp:extent cx="2852928" cy="2377440"/>
            <wp:effectExtent b="0" l="0" r="0" t="0"/>
            <wp:docPr descr="Diagram of a lake with four red circles marking clusters, each containing three sample points, positioned around the shoreline, illustrating cluster sampling where whole groups near a location are sampled together." title="" id="110" name="Picture"/>
            <a:graphic>
              <a:graphicData uri="http://schemas.openxmlformats.org/drawingml/2006/picture">
                <pic:pic>
                  <pic:nvPicPr>
                    <pic:cNvPr descr="images/clipboard-3497374488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3774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four red circles marking clusters, each containing three sample points, positioned around the shoreline, illustrating cluster sampling where whole groups near a location are sampled together.</w:t>
      </w:r>
    </w:p>
    <w:bookmarkEnd w:id="112"/>
    <w:bookmarkStart w:id="116" w:name="sampling-design-systematic"/>
    <w:p>
      <w:pPr>
        <w:pStyle w:val="Heading2"/>
      </w:pPr>
      <w:r>
        <w:t xml:space="preserve">Sampling Design —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2"/>
        </w:numPr>
      </w:pPr>
      <w:r>
        <w:t xml:space="preserve">Sampling units evenly dispersed —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is common in ecology</w:t>
      </w:r>
    </w:p>
    <w:p>
      <w:pPr>
        <w:pStyle w:val="Compact"/>
        <w:numPr>
          <w:ilvl w:val="0"/>
          <w:numId w:val="1032"/>
        </w:numPr>
      </w:pPr>
      <w:r>
        <w:t xml:space="preserve">Used to determine changes along a gradient</w:t>
      </w:r>
    </w:p>
    <w:p>
      <w:pPr>
        <w:pStyle w:val="Compact"/>
        <w:numPr>
          <w:ilvl w:val="0"/>
          <w:numId w:val="1032"/>
        </w:numPr>
      </w:pPr>
      <w:r>
        <w:t xml:space="preserve">Risk: might coincide with some natural pattern</w:t>
      </w:r>
    </w:p>
    <w:p>
      <w:pPr>
        <w:pStyle w:val="CaptionedFigure"/>
      </w:pPr>
      <w:r>
        <w:drawing>
          <wp:inline>
            <wp:extent cx="2852928" cy="2139696"/>
            <wp:effectExtent b="0" l="0" r="0" t="0"/>
            <wp:docPr descr="Diagram of a lake with sample points evenly spaced in a grid-like pattern across the water, illustrating systematic sampling along a regular interval rather than at random locations." title="" id="114" name="Picture"/>
            <a:graphic>
              <a:graphicData uri="http://schemas.openxmlformats.org/drawingml/2006/picture">
                <pic:pic>
                  <pic:nvPicPr>
                    <pic:cNvPr descr="images/clipboard-1509791440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21396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 of a lake with sample points evenly spaced in a grid-like pattern across the water, illustrating systematic sampling along a regular interval rather than at random locations.</w:t>
      </w:r>
    </w:p>
    <w:bookmarkEnd w:id="116"/>
    <w:bookmarkStart w:id="122" w:name="activity-field-sampling-pine-trees"/>
    <w:p>
      <w:pPr>
        <w:pStyle w:val="Heading2"/>
      </w:pPr>
      <w:r>
        <w:t xml:space="preserve">Activity: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field sampling pine trees</w:t>
            </w:r>
          </w:p>
          <w:p>
            <w:pPr>
              <w:pStyle w:val="BodyText"/>
            </w:pPr>
            <w:r>
              <w:t xml:space="preserve">Let’s consider sampling pine needles across campus:</w:t>
            </w:r>
          </w:p>
          <w:p>
            <w:pPr>
              <w:pStyle w:val="BodyText"/>
            </w:pPr>
            <w:r>
              <w:drawing>
                <wp:inline>
                  <wp:extent cx="3119357" cy="3119357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19357" cy="31193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t xml:space="preserve">In groups of 3–4, design a sampling strategy to: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What additional variables you might measure</w:t>
            </w:r>
          </w:p>
          <w:p/>
        </w:tc>
      </w:tr>
    </w:tbl>
    <w:bookmarkEnd w:id="122"/>
    <w:bookmarkStart w:id="123" w:name="part-6-power-analysis"/>
    <w:p>
      <w:pPr>
        <w:pStyle w:val="Heading2"/>
      </w:pPr>
      <w:r>
        <w:t xml:space="preserve">Part 6 · Power Analysis</w:t>
      </w:r>
    </w:p>
    <w:bookmarkEnd w:id="123"/>
    <w:bookmarkStart w:id="126" w:name="power-analysis-wrap-up"/>
    <w:p>
      <w:pPr>
        <w:pStyle w:val="Heading2"/>
      </w:pPr>
      <w:r>
        <w:t xml:space="preserve">Power Analysis Wrap-Up</w:t>
      </w:r>
    </w:p>
    <w:p>
      <w:pPr>
        <w:pStyle w:val="Compact"/>
        <w:numPr>
          <w:ilvl w:val="0"/>
          <w:numId w:val="1035"/>
        </w:numPr>
      </w:pPr>
      <w:r>
        <w:t xml:space="preserve">Power is an important aspect of experimental design:</w:t>
      </w:r>
    </w:p>
    <w:p>
      <w:pPr>
        <w:pStyle w:val="Compact"/>
        <w:numPr>
          <w:ilvl w:val="1"/>
          <w:numId w:val="1036"/>
        </w:numPr>
      </w:pPr>
      <w:r>
        <w:t xml:space="preserve">Low power → higher likelihood of Type II error (1 − β)</w:t>
      </w:r>
    </w:p>
    <w:p>
      <w:pPr>
        <w:pStyle w:val="Compact"/>
        <w:numPr>
          <w:ilvl w:val="1"/>
          <w:numId w:val="1036"/>
        </w:numPr>
      </w:pPr>
      <w:r>
        <w:t xml:space="preserve">A study’s power tells us how likely we are to see an effect if one really exists</w:t>
      </w:r>
    </w:p>
    <w:p>
      <w:pPr>
        <w:pStyle w:val="Compact"/>
        <w:numPr>
          <w:ilvl w:val="0"/>
          <w:numId w:val="1035"/>
        </w:numPr>
      </w:pPr>
      <w:r>
        <w:t xml:space="preserve">Power analysis can be used:</w:t>
      </w:r>
    </w:p>
    <w:p>
      <w:pPr>
        <w:pStyle w:val="Compact"/>
        <w:numPr>
          <w:ilvl w:val="1"/>
          <w:numId w:val="1037"/>
        </w:numPr>
      </w:pPr>
      <w:r>
        <w:t xml:space="preserve">Before the experiment (</w:t>
      </w:r>
      <w:r>
        <w:rPr>
          <w:i/>
          <w:iCs/>
        </w:rPr>
        <w:t xml:space="preserve">a priori</w:t>
      </w:r>
      <w:r>
        <w:t xml:space="preserve">): how many samples do we need? What effect size can we detect?</w:t>
      </w:r>
    </w:p>
    <w:p>
      <w:pPr>
        <w:pStyle w:val="Compact"/>
        <w:numPr>
          <w:ilvl w:val="1"/>
          <w:numId w:val="1037"/>
        </w:numPr>
      </w:pPr>
      <w:r>
        <w:t xml:space="preserve">After the experiment (</w:t>
      </w:r>
      <w:r>
        <w:rPr>
          <w:i/>
          <w:iCs/>
        </w:rPr>
        <w:t xml:space="preserve">post hoc</w:t>
      </w:r>
      <w:r>
        <w:t xml:space="preserve">): was a finding of no effect due to a lack of true effect, or poor design?</w:t>
      </w:r>
    </w:p>
    <w:p>
      <w:pPr>
        <w:pStyle w:val="Compact"/>
        <w:numPr>
          <w:ilvl w:val="0"/>
          <w:numId w:val="1035"/>
        </w:numPr>
      </w:pPr>
      <w:r>
        <w:t xml:space="preserve">Power is a function of: effect size (ES), sample size (n), standard deviation (σ), and α (typically 0.05)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rPr>
                  <m:sty m:val="p"/>
                </m:rPr>
                <m:t>⋅</m:t>
              </m:r>
              <m:r>
                <m:t>α</m:t>
              </m:r>
              <m:r>
                <m:rPr>
                  <m:sty m:val="p"/>
                </m:rPr>
                <m:t>⋅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14 — Designing Experiments, covers planning the sample size needed for a study.</w:t>
            </w:r>
          </w:p>
          <w:p/>
        </w:tc>
      </w:tr>
    </w:tbl>
    <w:bookmarkEnd w:id="126"/>
    <w:bookmarkStart w:id="130" w:name="a-priori-power-analysis"/>
    <w:p>
      <w:pPr>
        <w:pStyle w:val="Heading2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 Need to know: desired power, variability, significance level, effect size.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a particular design? Need to know: desired power, variability, significance level, n.</w:t>
      </w:r>
    </w:p>
    <w:p>
      <w:pPr>
        <w:pStyle w:val="FirstParagraph"/>
      </w:pPr>
      <w:r>
        <w:rPr>
          <w:b/>
          <w:bCs/>
        </w:rPr>
        <w:t xml:space="preserve">Cohen’s d</w:t>
      </w:r>
      <w:r>
        <w:t xml:space="preserve"> </w:t>
      </w:r>
      <w:r>
        <w:t xml:space="preserve">— a standardized measure of effect size, particularly for comparing two means:</w:t>
      </w:r>
    </w:p>
    <w:p>
      <w:pPr>
        <w:pStyle w:val="Compact"/>
        <w:numPr>
          <w:ilvl w:val="0"/>
          <w:numId w:val="1039"/>
        </w:numPr>
      </w:pPr>
      <w:r>
        <w:t xml:space="preserve">0.2 = small effect, 0.5 = medium effect, 0.8 = large effect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Why standardize?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Cohen’s d helps determine the</w:t>
            </w:r>
            <w:r>
              <w:t xml:space="preserve"> </w:t>
            </w:r>
            <w:r>
              <w:rPr>
                <w:i/>
                <w:iCs/>
              </w:rPr>
              <w:t xml:space="preserve">practical</w:t>
            </w:r>
            <w:r>
              <w:t xml:space="preserve"> </w:t>
            </w:r>
            <w:r>
              <w:t xml:space="preserve">significance of a finding, as opposed to just statistical significance (p-values). A Cohen’s d of 0.8 means the groups differ by 0.8 standard deviations — large enough to be substantial in practical terms.</w:t>
            </w:r>
          </w:p>
          <w:p/>
        </w:tc>
      </w:tr>
    </w:tbl>
    <w:bookmarkEnd w:id="130"/>
    <w:bookmarkStart w:id="133" w:name="a-priori-power-analysis-example"/>
    <w:p>
      <w:pPr>
        <w:pStyle w:val="Heading2"/>
      </w:pPr>
      <w:r>
        <w:t xml:space="preserve">A Priori Power Analysis — Example</w:t>
      </w:r>
    </w:p>
    <w:p>
      <w:pPr>
        <w:pStyle w:val="FirstParagraph"/>
      </w:pPr>
      <w:r>
        <w:t xml:space="preserve">How many samples do you need to find this difference?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solves for whichever argument you leave out — here,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. Leave out a different argument (e.g.,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) and it solves for that instead.</w:t>
            </w:r>
          </w:p>
          <w:p/>
        </w:tc>
      </w:tr>
    </w:tbl>
    <w:bookmarkEnd w:id="133"/>
    <w:bookmarkStart w:id="137" w:name="post-hoc-power-analysis"/>
    <w:p>
      <w:pPr>
        <w:pStyle w:val="Heading2"/>
      </w:pPr>
      <w:r>
        <w:t xml:space="preserve">Post Hoc Power Analysis</w:t>
      </w:r>
    </w:p>
    <w:p>
      <w:pPr>
        <w:pStyle w:val="Compact"/>
        <w:numPr>
          <w:ilvl w:val="0"/>
          <w:numId w:val="1040"/>
        </w:numPr>
      </w:pPr>
      <w:r>
        <w:t xml:space="preserve">Imagine you did not reject the null hypothesis — is the result still worth publishing?</w:t>
      </w:r>
    </w:p>
    <w:p>
      <w:pPr>
        <w:pStyle w:val="Compact"/>
        <w:numPr>
          <w:ilvl w:val="0"/>
          <w:numId w:val="1040"/>
        </w:numPr>
      </w:pPr>
      <w:r>
        <w:t xml:space="preserve">Is a non-significant result due to low power (poor design), or an actual no-effect situation?</w:t>
      </w:r>
    </w:p>
    <w:p>
      <w:pPr>
        <w:pStyle w:val="Compact"/>
        <w:numPr>
          <w:ilvl w:val="1"/>
          <w:numId w:val="1041"/>
        </w:numPr>
      </w:pPr>
      <w:r>
        <w:t xml:space="preserve">You have n and an estimate of σ</w:t>
      </w:r>
    </w:p>
    <w:p>
      <w:pPr>
        <w:pStyle w:val="Compact"/>
        <w:numPr>
          <w:ilvl w:val="1"/>
          <w:numId w:val="1041"/>
        </w:numPr>
      </w:pPr>
      <w:r>
        <w:t xml:space="preserve">You need to define the effect size you wanted to detect</w:t>
      </w:r>
    </w:p>
    <w:p>
      <w:pPr>
        <w:pStyle w:val="Compact"/>
        <w:numPr>
          <w:ilvl w:val="1"/>
          <w:numId w:val="1041"/>
        </w:numPr>
      </w:pPr>
      <w:r>
        <w:t xml:space="preserve">In return, you get an estimate of the experiment’s power</w:t>
      </w:r>
    </w:p>
    <w:p>
      <w:pPr>
        <w:pStyle w:val="Compact"/>
        <w:numPr>
          <w:ilvl w:val="0"/>
          <w:numId w:val="1040"/>
        </w:numPr>
      </w:pPr>
      <w:r>
        <w:t xml:space="preserve">Cohen’s d is calculated as: d = (Mean1 − Mean2) / SD_pooled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There are two things called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“post hoc power”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— one is useful, one is circular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Legitimate:</w:t>
            </w:r>
            <w:r>
              <w:t xml:space="preserve"> </w:t>
            </w:r>
            <w:r>
              <w:t xml:space="preserve">“Given our n and σ, what power did we have to detect a difference</w:t>
            </w:r>
            <w:r>
              <w:t xml:space="preserve"> </w:t>
            </w:r>
            <w:r>
              <w:rPr>
                <w:i/>
                <w:iCs/>
              </w:rPr>
              <w:t xml:space="preserve">we decided in advance</w:t>
            </w:r>
            <w:r>
              <w:t xml:space="preserve"> </w:t>
            </w:r>
            <w:r>
              <w:t xml:space="preserve">was biologically meaningful?”</w:t>
            </w:r>
            <w:r>
              <w:t xml:space="preserve"> </w:t>
            </w:r>
            <w:r>
              <w:t xml:space="preserve">That is a real answer about your design, and it is what the bullets on the left describe.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Invalid:</w:t>
            </w:r>
            <w:r>
              <w:t xml:space="preserve"> </w:t>
            </w:r>
            <w:r>
              <w:t xml:space="preserve">computing power from the effect size you</w:t>
            </w:r>
            <w:r>
              <w:t xml:space="preserve"> </w:t>
            </w:r>
            <w:r>
              <w:rPr>
                <w:i/>
                <w:iCs/>
              </w:rPr>
              <w:t xml:space="preserve">observed</w:t>
            </w:r>
            <w:r>
              <w:t xml:space="preserve">. Observed power is a direct mathematical re-expression of your p-value — a non-significant result</w:t>
            </w:r>
            <w:r>
              <w:t xml:space="preserve"> </w:t>
            </w:r>
            <w:r>
              <w:rPr>
                <w:i/>
                <w:iCs/>
              </w:rPr>
              <w:t xml:space="preserve">always</w:t>
            </w:r>
            <w:r>
              <w:t xml:space="preserve"> </w:t>
            </w:r>
            <w:r>
              <w:t xml:space="preserve">yields low observed power. Saying</w:t>
            </w:r>
            <w:r>
              <w:t xml:space="preserve"> </w:t>
            </w:r>
            <w:r>
              <w:t xml:space="preserve">“our result was non-significant and our power was low”</w:t>
            </w:r>
            <w:r>
              <w:t xml:space="preserve"> </w:t>
            </w:r>
            <w:r>
              <w:t xml:space="preserve">says the same thing twice, and is not evidence that there is no effect.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you want to argue for no effect, use an</w:t>
            </w:r>
            <w:r>
              <w:t xml:space="preserve"> </w:t>
            </w:r>
            <w:r>
              <w:rPr>
                <w:b/>
                <w:bCs/>
              </w:rPr>
              <w:t xml:space="preserve">equivalence test</w:t>
            </w:r>
            <w:r>
              <w:t xml:space="preserve"> </w:t>
            </w:r>
            <w:r>
              <w:t xml:space="preserve">or report a confidence interval that excludes any meaningful difference.</w:t>
            </w:r>
          </w:p>
          <w:p/>
        </w:tc>
      </w:tr>
    </w:tbl>
    <w:bookmarkEnd w:id="137"/>
    <w:bookmarkStart w:id="140" w:name="post-hoc-power-analysis-example"/>
    <w:p>
      <w:pPr>
        <w:pStyle w:val="Heading2"/>
      </w:pPr>
      <w:r>
        <w:t xml:space="preserve">Post Hoc Power Analysis —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function as</w:t>
            </w:r>
            <w:r>
              <w:t xml:space="preserve"> </w:t>
            </w:r>
            <w:r>
              <w:rPr>
                <w:i/>
                <w:iCs/>
              </w:rPr>
              <w:t xml:space="preserve">a priori</w:t>
            </w:r>
            <w:r>
              <w:t xml:space="preserve"> </w:t>
            </w:r>
            <w:r>
              <w:t xml:space="preserve">power analysis —</w:t>
            </w:r>
            <w:r>
              <w:t xml:space="preserve"> </w:t>
            </w:r>
            <w:r>
              <w:rPr>
                <w:rStyle w:val="VerbatimChar"/>
              </w:rPr>
              <w:t xml:space="preserve">pwr.t.test()</w:t>
            </w:r>
            <w:r>
              <w:t xml:space="preserve"> </w:t>
            </w:r>
            <w:r>
              <w:t xml:space="preserve">— just with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supplied and</w:t>
            </w:r>
            <w:r>
              <w:t xml:space="preserve"> </w:t>
            </w:r>
            <w:r>
              <w:rPr>
                <w:rStyle w:val="VerbatimChar"/>
              </w:rPr>
              <w:t xml:space="preserve">power</w:t>
            </w:r>
            <w:r>
              <w:t xml:space="preserve"> </w:t>
            </w:r>
            <w:r>
              <w:t xml:space="preserve">left out to solve for instead.</w:t>
            </w:r>
          </w:p>
          <w:p/>
        </w:tc>
      </w:tr>
    </w:tbl>
    <w:bookmarkEnd w:id="140"/>
    <w:bookmarkStart w:id="145" w:name="Xa14beb22f1ace3f8f9442ccb6d1835a09feed43"/>
    <w:p>
      <w:pPr>
        <w:pStyle w:val="Heading2"/>
      </w:pPr>
      <w:r>
        <w:t xml:space="preserve">Activity: Power Analysis for a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We already have pilot data — our own.</w:t>
            </w:r>
            <w:r>
              <w:t xml:space="preserve"> </w:t>
            </w:r>
            <w:r>
              <w:t xml:space="preserve">Four trees, both sides of each, from Week 1. That is exactly what a pilot study is</w:t>
            </w:r>
            <w:r>
              <w:t xml:space="preserve"> </w:t>
            </w:r>
            <w:r>
              <w:rPr>
                <w:i/>
                <w:iCs/>
              </w:rPr>
              <w:t xml:space="preserve">for</w:t>
            </w:r>
            <w:r>
              <w:t xml:space="preserve">: it does not settle the question, it tells you how big the real study has to be.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Estimates from OUR four trees (see the Power lecture)</w:t>
            </w:r>
            <w:r>
              <w:br/>
            </w:r>
            <w:r>
              <w:rPr>
                <w:rStyle w:val="NormalTok"/>
              </w:rPr>
              <w:t xml:space="preserve">shady_mean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14.12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sunny_mean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15.21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1.81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(shady_mean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sunny_mean)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            </w:t>
            </w:r>
            <w:r>
              <w:rPr>
                <w:rStyle w:val="CommentTok"/>
              </w:rPr>
              <w:t xml:space="preserve"># Cohen's d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[1] 0.6022099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How many trees per side would a proper study need?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br/>
            </w:r>
            <w:r>
              <w:rPr>
                <w:rStyle w:val="VerbatimChar"/>
              </w:rPr>
              <w:t xml:space="preserve">     Two-sample t test power calculation 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              n = 44.26649</w:t>
            </w:r>
            <w:r>
              <w:br/>
            </w:r>
            <w:r>
              <w:rPr>
                <w:rStyle w:val="VerbatimChar"/>
              </w:rPr>
              <w:t xml:space="preserve">              d = 0.6022099</w:t>
            </w:r>
            <w:r>
              <w:br/>
            </w:r>
            <w:r>
              <w:rPr>
                <w:rStyle w:val="VerbatimChar"/>
              </w:rPr>
              <w:t xml:space="preserve">      sig.level = 0.05</w:t>
            </w:r>
            <w:r>
              <w:br/>
            </w:r>
            <w:r>
              <w:rPr>
                <w:rStyle w:val="VerbatimChar"/>
              </w:rPr>
              <w:t xml:space="preserve">          power = 0.8</w:t>
            </w:r>
            <w:r>
              <w:br/>
            </w:r>
            <w:r>
              <w:rPr>
                <w:rStyle w:val="VerbatimChar"/>
              </w:rPr>
              <w:t xml:space="preserve">    alternative = two.sided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NOTE: n is number in *each* group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Now re-run it as a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design (</w:t>
            </w:r>
            <w:r>
              <w:rPr>
                <w:rStyle w:val="VerbatimChar"/>
              </w:rPr>
              <w:t xml:space="preserve">type = "paired"</w:t>
            </w:r>
            <w:r>
              <w:t xml:space="preserve">) using the effect size for the</w:t>
            </w:r>
            <w:r>
              <w:t xml:space="preserve"> </w:t>
            </w:r>
            <w:r>
              <w:rPr>
                <w:i/>
                <w:iCs/>
              </w:rPr>
              <w:t xml:space="preserve">differences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 = 1.36</w:t>
            </w:r>
            <w:r>
              <w:t xml:space="preserve">. How many trees does that need instead?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The design decision, in one comparison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Unpaired:</w:t>
            </w:r>
            <w:r>
              <w:t xml:space="preserve"> </w:t>
            </w:r>
            <w:r>
              <w:rPr>
                <w:b/>
                <w:bCs/>
              </w:rPr>
              <w:t xml:space="preserve">44 trees per side</w:t>
            </w:r>
            <w:r>
              <w:t xml:space="preserve"> </w:t>
            </w:r>
            <w:r>
              <w:t xml:space="preserve">= 88 trees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w:r>
              <w:t xml:space="preserve">Paired:</w:t>
            </w:r>
            <w:r>
              <w:t xml:space="preserve"> </w:t>
            </w:r>
            <w:r>
              <w:rPr>
                <w:b/>
                <w:bCs/>
              </w:rPr>
              <w:t xml:space="preserve">7 trees</w:t>
            </w:r>
            <w:r>
              <w:t xml:space="preserve">, both sides of each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Same question, same measurement effort per tree, same α and power. The difference is entirely in</w:t>
            </w:r>
            <w:r>
              <w:t xml:space="preserve"> </w:t>
            </w:r>
            <w:r>
              <w:rPr>
                <w:b/>
                <w:bCs/>
              </w:rPr>
              <w:t xml:space="preserve">how you decide to sample</w:t>
            </w:r>
            <w:r>
              <w:t xml:space="preserve"> </w:t>
            </w:r>
            <w:r>
              <w:t xml:space="preserve">— which is what this whole lecture is about.</w:t>
            </w:r>
          </w:p>
          <w:p/>
        </w:tc>
      </w:tr>
    </w:tbl>
    <w:bookmarkEnd w:id="145"/>
    <w:bookmarkStart w:id="151" w:name="activity-power-curve-visualization"/>
    <w:p>
      <w:pPr>
        <w:pStyle w:val="Heading2"/>
      </w:pPr>
      <w:r>
        <w:t xml:space="preserve">Activity: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Activity: power analysis for a pine needle experiment</w:t>
            </w:r>
          </w:p>
          <w:p>
            <w:pPr>
              <w:pStyle w:val="BodyText"/>
            </w:pPr>
            <w:r>
              <w:drawing>
                <wp:inline>
                  <wp:extent cx="3302849" cy="2935866"/>
                  <wp:effectExtent b="0" l="0" r="0" t="0"/>
                  <wp:docPr descr="" title="" id="149" name="Picture"/>
                  <a:graphic>
                    <a:graphicData uri="http://schemas.openxmlformats.org/drawingml/2006/picture">
                      <pic:pic>
                        <pic:nvPicPr>
                          <pic:cNvPr descr="study_design_sampling_lecture_files/figure-docx/study-design-sampling-07-1.png" id="1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02849" cy="2935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Questions: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many trees should we sample to achieve 80%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If we can only sample 5 trees per group, what is our power?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w:r>
              <w:t xml:space="preserve">How would increasing variability (SD) affect our sample size requirements?</w:t>
            </w:r>
          </w:p>
          <w:p/>
        </w:tc>
      </w:tr>
    </w:tbl>
    <w:bookmarkEnd w:id="151"/>
    <w:bookmarkStart w:id="152" w:name="part-7-wrap-up"/>
    <w:p>
      <w:pPr>
        <w:pStyle w:val="Heading2"/>
      </w:pPr>
      <w:r>
        <w:t xml:space="preserve">Part 7 · Wrap-Up</w:t>
      </w:r>
    </w:p>
    <w:bookmarkEnd w:id="152"/>
    <w:bookmarkStart w:id="156" w:name="study-design-and-analysis"/>
    <w:p>
      <w:pPr>
        <w:pStyle w:val="Heading2"/>
      </w:pPr>
      <w:r>
        <w:t xml:space="preserve">Study Design and Analysis</w:t>
      </w:r>
    </w:p>
    <w:p>
      <w:pPr>
        <w:pStyle w:val="Compact"/>
        <w:numPr>
          <w:ilvl w:val="0"/>
          <w:numId w:val="1044"/>
        </w:numPr>
      </w:pPr>
      <w:r>
        <w:t xml:space="preserve">Study design is closely linked to statistical analysis</w:t>
      </w:r>
    </w:p>
    <w:p>
      <w:pPr>
        <w:pStyle w:val="Compact"/>
        <w:numPr>
          <w:ilvl w:val="0"/>
          <w:numId w:val="1044"/>
        </w:numPr>
      </w:pPr>
      <w:r>
        <w:t xml:space="preserve">Recall: categorical vs. continuous variables; dependent vs. independent variables</w:t>
      </w:r>
    </w:p>
    <w:p>
      <w:pPr>
        <w:pStyle w:val="Compact"/>
        <w:numPr>
          <w:ilvl w:val="0"/>
          <w:numId w:val="1044"/>
        </w:numPr>
      </w:pPr>
      <w:r>
        <w:t xml:space="preserve">The nature of your variables dictates the analytical approach:</w:t>
      </w:r>
    </w:p>
    <w:p>
      <w:pPr>
        <w:pStyle w:val="Compact"/>
        <w:numPr>
          <w:ilvl w:val="1"/>
          <w:numId w:val="1045"/>
        </w:numPr>
      </w:pPr>
      <w:r>
        <w:t xml:space="preserve">Match your analysis to your design</w:t>
      </w:r>
    </w:p>
    <w:p>
      <w:pPr>
        <w:pStyle w:val="Compact"/>
        <w:numPr>
          <w:ilvl w:val="1"/>
          <w:numId w:val="1045"/>
        </w:numPr>
      </w:pPr>
      <w:r>
        <w:t xml:space="preserve">You 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a poor design with fancy statistics</w:t>
      </w:r>
    </w:p>
    <w:p>
      <w:pPr>
        <w:pStyle w:val="CaptionedFigure"/>
      </w:pPr>
      <w:r>
        <w:drawing>
          <wp:inline>
            <wp:extent cx="2852928" cy="5065776"/>
            <wp:effectExtent b="0" l="0" r="0" t="0"/>
            <wp:docPr descr="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" title="" id="154" name="Picture"/>
            <a:graphic>
              <a:graphicData uri="http://schemas.openxmlformats.org/drawingml/2006/picture">
                <pic:pic>
                  <pic:nvPicPr>
                    <pic:cNvPr descr="images/clipboard-3944907188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928" cy="50657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stacked plots: statistical power rising with effect size and leveling off near 1.0, with a dashed line marking 80% power at an effect size around 23; and detectable effect size dropping steeply as the number of replicates increases, with a dashed line showing the same effect size achievable at about 23 replicates, illustrating the tradeoff between sample size and detectable effect size.</w:t>
      </w:r>
    </w:p>
    <w:bookmarkEnd w:id="156"/>
    <w:bookmarkStart w:id="159" w:name="summary-and-take-home-messages"/>
    <w:p>
      <w:pPr>
        <w:pStyle w:val="Heading2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— statistics cannot save poor design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— different approaches to causality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Principles of good design:</w:t>
      </w:r>
      <w:r>
        <w:t xml:space="preserve"> </w:t>
      </w:r>
      <w:r>
        <w:t xml:space="preserve">replication at the right scale, proper randomization, appropriate controls, independence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— planning for sufficient sample size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— your statistical approach should follow from your experimental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Remember: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Correlation ≠ causation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Beware of pseudoreplication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Design before you collect data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Consider practical constraints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Report everything transparently</w:t>
            </w:r>
          </w:p>
          <w:p/>
        </w:tc>
      </w:tr>
    </w:tbl>
    <w:bookmarkEnd w:id="159"/>
    <w:bookmarkStart w:id="160" w:name="references-and-additional-resources"/>
    <w:p>
      <w:pPr>
        <w:pStyle w:val="Heading2"/>
      </w:pPr>
      <w:r>
        <w:t xml:space="preserve">References and Additional Resources</w:t>
      </w:r>
    </w:p>
    <w:p>
      <w:pPr>
        <w:pStyle w:val="Compact"/>
        <w:numPr>
          <w:ilvl w:val="0"/>
          <w:numId w:val="1048"/>
        </w:numPr>
      </w:pPr>
      <w:r>
        <w:t xml:space="preserve">Gotelli, N. J., &amp; Ellison, A. M. (2012).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(2nd ed.). Sinauer Associates.</w:t>
      </w:r>
    </w:p>
    <w:p>
      <w:pPr>
        <w:pStyle w:val="Compact"/>
        <w:numPr>
          <w:ilvl w:val="0"/>
          <w:numId w:val="1048"/>
        </w:numPr>
      </w:pPr>
      <w:r>
        <w:t xml:space="preserve">Hurlbert, S. H. (1984). Pseudoreplication and the design of ecological field experiments.</w:t>
      </w:r>
      <w:r>
        <w:t xml:space="preserve"> </w:t>
      </w:r>
      <w:r>
        <w:rPr>
          <w:i/>
          <w:iCs/>
        </w:rPr>
        <w:t xml:space="preserve">Ecological Monographs</w:t>
      </w:r>
      <w:r>
        <w:t xml:space="preserve">, 54(2), 187–211.</w:t>
      </w:r>
    </w:p>
    <w:p>
      <w:pPr>
        <w:pStyle w:val="Compact"/>
        <w:numPr>
          <w:ilvl w:val="0"/>
          <w:numId w:val="1048"/>
        </w:numPr>
      </w:pPr>
      <w:r>
        <w:t xml:space="preserve">Quinn, G. P., &amp; Keough, M. J. (2002).</w:t>
      </w:r>
      <w:r>
        <w:t xml:space="preserve"> </w:t>
      </w:r>
      <w:r>
        <w:rPr>
          <w:i/>
          <w:iCs/>
        </w:rPr>
        <w:t xml:space="preserve">Experimental Design and Data Analysis for Biologists</w:t>
      </w:r>
      <w:r>
        <w:t xml:space="preserve">. Cambridge University Press.</w:t>
      </w:r>
    </w:p>
    <w:p>
      <w:pPr>
        <w:pStyle w:val="Compact"/>
        <w:numPr>
          <w:ilvl w:val="0"/>
          <w:numId w:val="1048"/>
        </w:numPr>
      </w:pPr>
      <w:r>
        <w:t xml:space="preserve">Zuur, A. F., Ieno, E. N., &amp; Elphick, C. S. (2010). A protocol for data exploration to avoid common statistical problems.</w:t>
      </w:r>
      <w:r>
        <w:t xml:space="preserve"> </w:t>
      </w:r>
      <w:r>
        <w:rPr>
          <w:i/>
          <w:iCs/>
        </w:rPr>
        <w:t xml:space="preserve">Methods in Ecology and Evolution</w:t>
      </w:r>
      <w:r>
        <w:t xml:space="preserve">, 1(1), 3–14.</w:t>
      </w:r>
    </w:p>
    <w:bookmarkEnd w:id="1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4" Target="media/rId134.png" /><Relationship Type="http://schemas.openxmlformats.org/officeDocument/2006/relationships/image" Id="rId9" Target="media/rId9.png" /><Relationship Type="http://schemas.openxmlformats.org/officeDocument/2006/relationships/image" Id="rId127" Target="media/rId127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58" Target="media/rId58.png" /><Relationship Type="http://schemas.openxmlformats.org/officeDocument/2006/relationships/image" Id="rId113" Target="media/rId113.png" /><Relationship Type="http://schemas.openxmlformats.org/officeDocument/2006/relationships/image" Id="rId52" Target="media/rId52.png" /><Relationship Type="http://schemas.openxmlformats.org/officeDocument/2006/relationships/image" Id="rId19" Target="media/rId19.png" /><Relationship Type="http://schemas.openxmlformats.org/officeDocument/2006/relationships/image" Id="rId101" Target="media/rId101.png" /><Relationship Type="http://schemas.openxmlformats.org/officeDocument/2006/relationships/image" Id="rId72" Target="media/rId72.png" /><Relationship Type="http://schemas.openxmlformats.org/officeDocument/2006/relationships/image" Id="rId44" Target="media/rId44.png" /><Relationship Type="http://schemas.openxmlformats.org/officeDocument/2006/relationships/image" Id="rId89" Target="media/rId89.png" /><Relationship Type="http://schemas.openxmlformats.org/officeDocument/2006/relationships/image" Id="rId26" Target="media/rId26.png" /><Relationship Type="http://schemas.openxmlformats.org/officeDocument/2006/relationships/image" Id="rId39" Target="media/rId39.png" /><Relationship Type="http://schemas.openxmlformats.org/officeDocument/2006/relationships/image" Id="rId68" Target="media/rId68.png" /><Relationship Type="http://schemas.openxmlformats.org/officeDocument/2006/relationships/image" Id="rId109" Target="media/rId109.png" /><Relationship Type="http://schemas.openxmlformats.org/officeDocument/2006/relationships/image" Id="rId76" Target="media/rId76.png" /><Relationship Type="http://schemas.openxmlformats.org/officeDocument/2006/relationships/image" Id="rId80" Target="media/rId80.png" /><Relationship Type="http://schemas.openxmlformats.org/officeDocument/2006/relationships/image" Id="rId12" Target="media/rId12.png" /><Relationship Type="http://schemas.openxmlformats.org/officeDocument/2006/relationships/image" Id="rId48" Target="media/rId48.png" /><Relationship Type="http://schemas.openxmlformats.org/officeDocument/2006/relationships/image" Id="rId153" Target="media/rId153.png" /><Relationship Type="http://schemas.openxmlformats.org/officeDocument/2006/relationships/image" Id="rId105" Target="media/rId105.png" /><Relationship Type="http://schemas.openxmlformats.org/officeDocument/2006/relationships/image" Id="rId93" Target="media/rId93.png" /><Relationship Type="http://schemas.openxmlformats.org/officeDocument/2006/relationships/image" Id="rId35" Target="media/rId35.png" /><Relationship Type="http://schemas.openxmlformats.org/officeDocument/2006/relationships/image" Id="rId31" Target="media/rId31.png" /><Relationship Type="http://schemas.openxmlformats.org/officeDocument/2006/relationships/image" Id="rId119" Target="media/rId119.png" /><Relationship Type="http://schemas.openxmlformats.org/officeDocument/2006/relationships/image" Id="rId148" Target="media/rId148.png" /><Relationship Type="http://schemas.openxmlformats.org/officeDocument/2006/relationships/hyperlink" Id="rId55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Study Design &amp; Sampling</dc:title>
  <dc:creator>Bill Perry</dc:creator>
  <dc:description>Causality, natural vs. manipulative experiments, replication and pseudoreplication, controls, randomization, sampling designs, and a priori/post hoc power analysis.</dc:description>
  <cp:keywords/>
  <dcterms:created xsi:type="dcterms:W3CDTF">2026-09-28T13:54:46Z</dcterms:created>
  <dcterms:modified xsi:type="dcterms:W3CDTF">2026-09-28T13:54:46Z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9</vt:lpwstr>
  </property>
  <property fmtid="{D5CDD505-2E9C-101B-9397-08002B2CF9AE}" pid="14" name="resources">
    <vt:lpwstr/>
  </property>
  <property fmtid="{D5CDD505-2E9C-101B-9397-08002B2CF9AE}" pid="15" name="subtitle">
    <vt:lpwstr>Designing studies</vt:lpwstr>
  </property>
  <property fmtid="{D5CDD505-2E9C-101B-9397-08002B2CF9AE}" pid="16" name="toc-title">
    <vt:lpwstr>Table of contents</vt:lpwstr>
  </property>
  <property fmtid="{D5CDD505-2E9C-101B-9397-08002B2CF9AE}" pid="17" name="week">
    <vt:lpwstr>5</vt:lpwstr>
  </property>
</Properties>
</file>