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8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part-4-variance-and-standard-deviation"/>
    <w:p>
      <w:pPr>
        <w:pStyle w:val="Heading2"/>
      </w:pPr>
      <w:r>
        <w:t xml:space="preserve">Part 4 · Variance and Standard Deviation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7"/>
    <w:bookmarkStart w:id="38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38"/>
    <w:bookmarkStart w:id="44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4"/>
    <w:bookmarkStart w:id="48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48"/>
    <w:bookmarkStart w:id="51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51"/>
    <w:bookmarkStart w:id="54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54"/>
    <w:bookmarkStart w:id="55" w:name="part-6-standard-error"/>
    <w:p>
      <w:pPr>
        <w:pStyle w:val="Heading2"/>
      </w:pPr>
      <w:r>
        <w:t xml:space="preserve">Part 6 · Standard Error</w:t>
      </w:r>
    </w:p>
    <w:bookmarkEnd w:id="55"/>
    <w:bookmarkStart w:id="58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58"/>
    <w:bookmarkStart w:id="61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61"/>
    <w:bookmarkStart w:id="62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62"/>
    <w:bookmarkStart w:id="65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65"/>
    <w:bookmarkStart w:id="68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68"/>
    <w:bookmarkStart w:id="7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73"/>
    <w:bookmarkStart w:id="7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2026-08-20T18:25:58Z</dcterms:created>
  <dcterms:modified xsi:type="dcterms:W3CDTF">2026-08-20T18:25:58Z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